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6E289">
      <w:pPr>
        <w:spacing w:line="360" w:lineRule="auto"/>
        <w:jc w:val="center"/>
        <w:outlineLvl w:val="0"/>
        <w:rPr>
          <w:rFonts w:ascii="仿宋" w:hAnsi="仿宋" w:eastAsia="楷体"/>
          <w:b/>
          <w:sz w:val="44"/>
          <w:szCs w:val="44"/>
        </w:rPr>
      </w:pPr>
    </w:p>
    <w:p w14:paraId="22DA52D2">
      <w:pPr>
        <w:jc w:val="center"/>
        <w:rPr>
          <w:rFonts w:ascii="楷体" w:hAnsi="楷体" w:eastAsia="楷体"/>
          <w:b/>
          <w:color w:val="auto"/>
          <w:sz w:val="44"/>
          <w:szCs w:val="44"/>
        </w:rPr>
      </w:pPr>
    </w:p>
    <w:p w14:paraId="36B121D5">
      <w:pPr>
        <w:jc w:val="center"/>
        <w:rPr>
          <w:rFonts w:ascii="楷体" w:hAnsi="楷体" w:eastAsia="楷体"/>
          <w:b/>
          <w:color w:val="auto"/>
          <w:sz w:val="44"/>
          <w:szCs w:val="44"/>
        </w:rPr>
      </w:pPr>
    </w:p>
    <w:p w14:paraId="016DE062">
      <w:pPr>
        <w:spacing w:line="360" w:lineRule="auto"/>
        <w:jc w:val="center"/>
        <w:outlineLvl w:val="0"/>
        <w:rPr>
          <w:rFonts w:hint="eastAsia" w:ascii="仿宋" w:hAnsi="仿宋" w:eastAsia="楷体"/>
          <w:b/>
          <w:sz w:val="44"/>
          <w:szCs w:val="44"/>
          <w:lang w:eastAsia="zh-CN"/>
        </w:rPr>
      </w:pPr>
      <w:bookmarkStart w:id="151" w:name="_GoBack"/>
      <w:r>
        <w:rPr>
          <w:rFonts w:hint="eastAsia" w:ascii="仿宋" w:hAnsi="仿宋" w:eastAsia="楷体"/>
          <w:b/>
          <w:sz w:val="44"/>
          <w:szCs w:val="44"/>
          <w:lang w:eastAsia="zh-CN"/>
        </w:rPr>
        <w:t>2024年江西省高质量发展补短板专项债券（二十八期）——2024年江西省政府专项债券（四十六期）实施方案</w:t>
      </w:r>
    </w:p>
    <w:bookmarkEnd w:id="151"/>
    <w:p w14:paraId="0330E395">
      <w:pPr>
        <w:spacing w:line="360" w:lineRule="auto"/>
        <w:jc w:val="center"/>
        <w:outlineLvl w:val="0"/>
        <w:rPr>
          <w:rFonts w:hint="eastAsia" w:ascii="仿宋" w:hAnsi="仿宋" w:eastAsia="楷体"/>
          <w:b/>
          <w:sz w:val="44"/>
          <w:szCs w:val="44"/>
          <w:lang w:eastAsia="zh-CN"/>
        </w:rPr>
      </w:pPr>
    </w:p>
    <w:p w14:paraId="44F12660">
      <w:pPr>
        <w:ind w:left="-140" w:leftChars="-67" w:right="-98" w:rightChars="-47" w:firstLine="439" w:firstLineChars="157"/>
        <w:jc w:val="center"/>
        <w:rPr>
          <w:rFonts w:ascii="宋体" w:hAnsi="宋体" w:eastAsia="宋体"/>
          <w:color w:val="auto"/>
          <w:sz w:val="28"/>
          <w:szCs w:val="28"/>
        </w:rPr>
      </w:pPr>
    </w:p>
    <w:p w14:paraId="6E27E1B0">
      <w:pPr>
        <w:ind w:left="-140" w:leftChars="-67" w:right="-98" w:rightChars="-47" w:firstLine="439" w:firstLineChars="157"/>
        <w:rPr>
          <w:rFonts w:ascii="宋体" w:hAnsi="宋体" w:eastAsia="宋体"/>
          <w:color w:val="auto"/>
          <w:sz w:val="28"/>
          <w:szCs w:val="28"/>
        </w:rPr>
      </w:pPr>
    </w:p>
    <w:p w14:paraId="258F57C2">
      <w:pPr>
        <w:ind w:left="-140" w:leftChars="-67" w:right="-98" w:rightChars="-47" w:firstLine="439" w:firstLineChars="157"/>
        <w:rPr>
          <w:rFonts w:ascii="宋体" w:hAnsi="宋体" w:eastAsia="宋体"/>
          <w:color w:val="auto"/>
          <w:sz w:val="28"/>
          <w:szCs w:val="28"/>
        </w:rPr>
      </w:pPr>
    </w:p>
    <w:p w14:paraId="69686F07">
      <w:pPr>
        <w:ind w:right="-98" w:rightChars="-47"/>
        <w:rPr>
          <w:rFonts w:ascii="宋体" w:hAnsi="宋体" w:eastAsia="宋体"/>
          <w:color w:val="auto"/>
          <w:sz w:val="28"/>
          <w:szCs w:val="28"/>
          <w:u w:val="single"/>
        </w:rPr>
      </w:pPr>
    </w:p>
    <w:p w14:paraId="45253A97">
      <w:pPr>
        <w:ind w:left="-140" w:leftChars="-67" w:right="-98" w:rightChars="-47" w:firstLine="502" w:firstLineChars="157"/>
        <w:rPr>
          <w:color w:val="auto"/>
          <w:sz w:val="32"/>
          <w:szCs w:val="32"/>
          <w:u w:val="single"/>
        </w:rPr>
      </w:pPr>
    </w:p>
    <w:p w14:paraId="15059715">
      <w:pPr>
        <w:ind w:left="-140" w:leftChars="-67" w:right="-98" w:rightChars="-47" w:firstLine="502" w:firstLineChars="157"/>
        <w:rPr>
          <w:color w:val="auto"/>
          <w:sz w:val="32"/>
          <w:szCs w:val="32"/>
          <w:u w:val="single"/>
        </w:rPr>
      </w:pPr>
    </w:p>
    <w:p w14:paraId="24AB0EAA">
      <w:pPr>
        <w:ind w:left="-140" w:leftChars="-67" w:right="-98" w:rightChars="-47" w:firstLine="502" w:firstLineChars="157"/>
        <w:rPr>
          <w:color w:val="auto"/>
          <w:sz w:val="32"/>
          <w:szCs w:val="32"/>
          <w:u w:val="single"/>
        </w:rPr>
      </w:pPr>
    </w:p>
    <w:p w14:paraId="2EE7C689">
      <w:pPr>
        <w:ind w:left="-140" w:leftChars="-67" w:right="-98" w:rightChars="-47" w:firstLine="502" w:firstLineChars="157"/>
        <w:rPr>
          <w:color w:val="auto"/>
          <w:sz w:val="32"/>
          <w:szCs w:val="32"/>
          <w:u w:val="single"/>
        </w:rPr>
      </w:pPr>
    </w:p>
    <w:p w14:paraId="6E6E764E">
      <w:pPr>
        <w:spacing w:line="360" w:lineRule="auto"/>
        <w:jc w:val="center"/>
        <w:rPr>
          <w:rFonts w:ascii="仿宋" w:hAnsi="仿宋" w:eastAsia="楷体"/>
          <w:b/>
          <w:color w:val="auto"/>
          <w:sz w:val="44"/>
          <w:szCs w:val="44"/>
        </w:rPr>
      </w:pPr>
    </w:p>
    <w:p w14:paraId="7073F70B">
      <w:pPr>
        <w:spacing w:line="360" w:lineRule="auto"/>
        <w:jc w:val="center"/>
        <w:rPr>
          <w:rFonts w:ascii="仿宋" w:hAnsi="仿宋" w:eastAsia="楷体"/>
          <w:b/>
          <w:color w:val="auto"/>
          <w:sz w:val="44"/>
          <w:szCs w:val="44"/>
        </w:rPr>
      </w:pPr>
    </w:p>
    <w:p w14:paraId="0A103820">
      <w:pPr>
        <w:pStyle w:val="35"/>
        <w:rPr>
          <w:rFonts w:hint="eastAsia"/>
          <w:color w:val="auto"/>
        </w:rPr>
      </w:pPr>
    </w:p>
    <w:p w14:paraId="1508B9F2">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南昌</w:t>
      </w:r>
      <w:r>
        <w:rPr>
          <w:rFonts w:hint="eastAsia" w:ascii="仿宋" w:hAnsi="仿宋" w:eastAsia="楷体"/>
          <w:b/>
          <w:color w:val="auto"/>
          <w:sz w:val="44"/>
          <w:szCs w:val="44"/>
          <w:lang w:val="en-US" w:eastAsia="zh-CN"/>
        </w:rPr>
        <w:t>市</w:t>
      </w:r>
      <w:r>
        <w:rPr>
          <w:rFonts w:hint="eastAsia" w:ascii="仿宋" w:hAnsi="仿宋" w:eastAsia="楷体"/>
          <w:b/>
          <w:color w:val="auto"/>
          <w:sz w:val="44"/>
          <w:szCs w:val="44"/>
        </w:rPr>
        <w:t>财政局</w:t>
      </w:r>
    </w:p>
    <w:p w14:paraId="62348A64">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二〇二</w:t>
      </w:r>
      <w:r>
        <w:rPr>
          <w:rFonts w:hint="eastAsia" w:ascii="仿宋" w:hAnsi="仿宋" w:eastAsia="楷体"/>
          <w:b/>
          <w:color w:val="auto"/>
          <w:sz w:val="44"/>
          <w:szCs w:val="44"/>
          <w:lang w:val="en-US" w:eastAsia="zh-CN"/>
        </w:rPr>
        <w:t>四</w:t>
      </w:r>
      <w:r>
        <w:rPr>
          <w:rFonts w:hint="eastAsia" w:ascii="仿宋" w:hAnsi="仿宋" w:eastAsia="楷体"/>
          <w:b/>
          <w:color w:val="auto"/>
          <w:sz w:val="44"/>
          <w:szCs w:val="44"/>
        </w:rPr>
        <w:t>年</w:t>
      </w:r>
      <w:r>
        <w:rPr>
          <w:rFonts w:hint="eastAsia" w:ascii="仿宋" w:hAnsi="仿宋" w:eastAsia="楷体"/>
          <w:b/>
          <w:color w:val="auto"/>
          <w:sz w:val="44"/>
          <w:szCs w:val="44"/>
          <w:lang w:val="en-US" w:eastAsia="zh-CN"/>
        </w:rPr>
        <w:t>九</w:t>
      </w:r>
      <w:r>
        <w:rPr>
          <w:rFonts w:hint="eastAsia" w:ascii="仿宋" w:hAnsi="仿宋" w:eastAsia="楷体"/>
          <w:b/>
          <w:color w:val="auto"/>
          <w:sz w:val="44"/>
          <w:szCs w:val="44"/>
        </w:rPr>
        <w:t>月</w:t>
      </w:r>
    </w:p>
    <w:p w14:paraId="521719A7">
      <w:pPr>
        <w:rPr>
          <w:rFonts w:ascii="楷体" w:hAnsi="楷体" w:eastAsia="楷体"/>
          <w:b/>
          <w:color w:val="auto"/>
          <w:sz w:val="44"/>
          <w:szCs w:val="44"/>
        </w:rPr>
      </w:pPr>
      <w:r>
        <w:rPr>
          <w:rFonts w:ascii="楷体" w:hAnsi="楷体" w:eastAsia="楷体"/>
          <w:b/>
          <w:color w:val="auto"/>
          <w:sz w:val="44"/>
          <w:szCs w:val="44"/>
        </w:rPr>
        <w:br w:type="page"/>
      </w:r>
    </w:p>
    <w:p w14:paraId="053D57C0">
      <w:pPr>
        <w:jc w:val="center"/>
        <w:rPr>
          <w:rFonts w:ascii="楷体" w:hAnsi="楷体" w:eastAsia="楷体"/>
          <w:b/>
          <w:color w:val="auto"/>
          <w:sz w:val="44"/>
          <w:szCs w:val="44"/>
        </w:rPr>
      </w:pPr>
    </w:p>
    <w:p w14:paraId="7D207CF5">
      <w:pPr>
        <w:jc w:val="center"/>
        <w:rPr>
          <w:rFonts w:ascii="楷体" w:hAnsi="楷体" w:eastAsia="楷体"/>
          <w:b/>
          <w:color w:val="auto"/>
          <w:sz w:val="44"/>
          <w:szCs w:val="44"/>
        </w:rPr>
      </w:pPr>
    </w:p>
    <w:p w14:paraId="15AD7F15">
      <w:pPr>
        <w:jc w:val="center"/>
        <w:rPr>
          <w:rFonts w:ascii="楷体" w:hAnsi="楷体" w:eastAsia="楷体"/>
          <w:b/>
          <w:color w:val="auto"/>
          <w:sz w:val="44"/>
          <w:szCs w:val="44"/>
        </w:rPr>
      </w:pPr>
    </w:p>
    <w:p w14:paraId="31AB9896">
      <w:pPr>
        <w:jc w:val="center"/>
        <w:rPr>
          <w:rFonts w:ascii="楷体" w:hAnsi="楷体" w:eastAsia="楷体"/>
          <w:b/>
          <w:color w:val="auto"/>
          <w:sz w:val="44"/>
          <w:szCs w:val="44"/>
        </w:rPr>
      </w:pPr>
    </w:p>
    <w:p w14:paraId="1384F740">
      <w:pPr>
        <w:spacing w:line="360" w:lineRule="auto"/>
        <w:jc w:val="center"/>
        <w:outlineLvl w:val="0"/>
        <w:rPr>
          <w:rFonts w:hint="eastAsia" w:ascii="仿宋" w:hAnsi="仿宋" w:eastAsia="楷体"/>
          <w:b/>
          <w:sz w:val="44"/>
          <w:szCs w:val="44"/>
          <w:lang w:eastAsia="zh-CN"/>
        </w:rPr>
      </w:pPr>
      <w:r>
        <w:rPr>
          <w:rFonts w:hint="eastAsia" w:ascii="楷体" w:hAnsi="楷体" w:eastAsia="楷体"/>
          <w:b/>
          <w:color w:val="auto"/>
          <w:sz w:val="44"/>
          <w:szCs w:val="44"/>
        </w:rPr>
        <w:t>南昌市轨道交通1号线北延工程</w:t>
      </w:r>
      <w:r>
        <w:rPr>
          <w:rFonts w:hint="eastAsia" w:ascii="仿宋" w:hAnsi="仿宋" w:eastAsia="楷体"/>
          <w:b/>
          <w:sz w:val="44"/>
          <w:szCs w:val="44"/>
          <w:lang w:eastAsia="zh-CN"/>
        </w:rPr>
        <w:t>实施方案</w:t>
      </w:r>
    </w:p>
    <w:p w14:paraId="216F02A2">
      <w:pPr>
        <w:spacing w:line="360" w:lineRule="auto"/>
        <w:jc w:val="center"/>
        <w:outlineLvl w:val="0"/>
        <w:rPr>
          <w:rFonts w:hint="eastAsia" w:ascii="仿宋" w:hAnsi="仿宋" w:eastAsia="楷体"/>
          <w:b/>
          <w:sz w:val="44"/>
          <w:szCs w:val="44"/>
          <w:lang w:eastAsia="zh-CN"/>
        </w:rPr>
      </w:pPr>
    </w:p>
    <w:p w14:paraId="71C808D7">
      <w:pPr>
        <w:ind w:left="-140" w:leftChars="-67" w:right="-98" w:rightChars="-47" w:firstLine="439" w:firstLineChars="157"/>
        <w:jc w:val="center"/>
        <w:rPr>
          <w:rFonts w:ascii="宋体" w:hAnsi="宋体" w:eastAsia="宋体"/>
          <w:color w:val="auto"/>
          <w:sz w:val="28"/>
          <w:szCs w:val="28"/>
        </w:rPr>
      </w:pPr>
    </w:p>
    <w:p w14:paraId="4B634397">
      <w:pPr>
        <w:ind w:left="-140" w:leftChars="-67" w:right="-98" w:rightChars="-47" w:firstLine="439" w:firstLineChars="157"/>
        <w:rPr>
          <w:rFonts w:ascii="宋体" w:hAnsi="宋体" w:eastAsia="宋体"/>
          <w:color w:val="auto"/>
          <w:sz w:val="28"/>
          <w:szCs w:val="28"/>
        </w:rPr>
      </w:pPr>
    </w:p>
    <w:p w14:paraId="2C0F96E5">
      <w:pPr>
        <w:ind w:left="-140" w:leftChars="-67" w:right="-98" w:rightChars="-47" w:firstLine="439" w:firstLineChars="157"/>
        <w:rPr>
          <w:rFonts w:ascii="宋体" w:hAnsi="宋体" w:eastAsia="宋体"/>
          <w:color w:val="auto"/>
          <w:sz w:val="28"/>
          <w:szCs w:val="28"/>
        </w:rPr>
      </w:pPr>
    </w:p>
    <w:p w14:paraId="1F049233">
      <w:pPr>
        <w:ind w:right="-98" w:rightChars="-47"/>
        <w:rPr>
          <w:rFonts w:ascii="宋体" w:hAnsi="宋体" w:eastAsia="宋体"/>
          <w:color w:val="auto"/>
          <w:sz w:val="28"/>
          <w:szCs w:val="28"/>
          <w:u w:val="single"/>
        </w:rPr>
      </w:pPr>
    </w:p>
    <w:p w14:paraId="47942902">
      <w:pPr>
        <w:ind w:left="-140" w:leftChars="-67" w:right="-98" w:rightChars="-47" w:firstLine="502" w:firstLineChars="157"/>
        <w:rPr>
          <w:color w:val="auto"/>
          <w:sz w:val="32"/>
          <w:szCs w:val="32"/>
          <w:u w:val="single"/>
        </w:rPr>
      </w:pPr>
    </w:p>
    <w:p w14:paraId="34E26372">
      <w:pPr>
        <w:ind w:left="-140" w:leftChars="-67" w:right="-98" w:rightChars="-47" w:firstLine="502" w:firstLineChars="157"/>
        <w:rPr>
          <w:color w:val="auto"/>
          <w:sz w:val="32"/>
          <w:szCs w:val="32"/>
          <w:u w:val="single"/>
        </w:rPr>
      </w:pPr>
    </w:p>
    <w:p w14:paraId="48AEEA91">
      <w:pPr>
        <w:ind w:left="-140" w:leftChars="-67" w:right="-98" w:rightChars="-47" w:firstLine="502" w:firstLineChars="157"/>
        <w:rPr>
          <w:color w:val="auto"/>
          <w:sz w:val="32"/>
          <w:szCs w:val="32"/>
          <w:u w:val="single"/>
        </w:rPr>
      </w:pPr>
    </w:p>
    <w:p w14:paraId="53C85167">
      <w:pPr>
        <w:ind w:left="-140" w:leftChars="-67" w:right="-98" w:rightChars="-47" w:firstLine="502" w:firstLineChars="157"/>
        <w:rPr>
          <w:color w:val="auto"/>
          <w:sz w:val="32"/>
          <w:szCs w:val="32"/>
          <w:u w:val="single"/>
        </w:rPr>
      </w:pPr>
    </w:p>
    <w:p w14:paraId="3058CA35">
      <w:pPr>
        <w:spacing w:line="360" w:lineRule="auto"/>
        <w:jc w:val="center"/>
        <w:rPr>
          <w:rFonts w:ascii="仿宋" w:hAnsi="仿宋" w:eastAsia="楷体"/>
          <w:b/>
          <w:color w:val="auto"/>
          <w:sz w:val="44"/>
          <w:szCs w:val="44"/>
        </w:rPr>
      </w:pPr>
    </w:p>
    <w:p w14:paraId="0A2C993A">
      <w:pPr>
        <w:spacing w:line="360" w:lineRule="auto"/>
        <w:jc w:val="center"/>
        <w:rPr>
          <w:rFonts w:ascii="仿宋" w:hAnsi="仿宋" w:eastAsia="楷体"/>
          <w:b/>
          <w:color w:val="auto"/>
          <w:sz w:val="44"/>
          <w:szCs w:val="44"/>
        </w:rPr>
      </w:pPr>
    </w:p>
    <w:p w14:paraId="6BC73330">
      <w:pPr>
        <w:pStyle w:val="35"/>
        <w:rPr>
          <w:rFonts w:hint="eastAsia"/>
          <w:color w:val="auto"/>
        </w:rPr>
      </w:pPr>
    </w:p>
    <w:p w14:paraId="0736B6D8">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南昌</w:t>
      </w:r>
      <w:r>
        <w:rPr>
          <w:rFonts w:hint="eastAsia" w:ascii="仿宋" w:hAnsi="仿宋" w:eastAsia="楷体"/>
          <w:b/>
          <w:color w:val="auto"/>
          <w:sz w:val="44"/>
          <w:szCs w:val="44"/>
          <w:lang w:val="en-US" w:eastAsia="zh-CN"/>
        </w:rPr>
        <w:t>市</w:t>
      </w:r>
      <w:r>
        <w:rPr>
          <w:rFonts w:hint="eastAsia" w:ascii="仿宋" w:hAnsi="仿宋" w:eastAsia="楷体"/>
          <w:b/>
          <w:color w:val="auto"/>
          <w:sz w:val="44"/>
          <w:szCs w:val="44"/>
        </w:rPr>
        <w:t>财政局</w:t>
      </w:r>
    </w:p>
    <w:p w14:paraId="739A250C">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二〇二</w:t>
      </w:r>
      <w:r>
        <w:rPr>
          <w:rFonts w:hint="eastAsia" w:ascii="仿宋" w:hAnsi="仿宋" w:eastAsia="楷体"/>
          <w:b/>
          <w:color w:val="auto"/>
          <w:sz w:val="44"/>
          <w:szCs w:val="44"/>
          <w:lang w:val="en-US" w:eastAsia="zh-CN"/>
        </w:rPr>
        <w:t>四</w:t>
      </w:r>
      <w:r>
        <w:rPr>
          <w:rFonts w:hint="eastAsia" w:ascii="仿宋" w:hAnsi="仿宋" w:eastAsia="楷体"/>
          <w:b/>
          <w:color w:val="auto"/>
          <w:sz w:val="44"/>
          <w:szCs w:val="44"/>
        </w:rPr>
        <w:t>年</w:t>
      </w:r>
      <w:r>
        <w:rPr>
          <w:rFonts w:hint="eastAsia" w:ascii="仿宋" w:hAnsi="仿宋" w:eastAsia="楷体"/>
          <w:b/>
          <w:color w:val="auto"/>
          <w:sz w:val="44"/>
          <w:szCs w:val="44"/>
          <w:lang w:val="en-US" w:eastAsia="zh-CN"/>
        </w:rPr>
        <w:t>九</w:t>
      </w:r>
      <w:r>
        <w:rPr>
          <w:rFonts w:hint="eastAsia" w:ascii="仿宋" w:hAnsi="仿宋" w:eastAsia="楷体"/>
          <w:b/>
          <w:color w:val="auto"/>
          <w:sz w:val="44"/>
          <w:szCs w:val="44"/>
        </w:rPr>
        <w:t>月</w:t>
      </w:r>
    </w:p>
    <w:p w14:paraId="41AF5608">
      <w:pPr>
        <w:rPr>
          <w:rFonts w:ascii="楷体" w:hAnsi="楷体" w:eastAsia="楷体"/>
          <w:b/>
          <w:color w:val="auto"/>
          <w:sz w:val="44"/>
          <w:szCs w:val="44"/>
        </w:rPr>
      </w:pPr>
      <w:r>
        <w:rPr>
          <w:rFonts w:ascii="楷体" w:hAnsi="楷体" w:eastAsia="楷体"/>
          <w:b/>
          <w:color w:val="auto"/>
          <w:sz w:val="44"/>
          <w:szCs w:val="44"/>
        </w:rPr>
        <w:br w:type="page"/>
      </w:r>
    </w:p>
    <w:p w14:paraId="362266C8">
      <w:pPr>
        <w:spacing w:line="400" w:lineRule="exact"/>
        <w:ind w:firstLine="0" w:firstLineChars="0"/>
        <w:rPr>
          <w:rFonts w:hint="eastAsia" w:ascii="仿宋" w:hAnsi="仿宋" w:eastAsia="仿宋"/>
          <w:sz w:val="32"/>
          <w:szCs w:val="32"/>
        </w:rPr>
      </w:pPr>
    </w:p>
    <w:p w14:paraId="5C103638">
      <w:pPr>
        <w:widowControl/>
        <w:spacing w:line="400" w:lineRule="exact"/>
        <w:ind w:firstLine="0" w:firstLineChars="0"/>
        <w:jc w:val="center"/>
        <w:rPr>
          <w:rFonts w:hint="eastAsia" w:ascii="楷体" w:hAnsi="楷体" w:eastAsia="楷体" w:cs="仿宋"/>
          <w:b/>
          <w:sz w:val="44"/>
          <w:szCs w:val="44"/>
        </w:rPr>
      </w:pPr>
      <w:r>
        <w:rPr>
          <w:rFonts w:hint="eastAsia" w:ascii="楷体" w:hAnsi="楷体" w:eastAsia="楷体" w:cs="仿宋"/>
          <w:b/>
          <w:sz w:val="44"/>
          <w:szCs w:val="44"/>
        </w:rPr>
        <w:t xml:space="preserve">前 </w:t>
      </w:r>
      <w:r>
        <w:rPr>
          <w:rFonts w:ascii="楷体" w:hAnsi="楷体" w:eastAsia="楷体" w:cs="仿宋"/>
          <w:b/>
          <w:sz w:val="44"/>
          <w:szCs w:val="44"/>
        </w:rPr>
        <w:t xml:space="preserve"> </w:t>
      </w:r>
      <w:r>
        <w:rPr>
          <w:rFonts w:hint="eastAsia" w:ascii="楷体" w:hAnsi="楷体" w:eastAsia="楷体" w:cs="仿宋"/>
          <w:b/>
          <w:sz w:val="44"/>
          <w:szCs w:val="44"/>
        </w:rPr>
        <w:t>言</w:t>
      </w:r>
    </w:p>
    <w:p w14:paraId="74FCFB0D">
      <w:pPr>
        <w:widowControl/>
        <w:spacing w:line="400" w:lineRule="exact"/>
        <w:ind w:firstLine="480"/>
        <w:rPr>
          <w:rFonts w:hint="eastAsia" w:ascii="仿宋" w:hAnsi="仿宋" w:eastAsia="仿宋" w:cs="仿宋"/>
          <w:color w:val="000000" w:themeColor="text1"/>
          <w:szCs w:val="24"/>
        </w:rPr>
      </w:pPr>
      <w:r>
        <w:rPr>
          <w:rFonts w:hint="eastAsia" w:ascii="仿宋" w:hAnsi="仿宋" w:eastAsia="仿宋" w:cs="仿宋"/>
          <w:bCs/>
          <w:szCs w:val="24"/>
          <w:lang w:val="en-GB"/>
        </w:rPr>
        <w:t>本次申请</w:t>
      </w:r>
      <w:r>
        <w:rPr>
          <w:rFonts w:hint="eastAsia" w:ascii="仿宋" w:hAnsi="仿宋" w:eastAsia="仿宋" w:cs="仿宋"/>
          <w:bCs/>
          <w:szCs w:val="24"/>
        </w:rPr>
        <w:t>发行</w:t>
      </w:r>
      <w:r>
        <w:rPr>
          <w:rFonts w:hint="eastAsia" w:ascii="仿宋" w:hAnsi="仿宋" w:eastAsia="仿宋" w:cs="仿宋"/>
          <w:bCs/>
          <w:szCs w:val="24"/>
          <w:lang w:val="en-GB"/>
        </w:rPr>
        <w:t>的项目，符合专项债券</w:t>
      </w:r>
      <w:r>
        <w:rPr>
          <w:rFonts w:hint="eastAsia" w:ascii="仿宋" w:hAnsi="仿宋" w:eastAsia="仿宋" w:cs="仿宋"/>
          <w:bCs/>
          <w:szCs w:val="24"/>
        </w:rPr>
        <w:t>发行要求，为</w:t>
      </w:r>
      <w:r>
        <w:rPr>
          <w:rFonts w:ascii="仿宋" w:hAnsi="仿宋" w:eastAsia="仿宋" w:cs="仿宋"/>
          <w:bCs/>
          <w:szCs w:val="24"/>
        </w:rPr>
        <w:t>轨道交通</w:t>
      </w:r>
      <w:r>
        <w:rPr>
          <w:rFonts w:hint="eastAsia" w:ascii="仿宋" w:hAnsi="仿宋" w:eastAsia="仿宋" w:cs="仿宋"/>
          <w:bCs/>
          <w:szCs w:val="24"/>
        </w:rPr>
        <w:t>领域项目</w:t>
      </w:r>
      <w:r>
        <w:rPr>
          <w:rFonts w:hint="eastAsia" w:ascii="仿宋" w:hAnsi="仿宋" w:eastAsia="仿宋" w:cs="仿宋"/>
          <w:bCs/>
          <w:szCs w:val="24"/>
          <w:lang w:val="en-GB"/>
        </w:rPr>
        <w:t>，是</w:t>
      </w:r>
      <w:r>
        <w:rPr>
          <w:rFonts w:hint="eastAsia" w:ascii="仿宋" w:hAnsi="仿宋" w:eastAsia="仿宋" w:cs="仿宋"/>
          <w:bCs/>
          <w:szCs w:val="24"/>
        </w:rPr>
        <w:t>用</w:t>
      </w:r>
      <w:r>
        <w:rPr>
          <w:rFonts w:hint="eastAsia" w:ascii="仿宋" w:hAnsi="仿宋" w:eastAsia="仿宋" w:cs="仿宋"/>
          <w:bCs/>
          <w:szCs w:val="24"/>
          <w:lang w:val="en-GB"/>
        </w:rPr>
        <w:t>纳入政府性基金收入及专项收入偿还的地方政府专项债券。在风险可控的前提下，按照依法依规适度举债，保障重点领域合理融资需求的原则。</w:t>
      </w:r>
      <w:r>
        <w:rPr>
          <w:rFonts w:ascii="仿宋" w:hAnsi="仿宋" w:eastAsia="仿宋" w:cs="仿宋"/>
          <w:bCs/>
          <w:szCs w:val="24"/>
        </w:rPr>
        <w:t>南昌市轨道交通1号线北延工程</w:t>
      </w:r>
      <w:r>
        <w:rPr>
          <w:rFonts w:hint="eastAsia" w:ascii="仿宋" w:hAnsi="仿宋" w:eastAsia="仿宋" w:cs="仿宋"/>
          <w:bCs/>
          <w:szCs w:val="24"/>
        </w:rPr>
        <w:t>本期</w:t>
      </w:r>
      <w:r>
        <w:rPr>
          <w:rFonts w:hint="eastAsia" w:ascii="仿宋" w:hAnsi="仿宋" w:eastAsia="仿宋" w:cs="仿宋"/>
          <w:color w:val="000000" w:themeColor="text1"/>
          <w:szCs w:val="24"/>
        </w:rPr>
        <w:t>发行1</w:t>
      </w:r>
      <w:r>
        <w:rPr>
          <w:rFonts w:ascii="仿宋" w:hAnsi="仿宋" w:eastAsia="仿宋" w:cs="仿宋"/>
          <w:color w:val="000000" w:themeColor="text1"/>
          <w:szCs w:val="24"/>
        </w:rPr>
        <w:t>5</w:t>
      </w:r>
      <w:r>
        <w:rPr>
          <w:rFonts w:hint="eastAsia" w:ascii="仿宋" w:hAnsi="仿宋" w:eastAsia="仿宋" w:cs="仿宋"/>
          <w:color w:val="000000" w:themeColor="text1"/>
          <w:szCs w:val="24"/>
        </w:rPr>
        <w:t>年期专</w:t>
      </w:r>
      <w:r>
        <w:rPr>
          <w:rFonts w:hint="eastAsia" w:ascii="仿宋" w:hAnsi="仿宋" w:eastAsia="仿宋" w:cs="仿宋"/>
          <w:bCs/>
          <w:szCs w:val="24"/>
          <w:lang w:val="en-GB"/>
        </w:rPr>
        <w:t>项债券40,000万元。</w:t>
      </w:r>
    </w:p>
    <w:p w14:paraId="28381377">
      <w:pPr>
        <w:widowControl/>
        <w:spacing w:line="400" w:lineRule="exact"/>
        <w:ind w:firstLine="480"/>
        <w:rPr>
          <w:rFonts w:hint="eastAsia" w:ascii="仿宋" w:hAnsi="仿宋" w:eastAsia="仿宋" w:cs="仿宋"/>
          <w:color w:val="000000" w:themeColor="text1"/>
          <w:szCs w:val="24"/>
        </w:rPr>
      </w:pPr>
      <w:r>
        <w:rPr>
          <w:rFonts w:hint="eastAsia" w:ascii="仿宋" w:hAnsi="仿宋" w:eastAsia="仿宋" w:cs="仿宋"/>
          <w:color w:val="000000" w:themeColor="text1"/>
          <w:szCs w:val="24"/>
        </w:rPr>
        <w:t>城市轨道交通项目投资对地方经济提振作用显著，轨道交通项目投资可对社会带来许多间接受益，诸如拉动人口就业、减少地面土地占用与降低碳排放等。</w:t>
      </w:r>
    </w:p>
    <w:p w14:paraId="0A4F8BE2">
      <w:pPr>
        <w:widowControl/>
        <w:spacing w:line="400" w:lineRule="exact"/>
        <w:ind w:firstLine="480"/>
        <w:rPr>
          <w:rFonts w:hint="eastAsia" w:ascii="仿宋" w:hAnsi="仿宋" w:eastAsia="仿宋" w:cs="仿宋"/>
          <w:b/>
          <w:szCs w:val="24"/>
        </w:rPr>
      </w:pPr>
      <w:r>
        <w:rPr>
          <w:rFonts w:hint="eastAsia" w:ascii="仿宋" w:hAnsi="仿宋" w:eastAsia="仿宋" w:cs="仿宋"/>
          <w:color w:val="000000" w:themeColor="text1"/>
          <w:szCs w:val="24"/>
        </w:rPr>
        <w:t>项目实施过程中，将按照市场规则向投资者进行详细的项目信息披露，保障投资者权益，更好地发挥专项债券对地方稳增长、促改革、调结构、惠民生、防风险的支持作用。</w:t>
      </w:r>
      <w:r>
        <w:rPr>
          <w:rFonts w:hint="eastAsia" w:ascii="仿宋" w:hAnsi="仿宋" w:eastAsia="仿宋" w:cs="仿宋"/>
          <w:b/>
          <w:szCs w:val="24"/>
        </w:rPr>
        <w:br w:type="page"/>
      </w:r>
    </w:p>
    <w:p w14:paraId="28B613CD">
      <w:pPr>
        <w:pStyle w:val="2"/>
        <w:numPr>
          <w:ilvl w:val="0"/>
          <w:numId w:val="2"/>
        </w:numPr>
        <w:spacing w:line="400" w:lineRule="exact"/>
        <w:ind w:firstLineChars="0"/>
        <w:rPr>
          <w:rFonts w:hint="eastAsia" w:ascii="仿宋" w:hAnsi="仿宋" w:eastAsia="仿宋" w:cs="仿宋"/>
          <w:b/>
          <w:bCs/>
          <w:sz w:val="24"/>
          <w:szCs w:val="24"/>
        </w:rPr>
      </w:pPr>
      <w:r>
        <w:rPr>
          <w:rFonts w:hint="eastAsia" w:ascii="仿宋" w:hAnsi="仿宋" w:eastAsia="仿宋" w:cs="仿宋"/>
          <w:b/>
          <w:bCs/>
          <w:sz w:val="24"/>
          <w:szCs w:val="24"/>
        </w:rPr>
        <w:t>项目概况</w:t>
      </w:r>
    </w:p>
    <w:p w14:paraId="6C2269E0">
      <w:pPr>
        <w:pStyle w:val="3"/>
        <w:numPr>
          <w:ilvl w:val="0"/>
          <w:numId w:val="3"/>
        </w:numPr>
        <w:spacing w:line="400" w:lineRule="exact"/>
        <w:ind w:firstLineChars="0"/>
        <w:rPr>
          <w:rFonts w:hint="eastAsia" w:ascii="仿宋" w:hAnsi="仿宋" w:eastAsia="仿宋" w:cs="仿宋"/>
          <w:sz w:val="24"/>
          <w:szCs w:val="24"/>
        </w:rPr>
      </w:pPr>
      <w:bookmarkStart w:id="0" w:name="_Toc67918932"/>
      <w:r>
        <w:rPr>
          <w:rFonts w:hint="eastAsia" w:ascii="仿宋" w:hAnsi="仿宋" w:eastAsia="仿宋" w:cs="仿宋"/>
          <w:sz w:val="24"/>
          <w:szCs w:val="24"/>
        </w:rPr>
        <w:t>项目所在地基本情况</w:t>
      </w:r>
    </w:p>
    <w:p w14:paraId="7F449E5F">
      <w:pPr>
        <w:pStyle w:val="3"/>
        <w:spacing w:line="400" w:lineRule="exact"/>
        <w:ind w:firstLine="480"/>
        <w:rPr>
          <w:rFonts w:hint="eastAsia" w:ascii="仿宋" w:hAnsi="仿宋" w:eastAsia="仿宋" w:cs="仿宋"/>
          <w:b w:val="0"/>
          <w:bCs/>
          <w:sz w:val="24"/>
          <w:szCs w:val="24"/>
        </w:rPr>
      </w:pPr>
      <w:r>
        <w:rPr>
          <w:rFonts w:hint="eastAsia" w:ascii="仿宋" w:hAnsi="仿宋" w:eastAsia="仿宋" w:cs="仿宋"/>
          <w:b w:val="0"/>
          <w:bCs/>
          <w:sz w:val="24"/>
          <w:szCs w:val="24"/>
        </w:rPr>
        <w:t>1、所在地基本情况</w:t>
      </w:r>
    </w:p>
    <w:p w14:paraId="067CA737">
      <w:pPr>
        <w:pStyle w:val="3"/>
        <w:spacing w:line="400" w:lineRule="exact"/>
        <w:ind w:firstLine="480"/>
        <w:rPr>
          <w:rFonts w:hint="eastAsia" w:ascii="仿宋" w:hAnsi="仿宋" w:eastAsia="仿宋" w:cs="仿宋"/>
          <w:b w:val="0"/>
          <w:bCs/>
          <w:sz w:val="24"/>
          <w:szCs w:val="24"/>
        </w:rPr>
      </w:pPr>
      <w:r>
        <w:rPr>
          <w:rFonts w:hint="eastAsia" w:ascii="仿宋" w:hAnsi="仿宋" w:eastAsia="仿宋" w:cs="仿宋"/>
          <w:b w:val="0"/>
          <w:bCs/>
          <w:sz w:val="24"/>
          <w:szCs w:val="24"/>
        </w:rPr>
        <w:t>南昌市是江西省省会城市，下辖 6 市辖区（东湖区、西湖区、青云谱区、青山湖区、红谷滩区、新建区）、 3 县（南昌县、进贤县、安义县）、 1 国家级新区（赣江新区）。南昌市位于东经115°27′～116°35′，北纬28°09′～29°11′，地处江西省中部偏北，赣江、抚河下游、鄱阳湖之滨；水资源丰富。</w:t>
      </w:r>
    </w:p>
    <w:p w14:paraId="77279077">
      <w:pPr>
        <w:pStyle w:val="3"/>
        <w:spacing w:line="400" w:lineRule="exact"/>
        <w:ind w:firstLine="480"/>
        <w:rPr>
          <w:rFonts w:hint="eastAsia" w:ascii="仿宋" w:hAnsi="仿宋" w:eastAsia="仿宋" w:cs="仿宋"/>
          <w:b w:val="0"/>
          <w:bCs/>
          <w:sz w:val="24"/>
          <w:szCs w:val="24"/>
        </w:rPr>
      </w:pPr>
      <w:r>
        <w:rPr>
          <w:rFonts w:hint="eastAsia" w:ascii="仿宋" w:hAnsi="仿宋" w:eastAsia="仿宋" w:cs="仿宋"/>
          <w:b w:val="0"/>
          <w:bCs/>
          <w:sz w:val="24"/>
          <w:szCs w:val="24"/>
        </w:rPr>
        <w:t>南昌市是新中国航空工业的发源地，世界重要的光伏、光电和 VR 产业基地。为深入实施新型工业化核心战略，促进南昌工业总量扩张、结构优化、方式转变、效益提升，全面迈向中高端，强力支撑经济大发展，南昌市政府致力于构建“ 4+4+X”新型产业体系，即四大战略性新兴支柱产业（汽车及新能源汽车、电子信息、生物医药、航空装备）、四大特色优势传统产业（食品、纺织服装、材料制造、机电制造）及若干生产性服务业</w:t>
      </w:r>
    </w:p>
    <w:p w14:paraId="43DE1ADE">
      <w:pPr>
        <w:pStyle w:val="3"/>
        <w:spacing w:line="400" w:lineRule="exact"/>
        <w:ind w:firstLine="480"/>
        <w:rPr>
          <w:rFonts w:hint="eastAsia" w:ascii="宋体" w:hAnsi="宋体" w:eastAsia="宋体"/>
          <w:b w:val="0"/>
          <w:bCs/>
          <w:sz w:val="24"/>
          <w:szCs w:val="24"/>
        </w:rPr>
      </w:pPr>
      <w:r>
        <w:rPr>
          <w:rFonts w:hint="eastAsia" w:ascii="宋体" w:hAnsi="宋体" w:eastAsia="宋体"/>
          <w:b w:val="0"/>
          <w:bCs/>
          <w:sz w:val="24"/>
          <w:szCs w:val="24"/>
        </w:rPr>
        <w:t>2、</w:t>
      </w:r>
      <w:r>
        <w:rPr>
          <w:rFonts w:hint="eastAsia" w:ascii="仿宋" w:hAnsi="仿宋" w:eastAsia="仿宋" w:cs="仿宋"/>
          <w:b w:val="0"/>
          <w:bCs/>
          <w:sz w:val="24"/>
          <w:szCs w:val="24"/>
        </w:rPr>
        <w:t>所在地经济、财政情况</w:t>
      </w:r>
    </w:p>
    <w:p w14:paraId="3AB99762">
      <w:pPr>
        <w:pStyle w:val="3"/>
        <w:spacing w:line="400" w:lineRule="exact"/>
        <w:ind w:firstLine="480"/>
        <w:rPr>
          <w:rFonts w:hint="eastAsia" w:ascii="仿宋" w:hAnsi="仿宋" w:eastAsia="仿宋" w:cs="仿宋"/>
          <w:b w:val="0"/>
          <w:bCs/>
          <w:sz w:val="24"/>
          <w:szCs w:val="24"/>
        </w:rPr>
      </w:pPr>
      <w:r>
        <w:rPr>
          <w:rFonts w:hint="eastAsia" w:ascii="仿宋" w:hAnsi="仿宋" w:eastAsia="仿宋" w:cs="仿宋"/>
          <w:b w:val="0"/>
          <w:bCs/>
          <w:sz w:val="24"/>
          <w:szCs w:val="24"/>
        </w:rPr>
        <w:t>2023年,南昌全市地区生产总值(GDP)7303.46亿元,按不变价格计算,比上年增长0.39%。2023年暂未公布三大产业增加值数据。2022年，全市第一产业增加值248.60亿元,增长3.6%;第二产业增加3484.61亿元,增长4.6%;第三产业增加值3470.29亿元,增长3.7%。 </w:t>
      </w:r>
    </w:p>
    <w:p w14:paraId="7CF1512E">
      <w:pPr>
        <w:pStyle w:val="23"/>
        <w:spacing w:before="0" w:beforeAutospacing="0" w:after="0" w:afterAutospacing="0" w:line="400" w:lineRule="exact"/>
        <w:ind w:left="482"/>
        <w:jc w:val="center"/>
        <w:rPr>
          <w:rFonts w:hint="eastAsia" w:ascii="楷体" w:hAnsi="楷体" w:eastAsia="楷体" w:cs="楷体"/>
          <w:bCs/>
          <w:kern w:val="2"/>
        </w:rPr>
      </w:pPr>
      <w:r>
        <w:rPr>
          <w:rFonts w:hint="eastAsia" w:ascii="楷体" w:hAnsi="楷体" w:eastAsia="楷体" w:cs="楷体"/>
          <w:bCs/>
          <w:kern w:val="2"/>
        </w:rPr>
        <w:t>南昌市财政收支状况</w:t>
      </w:r>
    </w:p>
    <w:tbl>
      <w:tblPr>
        <w:tblStyle w:val="28"/>
        <w:tblW w:w="8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2"/>
        <w:gridCol w:w="1520"/>
        <w:gridCol w:w="1840"/>
        <w:gridCol w:w="1840"/>
      </w:tblGrid>
      <w:tr w14:paraId="190A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2" w:type="dxa"/>
            <w:tcBorders>
              <w:top w:val="single" w:color="auto" w:sz="4" w:space="0"/>
              <w:left w:val="single" w:color="auto" w:sz="4" w:space="0"/>
              <w:bottom w:val="single" w:color="auto" w:sz="4" w:space="0"/>
              <w:right w:val="single" w:color="auto" w:sz="4" w:space="0"/>
            </w:tcBorders>
            <w:shd w:val="clear" w:color="auto" w:fill="B8CCE4"/>
          </w:tcPr>
          <w:p w14:paraId="50C455F5">
            <w:pPr>
              <w:spacing w:line="400" w:lineRule="exact"/>
              <w:ind w:firstLine="420"/>
              <w:jc w:val="center"/>
              <w:rPr>
                <w:rFonts w:hint="eastAsia" w:ascii="楷体" w:hAnsi="楷体" w:eastAsia="楷体" w:cs="楷体"/>
                <w:bCs/>
                <w:sz w:val="21"/>
                <w:szCs w:val="21"/>
              </w:rPr>
            </w:pPr>
            <w:r>
              <w:rPr>
                <w:rFonts w:hint="eastAsia" w:ascii="楷体" w:hAnsi="楷体" w:eastAsia="楷体" w:cs="楷体"/>
                <w:bCs/>
                <w:sz w:val="21"/>
                <w:szCs w:val="21"/>
              </w:rPr>
              <w:t>年份/项目</w:t>
            </w:r>
          </w:p>
        </w:tc>
        <w:tc>
          <w:tcPr>
            <w:tcW w:w="1520" w:type="dxa"/>
            <w:tcBorders>
              <w:top w:val="single" w:color="auto" w:sz="4" w:space="0"/>
              <w:left w:val="single" w:color="auto" w:sz="4" w:space="0"/>
              <w:bottom w:val="single" w:color="auto" w:sz="4" w:space="0"/>
              <w:right w:val="single" w:color="auto" w:sz="4" w:space="0"/>
            </w:tcBorders>
            <w:shd w:val="clear" w:color="auto" w:fill="B8CCE4"/>
          </w:tcPr>
          <w:p w14:paraId="172288C6">
            <w:pPr>
              <w:spacing w:line="400" w:lineRule="exact"/>
              <w:ind w:firstLine="174" w:firstLineChars="83"/>
              <w:rPr>
                <w:rFonts w:hint="eastAsia" w:ascii="楷体" w:hAnsi="楷体" w:eastAsia="楷体" w:cs="楷体"/>
                <w:bCs/>
                <w:sz w:val="21"/>
                <w:szCs w:val="21"/>
              </w:rPr>
            </w:pPr>
            <w:r>
              <w:rPr>
                <w:rFonts w:hint="eastAsia" w:ascii="楷体" w:hAnsi="楷体" w:eastAsia="楷体" w:cs="楷体"/>
                <w:bCs/>
                <w:sz w:val="21"/>
                <w:szCs w:val="21"/>
              </w:rPr>
              <w:t>2021年</w:t>
            </w:r>
          </w:p>
        </w:tc>
        <w:tc>
          <w:tcPr>
            <w:tcW w:w="1840" w:type="dxa"/>
            <w:tcBorders>
              <w:top w:val="single" w:color="auto" w:sz="4" w:space="0"/>
              <w:left w:val="single" w:color="auto" w:sz="4" w:space="0"/>
              <w:bottom w:val="single" w:color="auto" w:sz="4" w:space="0"/>
              <w:right w:val="single" w:color="auto" w:sz="4" w:space="0"/>
            </w:tcBorders>
            <w:shd w:val="clear" w:color="auto" w:fill="B8CCE4"/>
          </w:tcPr>
          <w:p w14:paraId="22E5D592">
            <w:pPr>
              <w:spacing w:line="400" w:lineRule="exact"/>
              <w:ind w:firstLine="0" w:firstLineChars="0"/>
              <w:jc w:val="center"/>
              <w:rPr>
                <w:rFonts w:hint="eastAsia" w:ascii="楷体" w:hAnsi="楷体" w:eastAsia="楷体" w:cs="楷体"/>
                <w:bCs/>
                <w:sz w:val="21"/>
                <w:szCs w:val="21"/>
              </w:rPr>
            </w:pPr>
            <w:r>
              <w:rPr>
                <w:rFonts w:hint="eastAsia" w:ascii="楷体" w:hAnsi="楷体" w:eastAsia="楷体" w:cs="楷体"/>
                <w:bCs/>
                <w:sz w:val="21"/>
                <w:szCs w:val="21"/>
              </w:rPr>
              <w:t>2022年</w:t>
            </w:r>
          </w:p>
        </w:tc>
        <w:tc>
          <w:tcPr>
            <w:tcW w:w="1840" w:type="dxa"/>
            <w:tcBorders>
              <w:top w:val="single" w:color="auto" w:sz="4" w:space="0"/>
              <w:left w:val="single" w:color="auto" w:sz="4" w:space="0"/>
              <w:bottom w:val="single" w:color="auto" w:sz="4" w:space="0"/>
              <w:right w:val="single" w:color="auto" w:sz="4" w:space="0"/>
            </w:tcBorders>
            <w:shd w:val="clear" w:color="auto" w:fill="B8CCE4"/>
          </w:tcPr>
          <w:p w14:paraId="663EFA02">
            <w:pPr>
              <w:spacing w:line="400" w:lineRule="exact"/>
              <w:ind w:firstLine="0" w:firstLineChars="0"/>
              <w:jc w:val="center"/>
              <w:rPr>
                <w:rFonts w:hint="eastAsia" w:ascii="楷体" w:hAnsi="楷体" w:eastAsia="楷体" w:cs="楷体"/>
                <w:bCs/>
                <w:sz w:val="21"/>
                <w:szCs w:val="21"/>
              </w:rPr>
            </w:pPr>
            <w:r>
              <w:rPr>
                <w:rFonts w:hint="eastAsia" w:ascii="楷体" w:hAnsi="楷体" w:eastAsia="楷体" w:cs="楷体"/>
                <w:bCs/>
                <w:sz w:val="21"/>
                <w:szCs w:val="21"/>
              </w:rPr>
              <w:t>2023年</w:t>
            </w:r>
          </w:p>
        </w:tc>
      </w:tr>
      <w:tr w14:paraId="65E54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492" w:type="dxa"/>
            <w:tcBorders>
              <w:top w:val="single" w:color="auto" w:sz="4" w:space="0"/>
              <w:left w:val="single" w:color="auto" w:sz="4" w:space="0"/>
              <w:bottom w:val="single" w:color="auto" w:sz="4" w:space="0"/>
              <w:right w:val="single" w:color="auto" w:sz="4" w:space="0"/>
            </w:tcBorders>
          </w:tcPr>
          <w:p w14:paraId="328296F5">
            <w:pPr>
              <w:spacing w:line="400" w:lineRule="exact"/>
              <w:ind w:firstLine="420"/>
              <w:rPr>
                <w:rFonts w:hint="eastAsia" w:ascii="楷体" w:hAnsi="楷体" w:eastAsia="楷体" w:cs="楷体"/>
                <w:bCs/>
                <w:sz w:val="21"/>
                <w:szCs w:val="21"/>
              </w:rPr>
            </w:pPr>
            <w:r>
              <w:rPr>
                <w:rFonts w:hint="eastAsia" w:ascii="楷体" w:hAnsi="楷体" w:eastAsia="楷体" w:cs="楷体"/>
                <w:bCs/>
                <w:sz w:val="21"/>
                <w:szCs w:val="21"/>
              </w:rPr>
              <w:t>一般公共预算收入（亿元）</w:t>
            </w:r>
          </w:p>
        </w:tc>
        <w:tc>
          <w:tcPr>
            <w:tcW w:w="1520" w:type="dxa"/>
            <w:tcBorders>
              <w:top w:val="single" w:color="auto" w:sz="4" w:space="0"/>
              <w:left w:val="single" w:color="auto" w:sz="4" w:space="0"/>
              <w:bottom w:val="single" w:color="auto" w:sz="4" w:space="0"/>
              <w:right w:val="single" w:color="auto" w:sz="4" w:space="0"/>
            </w:tcBorders>
          </w:tcPr>
          <w:p w14:paraId="56E5F358">
            <w:pPr>
              <w:spacing w:line="400" w:lineRule="exact"/>
              <w:ind w:firstLine="174" w:firstLineChars="83"/>
              <w:rPr>
                <w:rFonts w:hint="eastAsia" w:ascii="楷体" w:hAnsi="楷体" w:eastAsia="楷体" w:cs="楷体"/>
                <w:bCs/>
                <w:sz w:val="21"/>
                <w:szCs w:val="21"/>
              </w:rPr>
            </w:pPr>
            <w:r>
              <w:rPr>
                <w:rFonts w:hint="eastAsia" w:ascii="楷体" w:hAnsi="楷体" w:eastAsia="楷体" w:cs="楷体"/>
                <w:bCs/>
                <w:sz w:val="21"/>
                <w:szCs w:val="21"/>
              </w:rPr>
              <w:t>484.84</w:t>
            </w:r>
          </w:p>
        </w:tc>
        <w:tc>
          <w:tcPr>
            <w:tcW w:w="1840" w:type="dxa"/>
            <w:tcBorders>
              <w:top w:val="single" w:color="auto" w:sz="4" w:space="0"/>
              <w:left w:val="single" w:color="auto" w:sz="4" w:space="0"/>
              <w:bottom w:val="single" w:color="auto" w:sz="4" w:space="0"/>
              <w:right w:val="single" w:color="auto" w:sz="4" w:space="0"/>
            </w:tcBorders>
          </w:tcPr>
          <w:p w14:paraId="4EB5559A">
            <w:pPr>
              <w:spacing w:line="400" w:lineRule="exact"/>
              <w:ind w:firstLine="384" w:firstLineChars="183"/>
              <w:rPr>
                <w:rFonts w:hint="eastAsia" w:ascii="楷体" w:hAnsi="楷体" w:eastAsia="楷体" w:cs="楷体"/>
                <w:bCs/>
                <w:sz w:val="21"/>
                <w:szCs w:val="21"/>
              </w:rPr>
            </w:pPr>
            <w:r>
              <w:rPr>
                <w:rFonts w:ascii="楷体" w:hAnsi="楷体" w:eastAsia="楷体" w:cs="楷体"/>
                <w:bCs/>
                <w:sz w:val="21"/>
                <w:szCs w:val="21"/>
              </w:rPr>
              <w:t>457.68</w:t>
            </w:r>
          </w:p>
        </w:tc>
        <w:tc>
          <w:tcPr>
            <w:tcW w:w="1840" w:type="dxa"/>
            <w:tcBorders>
              <w:top w:val="single" w:color="auto" w:sz="4" w:space="0"/>
              <w:left w:val="single" w:color="auto" w:sz="4" w:space="0"/>
              <w:bottom w:val="single" w:color="auto" w:sz="4" w:space="0"/>
              <w:right w:val="single" w:color="auto" w:sz="4" w:space="0"/>
            </w:tcBorders>
          </w:tcPr>
          <w:p w14:paraId="1DA1DE99">
            <w:pPr>
              <w:spacing w:line="400" w:lineRule="exact"/>
              <w:ind w:firstLine="384" w:firstLineChars="183"/>
              <w:rPr>
                <w:rFonts w:hint="eastAsia" w:ascii="楷体" w:hAnsi="楷体" w:eastAsia="楷体" w:cs="楷体"/>
                <w:bCs/>
                <w:sz w:val="21"/>
                <w:szCs w:val="21"/>
              </w:rPr>
            </w:pPr>
            <w:r>
              <w:rPr>
                <w:rFonts w:hint="eastAsia" w:ascii="楷体" w:hAnsi="楷体" w:eastAsia="楷体" w:cs="楷体"/>
                <w:bCs/>
                <w:sz w:val="21"/>
                <w:szCs w:val="21"/>
              </w:rPr>
              <w:t>500.2</w:t>
            </w:r>
          </w:p>
        </w:tc>
      </w:tr>
      <w:tr w14:paraId="152AE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3492" w:type="dxa"/>
            <w:tcBorders>
              <w:top w:val="single" w:color="auto" w:sz="4" w:space="0"/>
              <w:left w:val="single" w:color="auto" w:sz="4" w:space="0"/>
              <w:bottom w:val="single" w:color="auto" w:sz="4" w:space="0"/>
              <w:right w:val="single" w:color="auto" w:sz="4" w:space="0"/>
            </w:tcBorders>
          </w:tcPr>
          <w:p w14:paraId="288A949F">
            <w:pPr>
              <w:spacing w:line="400" w:lineRule="exact"/>
              <w:ind w:firstLine="420"/>
              <w:rPr>
                <w:rFonts w:hint="eastAsia" w:ascii="楷体" w:hAnsi="楷体" w:eastAsia="楷体" w:cs="楷体"/>
                <w:bCs/>
                <w:sz w:val="21"/>
                <w:szCs w:val="21"/>
              </w:rPr>
            </w:pPr>
            <w:r>
              <w:rPr>
                <w:rFonts w:hint="eastAsia" w:ascii="楷体" w:hAnsi="楷体" w:eastAsia="楷体" w:cs="楷体"/>
                <w:bCs/>
                <w:sz w:val="21"/>
                <w:szCs w:val="21"/>
              </w:rPr>
              <w:t>一般公共预算支出（亿元）</w:t>
            </w:r>
          </w:p>
        </w:tc>
        <w:tc>
          <w:tcPr>
            <w:tcW w:w="1520" w:type="dxa"/>
            <w:tcBorders>
              <w:top w:val="single" w:color="auto" w:sz="4" w:space="0"/>
              <w:left w:val="single" w:color="auto" w:sz="4" w:space="0"/>
              <w:bottom w:val="single" w:color="auto" w:sz="4" w:space="0"/>
              <w:right w:val="single" w:color="auto" w:sz="4" w:space="0"/>
            </w:tcBorders>
          </w:tcPr>
          <w:p w14:paraId="6774684F">
            <w:pPr>
              <w:spacing w:line="400" w:lineRule="exact"/>
              <w:ind w:firstLine="174" w:firstLineChars="83"/>
              <w:rPr>
                <w:rFonts w:hint="eastAsia" w:ascii="楷体" w:hAnsi="楷体" w:eastAsia="楷体" w:cs="楷体"/>
                <w:bCs/>
                <w:sz w:val="21"/>
                <w:szCs w:val="21"/>
              </w:rPr>
            </w:pPr>
            <w:r>
              <w:rPr>
                <w:rFonts w:hint="eastAsia" w:ascii="楷体" w:hAnsi="楷体" w:eastAsia="楷体" w:cs="楷体"/>
                <w:bCs/>
                <w:sz w:val="21"/>
                <w:szCs w:val="21"/>
              </w:rPr>
              <w:t>870.01</w:t>
            </w:r>
          </w:p>
        </w:tc>
        <w:tc>
          <w:tcPr>
            <w:tcW w:w="1840" w:type="dxa"/>
            <w:tcBorders>
              <w:top w:val="single" w:color="auto" w:sz="4" w:space="0"/>
              <w:left w:val="single" w:color="auto" w:sz="4" w:space="0"/>
              <w:bottom w:val="single" w:color="auto" w:sz="4" w:space="0"/>
              <w:right w:val="single" w:color="auto" w:sz="4" w:space="0"/>
            </w:tcBorders>
          </w:tcPr>
          <w:p w14:paraId="77D282A7">
            <w:pPr>
              <w:spacing w:line="400" w:lineRule="exact"/>
              <w:ind w:firstLine="420"/>
              <w:rPr>
                <w:rFonts w:hint="eastAsia" w:ascii="楷体" w:hAnsi="楷体" w:eastAsia="楷体" w:cs="楷体"/>
                <w:bCs/>
                <w:sz w:val="21"/>
                <w:szCs w:val="21"/>
              </w:rPr>
            </w:pPr>
            <w:r>
              <w:rPr>
                <w:rFonts w:ascii="楷体" w:hAnsi="楷体" w:eastAsia="楷体" w:cs="楷体"/>
                <w:bCs/>
                <w:sz w:val="21"/>
                <w:szCs w:val="21"/>
              </w:rPr>
              <w:t>938.81</w:t>
            </w:r>
          </w:p>
        </w:tc>
        <w:tc>
          <w:tcPr>
            <w:tcW w:w="1840" w:type="dxa"/>
            <w:tcBorders>
              <w:top w:val="single" w:color="auto" w:sz="4" w:space="0"/>
              <w:left w:val="single" w:color="auto" w:sz="4" w:space="0"/>
              <w:bottom w:val="single" w:color="auto" w:sz="4" w:space="0"/>
              <w:right w:val="single" w:color="auto" w:sz="4" w:space="0"/>
            </w:tcBorders>
          </w:tcPr>
          <w:p w14:paraId="61EB2658">
            <w:pPr>
              <w:spacing w:line="400" w:lineRule="exact"/>
              <w:ind w:firstLine="420"/>
              <w:rPr>
                <w:rFonts w:hint="eastAsia" w:ascii="楷体" w:hAnsi="楷体" w:eastAsia="楷体" w:cs="楷体"/>
                <w:bCs/>
                <w:sz w:val="21"/>
                <w:szCs w:val="21"/>
              </w:rPr>
            </w:pPr>
            <w:r>
              <w:rPr>
                <w:rFonts w:hint="eastAsia" w:ascii="楷体" w:hAnsi="楷体" w:eastAsia="楷体" w:cs="楷体"/>
                <w:bCs/>
                <w:sz w:val="21"/>
                <w:szCs w:val="21"/>
              </w:rPr>
              <w:t>925.6</w:t>
            </w:r>
          </w:p>
        </w:tc>
      </w:tr>
    </w:tbl>
    <w:p w14:paraId="2A74918B">
      <w:pPr>
        <w:pStyle w:val="3"/>
        <w:spacing w:line="400" w:lineRule="exact"/>
        <w:ind w:firstLine="480"/>
        <w:rPr>
          <w:rFonts w:hint="eastAsia" w:ascii="仿宋" w:hAnsi="仿宋" w:eastAsia="仿宋" w:cs="仿宋"/>
          <w:b w:val="0"/>
          <w:bCs/>
          <w:sz w:val="24"/>
          <w:szCs w:val="24"/>
        </w:rPr>
      </w:pPr>
      <w:r>
        <w:rPr>
          <w:rFonts w:hint="eastAsia" w:ascii="仿宋" w:hAnsi="仿宋" w:eastAsia="仿宋" w:cs="仿宋"/>
          <w:b w:val="0"/>
          <w:bCs/>
          <w:sz w:val="24"/>
          <w:szCs w:val="24"/>
        </w:rPr>
        <w:t>2023年,全市地方一般公共预算收入500.2亿元,同比增长9.3%,其中税收收入330.13亿元,占一般公共预算收入的比重66%。1-12月，全市一般公共预算支出完成925.6亿元，其中社会保障和就业支出、农林水支出、教育支出分别增长12.2%、11.3%、9.6%。</w:t>
      </w:r>
    </w:p>
    <w:p w14:paraId="55003A11">
      <w:pPr>
        <w:pStyle w:val="3"/>
        <w:numPr>
          <w:ilvl w:val="0"/>
          <w:numId w:val="3"/>
        </w:numPr>
        <w:spacing w:line="400" w:lineRule="exact"/>
        <w:ind w:firstLineChars="0"/>
        <w:rPr>
          <w:rFonts w:hint="eastAsia" w:ascii="仿宋" w:hAnsi="仿宋" w:eastAsia="仿宋" w:cs="仿宋"/>
          <w:sz w:val="24"/>
          <w:szCs w:val="24"/>
        </w:rPr>
      </w:pPr>
      <w:r>
        <w:rPr>
          <w:rFonts w:hint="eastAsia" w:ascii="仿宋" w:hAnsi="仿宋" w:eastAsia="仿宋" w:cs="仿宋"/>
          <w:sz w:val="24"/>
          <w:szCs w:val="24"/>
        </w:rPr>
        <w:t>项目实施背景</w:t>
      </w:r>
      <w:bookmarkEnd w:id="0"/>
    </w:p>
    <w:p w14:paraId="04C07D57">
      <w:pPr>
        <w:pStyle w:val="4"/>
        <w:spacing w:line="400" w:lineRule="exact"/>
        <w:ind w:firstLine="480"/>
        <w:rPr>
          <w:rFonts w:hint="eastAsia" w:ascii="仿宋" w:hAnsi="仿宋" w:eastAsia="仿宋" w:cs="仿宋"/>
          <w:bCs/>
          <w:sz w:val="24"/>
          <w:szCs w:val="24"/>
        </w:rPr>
      </w:pPr>
      <w:bookmarkStart w:id="1" w:name="_Toc67918933"/>
      <w:r>
        <w:rPr>
          <w:rFonts w:hint="eastAsia" w:ascii="仿宋" w:hAnsi="仿宋" w:eastAsia="仿宋" w:cs="仿宋"/>
          <w:bCs/>
          <w:sz w:val="24"/>
          <w:szCs w:val="24"/>
        </w:rPr>
        <w:t>1、项目背景</w:t>
      </w:r>
      <w:bookmarkEnd w:id="1"/>
    </w:p>
    <w:p w14:paraId="679519F1">
      <w:pPr>
        <w:pStyle w:val="4"/>
        <w:spacing w:line="400" w:lineRule="exact"/>
        <w:ind w:firstLine="480"/>
        <w:rPr>
          <w:rFonts w:hint="eastAsia" w:ascii="仿宋" w:hAnsi="仿宋" w:eastAsia="仿宋" w:cs="仿宋"/>
          <w:bCs/>
          <w:sz w:val="24"/>
          <w:szCs w:val="24"/>
        </w:rPr>
      </w:pPr>
      <w:r>
        <w:rPr>
          <w:rFonts w:hint="eastAsia" w:ascii="仿宋" w:hAnsi="仿宋" w:eastAsia="仿宋" w:cs="仿宋"/>
          <w:bCs/>
          <w:sz w:val="24"/>
          <w:szCs w:val="24"/>
        </w:rPr>
        <w:t>轨道1号线是线网中一条重要的东西向客运轴线，为昌南、昌北两大核心区提供最为直接和便捷的快速交通联系，起自昌北机场，止于瑶湖组团，线路全长49.6km。</w:t>
      </w:r>
    </w:p>
    <w:p w14:paraId="5E111A40">
      <w:pPr>
        <w:pStyle w:val="4"/>
        <w:spacing w:line="400" w:lineRule="exact"/>
        <w:ind w:firstLine="480"/>
        <w:rPr>
          <w:rFonts w:hint="eastAsia" w:ascii="仿宋" w:hAnsi="仿宋" w:eastAsia="仿宋" w:cs="仿宋"/>
          <w:bCs/>
          <w:sz w:val="24"/>
          <w:szCs w:val="24"/>
        </w:rPr>
      </w:pPr>
      <w:r>
        <w:rPr>
          <w:rFonts w:hint="eastAsia" w:ascii="仿宋" w:hAnsi="仿宋" w:eastAsia="仿宋" w:cs="仿宋"/>
          <w:bCs/>
          <w:sz w:val="24"/>
          <w:szCs w:val="24"/>
        </w:rPr>
        <w:t>1 号线一期工程起点为双港站，终点为瑶湖西站，实施线路总长28.84km，全部采用地下敷设方式，设站24 座，其中5 座换乘站，平均站间距1.24km；设蛟桥停车场和瑶湖定修段各一座。设2 座主变电站，分别为孔目湖主变和彭家桥主变。该工程可行性研究报告于2010 年7 月28 日获得国家发展改革委正式批复，初步设计于2011 年5 月3 日获得省发展改革委正式批复，已经于2015 年12 月26日通车试运营。</w:t>
      </w:r>
    </w:p>
    <w:p w14:paraId="5128F213">
      <w:pPr>
        <w:pStyle w:val="4"/>
        <w:spacing w:line="400" w:lineRule="exact"/>
        <w:ind w:firstLine="480"/>
        <w:rPr>
          <w:rFonts w:hint="eastAsia" w:ascii="仿宋" w:hAnsi="仿宋" w:eastAsia="仿宋" w:cs="仿宋"/>
          <w:bCs/>
          <w:sz w:val="24"/>
          <w:szCs w:val="24"/>
        </w:rPr>
      </w:pPr>
      <w:r>
        <w:rPr>
          <w:rFonts w:hint="eastAsia" w:ascii="仿宋" w:hAnsi="仿宋" w:eastAsia="仿宋" w:cs="仿宋"/>
          <w:bCs/>
          <w:sz w:val="24"/>
          <w:szCs w:val="24"/>
        </w:rPr>
        <w:t>1 号线北延工程与一期工程贯通运营，将昌北机场、赣江新区和红谷滩中心区、旧城核心区连成一线，同时为未来进一步向北衔接九江预留条件。北延工程大大加强昌北机场、赣江新区与中心城区的联系，提高昌北机场综合枢纽的地位，方便航空和铁路乘客的快速疏散，提升南昌作为区域中心城市的首位度，有效改善市民出行条件，促进人员、物资和技术交流，加速人口产业的导入，促进赣江新区与南昌市的协调发展，推进人才共享、资源共享和经济共享的发展格局。</w:t>
      </w:r>
    </w:p>
    <w:p w14:paraId="2ADBA12A">
      <w:pPr>
        <w:pStyle w:val="3"/>
        <w:numPr>
          <w:ilvl w:val="0"/>
          <w:numId w:val="3"/>
        </w:numPr>
        <w:spacing w:line="400" w:lineRule="exact"/>
        <w:ind w:firstLineChars="0"/>
        <w:rPr>
          <w:rFonts w:hint="eastAsia" w:ascii="仿宋" w:hAnsi="仿宋" w:eastAsia="仿宋" w:cs="仿宋"/>
          <w:sz w:val="24"/>
          <w:szCs w:val="24"/>
        </w:rPr>
      </w:pPr>
      <w:bookmarkStart w:id="2" w:name="_Toc67918934"/>
      <w:r>
        <w:rPr>
          <w:rFonts w:hint="eastAsia" w:ascii="仿宋" w:hAnsi="仿宋" w:eastAsia="仿宋" w:cs="仿宋"/>
          <w:sz w:val="24"/>
          <w:szCs w:val="24"/>
        </w:rPr>
        <w:t>项目基本情况</w:t>
      </w:r>
      <w:bookmarkEnd w:id="2"/>
    </w:p>
    <w:p w14:paraId="46C28F11">
      <w:pPr>
        <w:pStyle w:val="4"/>
        <w:spacing w:line="400" w:lineRule="exact"/>
        <w:ind w:firstLine="480"/>
        <w:rPr>
          <w:rFonts w:hint="eastAsia" w:ascii="仿宋" w:hAnsi="仿宋" w:eastAsia="仿宋" w:cs="仿宋"/>
          <w:sz w:val="24"/>
          <w:szCs w:val="24"/>
        </w:rPr>
      </w:pPr>
      <w:bookmarkStart w:id="3" w:name="_Toc67918935"/>
      <w:r>
        <w:rPr>
          <w:rFonts w:hint="eastAsia" w:ascii="仿宋" w:hAnsi="仿宋" w:eastAsia="仿宋" w:cs="仿宋"/>
          <w:sz w:val="24"/>
          <w:szCs w:val="24"/>
        </w:rPr>
        <w:t>1、项目名称：</w:t>
      </w:r>
      <w:bookmarkEnd w:id="3"/>
      <w:bookmarkStart w:id="4" w:name="_Toc67918936"/>
    </w:p>
    <w:p w14:paraId="30F74B9B">
      <w:pPr>
        <w:pStyle w:val="4"/>
        <w:spacing w:line="400" w:lineRule="exact"/>
        <w:ind w:firstLine="480"/>
        <w:rPr>
          <w:rFonts w:hint="eastAsia" w:ascii="仿宋" w:hAnsi="仿宋" w:eastAsia="仿宋" w:cs="仿宋"/>
          <w:bCs/>
          <w:sz w:val="24"/>
          <w:szCs w:val="24"/>
        </w:rPr>
      </w:pPr>
      <w:r>
        <w:rPr>
          <w:rFonts w:ascii="仿宋" w:hAnsi="仿宋" w:eastAsia="仿宋" w:cs="仿宋"/>
          <w:bCs/>
          <w:sz w:val="24"/>
          <w:szCs w:val="24"/>
        </w:rPr>
        <w:t>南昌市轨道交通1号线北延工程</w:t>
      </w:r>
    </w:p>
    <w:p w14:paraId="1A1C3747">
      <w:pPr>
        <w:pStyle w:val="4"/>
        <w:spacing w:line="400" w:lineRule="exact"/>
        <w:ind w:firstLine="480"/>
        <w:rPr>
          <w:rFonts w:hint="eastAsia" w:ascii="仿宋" w:hAnsi="仿宋" w:eastAsia="仿宋" w:cs="仿宋"/>
          <w:sz w:val="24"/>
          <w:szCs w:val="24"/>
        </w:rPr>
      </w:pPr>
      <w:r>
        <w:rPr>
          <w:rFonts w:hint="eastAsia" w:ascii="仿宋" w:hAnsi="仿宋" w:eastAsia="仿宋" w:cs="仿宋"/>
          <w:sz w:val="24"/>
          <w:szCs w:val="24"/>
        </w:rPr>
        <w:t>2、项目立项单位：</w:t>
      </w:r>
      <w:bookmarkEnd w:id="4"/>
    </w:p>
    <w:p w14:paraId="47815A96">
      <w:pPr>
        <w:pStyle w:val="4"/>
        <w:spacing w:line="400" w:lineRule="exact"/>
        <w:ind w:firstLine="480"/>
        <w:rPr>
          <w:rFonts w:hint="eastAsia" w:ascii="仿宋" w:hAnsi="仿宋" w:eastAsia="仿宋" w:cs="仿宋"/>
          <w:color w:val="auto"/>
          <w:sz w:val="24"/>
          <w:szCs w:val="24"/>
        </w:rPr>
      </w:pPr>
      <w:bookmarkStart w:id="5" w:name="_Toc67918938"/>
      <w:r>
        <w:rPr>
          <w:rFonts w:hint="eastAsia" w:ascii="仿宋" w:hAnsi="仿宋" w:eastAsia="仿宋" w:cs="仿宋"/>
          <w:color w:val="auto"/>
          <w:sz w:val="24"/>
          <w:szCs w:val="24"/>
        </w:rPr>
        <w:t>南昌轨道交通集团有限公司</w:t>
      </w:r>
    </w:p>
    <w:p w14:paraId="487D0462">
      <w:pPr>
        <w:pStyle w:val="4"/>
        <w:spacing w:line="40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3、项目建设单位</w:t>
      </w:r>
    </w:p>
    <w:p w14:paraId="7F1DFFE9">
      <w:pPr>
        <w:pStyle w:val="4"/>
        <w:spacing w:line="40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南昌轨道交通集团有限公司</w:t>
      </w:r>
    </w:p>
    <w:p w14:paraId="3CEF8575">
      <w:pPr>
        <w:pStyle w:val="4"/>
        <w:spacing w:line="400" w:lineRule="exact"/>
        <w:ind w:firstLine="480"/>
        <w:rPr>
          <w:rFonts w:hint="eastAsia" w:ascii="仿宋" w:hAnsi="仿宋" w:eastAsia="仿宋" w:cs="仿宋"/>
          <w:sz w:val="24"/>
          <w:szCs w:val="24"/>
        </w:rPr>
      </w:pPr>
      <w:r>
        <w:rPr>
          <w:rFonts w:hint="eastAsia" w:ascii="仿宋" w:hAnsi="仿宋" w:eastAsia="仿宋" w:cs="仿宋"/>
          <w:sz w:val="24"/>
          <w:szCs w:val="24"/>
        </w:rPr>
        <w:t>4、项目建设地址：</w:t>
      </w:r>
      <w:bookmarkEnd w:id="5"/>
    </w:p>
    <w:p w14:paraId="4BDF9E10">
      <w:pPr>
        <w:pStyle w:val="4"/>
        <w:spacing w:line="400" w:lineRule="exact"/>
        <w:ind w:firstLine="480"/>
        <w:rPr>
          <w:rFonts w:hint="eastAsia" w:ascii="仿宋" w:hAnsi="仿宋" w:eastAsia="仿宋" w:cs="仿宋"/>
          <w:color w:val="000000"/>
          <w:kern w:val="0"/>
          <w:sz w:val="24"/>
          <w:szCs w:val="24"/>
        </w:rPr>
      </w:pPr>
      <w:bookmarkStart w:id="6" w:name="_Toc67918939"/>
      <w:r>
        <w:rPr>
          <w:rFonts w:hint="eastAsia" w:ascii="仿宋" w:hAnsi="仿宋" w:eastAsia="仿宋" w:cs="仿宋"/>
          <w:color w:val="000000"/>
          <w:kern w:val="0"/>
          <w:sz w:val="24"/>
          <w:szCs w:val="24"/>
        </w:rPr>
        <w:t>1 号线北延工程的建设范围北起昌北机场，南至双港站（不含）。</w:t>
      </w:r>
    </w:p>
    <w:p w14:paraId="5CBFAD5E">
      <w:pPr>
        <w:pStyle w:val="4"/>
        <w:spacing w:line="400" w:lineRule="exact"/>
        <w:ind w:firstLine="480"/>
        <w:rPr>
          <w:rFonts w:hint="eastAsia" w:ascii="仿宋" w:hAnsi="仿宋" w:eastAsia="仿宋" w:cs="仿宋"/>
          <w:sz w:val="24"/>
          <w:szCs w:val="24"/>
        </w:rPr>
      </w:pPr>
      <w:r>
        <w:rPr>
          <w:rFonts w:hint="eastAsia" w:ascii="仿宋" w:hAnsi="仿宋" w:eastAsia="仿宋" w:cs="仿宋"/>
          <w:sz w:val="24"/>
          <w:szCs w:val="24"/>
        </w:rPr>
        <w:t>5、项目建设内容</w:t>
      </w:r>
      <w:bookmarkEnd w:id="6"/>
    </w:p>
    <w:p w14:paraId="406ADC05">
      <w:pPr>
        <w:widowControl/>
        <w:spacing w:line="400" w:lineRule="exact"/>
        <w:ind w:firstLine="480"/>
        <w:rPr>
          <w:rFonts w:hint="eastAsia" w:ascii="仿宋" w:hAnsi="仿宋" w:eastAsia="仿宋" w:cs="仿宋"/>
          <w:color w:val="000000"/>
          <w:kern w:val="0"/>
          <w:szCs w:val="24"/>
        </w:rPr>
      </w:pPr>
      <w:r>
        <w:rPr>
          <w:rFonts w:hint="eastAsia" w:ascii="仿宋" w:hAnsi="仿宋" w:eastAsia="仿宋" w:cs="仿宋"/>
          <w:color w:val="000000"/>
          <w:kern w:val="0"/>
          <w:szCs w:val="24"/>
        </w:rPr>
        <w:t>线路全长约16.969km，包括8 座车站、一座停车场、一座区间风井和一座主变电所，控制中心为共享地铁大厦控制中心。</w:t>
      </w:r>
    </w:p>
    <w:p w14:paraId="5E8782BB">
      <w:pPr>
        <w:pStyle w:val="4"/>
        <w:spacing w:line="400" w:lineRule="exact"/>
        <w:ind w:firstLine="480"/>
        <w:rPr>
          <w:rFonts w:hint="eastAsia" w:ascii="仿宋" w:hAnsi="仿宋" w:eastAsia="仿宋" w:cs="仿宋"/>
          <w:sz w:val="24"/>
          <w:szCs w:val="24"/>
        </w:rPr>
      </w:pPr>
      <w:bookmarkStart w:id="7" w:name="_Toc67918941"/>
      <w:r>
        <w:rPr>
          <w:rFonts w:hint="eastAsia" w:ascii="仿宋" w:hAnsi="仿宋" w:eastAsia="仿宋" w:cs="仿宋"/>
          <w:sz w:val="24"/>
          <w:szCs w:val="24"/>
        </w:rPr>
        <w:t>6、项目总投</w:t>
      </w:r>
      <w:bookmarkEnd w:id="7"/>
      <w:r>
        <w:rPr>
          <w:rFonts w:hint="eastAsia" w:ascii="仿宋" w:hAnsi="仿宋" w:eastAsia="仿宋" w:cs="仿宋"/>
          <w:sz w:val="24"/>
          <w:szCs w:val="24"/>
        </w:rPr>
        <w:t>资</w:t>
      </w:r>
    </w:p>
    <w:p w14:paraId="0FAF34C0">
      <w:pPr>
        <w:autoSpaceDE w:val="0"/>
        <w:autoSpaceDN w:val="0"/>
        <w:adjustRightInd w:val="0"/>
        <w:spacing w:after="0" w:line="400" w:lineRule="exact"/>
        <w:ind w:firstLine="480"/>
        <w:rPr>
          <w:rFonts w:hint="eastAsia" w:ascii="仿宋" w:hAnsi="仿宋" w:eastAsia="仿宋"/>
          <w:kern w:val="0"/>
          <w:szCs w:val="24"/>
          <w:lang w:val="zh-CN"/>
        </w:rPr>
      </w:pPr>
      <w:bookmarkStart w:id="8" w:name="_Toc67918942"/>
      <w:r>
        <w:rPr>
          <w:rFonts w:hint="eastAsia" w:ascii="仿宋" w:hAnsi="仿宋" w:eastAsia="仿宋" w:cs="仿宋"/>
          <w:szCs w:val="24"/>
        </w:rPr>
        <w:t>依据江西省发改委《江西省发展改革委关于南昌市轨道交通1号线北延工程初步设计批复》（赣发改投资[2021]814号），项目总投资为1,095,993.06万元。</w:t>
      </w:r>
      <w:r>
        <w:rPr>
          <w:rFonts w:hint="eastAsia" w:ascii="仿宋" w:hAnsi="仿宋" w:eastAsia="仿宋"/>
          <w:color w:val="000000" w:themeColor="text1"/>
          <w:szCs w:val="24"/>
        </w:rPr>
        <w:t>主要包括工程费用、工程建设其他费用及基本预备费等。</w:t>
      </w:r>
    </w:p>
    <w:p w14:paraId="4F87640B">
      <w:pPr>
        <w:pStyle w:val="23"/>
        <w:spacing w:before="0" w:beforeAutospacing="0" w:after="156" w:afterLines="50" w:afterAutospacing="0" w:line="400" w:lineRule="exact"/>
        <w:ind w:firstLine="440" w:firstLineChars="200"/>
        <w:jc w:val="both"/>
        <w:rPr>
          <w:rFonts w:hint="eastAsia" w:ascii="仿宋" w:hAnsi="仿宋" w:eastAsia="仿宋"/>
          <w:color w:val="000000" w:themeColor="text1"/>
        </w:rPr>
      </w:pPr>
      <w:r>
        <w:rPr>
          <w:rFonts w:hint="eastAsia" w:ascii="仿宋" w:hAnsi="仿宋" w:eastAsia="仿宋"/>
          <w:color w:val="000000" w:themeColor="text1"/>
        </w:rPr>
        <w:t>为了保障以上建设项目合理的融资需求，更好地发挥专项债券对</w:t>
      </w:r>
      <w:r>
        <w:rPr>
          <w:rFonts w:ascii="仿宋" w:hAnsi="仿宋" w:eastAsia="仿宋"/>
          <w:color w:val="000000" w:themeColor="text1"/>
          <w:kern w:val="2"/>
        </w:rPr>
        <w:t>南昌市轨道交通</w:t>
      </w:r>
      <w:r>
        <w:rPr>
          <w:rFonts w:hint="eastAsia" w:ascii="仿宋" w:hAnsi="仿宋" w:eastAsia="仿宋"/>
          <w:color w:val="000000" w:themeColor="text1"/>
          <w:kern w:val="2"/>
        </w:rPr>
        <w:t>1</w:t>
      </w:r>
      <w:r>
        <w:rPr>
          <w:rFonts w:ascii="仿宋" w:hAnsi="仿宋" w:eastAsia="仿宋"/>
          <w:color w:val="000000" w:themeColor="text1"/>
          <w:kern w:val="2"/>
        </w:rPr>
        <w:t>号线</w:t>
      </w:r>
      <w:r>
        <w:rPr>
          <w:rFonts w:hint="eastAsia" w:ascii="仿宋" w:hAnsi="仿宋" w:eastAsia="仿宋"/>
          <w:color w:val="000000" w:themeColor="text1"/>
          <w:kern w:val="2"/>
        </w:rPr>
        <w:t>北</w:t>
      </w:r>
      <w:r>
        <w:rPr>
          <w:rFonts w:ascii="仿宋" w:hAnsi="仿宋" w:eastAsia="仿宋"/>
          <w:color w:val="000000" w:themeColor="text1"/>
          <w:kern w:val="2"/>
        </w:rPr>
        <w:t>延工程项目</w:t>
      </w:r>
      <w:r>
        <w:rPr>
          <w:rFonts w:hint="eastAsia" w:ascii="仿宋" w:hAnsi="仿宋" w:eastAsia="仿宋"/>
          <w:color w:val="000000" w:themeColor="text1"/>
        </w:rPr>
        <w:t>支持作用，本次项目计划通过自筹资金及发行项目收益与融资自求平衡专项债券的方式完成项目建设。南昌轨道交通集团有限公司申请地方政府专项债券的明细情况见下表：（单位：万元）</w:t>
      </w:r>
    </w:p>
    <w:p w14:paraId="1815DFFA">
      <w:pPr>
        <w:pStyle w:val="23"/>
        <w:keepNext/>
        <w:spacing w:before="0" w:beforeAutospacing="0" w:after="0" w:afterAutospacing="0" w:line="400" w:lineRule="exact"/>
        <w:ind w:firstLine="360" w:firstLineChars="200"/>
        <w:jc w:val="right"/>
        <w:rPr>
          <w:rFonts w:hint="eastAsia"/>
          <w:color w:val="000000" w:themeColor="text1"/>
          <w:sz w:val="18"/>
          <w:szCs w:val="18"/>
        </w:rPr>
      </w:pPr>
      <w:r>
        <w:rPr>
          <w:rFonts w:hint="eastAsia"/>
          <w:color w:val="000000" w:themeColor="text1"/>
          <w:sz w:val="18"/>
          <w:szCs w:val="18"/>
        </w:rPr>
        <w:t>单位：万元</w:t>
      </w:r>
    </w:p>
    <w:tbl>
      <w:tblPr>
        <w:tblStyle w:val="28"/>
        <w:tblW w:w="5764" w:type="pct"/>
        <w:tblInd w:w="-1211" w:type="dxa"/>
        <w:tblLayout w:type="fixed"/>
        <w:tblCellMar>
          <w:top w:w="0" w:type="dxa"/>
          <w:left w:w="108" w:type="dxa"/>
          <w:bottom w:w="0" w:type="dxa"/>
          <w:right w:w="108" w:type="dxa"/>
        </w:tblCellMar>
      </w:tblPr>
      <w:tblGrid>
        <w:gridCol w:w="1333"/>
        <w:gridCol w:w="1264"/>
        <w:gridCol w:w="899"/>
        <w:gridCol w:w="1081"/>
        <w:gridCol w:w="1231"/>
        <w:gridCol w:w="1078"/>
        <w:gridCol w:w="1003"/>
        <w:gridCol w:w="1093"/>
        <w:gridCol w:w="1070"/>
      </w:tblGrid>
      <w:tr w14:paraId="39E9A430">
        <w:tblPrEx>
          <w:tblCellMar>
            <w:top w:w="0" w:type="dxa"/>
            <w:left w:w="108" w:type="dxa"/>
            <w:bottom w:w="0" w:type="dxa"/>
            <w:right w:w="108" w:type="dxa"/>
          </w:tblCellMar>
        </w:tblPrEx>
        <w:trPr>
          <w:trHeight w:val="270" w:hRule="atLeast"/>
        </w:trPr>
        <w:tc>
          <w:tcPr>
            <w:tcW w:w="663"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A3E3577">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62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95E02F">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其中：资本金</w:t>
            </w:r>
          </w:p>
        </w:tc>
        <w:tc>
          <w:tcPr>
            <w:tcW w:w="3707" w:type="pct"/>
            <w:gridSpan w:val="7"/>
            <w:tcBorders>
              <w:top w:val="single" w:color="auto" w:sz="4" w:space="0"/>
              <w:left w:val="nil"/>
              <w:bottom w:val="single" w:color="auto" w:sz="4" w:space="0"/>
              <w:right w:val="single" w:color="auto" w:sz="4" w:space="0"/>
            </w:tcBorders>
          </w:tcPr>
          <w:p w14:paraId="13C64FA2">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3469B38B">
        <w:tblPrEx>
          <w:tblCellMar>
            <w:top w:w="0" w:type="dxa"/>
            <w:left w:w="108" w:type="dxa"/>
            <w:bottom w:w="0" w:type="dxa"/>
            <w:right w:w="108" w:type="dxa"/>
          </w:tblCellMar>
        </w:tblPrEx>
        <w:trPr>
          <w:trHeight w:val="270" w:hRule="atLeast"/>
        </w:trPr>
        <w:tc>
          <w:tcPr>
            <w:tcW w:w="663" w:type="pct"/>
            <w:vMerge w:val="continue"/>
            <w:tcBorders>
              <w:top w:val="single" w:color="auto" w:sz="4" w:space="0"/>
              <w:left w:val="single" w:color="auto" w:sz="4" w:space="0"/>
              <w:bottom w:val="single" w:color="auto" w:sz="4" w:space="0"/>
              <w:right w:val="single" w:color="auto" w:sz="4" w:space="0"/>
            </w:tcBorders>
            <w:vAlign w:val="center"/>
          </w:tcPr>
          <w:p w14:paraId="534C90F7">
            <w:pPr>
              <w:widowControl/>
              <w:spacing w:line="240" w:lineRule="auto"/>
              <w:ind w:firstLine="361"/>
              <w:jc w:val="center"/>
              <w:rPr>
                <w:rFonts w:hint="eastAsia" w:ascii="宋体" w:hAnsi="宋体" w:cs="宋体"/>
                <w:b/>
                <w:bCs/>
                <w:color w:val="000000"/>
                <w:kern w:val="0"/>
                <w:sz w:val="18"/>
                <w:szCs w:val="18"/>
              </w:rPr>
            </w:pPr>
          </w:p>
        </w:tc>
        <w:tc>
          <w:tcPr>
            <w:tcW w:w="628" w:type="pct"/>
            <w:vMerge w:val="continue"/>
            <w:tcBorders>
              <w:top w:val="single" w:color="auto" w:sz="4" w:space="0"/>
              <w:left w:val="single" w:color="auto" w:sz="4" w:space="0"/>
              <w:bottom w:val="single" w:color="auto" w:sz="4" w:space="0"/>
              <w:right w:val="single" w:color="auto" w:sz="4" w:space="0"/>
            </w:tcBorders>
            <w:vAlign w:val="center"/>
          </w:tcPr>
          <w:p w14:paraId="3B62312B">
            <w:pPr>
              <w:widowControl/>
              <w:spacing w:line="240" w:lineRule="auto"/>
              <w:ind w:firstLine="361"/>
              <w:jc w:val="center"/>
              <w:rPr>
                <w:rFonts w:hint="eastAsia" w:ascii="宋体" w:hAnsi="宋体" w:cs="宋体"/>
                <w:b/>
                <w:bCs/>
                <w:color w:val="000000"/>
                <w:kern w:val="0"/>
                <w:sz w:val="18"/>
                <w:szCs w:val="18"/>
              </w:rPr>
            </w:pPr>
          </w:p>
        </w:tc>
        <w:tc>
          <w:tcPr>
            <w:tcW w:w="447" w:type="pct"/>
            <w:tcBorders>
              <w:top w:val="nil"/>
              <w:left w:val="nil"/>
              <w:bottom w:val="single" w:color="auto" w:sz="4" w:space="0"/>
              <w:right w:val="single" w:color="auto" w:sz="4" w:space="0"/>
            </w:tcBorders>
            <w:shd w:val="clear" w:color="auto" w:fill="auto"/>
            <w:vAlign w:val="center"/>
          </w:tcPr>
          <w:p w14:paraId="41050581">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537" w:type="pct"/>
            <w:tcBorders>
              <w:top w:val="single" w:color="auto" w:sz="4" w:space="0"/>
              <w:left w:val="nil"/>
              <w:bottom w:val="single" w:color="auto" w:sz="4" w:space="0"/>
              <w:right w:val="single" w:color="auto" w:sz="4" w:space="0"/>
            </w:tcBorders>
          </w:tcPr>
          <w:p w14:paraId="78B0F941">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调整发债金额</w:t>
            </w:r>
          </w:p>
        </w:tc>
        <w:tc>
          <w:tcPr>
            <w:tcW w:w="61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57392F">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2022年发行</w:t>
            </w:r>
          </w:p>
        </w:tc>
        <w:tc>
          <w:tcPr>
            <w:tcW w:w="536" w:type="pct"/>
            <w:tcBorders>
              <w:top w:val="single" w:color="auto" w:sz="4" w:space="0"/>
              <w:left w:val="nil"/>
              <w:bottom w:val="single" w:color="auto" w:sz="4" w:space="0"/>
              <w:right w:val="single" w:color="auto" w:sz="4" w:space="0"/>
            </w:tcBorders>
            <w:vAlign w:val="center"/>
          </w:tcPr>
          <w:p w14:paraId="0539A29C">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023</w:t>
            </w:r>
            <w:r>
              <w:rPr>
                <w:rFonts w:hint="eastAsia" w:ascii="宋体" w:hAnsi="宋体" w:cs="宋体"/>
                <w:b/>
                <w:bCs/>
                <w:color w:val="000000"/>
                <w:kern w:val="0"/>
                <w:sz w:val="18"/>
                <w:szCs w:val="18"/>
              </w:rPr>
              <w:t>年1月发行</w:t>
            </w:r>
          </w:p>
        </w:tc>
        <w:tc>
          <w:tcPr>
            <w:tcW w:w="499" w:type="pct"/>
            <w:tcBorders>
              <w:top w:val="single" w:color="auto" w:sz="4" w:space="0"/>
              <w:left w:val="single" w:color="auto" w:sz="4" w:space="0"/>
              <w:bottom w:val="single" w:color="auto" w:sz="4" w:space="0"/>
              <w:right w:val="single" w:color="auto" w:sz="4" w:space="0"/>
            </w:tcBorders>
            <w:vAlign w:val="center"/>
          </w:tcPr>
          <w:p w14:paraId="0F1FE8AE">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023</w:t>
            </w:r>
            <w:r>
              <w:rPr>
                <w:rFonts w:hint="eastAsia" w:ascii="宋体" w:hAnsi="宋体" w:cs="宋体"/>
                <w:b/>
                <w:bCs/>
                <w:color w:val="000000"/>
                <w:kern w:val="0"/>
                <w:sz w:val="18"/>
                <w:szCs w:val="18"/>
              </w:rPr>
              <w:t>年6月发行</w:t>
            </w:r>
          </w:p>
        </w:tc>
        <w:tc>
          <w:tcPr>
            <w:tcW w:w="544"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62E22EB">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w:t>
            </w:r>
            <w:r>
              <w:rPr>
                <w:rFonts w:ascii="宋体" w:hAnsi="宋体" w:cs="宋体"/>
                <w:b/>
                <w:bCs/>
                <w:color w:val="000000"/>
                <w:kern w:val="0"/>
                <w:sz w:val="18"/>
                <w:szCs w:val="18"/>
              </w:rPr>
              <w:t>4</w:t>
            </w:r>
            <w:r>
              <w:rPr>
                <w:rFonts w:hint="eastAsia" w:ascii="宋体" w:hAnsi="宋体" w:cs="宋体"/>
                <w:b/>
                <w:bCs/>
                <w:color w:val="000000"/>
                <w:kern w:val="0"/>
                <w:sz w:val="18"/>
                <w:szCs w:val="18"/>
              </w:rPr>
              <w:t>年本期发行</w:t>
            </w:r>
          </w:p>
        </w:tc>
        <w:tc>
          <w:tcPr>
            <w:tcW w:w="529" w:type="pct"/>
            <w:tcBorders>
              <w:top w:val="nil"/>
              <w:left w:val="nil"/>
              <w:bottom w:val="single" w:color="auto" w:sz="4" w:space="0"/>
              <w:right w:val="single" w:color="auto" w:sz="4" w:space="0"/>
            </w:tcBorders>
            <w:shd w:val="clear" w:color="auto" w:fill="auto"/>
            <w:noWrap/>
            <w:vAlign w:val="center"/>
          </w:tcPr>
          <w:p w14:paraId="42FE64B1">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2025年发行</w:t>
            </w:r>
          </w:p>
        </w:tc>
      </w:tr>
      <w:tr w14:paraId="22631868">
        <w:tblPrEx>
          <w:tblCellMar>
            <w:top w:w="0" w:type="dxa"/>
            <w:left w:w="108" w:type="dxa"/>
            <w:bottom w:w="0" w:type="dxa"/>
            <w:right w:w="108" w:type="dxa"/>
          </w:tblCellMar>
        </w:tblPrEx>
        <w:trPr>
          <w:trHeight w:val="270" w:hRule="atLeast"/>
        </w:trPr>
        <w:tc>
          <w:tcPr>
            <w:tcW w:w="663" w:type="pct"/>
            <w:tcBorders>
              <w:top w:val="nil"/>
              <w:left w:val="single" w:color="auto" w:sz="4" w:space="0"/>
              <w:bottom w:val="single" w:color="auto" w:sz="4" w:space="0"/>
              <w:right w:val="single" w:color="auto" w:sz="4" w:space="0"/>
            </w:tcBorders>
            <w:shd w:val="clear" w:color="auto" w:fill="auto"/>
            <w:noWrap/>
            <w:vAlign w:val="center"/>
          </w:tcPr>
          <w:p w14:paraId="56199BC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1,095,993.06</w:t>
            </w:r>
          </w:p>
        </w:tc>
        <w:tc>
          <w:tcPr>
            <w:tcW w:w="628" w:type="pct"/>
            <w:tcBorders>
              <w:top w:val="nil"/>
              <w:left w:val="nil"/>
              <w:bottom w:val="single" w:color="auto" w:sz="4" w:space="0"/>
              <w:right w:val="single" w:color="auto" w:sz="4" w:space="0"/>
            </w:tcBorders>
            <w:shd w:val="clear" w:color="auto" w:fill="auto"/>
            <w:noWrap/>
            <w:vAlign w:val="center"/>
          </w:tcPr>
          <w:p w14:paraId="2F7A420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438,397.22</w:t>
            </w:r>
          </w:p>
        </w:tc>
        <w:tc>
          <w:tcPr>
            <w:tcW w:w="447" w:type="pct"/>
            <w:tcBorders>
              <w:top w:val="nil"/>
              <w:left w:val="nil"/>
              <w:bottom w:val="single" w:color="auto" w:sz="4" w:space="0"/>
              <w:right w:val="single" w:color="auto" w:sz="4" w:space="0"/>
            </w:tcBorders>
            <w:shd w:val="clear" w:color="auto" w:fill="auto"/>
            <w:vAlign w:val="center"/>
          </w:tcPr>
          <w:p w14:paraId="00435EA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220,000</w:t>
            </w:r>
          </w:p>
        </w:tc>
        <w:tc>
          <w:tcPr>
            <w:tcW w:w="537" w:type="pct"/>
            <w:tcBorders>
              <w:top w:val="single" w:color="auto" w:sz="4" w:space="0"/>
              <w:left w:val="nil"/>
              <w:bottom w:val="single" w:color="auto" w:sz="4" w:space="0"/>
              <w:right w:val="single" w:color="auto" w:sz="4" w:space="0"/>
            </w:tcBorders>
          </w:tcPr>
          <w:p w14:paraId="3394212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14,000</w:t>
            </w: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14:paraId="54C8131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117,600</w:t>
            </w:r>
          </w:p>
        </w:tc>
        <w:tc>
          <w:tcPr>
            <w:tcW w:w="536" w:type="pct"/>
            <w:tcBorders>
              <w:top w:val="single" w:color="auto" w:sz="4" w:space="0"/>
              <w:left w:val="nil"/>
              <w:bottom w:val="single" w:color="auto" w:sz="4" w:space="0"/>
              <w:right w:val="single" w:color="auto" w:sz="4" w:space="0"/>
            </w:tcBorders>
            <w:vAlign w:val="center"/>
          </w:tcPr>
          <w:p w14:paraId="1A90ECE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24,000</w:t>
            </w:r>
          </w:p>
        </w:tc>
        <w:tc>
          <w:tcPr>
            <w:tcW w:w="499" w:type="pct"/>
            <w:tcBorders>
              <w:top w:val="single" w:color="auto" w:sz="4" w:space="0"/>
              <w:left w:val="single" w:color="auto" w:sz="4" w:space="0"/>
              <w:bottom w:val="single" w:color="auto" w:sz="4" w:space="0"/>
              <w:right w:val="single" w:color="auto" w:sz="4" w:space="0"/>
            </w:tcBorders>
            <w:vAlign w:val="center"/>
          </w:tcPr>
          <w:p w14:paraId="44DD902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5,000</w:t>
            </w:r>
          </w:p>
        </w:tc>
        <w:tc>
          <w:tcPr>
            <w:tcW w:w="544" w:type="pct"/>
            <w:tcBorders>
              <w:top w:val="single" w:color="auto" w:sz="4" w:space="0"/>
              <w:left w:val="single" w:color="auto" w:sz="4" w:space="0"/>
              <w:bottom w:val="single" w:color="auto" w:sz="4" w:space="0"/>
              <w:right w:val="single" w:color="auto" w:sz="4" w:space="0"/>
            </w:tcBorders>
            <w:shd w:val="clear" w:color="auto" w:fill="auto"/>
            <w:vAlign w:val="center"/>
          </w:tcPr>
          <w:p w14:paraId="02EFABB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40,000</w:t>
            </w:r>
          </w:p>
        </w:tc>
        <w:tc>
          <w:tcPr>
            <w:tcW w:w="529" w:type="pct"/>
            <w:tcBorders>
              <w:top w:val="nil"/>
              <w:left w:val="nil"/>
              <w:bottom w:val="single" w:color="auto" w:sz="4" w:space="0"/>
              <w:right w:val="single" w:color="auto" w:sz="4" w:space="0"/>
            </w:tcBorders>
            <w:shd w:val="clear" w:color="auto" w:fill="auto"/>
            <w:vAlign w:val="center"/>
          </w:tcPr>
          <w:p w14:paraId="3F9A6D6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19,400</w:t>
            </w:r>
          </w:p>
        </w:tc>
      </w:tr>
    </w:tbl>
    <w:p w14:paraId="4EAC030E">
      <w:pPr>
        <w:pStyle w:val="23"/>
        <w:spacing w:before="0" w:beforeAutospacing="0" w:after="0" w:afterAutospacing="0" w:line="400" w:lineRule="exact"/>
        <w:ind w:firstLine="420" w:firstLineChars="200"/>
        <w:jc w:val="both"/>
        <w:rPr>
          <w:rFonts w:hint="eastAsia"/>
          <w:color w:val="000000" w:themeColor="text1"/>
          <w:sz w:val="21"/>
          <w:szCs w:val="21"/>
        </w:rPr>
      </w:pPr>
      <w:r>
        <w:rPr>
          <w:rFonts w:hint="eastAsia"/>
          <w:color w:val="000000" w:themeColor="text1"/>
          <w:sz w:val="21"/>
          <w:szCs w:val="21"/>
        </w:rPr>
        <w:t>续上表;</w:t>
      </w:r>
    </w:p>
    <w:tbl>
      <w:tblPr>
        <w:tblStyle w:val="28"/>
        <w:tblW w:w="5000" w:type="pct"/>
        <w:tblInd w:w="0" w:type="dxa"/>
        <w:tblLayout w:type="autofit"/>
        <w:tblCellMar>
          <w:top w:w="0" w:type="dxa"/>
          <w:left w:w="108" w:type="dxa"/>
          <w:bottom w:w="0" w:type="dxa"/>
          <w:right w:w="108" w:type="dxa"/>
        </w:tblCellMar>
      </w:tblPr>
      <w:tblGrid>
        <w:gridCol w:w="1513"/>
        <w:gridCol w:w="1392"/>
        <w:gridCol w:w="1392"/>
        <w:gridCol w:w="1392"/>
        <w:gridCol w:w="1514"/>
        <w:gridCol w:w="1517"/>
      </w:tblGrid>
      <w:tr w14:paraId="28A73112">
        <w:tblPrEx>
          <w:tblCellMar>
            <w:top w:w="0" w:type="dxa"/>
            <w:left w:w="108" w:type="dxa"/>
            <w:bottom w:w="0" w:type="dxa"/>
            <w:right w:w="108" w:type="dxa"/>
          </w:tblCellMar>
        </w:tblPrEx>
        <w:trPr>
          <w:trHeight w:val="270"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37FE0F8C">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其中：其他融资金额</w:t>
            </w:r>
          </w:p>
        </w:tc>
      </w:tr>
      <w:tr w14:paraId="46CB4D50">
        <w:tblPrEx>
          <w:tblCellMar>
            <w:top w:w="0" w:type="dxa"/>
            <w:left w:w="108" w:type="dxa"/>
            <w:bottom w:w="0" w:type="dxa"/>
            <w:right w:w="108" w:type="dxa"/>
          </w:tblCellMar>
        </w:tblPrEx>
        <w:trPr>
          <w:trHeight w:val="270" w:hRule="atLeast"/>
        </w:trPr>
        <w:tc>
          <w:tcPr>
            <w:tcW w:w="868" w:type="pct"/>
            <w:tcBorders>
              <w:top w:val="nil"/>
              <w:left w:val="single" w:color="auto" w:sz="4" w:space="0"/>
              <w:bottom w:val="single" w:color="auto" w:sz="4" w:space="0"/>
              <w:right w:val="single" w:color="auto" w:sz="4" w:space="0"/>
            </w:tcBorders>
            <w:shd w:val="clear" w:color="auto" w:fill="auto"/>
            <w:vAlign w:val="center"/>
          </w:tcPr>
          <w:p w14:paraId="311256C2">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798" w:type="pct"/>
            <w:tcBorders>
              <w:top w:val="nil"/>
              <w:left w:val="nil"/>
              <w:bottom w:val="single" w:color="auto" w:sz="4" w:space="0"/>
              <w:right w:val="single" w:color="auto" w:sz="4" w:space="0"/>
            </w:tcBorders>
            <w:shd w:val="clear" w:color="auto" w:fill="auto"/>
            <w:vAlign w:val="center"/>
          </w:tcPr>
          <w:p w14:paraId="27971470">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2021年</w:t>
            </w:r>
          </w:p>
        </w:tc>
        <w:tc>
          <w:tcPr>
            <w:tcW w:w="798" w:type="pct"/>
            <w:tcBorders>
              <w:top w:val="nil"/>
              <w:left w:val="nil"/>
              <w:bottom w:val="single" w:color="auto" w:sz="4" w:space="0"/>
              <w:right w:val="single" w:color="auto" w:sz="4" w:space="0"/>
            </w:tcBorders>
            <w:shd w:val="clear" w:color="auto" w:fill="auto"/>
            <w:noWrap/>
            <w:vAlign w:val="center"/>
          </w:tcPr>
          <w:p w14:paraId="69F7DCDC">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2022年</w:t>
            </w:r>
          </w:p>
        </w:tc>
        <w:tc>
          <w:tcPr>
            <w:tcW w:w="798" w:type="pct"/>
            <w:tcBorders>
              <w:top w:val="nil"/>
              <w:left w:val="nil"/>
              <w:bottom w:val="single" w:color="auto" w:sz="4" w:space="0"/>
              <w:right w:val="single" w:color="auto" w:sz="4" w:space="0"/>
            </w:tcBorders>
            <w:shd w:val="clear" w:color="auto" w:fill="auto"/>
            <w:noWrap/>
            <w:vAlign w:val="center"/>
          </w:tcPr>
          <w:p w14:paraId="64E0CB65">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868" w:type="pct"/>
            <w:tcBorders>
              <w:top w:val="nil"/>
              <w:left w:val="nil"/>
              <w:bottom w:val="single" w:color="auto" w:sz="4" w:space="0"/>
              <w:right w:val="single" w:color="auto" w:sz="4" w:space="0"/>
            </w:tcBorders>
            <w:shd w:val="clear" w:color="auto" w:fill="auto"/>
            <w:noWrap/>
            <w:vAlign w:val="center"/>
          </w:tcPr>
          <w:p w14:paraId="1EE7DBFA">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868" w:type="pct"/>
            <w:tcBorders>
              <w:top w:val="nil"/>
              <w:left w:val="nil"/>
              <w:bottom w:val="single" w:color="auto" w:sz="4" w:space="0"/>
              <w:right w:val="single" w:color="auto" w:sz="4" w:space="0"/>
            </w:tcBorders>
            <w:shd w:val="clear" w:color="auto" w:fill="auto"/>
            <w:noWrap/>
            <w:vAlign w:val="center"/>
          </w:tcPr>
          <w:p w14:paraId="3FEECA15">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2025年</w:t>
            </w:r>
          </w:p>
        </w:tc>
      </w:tr>
      <w:tr w14:paraId="797986BC">
        <w:tblPrEx>
          <w:tblCellMar>
            <w:top w:w="0" w:type="dxa"/>
            <w:left w:w="108" w:type="dxa"/>
            <w:bottom w:w="0" w:type="dxa"/>
            <w:right w:w="108" w:type="dxa"/>
          </w:tblCellMar>
        </w:tblPrEx>
        <w:trPr>
          <w:trHeight w:val="270" w:hRule="atLeast"/>
        </w:trPr>
        <w:tc>
          <w:tcPr>
            <w:tcW w:w="868" w:type="pct"/>
            <w:tcBorders>
              <w:top w:val="nil"/>
              <w:left w:val="single" w:color="auto" w:sz="4" w:space="0"/>
              <w:bottom w:val="single" w:color="auto" w:sz="4" w:space="0"/>
              <w:right w:val="single" w:color="auto" w:sz="4" w:space="0"/>
            </w:tcBorders>
            <w:shd w:val="clear" w:color="auto" w:fill="auto"/>
            <w:vAlign w:val="center"/>
          </w:tcPr>
          <w:p w14:paraId="0061CD0F">
            <w:pPr>
              <w:widowControl/>
              <w:spacing w:line="240" w:lineRule="auto"/>
              <w:ind w:firstLine="360"/>
              <w:jc w:val="center"/>
              <w:rPr>
                <w:rFonts w:hint="eastAsia" w:ascii="宋体" w:hAnsi="宋体" w:cs="宋体"/>
                <w:color w:val="000000"/>
                <w:kern w:val="0"/>
                <w:sz w:val="18"/>
                <w:szCs w:val="18"/>
              </w:rPr>
            </w:pPr>
            <w:r>
              <w:rPr>
                <w:rFonts w:ascii="宋体" w:hAnsi="宋体"/>
                <w:color w:val="000000"/>
                <w:sz w:val="18"/>
                <w:szCs w:val="18"/>
              </w:rPr>
              <w:t>437,595.84</w:t>
            </w:r>
          </w:p>
        </w:tc>
        <w:tc>
          <w:tcPr>
            <w:tcW w:w="798" w:type="pct"/>
            <w:tcBorders>
              <w:top w:val="nil"/>
              <w:left w:val="nil"/>
              <w:bottom w:val="single" w:color="auto" w:sz="4" w:space="0"/>
              <w:right w:val="single" w:color="auto" w:sz="4" w:space="0"/>
            </w:tcBorders>
            <w:shd w:val="clear" w:color="auto" w:fill="auto"/>
            <w:vAlign w:val="center"/>
          </w:tcPr>
          <w:p w14:paraId="43046781">
            <w:pPr>
              <w:widowControl/>
              <w:spacing w:line="240" w:lineRule="auto"/>
              <w:ind w:firstLine="360"/>
              <w:jc w:val="center"/>
              <w:rPr>
                <w:rFonts w:hint="eastAsia" w:ascii="宋体" w:hAnsi="宋体" w:cs="宋体"/>
                <w:color w:val="000000"/>
                <w:kern w:val="0"/>
                <w:sz w:val="18"/>
                <w:szCs w:val="18"/>
              </w:rPr>
            </w:pPr>
            <w:r>
              <w:rPr>
                <w:rFonts w:hint="eastAsia" w:ascii="宋体" w:hAnsi="宋体"/>
                <w:color w:val="000000"/>
                <w:sz w:val="18"/>
                <w:szCs w:val="18"/>
              </w:rPr>
              <w:t>25,010</w:t>
            </w:r>
          </w:p>
        </w:tc>
        <w:tc>
          <w:tcPr>
            <w:tcW w:w="798" w:type="pct"/>
            <w:tcBorders>
              <w:top w:val="nil"/>
              <w:left w:val="nil"/>
              <w:bottom w:val="single" w:color="auto" w:sz="4" w:space="0"/>
              <w:right w:val="single" w:color="auto" w:sz="4" w:space="0"/>
            </w:tcBorders>
            <w:shd w:val="clear" w:color="auto" w:fill="auto"/>
            <w:vAlign w:val="center"/>
          </w:tcPr>
          <w:p w14:paraId="1B039C67">
            <w:pPr>
              <w:widowControl/>
              <w:spacing w:line="240" w:lineRule="auto"/>
              <w:ind w:firstLine="360"/>
              <w:jc w:val="center"/>
              <w:rPr>
                <w:rFonts w:hint="eastAsia" w:ascii="宋体" w:hAnsi="宋体" w:cs="宋体"/>
                <w:color w:val="000000"/>
                <w:kern w:val="0"/>
                <w:sz w:val="18"/>
                <w:szCs w:val="18"/>
              </w:rPr>
            </w:pPr>
            <w:r>
              <w:rPr>
                <w:rFonts w:ascii="宋体" w:hAnsi="宋体"/>
                <w:color w:val="000000"/>
                <w:sz w:val="18"/>
                <w:szCs w:val="18"/>
              </w:rPr>
              <w:t>31,000</w:t>
            </w:r>
          </w:p>
        </w:tc>
        <w:tc>
          <w:tcPr>
            <w:tcW w:w="798" w:type="pct"/>
            <w:tcBorders>
              <w:top w:val="nil"/>
              <w:left w:val="nil"/>
              <w:bottom w:val="single" w:color="auto" w:sz="4" w:space="0"/>
              <w:right w:val="single" w:color="auto" w:sz="4" w:space="0"/>
            </w:tcBorders>
            <w:shd w:val="clear" w:color="auto" w:fill="auto"/>
            <w:vAlign w:val="center"/>
          </w:tcPr>
          <w:p w14:paraId="7493E9CA">
            <w:pPr>
              <w:widowControl/>
              <w:spacing w:line="240" w:lineRule="auto"/>
              <w:ind w:firstLine="360"/>
              <w:jc w:val="center"/>
              <w:rPr>
                <w:rFonts w:hint="eastAsia" w:ascii="宋体" w:hAnsi="宋体" w:cs="宋体"/>
                <w:color w:val="000000"/>
                <w:kern w:val="0"/>
                <w:sz w:val="18"/>
                <w:szCs w:val="18"/>
              </w:rPr>
            </w:pPr>
            <w:r>
              <w:rPr>
                <w:rFonts w:ascii="宋体" w:hAnsi="宋体"/>
                <w:color w:val="000000"/>
                <w:sz w:val="18"/>
                <w:szCs w:val="18"/>
              </w:rPr>
              <w:t>87,000</w:t>
            </w:r>
          </w:p>
        </w:tc>
        <w:tc>
          <w:tcPr>
            <w:tcW w:w="868" w:type="pct"/>
            <w:tcBorders>
              <w:top w:val="nil"/>
              <w:left w:val="nil"/>
              <w:bottom w:val="single" w:color="auto" w:sz="4" w:space="0"/>
              <w:right w:val="single" w:color="auto" w:sz="4" w:space="0"/>
            </w:tcBorders>
            <w:shd w:val="clear" w:color="auto" w:fill="auto"/>
            <w:vAlign w:val="center"/>
          </w:tcPr>
          <w:p w14:paraId="697CEA6F">
            <w:pPr>
              <w:widowControl/>
              <w:spacing w:line="240" w:lineRule="auto"/>
              <w:ind w:firstLine="360"/>
              <w:jc w:val="center"/>
              <w:rPr>
                <w:rFonts w:hint="eastAsia" w:ascii="宋体" w:hAnsi="宋体" w:cs="宋体"/>
                <w:color w:val="000000"/>
                <w:kern w:val="0"/>
                <w:sz w:val="18"/>
                <w:szCs w:val="18"/>
              </w:rPr>
            </w:pPr>
            <w:r>
              <w:rPr>
                <w:rFonts w:ascii="宋体" w:hAnsi="宋体"/>
                <w:color w:val="000000"/>
                <w:sz w:val="18"/>
                <w:szCs w:val="18"/>
              </w:rPr>
              <w:t>108,100</w:t>
            </w:r>
          </w:p>
        </w:tc>
        <w:tc>
          <w:tcPr>
            <w:tcW w:w="868" w:type="pct"/>
            <w:tcBorders>
              <w:top w:val="nil"/>
              <w:left w:val="nil"/>
              <w:bottom w:val="single" w:color="auto" w:sz="4" w:space="0"/>
              <w:right w:val="single" w:color="auto" w:sz="4" w:space="0"/>
            </w:tcBorders>
            <w:shd w:val="clear" w:color="auto" w:fill="auto"/>
            <w:vAlign w:val="center"/>
          </w:tcPr>
          <w:p w14:paraId="783A8E7F">
            <w:pPr>
              <w:widowControl/>
              <w:spacing w:line="240" w:lineRule="auto"/>
              <w:ind w:firstLine="360"/>
              <w:jc w:val="center"/>
              <w:rPr>
                <w:rFonts w:hint="eastAsia" w:ascii="宋体" w:hAnsi="宋体" w:cs="宋体"/>
                <w:color w:val="000000"/>
                <w:kern w:val="0"/>
                <w:sz w:val="18"/>
                <w:szCs w:val="18"/>
              </w:rPr>
            </w:pPr>
            <w:r>
              <w:rPr>
                <w:rFonts w:ascii="宋体" w:hAnsi="宋体"/>
                <w:color w:val="000000"/>
                <w:sz w:val="18"/>
                <w:szCs w:val="18"/>
              </w:rPr>
              <w:t>186,485.84</w:t>
            </w:r>
          </w:p>
        </w:tc>
      </w:tr>
    </w:tbl>
    <w:p w14:paraId="4632CA04">
      <w:pPr>
        <w:spacing w:line="400" w:lineRule="exact"/>
        <w:ind w:firstLine="480"/>
        <w:rPr>
          <w:rFonts w:hint="eastAsia" w:ascii="仿宋" w:hAnsi="仿宋" w:eastAsia="仿宋" w:cs="仿宋"/>
          <w:szCs w:val="24"/>
        </w:rPr>
      </w:pPr>
    </w:p>
    <w:p w14:paraId="257CCEB3">
      <w:pPr>
        <w:numPr>
          <w:ilvl w:val="0"/>
          <w:numId w:val="4"/>
        </w:numPr>
        <w:spacing w:line="400" w:lineRule="exact"/>
        <w:ind w:firstLine="480"/>
        <w:rPr>
          <w:rFonts w:hint="eastAsia" w:ascii="仿宋" w:hAnsi="仿宋" w:eastAsia="仿宋" w:cs="仿宋"/>
          <w:szCs w:val="24"/>
        </w:rPr>
      </w:pPr>
      <w:r>
        <w:rPr>
          <w:rFonts w:hint="eastAsia" w:ascii="仿宋" w:hAnsi="仿宋" w:eastAsia="仿宋" w:cs="仿宋"/>
          <w:szCs w:val="24"/>
        </w:rPr>
        <w:t>项目建设期限</w:t>
      </w:r>
    </w:p>
    <w:p w14:paraId="40127B4D">
      <w:pPr>
        <w:spacing w:line="400" w:lineRule="exact"/>
        <w:ind w:firstLine="480"/>
        <w:rPr>
          <w:rFonts w:hint="eastAsia" w:ascii="仿宋" w:hAnsi="仿宋" w:eastAsia="仿宋" w:cs="仿宋"/>
          <w:szCs w:val="24"/>
        </w:rPr>
      </w:pPr>
      <w:r>
        <w:rPr>
          <w:rFonts w:hint="eastAsia" w:ascii="仿宋" w:hAnsi="仿宋" w:eastAsia="仿宋" w:cs="仿宋"/>
          <w:szCs w:val="24"/>
        </w:rPr>
        <w:t>依据江西省发改委《江西省发展改革委关于南昌市轨道交通1号线北延工程初步设计批复》（赣发改投资[2021]814号），批复建设期限为60个月。</w:t>
      </w:r>
    </w:p>
    <w:bookmarkEnd w:id="8"/>
    <w:p w14:paraId="2010FD62">
      <w:pPr>
        <w:spacing w:line="400" w:lineRule="exact"/>
        <w:ind w:firstLine="482"/>
        <w:rPr>
          <w:rFonts w:hint="eastAsia" w:ascii="仿宋" w:hAnsi="仿宋" w:eastAsia="仿宋" w:cs="仿宋"/>
          <w:b/>
          <w:bCs/>
          <w:szCs w:val="24"/>
        </w:rPr>
      </w:pPr>
      <w:bookmarkStart w:id="9" w:name="_Toc28161735"/>
      <w:bookmarkStart w:id="10" w:name="_Toc67918944"/>
      <w:r>
        <w:rPr>
          <w:rFonts w:hint="eastAsia" w:ascii="仿宋" w:hAnsi="仿宋" w:eastAsia="仿宋" w:cs="仿宋"/>
          <w:b/>
          <w:bCs/>
          <w:szCs w:val="24"/>
        </w:rPr>
        <w:t>二、项目投资估算及资金筹措方案</w:t>
      </w:r>
    </w:p>
    <w:p w14:paraId="46D56C39">
      <w:pPr>
        <w:pStyle w:val="4"/>
        <w:spacing w:line="400" w:lineRule="exact"/>
        <w:ind w:firstLine="480"/>
        <w:rPr>
          <w:rFonts w:hint="eastAsia" w:ascii="仿宋" w:hAnsi="仿宋" w:eastAsia="仿宋" w:cs="仿宋"/>
          <w:sz w:val="24"/>
          <w:szCs w:val="24"/>
        </w:rPr>
      </w:pPr>
      <w:r>
        <w:rPr>
          <w:rFonts w:hint="eastAsia" w:ascii="仿宋" w:hAnsi="仿宋" w:eastAsia="仿宋" w:cs="仿宋"/>
          <w:sz w:val="24"/>
          <w:szCs w:val="24"/>
        </w:rPr>
        <w:t>1</w:t>
      </w:r>
      <w:bookmarkEnd w:id="9"/>
      <w:r>
        <w:rPr>
          <w:rFonts w:hint="eastAsia" w:ascii="仿宋" w:hAnsi="仿宋" w:eastAsia="仿宋" w:cs="仿宋"/>
          <w:sz w:val="24"/>
          <w:szCs w:val="24"/>
        </w:rPr>
        <w:t>、估算编制依据</w:t>
      </w:r>
      <w:bookmarkEnd w:id="10"/>
    </w:p>
    <w:p w14:paraId="04A59576">
      <w:pPr>
        <w:pStyle w:val="4"/>
        <w:spacing w:line="400" w:lineRule="exact"/>
        <w:ind w:firstLine="480"/>
        <w:rPr>
          <w:rFonts w:hint="eastAsia" w:ascii="仿宋" w:hAnsi="仿宋" w:eastAsia="仿宋" w:cs="仿宋"/>
          <w:color w:val="auto"/>
          <w:sz w:val="24"/>
          <w:szCs w:val="24"/>
        </w:rPr>
      </w:pPr>
      <w:bookmarkStart w:id="11" w:name="_Toc28161736"/>
      <w:bookmarkStart w:id="12" w:name="_Toc67918945"/>
      <w:r>
        <w:rPr>
          <w:rFonts w:hint="eastAsia" w:ascii="仿宋" w:hAnsi="仿宋" w:eastAsia="仿宋" w:cs="仿宋"/>
          <w:color w:val="auto"/>
          <w:sz w:val="24"/>
          <w:szCs w:val="24"/>
        </w:rPr>
        <w:t>①《市政工程投资估算编制办法》（建设部建标[2007]164 号）</w:t>
      </w:r>
    </w:p>
    <w:p w14:paraId="5F637FAB">
      <w:pPr>
        <w:pStyle w:val="4"/>
        <w:spacing w:line="40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②《城市轨道交通工程设计概预算编制办法》（建设部建标[2006]279号）</w:t>
      </w:r>
    </w:p>
    <w:p w14:paraId="0725BEFB">
      <w:pPr>
        <w:pStyle w:val="4"/>
        <w:spacing w:line="40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③国家及江西省、南昌市相关定额及有关文件和规定</w:t>
      </w:r>
    </w:p>
    <w:p w14:paraId="4E1C6053">
      <w:pPr>
        <w:pStyle w:val="4"/>
        <w:spacing w:line="40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④类似工程技术经济指标</w:t>
      </w:r>
    </w:p>
    <w:p w14:paraId="31A83262">
      <w:pPr>
        <w:pStyle w:val="4"/>
        <w:spacing w:line="40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⑤南昌市2015年4季度建筑市场信息价</w:t>
      </w:r>
    </w:p>
    <w:p w14:paraId="1CA1B877">
      <w:pPr>
        <w:pStyle w:val="4"/>
        <w:spacing w:line="40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⑥本工程可行性研究方案和工程数量。</w:t>
      </w:r>
    </w:p>
    <w:p w14:paraId="032E5F10">
      <w:pPr>
        <w:pStyle w:val="4"/>
        <w:spacing w:line="400" w:lineRule="exact"/>
        <w:ind w:firstLine="480"/>
        <w:rPr>
          <w:rFonts w:hint="eastAsia" w:ascii="仿宋" w:hAnsi="仿宋" w:eastAsia="仿宋" w:cs="仿宋"/>
          <w:sz w:val="24"/>
          <w:szCs w:val="24"/>
        </w:rPr>
      </w:pPr>
      <w:r>
        <w:rPr>
          <w:rFonts w:hint="eastAsia" w:ascii="仿宋" w:hAnsi="仿宋" w:eastAsia="仿宋" w:cs="仿宋"/>
          <w:sz w:val="24"/>
          <w:szCs w:val="24"/>
        </w:rPr>
        <w:t>2</w:t>
      </w:r>
      <w:bookmarkEnd w:id="11"/>
      <w:r>
        <w:rPr>
          <w:rFonts w:hint="eastAsia" w:ascii="仿宋" w:hAnsi="仿宋" w:eastAsia="仿宋" w:cs="仿宋"/>
          <w:sz w:val="24"/>
          <w:szCs w:val="24"/>
        </w:rPr>
        <w:t>、费率及参数</w:t>
      </w:r>
      <w:bookmarkEnd w:id="12"/>
    </w:p>
    <w:p w14:paraId="25019446">
      <w:pPr>
        <w:spacing w:line="400" w:lineRule="exact"/>
        <w:ind w:firstLine="480"/>
        <w:rPr>
          <w:rFonts w:hint="eastAsia" w:ascii="仿宋" w:hAnsi="仿宋" w:eastAsia="仿宋" w:cs="仿宋"/>
          <w:szCs w:val="24"/>
        </w:rPr>
      </w:pPr>
      <w:r>
        <w:rPr>
          <w:rFonts w:hint="eastAsia" w:ascii="仿宋" w:hAnsi="仿宋" w:eastAsia="仿宋" w:cs="仿宋"/>
          <w:szCs w:val="24"/>
        </w:rPr>
        <w:t>发行费0.</w:t>
      </w:r>
      <w:r>
        <w:rPr>
          <w:rFonts w:ascii="仿宋" w:hAnsi="仿宋" w:eastAsia="仿宋" w:cs="仿宋"/>
          <w:szCs w:val="24"/>
        </w:rPr>
        <w:t>10</w:t>
      </w:r>
      <w:r>
        <w:rPr>
          <w:rFonts w:hint="eastAsia" w:ascii="仿宋" w:hAnsi="仿宋" w:eastAsia="仿宋" w:cs="仿宋"/>
          <w:szCs w:val="24"/>
        </w:rPr>
        <w:t>%。</w:t>
      </w:r>
    </w:p>
    <w:p w14:paraId="48A20265">
      <w:pPr>
        <w:pStyle w:val="4"/>
        <w:spacing w:line="400" w:lineRule="exact"/>
        <w:ind w:firstLine="480"/>
        <w:rPr>
          <w:rFonts w:hint="eastAsia" w:ascii="仿宋" w:hAnsi="仿宋" w:eastAsia="仿宋" w:cs="仿宋"/>
          <w:sz w:val="24"/>
          <w:szCs w:val="24"/>
        </w:rPr>
      </w:pPr>
      <w:bookmarkStart w:id="13" w:name="_Toc28161737"/>
      <w:bookmarkStart w:id="14" w:name="_Toc67918946"/>
      <w:bookmarkStart w:id="15" w:name="_Toc67918951"/>
      <w:r>
        <w:rPr>
          <w:rFonts w:hint="eastAsia" w:ascii="仿宋" w:hAnsi="仿宋" w:eastAsia="仿宋" w:cs="仿宋"/>
          <w:sz w:val="24"/>
          <w:szCs w:val="24"/>
        </w:rPr>
        <w:t>3</w:t>
      </w:r>
      <w:bookmarkEnd w:id="13"/>
      <w:r>
        <w:rPr>
          <w:rFonts w:hint="eastAsia" w:ascii="仿宋" w:hAnsi="仿宋" w:eastAsia="仿宋" w:cs="仿宋"/>
          <w:sz w:val="24"/>
          <w:szCs w:val="24"/>
        </w:rPr>
        <w:t>、估算总额</w:t>
      </w:r>
      <w:bookmarkEnd w:id="14"/>
    </w:p>
    <w:p w14:paraId="0A42B9AE">
      <w:pPr>
        <w:widowControl/>
        <w:spacing w:line="400" w:lineRule="exact"/>
        <w:ind w:firstLine="480"/>
        <w:jc w:val="left"/>
        <w:rPr>
          <w:rFonts w:hint="eastAsia" w:ascii="仿宋" w:hAnsi="仿宋" w:eastAsia="仿宋" w:cs="仿宋"/>
          <w:color w:val="000000"/>
          <w:kern w:val="0"/>
          <w:szCs w:val="24"/>
        </w:rPr>
      </w:pPr>
      <w:bookmarkStart w:id="16" w:name="_Toc28161738"/>
      <w:r>
        <w:rPr>
          <w:rFonts w:hint="eastAsia" w:ascii="仿宋" w:hAnsi="仿宋" w:eastAsia="仿宋" w:cs="仿宋"/>
          <w:color w:val="000000"/>
          <w:kern w:val="0"/>
          <w:szCs w:val="24"/>
        </w:rPr>
        <w:t>根据可研报告及其批复，本项目投资估算详见表2-1；项目建设期内的年度资金计划表详见表2-2。</w:t>
      </w:r>
    </w:p>
    <w:p w14:paraId="3CDA0BA6">
      <w:pPr>
        <w:pStyle w:val="23"/>
        <w:spacing w:after="156" w:afterLines="50" w:line="400" w:lineRule="exact"/>
        <w:jc w:val="center"/>
        <w:rPr>
          <w:rFonts w:hint="eastAsia"/>
          <w:color w:val="000000" w:themeColor="text1"/>
          <w:sz w:val="21"/>
          <w:szCs w:val="21"/>
        </w:rPr>
      </w:pPr>
      <w:r>
        <w:rPr>
          <w:rFonts w:hint="eastAsia"/>
          <w:b/>
          <w:color w:val="000000" w:themeColor="text1"/>
          <w:sz w:val="21"/>
          <w:szCs w:val="21"/>
        </w:rPr>
        <w:t>表2-</w:t>
      </w:r>
      <w:r>
        <w:rPr>
          <w:b/>
          <w:color w:val="000000" w:themeColor="text1"/>
          <w:sz w:val="21"/>
          <w:szCs w:val="21"/>
        </w:rPr>
        <w:t xml:space="preserve">1  </w:t>
      </w:r>
      <w:r>
        <w:rPr>
          <w:rFonts w:hint="eastAsia"/>
          <w:b/>
          <w:color w:val="000000" w:themeColor="text1"/>
          <w:sz w:val="21"/>
          <w:szCs w:val="21"/>
        </w:rPr>
        <w:t>项目总投资估算表</w:t>
      </w:r>
    </w:p>
    <w:bookmarkEnd w:id="16"/>
    <w:p w14:paraId="13FDA511">
      <w:pPr>
        <w:pStyle w:val="23"/>
        <w:spacing w:before="0" w:beforeAutospacing="0" w:after="156" w:afterLines="50" w:afterAutospacing="0" w:line="400" w:lineRule="exact"/>
        <w:ind w:firstLine="360" w:firstLineChars="200"/>
        <w:jc w:val="right"/>
        <w:rPr>
          <w:rFonts w:hint="eastAsia"/>
          <w:color w:val="000000" w:themeColor="text1"/>
          <w:sz w:val="21"/>
          <w:szCs w:val="21"/>
        </w:rPr>
      </w:pPr>
      <w:bookmarkStart w:id="17" w:name="_Toc67918948"/>
      <w:r>
        <w:rPr>
          <w:rFonts w:hint="eastAsia"/>
          <w:color w:val="000000" w:themeColor="text1"/>
          <w:sz w:val="18"/>
          <w:szCs w:val="18"/>
        </w:rPr>
        <w:t>单位：万元</w:t>
      </w:r>
    </w:p>
    <w:tbl>
      <w:tblPr>
        <w:tblStyle w:val="28"/>
        <w:tblW w:w="5000" w:type="pct"/>
        <w:tblInd w:w="0" w:type="dxa"/>
        <w:tblLayout w:type="autofit"/>
        <w:tblCellMar>
          <w:top w:w="0" w:type="dxa"/>
          <w:left w:w="108" w:type="dxa"/>
          <w:bottom w:w="0" w:type="dxa"/>
          <w:right w:w="108" w:type="dxa"/>
        </w:tblCellMar>
      </w:tblPr>
      <w:tblGrid>
        <w:gridCol w:w="2091"/>
        <w:gridCol w:w="3732"/>
        <w:gridCol w:w="2897"/>
      </w:tblGrid>
      <w:tr w14:paraId="46B4E204">
        <w:tblPrEx>
          <w:tblCellMar>
            <w:top w:w="0" w:type="dxa"/>
            <w:left w:w="108" w:type="dxa"/>
            <w:bottom w:w="0" w:type="dxa"/>
            <w:right w:w="108" w:type="dxa"/>
          </w:tblCellMar>
        </w:tblPrEx>
        <w:trPr>
          <w:trHeight w:val="285" w:hRule="atLeast"/>
        </w:trPr>
        <w:tc>
          <w:tcPr>
            <w:tcW w:w="1199" w:type="pct"/>
            <w:tcBorders>
              <w:top w:val="single" w:color="auto" w:sz="8" w:space="0"/>
              <w:left w:val="single" w:color="auto" w:sz="8" w:space="0"/>
              <w:bottom w:val="single" w:color="auto" w:sz="8" w:space="0"/>
              <w:right w:val="single" w:color="auto" w:sz="8" w:space="0"/>
            </w:tcBorders>
            <w:shd w:val="clear" w:color="auto" w:fill="auto"/>
            <w:noWrap/>
            <w:vAlign w:val="bottom"/>
          </w:tcPr>
          <w:p w14:paraId="04B234C7">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序号 </w:t>
            </w:r>
          </w:p>
        </w:tc>
        <w:tc>
          <w:tcPr>
            <w:tcW w:w="2140" w:type="pct"/>
            <w:tcBorders>
              <w:top w:val="single" w:color="auto" w:sz="8" w:space="0"/>
              <w:left w:val="nil"/>
              <w:bottom w:val="single" w:color="auto" w:sz="8" w:space="0"/>
              <w:right w:val="single" w:color="auto" w:sz="8" w:space="0"/>
            </w:tcBorders>
            <w:shd w:val="clear" w:color="auto" w:fill="auto"/>
            <w:noWrap/>
            <w:vAlign w:val="bottom"/>
          </w:tcPr>
          <w:p w14:paraId="439F613A">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项目名称 </w:t>
            </w:r>
          </w:p>
        </w:tc>
        <w:tc>
          <w:tcPr>
            <w:tcW w:w="1661" w:type="pct"/>
            <w:tcBorders>
              <w:top w:val="single" w:color="auto" w:sz="8" w:space="0"/>
              <w:left w:val="nil"/>
              <w:bottom w:val="single" w:color="auto" w:sz="8" w:space="0"/>
              <w:right w:val="single" w:color="auto" w:sz="8" w:space="0"/>
            </w:tcBorders>
            <w:shd w:val="clear" w:color="auto" w:fill="auto"/>
            <w:noWrap/>
            <w:vAlign w:val="bottom"/>
          </w:tcPr>
          <w:p w14:paraId="5461CAFB">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合计 </w:t>
            </w:r>
          </w:p>
        </w:tc>
      </w:tr>
      <w:tr w14:paraId="6C6FDAE0">
        <w:tblPrEx>
          <w:tblCellMar>
            <w:top w:w="0" w:type="dxa"/>
            <w:left w:w="108" w:type="dxa"/>
            <w:bottom w:w="0" w:type="dxa"/>
            <w:right w:w="108" w:type="dxa"/>
          </w:tblCellMar>
        </w:tblPrEx>
        <w:trPr>
          <w:trHeight w:val="300"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244F7D5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w:t>
            </w:r>
          </w:p>
        </w:tc>
        <w:tc>
          <w:tcPr>
            <w:tcW w:w="2140" w:type="pct"/>
            <w:tcBorders>
              <w:top w:val="nil"/>
              <w:left w:val="nil"/>
              <w:bottom w:val="single" w:color="auto" w:sz="8" w:space="0"/>
              <w:right w:val="single" w:color="auto" w:sz="8" w:space="0"/>
            </w:tcBorders>
            <w:shd w:val="clear" w:color="auto" w:fill="auto"/>
            <w:vAlign w:val="center"/>
          </w:tcPr>
          <w:p w14:paraId="18880378">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建设工程费用 </w:t>
            </w:r>
          </w:p>
        </w:tc>
        <w:tc>
          <w:tcPr>
            <w:tcW w:w="1661" w:type="pct"/>
            <w:tcBorders>
              <w:top w:val="nil"/>
              <w:left w:val="nil"/>
              <w:bottom w:val="single" w:color="auto" w:sz="8" w:space="0"/>
              <w:right w:val="single" w:color="auto" w:sz="8" w:space="0"/>
            </w:tcBorders>
            <w:shd w:val="clear" w:color="auto" w:fill="auto"/>
            <w:vAlign w:val="center"/>
          </w:tcPr>
          <w:p w14:paraId="34F9C10D">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631,377.07</w:t>
            </w:r>
          </w:p>
        </w:tc>
      </w:tr>
      <w:tr w14:paraId="7212DCB7">
        <w:tblPrEx>
          <w:tblCellMar>
            <w:top w:w="0" w:type="dxa"/>
            <w:left w:w="108" w:type="dxa"/>
            <w:bottom w:w="0" w:type="dxa"/>
            <w:right w:w="108" w:type="dxa"/>
          </w:tblCellMar>
        </w:tblPrEx>
        <w:trPr>
          <w:trHeight w:val="285"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1A2CA45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w:t>
            </w:r>
          </w:p>
        </w:tc>
        <w:tc>
          <w:tcPr>
            <w:tcW w:w="2140" w:type="pct"/>
            <w:tcBorders>
              <w:top w:val="nil"/>
              <w:left w:val="nil"/>
              <w:bottom w:val="single" w:color="auto" w:sz="8" w:space="0"/>
              <w:right w:val="single" w:color="auto" w:sz="8" w:space="0"/>
            </w:tcBorders>
            <w:shd w:val="clear" w:color="auto" w:fill="auto"/>
            <w:vAlign w:val="center"/>
          </w:tcPr>
          <w:p w14:paraId="3DA92C84">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工程建设其他费用 </w:t>
            </w:r>
          </w:p>
        </w:tc>
        <w:tc>
          <w:tcPr>
            <w:tcW w:w="1661" w:type="pct"/>
            <w:tcBorders>
              <w:top w:val="nil"/>
              <w:left w:val="nil"/>
              <w:bottom w:val="single" w:color="auto" w:sz="8" w:space="0"/>
              <w:right w:val="single" w:color="auto" w:sz="8" w:space="0"/>
            </w:tcBorders>
            <w:shd w:val="clear" w:color="auto" w:fill="auto"/>
            <w:vAlign w:val="center"/>
          </w:tcPr>
          <w:p w14:paraId="1E1DA36A">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250,300.08</w:t>
            </w:r>
          </w:p>
        </w:tc>
      </w:tr>
      <w:tr w14:paraId="7F97B7EB">
        <w:tblPrEx>
          <w:tblCellMar>
            <w:top w:w="0" w:type="dxa"/>
            <w:left w:w="108" w:type="dxa"/>
            <w:bottom w:w="0" w:type="dxa"/>
            <w:right w:w="108" w:type="dxa"/>
          </w:tblCellMar>
        </w:tblPrEx>
        <w:trPr>
          <w:trHeight w:val="312"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58AA560F">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w:t>
            </w:r>
          </w:p>
        </w:tc>
        <w:tc>
          <w:tcPr>
            <w:tcW w:w="2140" w:type="pct"/>
            <w:tcBorders>
              <w:top w:val="nil"/>
              <w:left w:val="nil"/>
              <w:bottom w:val="single" w:color="auto" w:sz="8" w:space="0"/>
              <w:right w:val="single" w:color="auto" w:sz="8" w:space="0"/>
            </w:tcBorders>
            <w:shd w:val="clear" w:color="auto" w:fill="auto"/>
            <w:vAlign w:val="center"/>
          </w:tcPr>
          <w:p w14:paraId="19B467C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基本预备费 </w:t>
            </w:r>
          </w:p>
        </w:tc>
        <w:tc>
          <w:tcPr>
            <w:tcW w:w="1661" w:type="pct"/>
            <w:tcBorders>
              <w:top w:val="nil"/>
              <w:left w:val="nil"/>
              <w:bottom w:val="single" w:color="auto" w:sz="8" w:space="0"/>
              <w:right w:val="single" w:color="auto" w:sz="8" w:space="0"/>
            </w:tcBorders>
            <w:shd w:val="clear" w:color="auto" w:fill="auto"/>
            <w:vAlign w:val="center"/>
          </w:tcPr>
          <w:p w14:paraId="38FDE71B">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44,083.86</w:t>
            </w:r>
          </w:p>
        </w:tc>
      </w:tr>
      <w:tr w14:paraId="4CA5B053">
        <w:tblPrEx>
          <w:tblCellMar>
            <w:top w:w="0" w:type="dxa"/>
            <w:left w:w="108" w:type="dxa"/>
            <w:bottom w:w="0" w:type="dxa"/>
            <w:right w:w="108" w:type="dxa"/>
          </w:tblCellMar>
        </w:tblPrEx>
        <w:trPr>
          <w:trHeight w:val="312"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7A77ACA7">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4</w:t>
            </w:r>
          </w:p>
        </w:tc>
        <w:tc>
          <w:tcPr>
            <w:tcW w:w="2140" w:type="pct"/>
            <w:tcBorders>
              <w:top w:val="nil"/>
              <w:left w:val="nil"/>
              <w:bottom w:val="single" w:color="auto" w:sz="8" w:space="0"/>
              <w:right w:val="single" w:color="auto" w:sz="8" w:space="0"/>
            </w:tcBorders>
            <w:shd w:val="clear" w:color="auto" w:fill="auto"/>
            <w:vAlign w:val="center"/>
          </w:tcPr>
          <w:p w14:paraId="5C276D4A">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专项费用 </w:t>
            </w:r>
          </w:p>
        </w:tc>
        <w:tc>
          <w:tcPr>
            <w:tcW w:w="1661" w:type="pct"/>
            <w:tcBorders>
              <w:top w:val="nil"/>
              <w:left w:val="nil"/>
              <w:bottom w:val="single" w:color="auto" w:sz="8" w:space="0"/>
              <w:right w:val="single" w:color="auto" w:sz="8" w:space="0"/>
            </w:tcBorders>
            <w:shd w:val="clear" w:color="auto" w:fill="auto"/>
            <w:vAlign w:val="center"/>
          </w:tcPr>
          <w:p w14:paraId="6F989C00">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170,232.05</w:t>
            </w:r>
          </w:p>
        </w:tc>
      </w:tr>
      <w:tr w14:paraId="34C0478D">
        <w:tblPrEx>
          <w:tblCellMar>
            <w:top w:w="0" w:type="dxa"/>
            <w:left w:w="108" w:type="dxa"/>
            <w:bottom w:w="0" w:type="dxa"/>
            <w:right w:w="108" w:type="dxa"/>
          </w:tblCellMar>
        </w:tblPrEx>
        <w:trPr>
          <w:trHeight w:val="285" w:hRule="atLeast"/>
        </w:trPr>
        <w:tc>
          <w:tcPr>
            <w:tcW w:w="3339" w:type="pct"/>
            <w:gridSpan w:val="2"/>
            <w:tcBorders>
              <w:top w:val="single" w:color="auto" w:sz="8" w:space="0"/>
              <w:left w:val="single" w:color="auto" w:sz="8" w:space="0"/>
              <w:bottom w:val="single" w:color="auto" w:sz="8" w:space="0"/>
              <w:right w:val="single" w:color="auto" w:sz="8" w:space="0"/>
            </w:tcBorders>
            <w:shd w:val="clear" w:color="auto" w:fill="auto"/>
            <w:noWrap/>
            <w:vAlign w:val="bottom"/>
          </w:tcPr>
          <w:p w14:paraId="0B6A319A">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项目总投资 </w:t>
            </w:r>
          </w:p>
        </w:tc>
        <w:tc>
          <w:tcPr>
            <w:tcW w:w="1661" w:type="pct"/>
            <w:tcBorders>
              <w:top w:val="nil"/>
              <w:left w:val="nil"/>
              <w:bottom w:val="single" w:color="auto" w:sz="8" w:space="0"/>
              <w:right w:val="single" w:color="auto" w:sz="8" w:space="0"/>
            </w:tcBorders>
            <w:shd w:val="clear" w:color="auto" w:fill="auto"/>
            <w:vAlign w:val="center"/>
          </w:tcPr>
          <w:p w14:paraId="03FDA56F">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1,095,993.06</w:t>
            </w:r>
          </w:p>
        </w:tc>
      </w:tr>
    </w:tbl>
    <w:p w14:paraId="4F85B6DA">
      <w:pPr>
        <w:widowControl/>
        <w:spacing w:before="100" w:beforeAutospacing="1" w:after="156" w:afterLines="50" w:afterAutospacing="1" w:line="400" w:lineRule="exact"/>
        <w:ind w:firstLine="0" w:firstLineChars="0"/>
        <w:jc w:val="center"/>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表</w:t>
      </w:r>
      <w:r>
        <w:rPr>
          <w:rFonts w:ascii="宋体" w:hAnsi="宋体" w:eastAsia="宋体" w:cs="宋体"/>
          <w:b/>
          <w:color w:val="000000"/>
          <w:kern w:val="0"/>
          <w:sz w:val="21"/>
          <w:szCs w:val="21"/>
        </w:rPr>
        <w:t>2</w:t>
      </w:r>
      <w:r>
        <w:rPr>
          <w:rFonts w:hint="eastAsia" w:ascii="宋体" w:hAnsi="宋体" w:eastAsia="宋体" w:cs="宋体"/>
          <w:b/>
          <w:color w:val="000000"/>
          <w:kern w:val="0"/>
          <w:sz w:val="21"/>
          <w:szCs w:val="21"/>
        </w:rPr>
        <w:t>-2</w:t>
      </w:r>
      <w:r>
        <w:rPr>
          <w:rFonts w:ascii="宋体" w:hAnsi="宋体" w:eastAsia="宋体" w:cs="宋体"/>
          <w:b/>
          <w:color w:val="000000"/>
          <w:kern w:val="0"/>
          <w:sz w:val="21"/>
          <w:szCs w:val="21"/>
        </w:rPr>
        <w:t xml:space="preserve"> </w:t>
      </w:r>
      <w:r>
        <w:rPr>
          <w:rFonts w:hint="eastAsia" w:ascii="宋体" w:hAnsi="宋体" w:eastAsia="宋体" w:cs="宋体"/>
          <w:b/>
          <w:color w:val="000000"/>
          <w:kern w:val="0"/>
          <w:sz w:val="21"/>
          <w:szCs w:val="21"/>
        </w:rPr>
        <w:t xml:space="preserve"> 项目分年度支出计划表</w:t>
      </w:r>
    </w:p>
    <w:p w14:paraId="57C49FBD">
      <w:pPr>
        <w:spacing w:line="400" w:lineRule="exact"/>
        <w:ind w:firstLine="360"/>
        <w:jc w:val="right"/>
        <w:rPr>
          <w:rFonts w:hint="eastAsia" w:ascii="宋体" w:hAnsi="宋体" w:cs="仿宋"/>
          <w:b/>
          <w:bCs/>
          <w:color w:val="000000" w:themeColor="text1"/>
          <w:sz w:val="18"/>
          <w:szCs w:val="18"/>
        </w:rPr>
      </w:pPr>
      <w:r>
        <w:rPr>
          <w:rFonts w:hint="eastAsia"/>
          <w:color w:val="000000" w:themeColor="text1"/>
          <w:sz w:val="18"/>
          <w:szCs w:val="18"/>
        </w:rPr>
        <w:t>单位：万元</w:t>
      </w:r>
    </w:p>
    <w:tbl>
      <w:tblPr>
        <w:tblStyle w:val="28"/>
        <w:tblW w:w="5000" w:type="pct"/>
        <w:tblInd w:w="0" w:type="dxa"/>
        <w:tblLayout w:type="autofit"/>
        <w:tblCellMar>
          <w:top w:w="0" w:type="dxa"/>
          <w:left w:w="108" w:type="dxa"/>
          <w:bottom w:w="0" w:type="dxa"/>
          <w:right w:w="108" w:type="dxa"/>
        </w:tblCellMar>
      </w:tblPr>
      <w:tblGrid>
        <w:gridCol w:w="520"/>
        <w:gridCol w:w="1177"/>
        <w:gridCol w:w="1341"/>
        <w:gridCol w:w="1062"/>
        <w:gridCol w:w="1155"/>
        <w:gridCol w:w="1155"/>
        <w:gridCol w:w="1155"/>
        <w:gridCol w:w="1155"/>
      </w:tblGrid>
      <w:tr w14:paraId="6FE3C38E">
        <w:tblPrEx>
          <w:tblCellMar>
            <w:top w:w="0" w:type="dxa"/>
            <w:left w:w="108" w:type="dxa"/>
            <w:bottom w:w="0" w:type="dxa"/>
            <w:right w:w="108" w:type="dxa"/>
          </w:tblCellMar>
        </w:tblPrEx>
        <w:trPr>
          <w:trHeight w:val="285" w:hRule="atLeast"/>
          <w:tblHeader/>
        </w:trPr>
        <w:tc>
          <w:tcPr>
            <w:tcW w:w="298" w:type="pct"/>
            <w:tcBorders>
              <w:top w:val="single" w:color="auto" w:sz="8" w:space="0"/>
              <w:left w:val="single" w:color="auto" w:sz="8" w:space="0"/>
              <w:bottom w:val="single" w:color="auto" w:sz="8" w:space="0"/>
              <w:right w:val="single" w:color="auto" w:sz="8" w:space="0"/>
            </w:tcBorders>
            <w:shd w:val="clear" w:color="auto" w:fill="auto"/>
            <w:vAlign w:val="center"/>
          </w:tcPr>
          <w:p w14:paraId="2D30E7A2">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75" w:type="pct"/>
            <w:tcBorders>
              <w:top w:val="single" w:color="auto" w:sz="8" w:space="0"/>
              <w:left w:val="nil"/>
              <w:bottom w:val="single" w:color="auto" w:sz="8" w:space="0"/>
              <w:right w:val="single" w:color="auto" w:sz="8" w:space="0"/>
            </w:tcBorders>
            <w:shd w:val="clear" w:color="auto" w:fill="auto"/>
            <w:vAlign w:val="center"/>
          </w:tcPr>
          <w:p w14:paraId="483300C0">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费用类型</w:t>
            </w:r>
          </w:p>
        </w:tc>
        <w:tc>
          <w:tcPr>
            <w:tcW w:w="769" w:type="pct"/>
            <w:tcBorders>
              <w:top w:val="single" w:color="auto" w:sz="8" w:space="0"/>
              <w:left w:val="nil"/>
              <w:bottom w:val="single" w:color="auto" w:sz="8" w:space="0"/>
              <w:right w:val="single" w:color="auto" w:sz="8" w:space="0"/>
            </w:tcBorders>
            <w:shd w:val="clear" w:color="auto" w:fill="auto"/>
            <w:vAlign w:val="center"/>
          </w:tcPr>
          <w:p w14:paraId="67B0A9DA">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609" w:type="pct"/>
            <w:tcBorders>
              <w:top w:val="single" w:color="auto" w:sz="8" w:space="0"/>
              <w:left w:val="nil"/>
              <w:bottom w:val="single" w:color="auto" w:sz="8" w:space="0"/>
              <w:right w:val="single" w:color="auto" w:sz="8" w:space="0"/>
            </w:tcBorders>
            <w:shd w:val="clear" w:color="auto" w:fill="auto"/>
            <w:vAlign w:val="center"/>
          </w:tcPr>
          <w:p w14:paraId="7F7103CE">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2021年</w:t>
            </w:r>
          </w:p>
        </w:tc>
        <w:tc>
          <w:tcPr>
            <w:tcW w:w="662" w:type="pct"/>
            <w:tcBorders>
              <w:top w:val="single" w:color="auto" w:sz="8" w:space="0"/>
              <w:left w:val="nil"/>
              <w:bottom w:val="single" w:color="auto" w:sz="8" w:space="0"/>
              <w:right w:val="single" w:color="auto" w:sz="8" w:space="0"/>
            </w:tcBorders>
            <w:shd w:val="clear" w:color="auto" w:fill="auto"/>
            <w:vAlign w:val="center"/>
          </w:tcPr>
          <w:p w14:paraId="2DAC0074">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2022年</w:t>
            </w:r>
          </w:p>
        </w:tc>
        <w:tc>
          <w:tcPr>
            <w:tcW w:w="662" w:type="pct"/>
            <w:tcBorders>
              <w:top w:val="single" w:color="auto" w:sz="8" w:space="0"/>
              <w:left w:val="nil"/>
              <w:bottom w:val="single" w:color="auto" w:sz="8" w:space="0"/>
              <w:right w:val="single" w:color="auto" w:sz="8" w:space="0"/>
            </w:tcBorders>
            <w:shd w:val="clear" w:color="auto" w:fill="auto"/>
            <w:vAlign w:val="center"/>
          </w:tcPr>
          <w:p w14:paraId="3A9A3D7B">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662" w:type="pct"/>
            <w:tcBorders>
              <w:top w:val="single" w:color="auto" w:sz="8" w:space="0"/>
              <w:left w:val="nil"/>
              <w:bottom w:val="single" w:color="auto" w:sz="8" w:space="0"/>
              <w:right w:val="single" w:color="auto" w:sz="8" w:space="0"/>
            </w:tcBorders>
            <w:shd w:val="clear" w:color="auto" w:fill="auto"/>
            <w:vAlign w:val="center"/>
          </w:tcPr>
          <w:p w14:paraId="4A355B4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662" w:type="pct"/>
            <w:tcBorders>
              <w:top w:val="single" w:color="auto" w:sz="8" w:space="0"/>
              <w:left w:val="nil"/>
              <w:bottom w:val="single" w:color="auto" w:sz="8" w:space="0"/>
              <w:right w:val="single" w:color="auto" w:sz="8" w:space="0"/>
            </w:tcBorders>
            <w:shd w:val="clear" w:color="auto" w:fill="auto"/>
            <w:vAlign w:val="center"/>
          </w:tcPr>
          <w:p w14:paraId="7BFB39C2">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2025年</w:t>
            </w:r>
          </w:p>
        </w:tc>
      </w:tr>
      <w:tr w14:paraId="3352D270">
        <w:tblPrEx>
          <w:tblCellMar>
            <w:top w:w="0" w:type="dxa"/>
            <w:left w:w="108" w:type="dxa"/>
            <w:bottom w:w="0" w:type="dxa"/>
            <w:right w:w="108" w:type="dxa"/>
          </w:tblCellMar>
        </w:tblPrEx>
        <w:trPr>
          <w:trHeight w:val="285" w:hRule="atLeast"/>
        </w:trPr>
        <w:tc>
          <w:tcPr>
            <w:tcW w:w="298" w:type="pct"/>
            <w:tcBorders>
              <w:top w:val="nil"/>
              <w:left w:val="single" w:color="auto" w:sz="8" w:space="0"/>
              <w:bottom w:val="single" w:color="auto" w:sz="8" w:space="0"/>
              <w:right w:val="single" w:color="auto" w:sz="8" w:space="0"/>
            </w:tcBorders>
            <w:shd w:val="clear" w:color="auto" w:fill="auto"/>
            <w:vAlign w:val="center"/>
          </w:tcPr>
          <w:p w14:paraId="0FD21700">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w:t>
            </w:r>
          </w:p>
        </w:tc>
        <w:tc>
          <w:tcPr>
            <w:tcW w:w="675" w:type="pct"/>
            <w:tcBorders>
              <w:top w:val="nil"/>
              <w:left w:val="nil"/>
              <w:bottom w:val="single" w:color="auto" w:sz="8" w:space="0"/>
              <w:right w:val="single" w:color="auto" w:sz="8" w:space="0"/>
            </w:tcBorders>
            <w:shd w:val="clear" w:color="auto" w:fill="auto"/>
            <w:vAlign w:val="center"/>
          </w:tcPr>
          <w:p w14:paraId="09C90A9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建设工程费用</w:t>
            </w:r>
          </w:p>
        </w:tc>
        <w:tc>
          <w:tcPr>
            <w:tcW w:w="76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0A7B6B9">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631,377.07</w:t>
            </w:r>
          </w:p>
        </w:tc>
        <w:tc>
          <w:tcPr>
            <w:tcW w:w="609" w:type="pct"/>
            <w:tcBorders>
              <w:top w:val="nil"/>
              <w:left w:val="nil"/>
              <w:bottom w:val="single" w:color="auto" w:sz="8" w:space="0"/>
              <w:right w:val="single" w:color="auto" w:sz="8" w:space="0"/>
            </w:tcBorders>
            <w:shd w:val="clear" w:color="auto" w:fill="auto"/>
            <w:vAlign w:val="center"/>
          </w:tcPr>
          <w:p w14:paraId="3D197A59">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33,257.00</w:t>
            </w:r>
          </w:p>
        </w:tc>
        <w:tc>
          <w:tcPr>
            <w:tcW w:w="662" w:type="pct"/>
            <w:tcBorders>
              <w:top w:val="nil"/>
              <w:left w:val="nil"/>
              <w:bottom w:val="single" w:color="auto" w:sz="8" w:space="0"/>
              <w:right w:val="single" w:color="auto" w:sz="8" w:space="0"/>
            </w:tcBorders>
            <w:shd w:val="clear" w:color="auto" w:fill="auto"/>
            <w:vAlign w:val="center"/>
          </w:tcPr>
          <w:p w14:paraId="15778971">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105,688.10</w:t>
            </w:r>
          </w:p>
        </w:tc>
        <w:tc>
          <w:tcPr>
            <w:tcW w:w="662" w:type="pct"/>
            <w:tcBorders>
              <w:top w:val="nil"/>
              <w:left w:val="nil"/>
              <w:bottom w:val="single" w:color="auto" w:sz="8" w:space="0"/>
              <w:right w:val="single" w:color="auto" w:sz="8" w:space="0"/>
            </w:tcBorders>
            <w:shd w:val="clear" w:color="auto" w:fill="auto"/>
            <w:vAlign w:val="center"/>
          </w:tcPr>
          <w:p w14:paraId="25E08294">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212,636.90</w:t>
            </w:r>
          </w:p>
        </w:tc>
        <w:tc>
          <w:tcPr>
            <w:tcW w:w="662" w:type="pct"/>
            <w:tcBorders>
              <w:top w:val="nil"/>
              <w:left w:val="nil"/>
              <w:bottom w:val="single" w:color="auto" w:sz="8" w:space="0"/>
              <w:right w:val="single" w:color="auto" w:sz="8" w:space="0"/>
            </w:tcBorders>
            <w:shd w:val="clear" w:color="auto" w:fill="auto"/>
            <w:vAlign w:val="center"/>
          </w:tcPr>
          <w:p w14:paraId="30FE2908">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209,594.00</w:t>
            </w:r>
          </w:p>
        </w:tc>
        <w:tc>
          <w:tcPr>
            <w:tcW w:w="662" w:type="pct"/>
            <w:tcBorders>
              <w:top w:val="nil"/>
              <w:left w:val="nil"/>
              <w:bottom w:val="single" w:color="auto" w:sz="8" w:space="0"/>
              <w:right w:val="single" w:color="auto" w:sz="8" w:space="0"/>
            </w:tcBorders>
            <w:shd w:val="clear" w:color="auto" w:fill="auto"/>
            <w:vAlign w:val="center"/>
          </w:tcPr>
          <w:p w14:paraId="2178D367">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70,201.07</w:t>
            </w:r>
          </w:p>
        </w:tc>
      </w:tr>
      <w:tr w14:paraId="0A4DD5A7">
        <w:tblPrEx>
          <w:tblCellMar>
            <w:top w:w="0" w:type="dxa"/>
            <w:left w:w="108" w:type="dxa"/>
            <w:bottom w:w="0" w:type="dxa"/>
            <w:right w:w="108" w:type="dxa"/>
          </w:tblCellMar>
        </w:tblPrEx>
        <w:trPr>
          <w:trHeight w:val="285" w:hRule="atLeast"/>
        </w:trPr>
        <w:tc>
          <w:tcPr>
            <w:tcW w:w="298" w:type="pct"/>
            <w:tcBorders>
              <w:top w:val="nil"/>
              <w:left w:val="single" w:color="auto" w:sz="8" w:space="0"/>
              <w:bottom w:val="single" w:color="auto" w:sz="8" w:space="0"/>
              <w:right w:val="single" w:color="auto" w:sz="8" w:space="0"/>
            </w:tcBorders>
            <w:shd w:val="clear" w:color="auto" w:fill="auto"/>
            <w:vAlign w:val="center"/>
          </w:tcPr>
          <w:p w14:paraId="0B5FD920">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w:t>
            </w:r>
          </w:p>
        </w:tc>
        <w:tc>
          <w:tcPr>
            <w:tcW w:w="675" w:type="pct"/>
            <w:tcBorders>
              <w:top w:val="nil"/>
              <w:left w:val="nil"/>
              <w:bottom w:val="single" w:color="auto" w:sz="8" w:space="0"/>
              <w:right w:val="single" w:color="auto" w:sz="8" w:space="0"/>
            </w:tcBorders>
            <w:shd w:val="clear" w:color="auto" w:fill="auto"/>
            <w:vAlign w:val="center"/>
          </w:tcPr>
          <w:p w14:paraId="77194A3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工程建设其他费用</w:t>
            </w:r>
          </w:p>
        </w:tc>
        <w:tc>
          <w:tcPr>
            <w:tcW w:w="769" w:type="pct"/>
            <w:tcBorders>
              <w:top w:val="nil"/>
              <w:left w:val="single" w:color="auto" w:sz="4" w:space="0"/>
              <w:bottom w:val="single" w:color="auto" w:sz="4" w:space="0"/>
              <w:right w:val="single" w:color="auto" w:sz="4" w:space="0"/>
            </w:tcBorders>
            <w:shd w:val="clear" w:color="auto" w:fill="auto"/>
            <w:noWrap/>
            <w:vAlign w:val="center"/>
          </w:tcPr>
          <w:p w14:paraId="2040CC31">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250,300.08</w:t>
            </w:r>
          </w:p>
        </w:tc>
        <w:tc>
          <w:tcPr>
            <w:tcW w:w="609" w:type="pct"/>
            <w:tcBorders>
              <w:top w:val="nil"/>
              <w:left w:val="nil"/>
              <w:bottom w:val="single" w:color="auto" w:sz="8" w:space="0"/>
              <w:right w:val="single" w:color="auto" w:sz="8" w:space="0"/>
            </w:tcBorders>
            <w:shd w:val="clear" w:color="auto" w:fill="auto"/>
            <w:vAlign w:val="center"/>
          </w:tcPr>
          <w:p w14:paraId="70E62DDE">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9,502.00</w:t>
            </w:r>
          </w:p>
        </w:tc>
        <w:tc>
          <w:tcPr>
            <w:tcW w:w="662" w:type="pct"/>
            <w:tcBorders>
              <w:top w:val="nil"/>
              <w:left w:val="nil"/>
              <w:bottom w:val="single" w:color="auto" w:sz="8" w:space="0"/>
              <w:right w:val="single" w:color="auto" w:sz="8" w:space="0"/>
            </w:tcBorders>
            <w:shd w:val="clear" w:color="auto" w:fill="auto"/>
            <w:vAlign w:val="center"/>
          </w:tcPr>
          <w:p w14:paraId="497A951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30,196.60</w:t>
            </w:r>
          </w:p>
        </w:tc>
        <w:tc>
          <w:tcPr>
            <w:tcW w:w="662" w:type="pct"/>
            <w:tcBorders>
              <w:top w:val="nil"/>
              <w:left w:val="nil"/>
              <w:bottom w:val="single" w:color="auto" w:sz="8" w:space="0"/>
              <w:right w:val="single" w:color="auto" w:sz="8" w:space="0"/>
            </w:tcBorders>
            <w:shd w:val="clear" w:color="auto" w:fill="auto"/>
            <w:vAlign w:val="center"/>
          </w:tcPr>
          <w:p w14:paraId="7EB6352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60,753.40</w:t>
            </w:r>
          </w:p>
        </w:tc>
        <w:tc>
          <w:tcPr>
            <w:tcW w:w="662" w:type="pct"/>
            <w:tcBorders>
              <w:top w:val="nil"/>
              <w:left w:val="nil"/>
              <w:bottom w:val="single" w:color="auto" w:sz="8" w:space="0"/>
              <w:right w:val="single" w:color="auto" w:sz="8" w:space="0"/>
            </w:tcBorders>
            <w:shd w:val="clear" w:color="auto" w:fill="auto"/>
            <w:vAlign w:val="center"/>
          </w:tcPr>
          <w:p w14:paraId="2F21C993">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59,884.00</w:t>
            </w:r>
          </w:p>
        </w:tc>
        <w:tc>
          <w:tcPr>
            <w:tcW w:w="662" w:type="pct"/>
            <w:tcBorders>
              <w:top w:val="nil"/>
              <w:left w:val="nil"/>
              <w:bottom w:val="single" w:color="auto" w:sz="8" w:space="0"/>
              <w:right w:val="single" w:color="auto" w:sz="8" w:space="0"/>
            </w:tcBorders>
            <w:shd w:val="clear" w:color="auto" w:fill="auto"/>
            <w:vAlign w:val="center"/>
          </w:tcPr>
          <w:p w14:paraId="3E3ECD11">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89,964.08</w:t>
            </w:r>
          </w:p>
        </w:tc>
      </w:tr>
      <w:tr w14:paraId="2C67C234">
        <w:tblPrEx>
          <w:tblCellMar>
            <w:top w:w="0" w:type="dxa"/>
            <w:left w:w="108" w:type="dxa"/>
            <w:bottom w:w="0" w:type="dxa"/>
            <w:right w:w="108" w:type="dxa"/>
          </w:tblCellMar>
        </w:tblPrEx>
        <w:trPr>
          <w:trHeight w:val="285" w:hRule="atLeast"/>
        </w:trPr>
        <w:tc>
          <w:tcPr>
            <w:tcW w:w="298" w:type="pct"/>
            <w:tcBorders>
              <w:top w:val="nil"/>
              <w:left w:val="single" w:color="auto" w:sz="8" w:space="0"/>
              <w:bottom w:val="single" w:color="auto" w:sz="8" w:space="0"/>
              <w:right w:val="single" w:color="auto" w:sz="8" w:space="0"/>
            </w:tcBorders>
            <w:shd w:val="clear" w:color="auto" w:fill="auto"/>
            <w:vAlign w:val="center"/>
          </w:tcPr>
          <w:p w14:paraId="670A1E4A">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w:t>
            </w:r>
          </w:p>
        </w:tc>
        <w:tc>
          <w:tcPr>
            <w:tcW w:w="675" w:type="pct"/>
            <w:tcBorders>
              <w:top w:val="nil"/>
              <w:left w:val="nil"/>
              <w:bottom w:val="single" w:color="auto" w:sz="8" w:space="0"/>
              <w:right w:val="single" w:color="auto" w:sz="8" w:space="0"/>
            </w:tcBorders>
            <w:shd w:val="clear" w:color="auto" w:fill="auto"/>
            <w:vAlign w:val="center"/>
          </w:tcPr>
          <w:p w14:paraId="0A38E6AF">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基本预备费</w:t>
            </w:r>
          </w:p>
        </w:tc>
        <w:tc>
          <w:tcPr>
            <w:tcW w:w="769" w:type="pct"/>
            <w:tcBorders>
              <w:top w:val="nil"/>
              <w:left w:val="single" w:color="auto" w:sz="4" w:space="0"/>
              <w:bottom w:val="single" w:color="auto" w:sz="4" w:space="0"/>
              <w:right w:val="single" w:color="auto" w:sz="4" w:space="0"/>
            </w:tcBorders>
            <w:shd w:val="clear" w:color="auto" w:fill="auto"/>
            <w:noWrap/>
            <w:vAlign w:val="center"/>
          </w:tcPr>
          <w:p w14:paraId="43F68D5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44,083.86</w:t>
            </w:r>
          </w:p>
        </w:tc>
        <w:tc>
          <w:tcPr>
            <w:tcW w:w="609" w:type="pct"/>
            <w:tcBorders>
              <w:top w:val="nil"/>
              <w:left w:val="nil"/>
              <w:bottom w:val="single" w:color="auto" w:sz="8" w:space="0"/>
              <w:right w:val="single" w:color="auto" w:sz="8" w:space="0"/>
            </w:tcBorders>
            <w:shd w:val="clear" w:color="auto" w:fill="auto"/>
            <w:vAlign w:val="center"/>
          </w:tcPr>
          <w:p w14:paraId="6498D3D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3,368.12</w:t>
            </w:r>
          </w:p>
        </w:tc>
        <w:tc>
          <w:tcPr>
            <w:tcW w:w="662" w:type="pct"/>
            <w:tcBorders>
              <w:top w:val="nil"/>
              <w:left w:val="nil"/>
              <w:bottom w:val="single" w:color="auto" w:sz="8" w:space="0"/>
              <w:right w:val="single" w:color="auto" w:sz="8" w:space="0"/>
            </w:tcBorders>
            <w:shd w:val="clear" w:color="auto" w:fill="auto"/>
            <w:vAlign w:val="center"/>
          </w:tcPr>
          <w:p w14:paraId="5603B067">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12,303.99</w:t>
            </w:r>
          </w:p>
        </w:tc>
        <w:tc>
          <w:tcPr>
            <w:tcW w:w="662" w:type="pct"/>
            <w:tcBorders>
              <w:top w:val="nil"/>
              <w:left w:val="nil"/>
              <w:bottom w:val="single" w:color="auto" w:sz="8" w:space="0"/>
              <w:right w:val="single" w:color="auto" w:sz="8" w:space="0"/>
            </w:tcBorders>
            <w:shd w:val="clear" w:color="auto" w:fill="auto"/>
            <w:vAlign w:val="center"/>
          </w:tcPr>
          <w:p w14:paraId="66933C54">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8,000.00</w:t>
            </w:r>
          </w:p>
        </w:tc>
        <w:tc>
          <w:tcPr>
            <w:tcW w:w="662" w:type="pct"/>
            <w:tcBorders>
              <w:top w:val="nil"/>
              <w:left w:val="nil"/>
              <w:bottom w:val="single" w:color="auto" w:sz="8" w:space="0"/>
              <w:right w:val="single" w:color="auto" w:sz="8" w:space="0"/>
            </w:tcBorders>
            <w:shd w:val="clear" w:color="auto" w:fill="auto"/>
            <w:vAlign w:val="center"/>
          </w:tcPr>
          <w:p w14:paraId="397E4559">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14,253.77</w:t>
            </w:r>
          </w:p>
        </w:tc>
        <w:tc>
          <w:tcPr>
            <w:tcW w:w="662" w:type="pct"/>
            <w:tcBorders>
              <w:top w:val="nil"/>
              <w:left w:val="nil"/>
              <w:bottom w:val="single" w:color="auto" w:sz="8" w:space="0"/>
              <w:right w:val="single" w:color="auto" w:sz="8" w:space="0"/>
            </w:tcBorders>
            <w:shd w:val="clear" w:color="auto" w:fill="auto"/>
            <w:vAlign w:val="center"/>
          </w:tcPr>
          <w:p w14:paraId="3C37313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6,157.98</w:t>
            </w:r>
          </w:p>
        </w:tc>
      </w:tr>
      <w:tr w14:paraId="78D72576">
        <w:tblPrEx>
          <w:tblCellMar>
            <w:top w:w="0" w:type="dxa"/>
            <w:left w:w="108" w:type="dxa"/>
            <w:bottom w:w="0" w:type="dxa"/>
            <w:right w:w="108" w:type="dxa"/>
          </w:tblCellMar>
        </w:tblPrEx>
        <w:trPr>
          <w:trHeight w:val="285" w:hRule="atLeast"/>
        </w:trPr>
        <w:tc>
          <w:tcPr>
            <w:tcW w:w="298" w:type="pct"/>
            <w:tcBorders>
              <w:top w:val="nil"/>
              <w:left w:val="single" w:color="auto" w:sz="8" w:space="0"/>
              <w:bottom w:val="single" w:color="auto" w:sz="4" w:space="0"/>
              <w:right w:val="single" w:color="auto" w:sz="8" w:space="0"/>
            </w:tcBorders>
            <w:shd w:val="clear" w:color="auto" w:fill="auto"/>
            <w:vAlign w:val="center"/>
          </w:tcPr>
          <w:p w14:paraId="239219B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4</w:t>
            </w:r>
          </w:p>
        </w:tc>
        <w:tc>
          <w:tcPr>
            <w:tcW w:w="675" w:type="pct"/>
            <w:tcBorders>
              <w:top w:val="nil"/>
              <w:left w:val="nil"/>
              <w:bottom w:val="single" w:color="auto" w:sz="4" w:space="0"/>
              <w:right w:val="single" w:color="auto" w:sz="8" w:space="0"/>
            </w:tcBorders>
            <w:shd w:val="clear" w:color="auto" w:fill="auto"/>
            <w:vAlign w:val="center"/>
          </w:tcPr>
          <w:p w14:paraId="36F1264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专项费用</w:t>
            </w:r>
          </w:p>
        </w:tc>
        <w:tc>
          <w:tcPr>
            <w:tcW w:w="769" w:type="pct"/>
            <w:tcBorders>
              <w:top w:val="nil"/>
              <w:left w:val="single" w:color="auto" w:sz="4" w:space="0"/>
              <w:bottom w:val="single" w:color="auto" w:sz="4" w:space="0"/>
              <w:right w:val="single" w:color="auto" w:sz="4" w:space="0"/>
            </w:tcBorders>
            <w:shd w:val="clear" w:color="auto" w:fill="auto"/>
            <w:noWrap/>
            <w:vAlign w:val="center"/>
          </w:tcPr>
          <w:p w14:paraId="5C56060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170,232.05</w:t>
            </w:r>
          </w:p>
        </w:tc>
        <w:tc>
          <w:tcPr>
            <w:tcW w:w="609" w:type="pct"/>
            <w:tcBorders>
              <w:top w:val="nil"/>
              <w:left w:val="nil"/>
              <w:bottom w:val="single" w:color="auto" w:sz="4" w:space="0"/>
              <w:right w:val="single" w:color="auto" w:sz="8" w:space="0"/>
            </w:tcBorders>
            <w:shd w:val="clear" w:color="auto" w:fill="auto"/>
            <w:vAlign w:val="center"/>
          </w:tcPr>
          <w:p w14:paraId="6B31EFAA">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25,000.00</w:t>
            </w:r>
          </w:p>
        </w:tc>
        <w:tc>
          <w:tcPr>
            <w:tcW w:w="662" w:type="pct"/>
            <w:tcBorders>
              <w:top w:val="nil"/>
              <w:left w:val="nil"/>
              <w:bottom w:val="single" w:color="auto" w:sz="4" w:space="0"/>
              <w:right w:val="single" w:color="auto" w:sz="8" w:space="0"/>
            </w:tcBorders>
            <w:shd w:val="clear" w:color="auto" w:fill="auto"/>
            <w:vAlign w:val="center"/>
          </w:tcPr>
          <w:p w14:paraId="75C444A4">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20,000.00</w:t>
            </w:r>
          </w:p>
        </w:tc>
        <w:tc>
          <w:tcPr>
            <w:tcW w:w="662" w:type="pct"/>
            <w:tcBorders>
              <w:top w:val="nil"/>
              <w:left w:val="nil"/>
              <w:bottom w:val="single" w:color="auto" w:sz="4" w:space="0"/>
              <w:right w:val="single" w:color="auto" w:sz="8" w:space="0"/>
            </w:tcBorders>
            <w:shd w:val="clear" w:color="auto" w:fill="auto"/>
            <w:vAlign w:val="center"/>
          </w:tcPr>
          <w:p w14:paraId="058A396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15,000.00</w:t>
            </w:r>
          </w:p>
        </w:tc>
        <w:tc>
          <w:tcPr>
            <w:tcW w:w="662" w:type="pct"/>
            <w:tcBorders>
              <w:top w:val="nil"/>
              <w:left w:val="nil"/>
              <w:bottom w:val="single" w:color="auto" w:sz="4" w:space="0"/>
              <w:right w:val="single" w:color="auto" w:sz="8" w:space="0"/>
            </w:tcBorders>
            <w:shd w:val="clear" w:color="auto" w:fill="auto"/>
            <w:vAlign w:val="center"/>
          </w:tcPr>
          <w:p w14:paraId="22C8AE3C">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10,000.00</w:t>
            </w:r>
          </w:p>
        </w:tc>
        <w:tc>
          <w:tcPr>
            <w:tcW w:w="662" w:type="pct"/>
            <w:tcBorders>
              <w:top w:val="nil"/>
              <w:left w:val="nil"/>
              <w:bottom w:val="single" w:color="auto" w:sz="4" w:space="0"/>
              <w:right w:val="single" w:color="auto" w:sz="8" w:space="0"/>
            </w:tcBorders>
            <w:shd w:val="clear" w:color="auto" w:fill="auto"/>
            <w:vAlign w:val="center"/>
          </w:tcPr>
          <w:p w14:paraId="07D105C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100,232.05</w:t>
            </w:r>
          </w:p>
        </w:tc>
      </w:tr>
      <w:tr w14:paraId="4DCB2A41">
        <w:tblPrEx>
          <w:tblCellMar>
            <w:top w:w="0" w:type="dxa"/>
            <w:left w:w="108" w:type="dxa"/>
            <w:bottom w:w="0" w:type="dxa"/>
            <w:right w:w="108" w:type="dxa"/>
          </w:tblCellMar>
        </w:tblPrEx>
        <w:trPr>
          <w:trHeight w:val="285" w:hRule="atLeast"/>
        </w:trPr>
        <w:tc>
          <w:tcPr>
            <w:tcW w:w="9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C52A5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本次建设项目支出总计</w:t>
            </w:r>
          </w:p>
        </w:tc>
        <w:tc>
          <w:tcPr>
            <w:tcW w:w="769" w:type="pct"/>
            <w:tcBorders>
              <w:top w:val="single" w:color="auto" w:sz="4" w:space="0"/>
              <w:left w:val="single" w:color="auto" w:sz="4" w:space="0"/>
              <w:bottom w:val="single" w:color="auto" w:sz="4" w:space="0"/>
              <w:right w:val="single" w:color="auto" w:sz="4" w:space="0"/>
            </w:tcBorders>
            <w:shd w:val="clear" w:color="auto" w:fill="auto"/>
            <w:vAlign w:val="center"/>
          </w:tcPr>
          <w:p w14:paraId="56F5F27E">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1,095,993.06</w:t>
            </w:r>
          </w:p>
        </w:tc>
        <w:tc>
          <w:tcPr>
            <w:tcW w:w="609" w:type="pct"/>
            <w:tcBorders>
              <w:top w:val="single" w:color="auto" w:sz="4" w:space="0"/>
              <w:left w:val="single" w:color="auto" w:sz="4" w:space="0"/>
              <w:bottom w:val="single" w:color="auto" w:sz="4" w:space="0"/>
              <w:right w:val="single" w:color="auto" w:sz="4" w:space="0"/>
            </w:tcBorders>
            <w:shd w:val="clear" w:color="auto" w:fill="auto"/>
            <w:vAlign w:val="center"/>
          </w:tcPr>
          <w:p w14:paraId="3464B01A">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71,127.12</w:t>
            </w:r>
          </w:p>
        </w:tc>
        <w:tc>
          <w:tcPr>
            <w:tcW w:w="662" w:type="pct"/>
            <w:tcBorders>
              <w:top w:val="single" w:color="auto" w:sz="4" w:space="0"/>
              <w:left w:val="single" w:color="auto" w:sz="4" w:space="0"/>
              <w:bottom w:val="single" w:color="auto" w:sz="4" w:space="0"/>
              <w:right w:val="single" w:color="auto" w:sz="4" w:space="0"/>
            </w:tcBorders>
            <w:shd w:val="clear" w:color="auto" w:fill="auto"/>
            <w:vAlign w:val="center"/>
          </w:tcPr>
          <w:p w14:paraId="15C4B79B">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168,188.69</w:t>
            </w:r>
          </w:p>
        </w:tc>
        <w:tc>
          <w:tcPr>
            <w:tcW w:w="662" w:type="pct"/>
            <w:tcBorders>
              <w:top w:val="single" w:color="auto" w:sz="4" w:space="0"/>
              <w:left w:val="single" w:color="auto" w:sz="4" w:space="0"/>
              <w:bottom w:val="single" w:color="auto" w:sz="4" w:space="0"/>
              <w:right w:val="single" w:color="auto" w:sz="4" w:space="0"/>
            </w:tcBorders>
            <w:shd w:val="clear" w:color="auto" w:fill="auto"/>
            <w:vAlign w:val="center"/>
          </w:tcPr>
          <w:p w14:paraId="36C466D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296,390.30</w:t>
            </w:r>
          </w:p>
        </w:tc>
        <w:tc>
          <w:tcPr>
            <w:tcW w:w="662" w:type="pct"/>
            <w:tcBorders>
              <w:top w:val="single" w:color="auto" w:sz="4" w:space="0"/>
              <w:left w:val="single" w:color="auto" w:sz="4" w:space="0"/>
              <w:bottom w:val="single" w:color="auto" w:sz="4" w:space="0"/>
              <w:right w:val="single" w:color="auto" w:sz="4" w:space="0"/>
            </w:tcBorders>
            <w:shd w:val="clear" w:color="auto" w:fill="auto"/>
            <w:vAlign w:val="center"/>
          </w:tcPr>
          <w:p w14:paraId="27A9FC0E">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293,731.77</w:t>
            </w:r>
          </w:p>
        </w:tc>
        <w:tc>
          <w:tcPr>
            <w:tcW w:w="662" w:type="pct"/>
            <w:tcBorders>
              <w:top w:val="single" w:color="auto" w:sz="4" w:space="0"/>
              <w:left w:val="single" w:color="auto" w:sz="4" w:space="0"/>
              <w:bottom w:val="single" w:color="auto" w:sz="4" w:space="0"/>
              <w:right w:val="single" w:color="auto" w:sz="4" w:space="0"/>
            </w:tcBorders>
            <w:shd w:val="clear" w:color="auto" w:fill="auto"/>
            <w:vAlign w:val="center"/>
          </w:tcPr>
          <w:p w14:paraId="3F377689">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266,555.18</w:t>
            </w:r>
          </w:p>
        </w:tc>
      </w:tr>
    </w:tbl>
    <w:p w14:paraId="0620DA35">
      <w:pPr>
        <w:pStyle w:val="23"/>
        <w:spacing w:before="0" w:beforeAutospacing="0" w:after="156" w:afterLines="50" w:afterAutospacing="0" w:line="400" w:lineRule="exact"/>
        <w:ind w:firstLine="360" w:firstLineChars="200"/>
        <w:jc w:val="both"/>
        <w:rPr>
          <w:rFonts w:hint="eastAsia"/>
          <w:color w:val="000000" w:themeColor="text1"/>
          <w:sz w:val="18"/>
          <w:szCs w:val="18"/>
        </w:rPr>
      </w:pPr>
      <w:r>
        <w:rPr>
          <w:rFonts w:hint="eastAsia"/>
          <w:color w:val="000000" w:themeColor="text1"/>
          <w:sz w:val="18"/>
          <w:szCs w:val="18"/>
        </w:rPr>
        <w:t>注：项目建设周期为</w:t>
      </w:r>
      <w:r>
        <w:rPr>
          <w:color w:val="000000" w:themeColor="text1"/>
          <w:sz w:val="18"/>
          <w:szCs w:val="18"/>
        </w:rPr>
        <w:t>5</w:t>
      </w:r>
      <w:r>
        <w:rPr>
          <w:rFonts w:hint="eastAsia"/>
          <w:color w:val="000000" w:themeColor="text1"/>
          <w:sz w:val="18"/>
          <w:szCs w:val="18"/>
        </w:rPr>
        <w:t>年。</w:t>
      </w:r>
    </w:p>
    <w:p w14:paraId="355FC785">
      <w:pPr>
        <w:pStyle w:val="3"/>
        <w:spacing w:line="400" w:lineRule="exact"/>
        <w:ind w:firstLine="482"/>
        <w:rPr>
          <w:rFonts w:hint="eastAsia" w:ascii="仿宋" w:hAnsi="仿宋" w:eastAsia="仿宋" w:cs="仿宋"/>
          <w:sz w:val="24"/>
          <w:szCs w:val="24"/>
        </w:rPr>
      </w:pPr>
      <w:r>
        <w:rPr>
          <w:rFonts w:hint="eastAsia" w:ascii="仿宋" w:hAnsi="仿宋" w:eastAsia="仿宋" w:cs="仿宋"/>
          <w:sz w:val="24"/>
          <w:szCs w:val="24"/>
        </w:rPr>
        <w:t>（二）资金筹措方案</w:t>
      </w:r>
      <w:bookmarkEnd w:id="17"/>
    </w:p>
    <w:p w14:paraId="36760FDC">
      <w:pPr>
        <w:pStyle w:val="4"/>
        <w:spacing w:line="400" w:lineRule="exact"/>
        <w:ind w:firstLine="480"/>
        <w:rPr>
          <w:rFonts w:hint="eastAsia" w:ascii="仿宋" w:hAnsi="仿宋" w:eastAsia="仿宋" w:cs="仿宋"/>
          <w:sz w:val="24"/>
          <w:szCs w:val="24"/>
        </w:rPr>
      </w:pPr>
      <w:bookmarkStart w:id="18" w:name="_Toc28161739"/>
      <w:bookmarkStart w:id="19" w:name="_Toc67918949"/>
      <w:r>
        <w:rPr>
          <w:rFonts w:hint="eastAsia" w:ascii="仿宋" w:hAnsi="仿宋" w:eastAsia="仿宋" w:cs="仿宋"/>
          <w:sz w:val="24"/>
          <w:szCs w:val="24"/>
        </w:rPr>
        <w:t>1</w:t>
      </w:r>
      <w:bookmarkEnd w:id="18"/>
      <w:r>
        <w:rPr>
          <w:rFonts w:hint="eastAsia" w:ascii="仿宋" w:hAnsi="仿宋" w:eastAsia="仿宋" w:cs="仿宋"/>
          <w:sz w:val="24"/>
          <w:szCs w:val="24"/>
        </w:rPr>
        <w:t>、资金筹措原则</w:t>
      </w:r>
      <w:bookmarkEnd w:id="19"/>
    </w:p>
    <w:p w14:paraId="6A4B3CE4">
      <w:pPr>
        <w:spacing w:line="400" w:lineRule="exact"/>
        <w:ind w:firstLine="480"/>
        <w:rPr>
          <w:rFonts w:hint="eastAsia" w:ascii="仿宋" w:hAnsi="仿宋" w:eastAsia="仿宋" w:cs="仿宋"/>
          <w:szCs w:val="24"/>
        </w:rPr>
      </w:pPr>
      <w:r>
        <w:rPr>
          <w:rFonts w:hint="eastAsia" w:ascii="仿宋" w:hAnsi="仿宋" w:eastAsia="仿宋" w:cs="仿宋"/>
          <w:szCs w:val="24"/>
        </w:rPr>
        <w:t>本次资金筹措遵循以下原则：（1）项目投入一定资本金，保证项目顺利开工及后续融资的可能。（2）发行地方政府专项债券进行融资。（3）其他社会化融资。</w:t>
      </w:r>
    </w:p>
    <w:p w14:paraId="636BEC17">
      <w:pPr>
        <w:pStyle w:val="4"/>
        <w:spacing w:line="400" w:lineRule="exact"/>
        <w:ind w:firstLine="480"/>
        <w:rPr>
          <w:rFonts w:hint="eastAsia" w:ascii="仿宋" w:hAnsi="仿宋" w:eastAsia="仿宋" w:cs="仿宋"/>
          <w:color w:val="auto"/>
          <w:sz w:val="24"/>
          <w:szCs w:val="24"/>
        </w:rPr>
      </w:pPr>
      <w:bookmarkStart w:id="20" w:name="_Toc28161740"/>
      <w:bookmarkStart w:id="21" w:name="_Toc67918950"/>
      <w:r>
        <w:rPr>
          <w:rFonts w:hint="eastAsia" w:ascii="仿宋" w:hAnsi="仿宋" w:eastAsia="仿宋" w:cs="仿宋"/>
          <w:color w:val="auto"/>
          <w:sz w:val="24"/>
          <w:szCs w:val="24"/>
        </w:rPr>
        <w:t>2</w:t>
      </w:r>
      <w:bookmarkEnd w:id="20"/>
      <w:r>
        <w:rPr>
          <w:rFonts w:hint="eastAsia" w:ascii="仿宋" w:hAnsi="仿宋" w:eastAsia="仿宋" w:cs="仿宋"/>
          <w:color w:val="auto"/>
          <w:sz w:val="24"/>
          <w:szCs w:val="24"/>
        </w:rPr>
        <w:t>、资金来源</w:t>
      </w:r>
      <w:bookmarkEnd w:id="21"/>
    </w:p>
    <w:p w14:paraId="3E4D1276">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按照发行方案及筹资计划，本次拟发行项目的总投资为1,095,993.06万元，通过项目资本金、申请专项债券、其他合规性融资等途径解决，其一，项目资本金 438,397.22万元。其二，拟发行专项债券220,000.00万元，其中，14,000.00万元因项目撤销或其他原因由其他已发行债券项目于2022年4月调整至本项目使用，具体如下： 9,000.00万元由2021年江西省高质量发展专项债券（三期）——2021年江西省政府专项债券（八期）调整至本项目，发行期限15年；600.00万元由2020年江西省高质量发展补短板专项债券（一期）——2020年江西省政府专项债券（十六期）调整至本项目，发行期限7年；4,400.00万元由2020年江西省高质量发展补短板专项债券（二期）——2020年江西省政府专项债券（十七期）调整至本项目，发行期限15年。本项目2022年已发行117,600.00万元，期限为10年；2023年1月已发行24,000.00万元，期限15年，2023年6月已发行5,000.00万元，期限为15年；2024年本期计划发行40,000.00万元，期限15年；2025年计划发行19,400.00万元，期限为15年。其三：拟通过向银行借款437,595.84万元，其中：2021年已借款25,010.00万元，2022年已借款31,000.00万元，2023年已借款87,000.00万元，2024年计划借款108,100.00万元，2025年计划借款186,485.84万元。</w:t>
      </w:r>
    </w:p>
    <w:p w14:paraId="2DCA061F">
      <w:pPr>
        <w:pStyle w:val="2"/>
        <w:spacing w:line="400" w:lineRule="exact"/>
        <w:ind w:firstLine="482"/>
        <w:rPr>
          <w:rFonts w:hint="eastAsia" w:ascii="仿宋" w:hAnsi="仿宋" w:eastAsia="仿宋" w:cs="仿宋"/>
          <w:b/>
          <w:bCs/>
          <w:sz w:val="24"/>
          <w:szCs w:val="24"/>
        </w:rPr>
      </w:pPr>
      <w:r>
        <w:rPr>
          <w:rFonts w:hint="eastAsia" w:ascii="仿宋" w:hAnsi="仿宋" w:eastAsia="仿宋" w:cs="仿宋"/>
          <w:b/>
          <w:bCs/>
          <w:sz w:val="24"/>
          <w:szCs w:val="24"/>
        </w:rPr>
        <w:t>三、项目预期收益、成本及融资平衡情况</w:t>
      </w:r>
      <w:bookmarkEnd w:id="15"/>
    </w:p>
    <w:p w14:paraId="3A599127">
      <w:pPr>
        <w:pStyle w:val="23"/>
        <w:keepNext/>
        <w:spacing w:before="0" w:beforeAutospacing="0" w:after="156" w:afterLines="50" w:afterAutospacing="0" w:line="400" w:lineRule="exact"/>
        <w:ind w:firstLine="220" w:firstLineChars="100"/>
        <w:jc w:val="both"/>
        <w:outlineLvl w:val="1"/>
        <w:rPr>
          <w:rFonts w:hint="eastAsia" w:ascii="仿宋" w:hAnsi="仿宋" w:eastAsia="仿宋"/>
          <w:b/>
          <w:color w:val="000000" w:themeColor="text1"/>
          <w:szCs w:val="21"/>
        </w:rPr>
      </w:pPr>
      <w:bookmarkStart w:id="22" w:name="DA18DM40"/>
      <w:bookmarkEnd w:id="22"/>
      <w:bookmarkStart w:id="23" w:name="_Toc67918959"/>
      <w:r>
        <w:rPr>
          <w:rFonts w:hint="eastAsia" w:ascii="仿宋" w:hAnsi="仿宋" w:eastAsia="仿宋"/>
          <w:b/>
          <w:color w:val="000000" w:themeColor="text1"/>
          <w:szCs w:val="21"/>
        </w:rPr>
        <w:t>（一）资金稳定性</w:t>
      </w:r>
    </w:p>
    <w:p w14:paraId="1922605C">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1.资金稳定性分析</w:t>
      </w:r>
    </w:p>
    <w:p w14:paraId="56D75F12">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本次申请发行的2024年江西省南昌市轨道交通1号线北延工程专项债券项目，在债券存续期内合理预计业务活动现金流入合计1,347,442.00万元，其中：客票收入319,515.00万元，其他收入47,927.00万元，政府性基金收入980,000.00万元。项目自运营期（2026年1月）开始至债券到期的项目收益年度分布情况如下：</w:t>
      </w:r>
    </w:p>
    <w:p w14:paraId="1F67117A">
      <w:pPr>
        <w:pStyle w:val="23"/>
        <w:keepNext/>
        <w:spacing w:before="0" w:beforeAutospacing="0" w:after="0" w:afterAutospacing="0" w:line="400" w:lineRule="exact"/>
        <w:jc w:val="center"/>
        <w:rPr>
          <w:rFonts w:hint="eastAsia"/>
          <w:b/>
          <w:color w:val="000000" w:themeColor="text1"/>
          <w:sz w:val="21"/>
          <w:szCs w:val="21"/>
        </w:rPr>
      </w:pPr>
      <w:r>
        <w:rPr>
          <w:rFonts w:hint="eastAsia"/>
          <w:b/>
          <w:color w:val="000000" w:themeColor="text1"/>
          <w:sz w:val="21"/>
          <w:szCs w:val="21"/>
        </w:rPr>
        <w:t>表3-</w:t>
      </w:r>
      <w:r>
        <w:rPr>
          <w:b/>
          <w:color w:val="000000" w:themeColor="text1"/>
          <w:sz w:val="21"/>
          <w:szCs w:val="21"/>
        </w:rPr>
        <w:t xml:space="preserve">1  </w:t>
      </w:r>
      <w:r>
        <w:rPr>
          <w:rFonts w:hint="eastAsia"/>
          <w:b/>
          <w:color w:val="000000" w:themeColor="text1"/>
          <w:sz w:val="21"/>
          <w:szCs w:val="21"/>
        </w:rPr>
        <w:t>项目收益年度分布情况分析</w:t>
      </w:r>
    </w:p>
    <w:p w14:paraId="50164A4A">
      <w:pPr>
        <w:pStyle w:val="23"/>
        <w:keepNext/>
        <w:spacing w:before="0" w:beforeAutospacing="0" w:after="0" w:afterAutospacing="0" w:line="400" w:lineRule="exact"/>
        <w:ind w:right="54" w:rightChars="26" w:firstLine="360" w:firstLineChars="200"/>
        <w:jc w:val="right"/>
        <w:rPr>
          <w:rFonts w:hint="eastAsia"/>
          <w:color w:val="000000" w:themeColor="text1"/>
          <w:sz w:val="18"/>
          <w:szCs w:val="18"/>
        </w:rPr>
      </w:pPr>
      <w:r>
        <w:rPr>
          <w:rFonts w:hint="eastAsia"/>
          <w:color w:val="000000" w:themeColor="text1"/>
          <w:sz w:val="18"/>
          <w:szCs w:val="18"/>
        </w:rPr>
        <w:t>单位：万元</w:t>
      </w:r>
    </w:p>
    <w:tbl>
      <w:tblPr>
        <w:tblStyle w:val="28"/>
        <w:tblpPr w:leftFromText="180" w:rightFromText="180" w:vertAnchor="text" w:horzAnchor="page" w:tblpX="1706" w:tblpY="40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7"/>
        <w:gridCol w:w="2097"/>
        <w:gridCol w:w="1518"/>
        <w:gridCol w:w="1842"/>
        <w:gridCol w:w="1766"/>
      </w:tblGrid>
      <w:tr w14:paraId="5B02D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74" w:type="pct"/>
            <w:shd w:val="clear" w:color="auto" w:fill="auto"/>
            <w:noWrap/>
            <w:vAlign w:val="center"/>
          </w:tcPr>
          <w:p w14:paraId="022CD1FA">
            <w:pPr>
              <w:widowControl/>
              <w:spacing w:line="240" w:lineRule="auto"/>
              <w:ind w:firstLine="361"/>
              <w:jc w:val="center"/>
              <w:rPr>
                <w:rFonts w:hint="eastAsia" w:ascii="宋体" w:hAnsi="宋体" w:cs="宋体"/>
                <w:b/>
                <w:bCs/>
                <w:kern w:val="0"/>
                <w:sz w:val="18"/>
                <w:szCs w:val="18"/>
              </w:rPr>
            </w:pPr>
            <w:r>
              <w:rPr>
                <w:rFonts w:hint="eastAsia" w:ascii="宋体" w:hAnsi="宋体" w:cs="宋体"/>
                <w:b/>
                <w:bCs/>
                <w:kern w:val="0"/>
                <w:sz w:val="18"/>
                <w:szCs w:val="18"/>
              </w:rPr>
              <w:t>年份</w:t>
            </w:r>
          </w:p>
        </w:tc>
        <w:tc>
          <w:tcPr>
            <w:tcW w:w="1218" w:type="pct"/>
            <w:shd w:val="clear" w:color="auto" w:fill="auto"/>
            <w:noWrap/>
            <w:vAlign w:val="center"/>
          </w:tcPr>
          <w:p w14:paraId="0C80162D">
            <w:pPr>
              <w:widowControl/>
              <w:spacing w:line="240" w:lineRule="auto"/>
              <w:ind w:firstLine="361"/>
              <w:jc w:val="center"/>
              <w:rPr>
                <w:rFonts w:hint="eastAsia" w:ascii="宋体" w:hAnsi="宋体" w:cs="宋体"/>
                <w:b/>
                <w:bCs/>
                <w:kern w:val="0"/>
                <w:sz w:val="18"/>
                <w:szCs w:val="18"/>
              </w:rPr>
            </w:pPr>
            <w:r>
              <w:rPr>
                <w:rFonts w:hint="eastAsia" w:ascii="宋体" w:hAnsi="宋体" w:cs="宋体"/>
                <w:b/>
                <w:bCs/>
                <w:kern w:val="0"/>
                <w:sz w:val="18"/>
                <w:szCs w:val="18"/>
              </w:rPr>
              <w:t>客票收入</w:t>
            </w:r>
          </w:p>
        </w:tc>
        <w:tc>
          <w:tcPr>
            <w:tcW w:w="886" w:type="pct"/>
            <w:shd w:val="clear" w:color="auto" w:fill="auto"/>
            <w:noWrap/>
            <w:vAlign w:val="center"/>
          </w:tcPr>
          <w:p w14:paraId="28DF723A">
            <w:pPr>
              <w:widowControl/>
              <w:spacing w:line="240" w:lineRule="auto"/>
              <w:ind w:firstLine="361"/>
              <w:jc w:val="center"/>
              <w:rPr>
                <w:rFonts w:hint="eastAsia" w:ascii="宋体" w:hAnsi="宋体" w:cs="宋体"/>
                <w:b/>
                <w:bCs/>
                <w:kern w:val="0"/>
                <w:sz w:val="18"/>
                <w:szCs w:val="18"/>
              </w:rPr>
            </w:pPr>
            <w:r>
              <w:rPr>
                <w:rFonts w:hint="eastAsia" w:ascii="宋体" w:hAnsi="宋体" w:cs="宋体"/>
                <w:b/>
                <w:bCs/>
                <w:kern w:val="0"/>
                <w:sz w:val="18"/>
                <w:szCs w:val="18"/>
              </w:rPr>
              <w:t>其他收入</w:t>
            </w:r>
          </w:p>
        </w:tc>
        <w:tc>
          <w:tcPr>
            <w:tcW w:w="993" w:type="pct"/>
            <w:shd w:val="clear" w:color="auto" w:fill="auto"/>
            <w:noWrap/>
            <w:vAlign w:val="center"/>
          </w:tcPr>
          <w:p w14:paraId="1F2DD62F">
            <w:pPr>
              <w:widowControl/>
              <w:spacing w:line="240" w:lineRule="auto"/>
              <w:ind w:firstLine="361"/>
              <w:jc w:val="center"/>
              <w:rPr>
                <w:rFonts w:hint="eastAsia" w:ascii="宋体" w:hAnsi="宋体" w:cs="宋体"/>
                <w:b/>
                <w:bCs/>
                <w:kern w:val="0"/>
                <w:sz w:val="18"/>
                <w:szCs w:val="18"/>
              </w:rPr>
            </w:pPr>
            <w:r>
              <w:rPr>
                <w:rFonts w:hint="eastAsia" w:ascii="宋体" w:hAnsi="宋体" w:cs="宋体"/>
                <w:b/>
                <w:bCs/>
                <w:kern w:val="0"/>
                <w:sz w:val="18"/>
                <w:szCs w:val="18"/>
              </w:rPr>
              <w:t>政府性基金收入</w:t>
            </w:r>
          </w:p>
        </w:tc>
        <w:tc>
          <w:tcPr>
            <w:tcW w:w="1028" w:type="pct"/>
            <w:shd w:val="clear" w:color="auto" w:fill="auto"/>
            <w:noWrap/>
            <w:vAlign w:val="center"/>
          </w:tcPr>
          <w:p w14:paraId="3C7E795E">
            <w:pPr>
              <w:widowControl/>
              <w:spacing w:line="240" w:lineRule="auto"/>
              <w:ind w:firstLine="361"/>
              <w:jc w:val="center"/>
              <w:rPr>
                <w:rFonts w:hint="eastAsia" w:ascii="宋体" w:hAnsi="宋体" w:cs="宋体"/>
                <w:b/>
                <w:bCs/>
                <w:kern w:val="0"/>
                <w:sz w:val="18"/>
                <w:szCs w:val="18"/>
              </w:rPr>
            </w:pPr>
            <w:r>
              <w:rPr>
                <w:rFonts w:hint="eastAsia" w:ascii="宋体" w:hAnsi="宋体" w:cs="宋体"/>
                <w:b/>
                <w:bCs/>
                <w:kern w:val="0"/>
                <w:sz w:val="18"/>
                <w:szCs w:val="18"/>
              </w:rPr>
              <w:t>合计</w:t>
            </w:r>
          </w:p>
        </w:tc>
      </w:tr>
      <w:tr w14:paraId="59F29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874" w:type="pct"/>
            <w:shd w:val="clear" w:color="auto" w:fill="auto"/>
            <w:noWrap/>
            <w:vAlign w:val="center"/>
          </w:tcPr>
          <w:p w14:paraId="169ADC31">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2026</w:t>
            </w:r>
          </w:p>
        </w:tc>
        <w:tc>
          <w:tcPr>
            <w:tcW w:w="1218" w:type="pct"/>
            <w:shd w:val="clear" w:color="auto" w:fill="auto"/>
            <w:noWrap/>
            <w:vAlign w:val="center"/>
          </w:tcPr>
          <w:p w14:paraId="4DFE11CD">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15,447.00</w:t>
            </w:r>
          </w:p>
        </w:tc>
        <w:tc>
          <w:tcPr>
            <w:tcW w:w="886" w:type="pct"/>
            <w:shd w:val="clear" w:color="auto" w:fill="auto"/>
            <w:noWrap/>
            <w:vAlign w:val="center"/>
          </w:tcPr>
          <w:p w14:paraId="26FDC2AF">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2,317.00</w:t>
            </w:r>
          </w:p>
        </w:tc>
        <w:tc>
          <w:tcPr>
            <w:tcW w:w="993" w:type="pct"/>
            <w:shd w:val="clear" w:color="auto" w:fill="auto"/>
            <w:noWrap/>
            <w:vAlign w:val="center"/>
          </w:tcPr>
          <w:p w14:paraId="70228BE9">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85,000.00</w:t>
            </w:r>
          </w:p>
        </w:tc>
        <w:tc>
          <w:tcPr>
            <w:tcW w:w="1028" w:type="pct"/>
            <w:shd w:val="clear" w:color="auto" w:fill="auto"/>
            <w:noWrap/>
            <w:vAlign w:val="center"/>
          </w:tcPr>
          <w:p w14:paraId="785E6FC3">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102,764.00</w:t>
            </w:r>
          </w:p>
        </w:tc>
      </w:tr>
      <w:tr w14:paraId="723EF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49C24A6E">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2027</w:t>
            </w:r>
          </w:p>
        </w:tc>
        <w:tc>
          <w:tcPr>
            <w:tcW w:w="1218" w:type="pct"/>
            <w:shd w:val="clear" w:color="auto" w:fill="auto"/>
            <w:noWrap/>
            <w:vAlign w:val="center"/>
          </w:tcPr>
          <w:p w14:paraId="3DAE4882">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16,515.00</w:t>
            </w:r>
          </w:p>
        </w:tc>
        <w:tc>
          <w:tcPr>
            <w:tcW w:w="886" w:type="pct"/>
            <w:shd w:val="clear" w:color="auto" w:fill="auto"/>
            <w:noWrap/>
            <w:vAlign w:val="center"/>
          </w:tcPr>
          <w:p w14:paraId="6220884E">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2,477.00</w:t>
            </w:r>
          </w:p>
        </w:tc>
        <w:tc>
          <w:tcPr>
            <w:tcW w:w="993" w:type="pct"/>
            <w:shd w:val="clear" w:color="auto" w:fill="auto"/>
            <w:noWrap/>
            <w:vAlign w:val="center"/>
          </w:tcPr>
          <w:p w14:paraId="1519F374">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1F9D57D3">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83,992.00</w:t>
            </w:r>
          </w:p>
        </w:tc>
      </w:tr>
      <w:tr w14:paraId="646F7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740A71EC">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2028</w:t>
            </w:r>
          </w:p>
        </w:tc>
        <w:tc>
          <w:tcPr>
            <w:tcW w:w="1218" w:type="pct"/>
            <w:shd w:val="clear" w:color="auto" w:fill="auto"/>
            <w:noWrap/>
            <w:vAlign w:val="center"/>
          </w:tcPr>
          <w:p w14:paraId="4FC16DC9">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17,583.00</w:t>
            </w:r>
          </w:p>
        </w:tc>
        <w:tc>
          <w:tcPr>
            <w:tcW w:w="886" w:type="pct"/>
            <w:shd w:val="clear" w:color="auto" w:fill="auto"/>
            <w:noWrap/>
            <w:vAlign w:val="center"/>
          </w:tcPr>
          <w:p w14:paraId="4A9D8605">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2,637.00</w:t>
            </w:r>
          </w:p>
        </w:tc>
        <w:tc>
          <w:tcPr>
            <w:tcW w:w="993" w:type="pct"/>
            <w:shd w:val="clear" w:color="auto" w:fill="auto"/>
            <w:noWrap/>
            <w:vAlign w:val="center"/>
          </w:tcPr>
          <w:p w14:paraId="182B4B08">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4FEA23E2">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85,220.00</w:t>
            </w:r>
          </w:p>
        </w:tc>
      </w:tr>
      <w:tr w14:paraId="1DBB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874" w:type="pct"/>
            <w:shd w:val="clear" w:color="auto" w:fill="auto"/>
            <w:noWrap/>
            <w:vAlign w:val="center"/>
          </w:tcPr>
          <w:p w14:paraId="22E2FB02">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2029</w:t>
            </w:r>
          </w:p>
        </w:tc>
        <w:tc>
          <w:tcPr>
            <w:tcW w:w="1218" w:type="pct"/>
            <w:shd w:val="clear" w:color="auto" w:fill="auto"/>
            <w:noWrap/>
            <w:vAlign w:val="center"/>
          </w:tcPr>
          <w:p w14:paraId="78C44275">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18,651.00</w:t>
            </w:r>
          </w:p>
        </w:tc>
        <w:tc>
          <w:tcPr>
            <w:tcW w:w="886" w:type="pct"/>
            <w:shd w:val="clear" w:color="auto" w:fill="auto"/>
            <w:noWrap/>
            <w:vAlign w:val="center"/>
          </w:tcPr>
          <w:p w14:paraId="1C366E54">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2,798.00</w:t>
            </w:r>
          </w:p>
        </w:tc>
        <w:tc>
          <w:tcPr>
            <w:tcW w:w="993" w:type="pct"/>
            <w:shd w:val="clear" w:color="auto" w:fill="auto"/>
            <w:noWrap/>
            <w:vAlign w:val="center"/>
          </w:tcPr>
          <w:p w14:paraId="6F334EAD">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1E5E2B9A">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86,449.00</w:t>
            </w:r>
          </w:p>
        </w:tc>
      </w:tr>
      <w:tr w14:paraId="39DBC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38F9130C">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2030</w:t>
            </w:r>
          </w:p>
        </w:tc>
        <w:tc>
          <w:tcPr>
            <w:tcW w:w="1218" w:type="pct"/>
            <w:shd w:val="clear" w:color="auto" w:fill="auto"/>
            <w:noWrap/>
            <w:vAlign w:val="center"/>
          </w:tcPr>
          <w:p w14:paraId="465C772B">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19,719.00</w:t>
            </w:r>
          </w:p>
        </w:tc>
        <w:tc>
          <w:tcPr>
            <w:tcW w:w="886" w:type="pct"/>
            <w:shd w:val="clear" w:color="auto" w:fill="auto"/>
            <w:noWrap/>
            <w:vAlign w:val="center"/>
          </w:tcPr>
          <w:p w14:paraId="64549538">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2,958.00</w:t>
            </w:r>
          </w:p>
        </w:tc>
        <w:tc>
          <w:tcPr>
            <w:tcW w:w="993" w:type="pct"/>
            <w:shd w:val="clear" w:color="auto" w:fill="auto"/>
            <w:noWrap/>
            <w:vAlign w:val="center"/>
          </w:tcPr>
          <w:p w14:paraId="1BED7510">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7FB0B9FB">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87,677.00</w:t>
            </w:r>
          </w:p>
        </w:tc>
      </w:tr>
      <w:tr w14:paraId="2156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3EF54ACD">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2031</w:t>
            </w:r>
          </w:p>
        </w:tc>
        <w:tc>
          <w:tcPr>
            <w:tcW w:w="1218" w:type="pct"/>
            <w:shd w:val="clear" w:color="auto" w:fill="auto"/>
            <w:noWrap/>
            <w:vAlign w:val="center"/>
          </w:tcPr>
          <w:p w14:paraId="634374AF">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20,784.00</w:t>
            </w:r>
          </w:p>
        </w:tc>
        <w:tc>
          <w:tcPr>
            <w:tcW w:w="886" w:type="pct"/>
            <w:shd w:val="clear" w:color="auto" w:fill="auto"/>
            <w:noWrap/>
            <w:vAlign w:val="center"/>
          </w:tcPr>
          <w:p w14:paraId="2DE05217">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3,118.00</w:t>
            </w:r>
          </w:p>
        </w:tc>
        <w:tc>
          <w:tcPr>
            <w:tcW w:w="993" w:type="pct"/>
            <w:shd w:val="clear" w:color="auto" w:fill="auto"/>
            <w:noWrap/>
            <w:vAlign w:val="center"/>
          </w:tcPr>
          <w:p w14:paraId="11BA0125">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27CA922E">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88,902.00</w:t>
            </w:r>
          </w:p>
        </w:tc>
      </w:tr>
      <w:tr w14:paraId="1E36A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874" w:type="pct"/>
            <w:shd w:val="clear" w:color="auto" w:fill="auto"/>
            <w:noWrap/>
            <w:vAlign w:val="center"/>
          </w:tcPr>
          <w:p w14:paraId="1498B19A">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2032</w:t>
            </w:r>
          </w:p>
        </w:tc>
        <w:tc>
          <w:tcPr>
            <w:tcW w:w="1218" w:type="pct"/>
            <w:shd w:val="clear" w:color="auto" w:fill="auto"/>
            <w:noWrap/>
            <w:vAlign w:val="center"/>
          </w:tcPr>
          <w:p w14:paraId="40E224D5">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21,312.00</w:t>
            </w:r>
          </w:p>
        </w:tc>
        <w:tc>
          <w:tcPr>
            <w:tcW w:w="886" w:type="pct"/>
            <w:shd w:val="clear" w:color="auto" w:fill="auto"/>
            <w:noWrap/>
            <w:vAlign w:val="center"/>
          </w:tcPr>
          <w:p w14:paraId="3EABC896">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3,197.00</w:t>
            </w:r>
          </w:p>
        </w:tc>
        <w:tc>
          <w:tcPr>
            <w:tcW w:w="993" w:type="pct"/>
            <w:shd w:val="clear" w:color="auto" w:fill="auto"/>
            <w:noWrap/>
            <w:vAlign w:val="center"/>
          </w:tcPr>
          <w:p w14:paraId="5F3AE7B9">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71D89E1D">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89,509.00</w:t>
            </w:r>
          </w:p>
        </w:tc>
      </w:tr>
      <w:tr w14:paraId="0099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328B69A7">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2033</w:t>
            </w:r>
          </w:p>
        </w:tc>
        <w:tc>
          <w:tcPr>
            <w:tcW w:w="1218" w:type="pct"/>
            <w:shd w:val="clear" w:color="auto" w:fill="auto"/>
            <w:noWrap/>
            <w:vAlign w:val="center"/>
          </w:tcPr>
          <w:p w14:paraId="2960E85D">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21,840.00</w:t>
            </w:r>
          </w:p>
        </w:tc>
        <w:tc>
          <w:tcPr>
            <w:tcW w:w="886" w:type="pct"/>
            <w:shd w:val="clear" w:color="auto" w:fill="auto"/>
            <w:noWrap/>
            <w:vAlign w:val="center"/>
          </w:tcPr>
          <w:p w14:paraId="05BEF036">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3,276.00</w:t>
            </w:r>
          </w:p>
        </w:tc>
        <w:tc>
          <w:tcPr>
            <w:tcW w:w="993" w:type="pct"/>
            <w:shd w:val="clear" w:color="auto" w:fill="auto"/>
            <w:noWrap/>
            <w:vAlign w:val="center"/>
          </w:tcPr>
          <w:p w14:paraId="0911F27B">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10900844">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90,116.00</w:t>
            </w:r>
          </w:p>
        </w:tc>
      </w:tr>
      <w:tr w14:paraId="6F7E6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2931DBC1">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2034</w:t>
            </w:r>
          </w:p>
        </w:tc>
        <w:tc>
          <w:tcPr>
            <w:tcW w:w="1218" w:type="pct"/>
            <w:shd w:val="clear" w:color="auto" w:fill="auto"/>
            <w:noWrap/>
            <w:vAlign w:val="center"/>
          </w:tcPr>
          <w:p w14:paraId="78C835DB">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22,368.00</w:t>
            </w:r>
          </w:p>
        </w:tc>
        <w:tc>
          <w:tcPr>
            <w:tcW w:w="886" w:type="pct"/>
            <w:shd w:val="clear" w:color="auto" w:fill="auto"/>
            <w:noWrap/>
            <w:vAlign w:val="center"/>
          </w:tcPr>
          <w:p w14:paraId="33C7077C">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3,355.00</w:t>
            </w:r>
          </w:p>
        </w:tc>
        <w:tc>
          <w:tcPr>
            <w:tcW w:w="993" w:type="pct"/>
            <w:shd w:val="clear" w:color="auto" w:fill="auto"/>
            <w:noWrap/>
            <w:vAlign w:val="center"/>
          </w:tcPr>
          <w:p w14:paraId="7576F816">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70184E3D">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90,723.00</w:t>
            </w:r>
          </w:p>
        </w:tc>
      </w:tr>
      <w:tr w14:paraId="0A1B8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5FB0AFFB">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2035</w:t>
            </w:r>
          </w:p>
        </w:tc>
        <w:tc>
          <w:tcPr>
            <w:tcW w:w="1218" w:type="pct"/>
            <w:shd w:val="clear" w:color="auto" w:fill="auto"/>
            <w:noWrap/>
            <w:vAlign w:val="center"/>
          </w:tcPr>
          <w:p w14:paraId="185C28E5">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22,896.00</w:t>
            </w:r>
          </w:p>
        </w:tc>
        <w:tc>
          <w:tcPr>
            <w:tcW w:w="886" w:type="pct"/>
            <w:shd w:val="clear" w:color="auto" w:fill="auto"/>
            <w:noWrap/>
            <w:vAlign w:val="center"/>
          </w:tcPr>
          <w:p w14:paraId="2299A492">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3,434.00</w:t>
            </w:r>
          </w:p>
        </w:tc>
        <w:tc>
          <w:tcPr>
            <w:tcW w:w="993" w:type="pct"/>
            <w:shd w:val="clear" w:color="auto" w:fill="auto"/>
            <w:noWrap/>
            <w:vAlign w:val="center"/>
          </w:tcPr>
          <w:p w14:paraId="7B4B4489">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11913143">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91,330.00</w:t>
            </w:r>
          </w:p>
        </w:tc>
      </w:tr>
      <w:tr w14:paraId="0C1A5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5C955203">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2036</w:t>
            </w:r>
          </w:p>
        </w:tc>
        <w:tc>
          <w:tcPr>
            <w:tcW w:w="1218" w:type="pct"/>
            <w:shd w:val="clear" w:color="auto" w:fill="auto"/>
            <w:noWrap/>
            <w:vAlign w:val="center"/>
          </w:tcPr>
          <w:p w14:paraId="67782277">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23,424.00</w:t>
            </w:r>
          </w:p>
        </w:tc>
        <w:tc>
          <w:tcPr>
            <w:tcW w:w="886" w:type="pct"/>
            <w:shd w:val="clear" w:color="auto" w:fill="auto"/>
            <w:noWrap/>
            <w:vAlign w:val="center"/>
          </w:tcPr>
          <w:p w14:paraId="06CF2638">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3,514.00</w:t>
            </w:r>
          </w:p>
        </w:tc>
        <w:tc>
          <w:tcPr>
            <w:tcW w:w="993" w:type="pct"/>
            <w:shd w:val="clear" w:color="auto" w:fill="auto"/>
            <w:noWrap/>
            <w:vAlign w:val="center"/>
          </w:tcPr>
          <w:p w14:paraId="53F9F6E7">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3781DD7A">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91,938.00</w:t>
            </w:r>
          </w:p>
        </w:tc>
      </w:tr>
      <w:tr w14:paraId="7B68F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69A836EE">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2037</w:t>
            </w:r>
          </w:p>
        </w:tc>
        <w:tc>
          <w:tcPr>
            <w:tcW w:w="1218" w:type="pct"/>
            <w:shd w:val="clear" w:color="auto" w:fill="auto"/>
            <w:noWrap/>
            <w:vAlign w:val="center"/>
          </w:tcPr>
          <w:p w14:paraId="75503D45">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23,952.00</w:t>
            </w:r>
          </w:p>
        </w:tc>
        <w:tc>
          <w:tcPr>
            <w:tcW w:w="886" w:type="pct"/>
            <w:shd w:val="clear" w:color="auto" w:fill="auto"/>
            <w:noWrap/>
            <w:vAlign w:val="center"/>
          </w:tcPr>
          <w:p w14:paraId="224B8717">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3,593.00</w:t>
            </w:r>
          </w:p>
        </w:tc>
        <w:tc>
          <w:tcPr>
            <w:tcW w:w="993" w:type="pct"/>
            <w:shd w:val="clear" w:color="auto" w:fill="auto"/>
            <w:noWrap/>
            <w:vAlign w:val="center"/>
          </w:tcPr>
          <w:p w14:paraId="468A3D1F">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405797D7">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92,545.00</w:t>
            </w:r>
          </w:p>
        </w:tc>
      </w:tr>
      <w:tr w14:paraId="44B76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0578F905">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2038</w:t>
            </w:r>
          </w:p>
        </w:tc>
        <w:tc>
          <w:tcPr>
            <w:tcW w:w="1218" w:type="pct"/>
            <w:shd w:val="clear" w:color="auto" w:fill="auto"/>
            <w:noWrap/>
            <w:vAlign w:val="center"/>
          </w:tcPr>
          <w:p w14:paraId="0CF5D81C">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24,480.00</w:t>
            </w:r>
          </w:p>
        </w:tc>
        <w:tc>
          <w:tcPr>
            <w:tcW w:w="886" w:type="pct"/>
            <w:shd w:val="clear" w:color="auto" w:fill="auto"/>
            <w:noWrap/>
            <w:vAlign w:val="center"/>
          </w:tcPr>
          <w:p w14:paraId="4E7072DA">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3,672.00</w:t>
            </w:r>
          </w:p>
        </w:tc>
        <w:tc>
          <w:tcPr>
            <w:tcW w:w="993" w:type="pct"/>
            <w:shd w:val="clear" w:color="auto" w:fill="auto"/>
            <w:noWrap/>
            <w:vAlign w:val="center"/>
          </w:tcPr>
          <w:p w14:paraId="4AF2F661">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65E2B144">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93,152.00</w:t>
            </w:r>
          </w:p>
        </w:tc>
      </w:tr>
      <w:tr w14:paraId="0F33A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4B4CA2A6">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2039</w:t>
            </w:r>
          </w:p>
        </w:tc>
        <w:tc>
          <w:tcPr>
            <w:tcW w:w="1218" w:type="pct"/>
            <w:shd w:val="clear" w:color="auto" w:fill="auto"/>
            <w:noWrap/>
            <w:vAlign w:val="center"/>
          </w:tcPr>
          <w:p w14:paraId="56088635">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25,008.00</w:t>
            </w:r>
          </w:p>
        </w:tc>
        <w:tc>
          <w:tcPr>
            <w:tcW w:w="886" w:type="pct"/>
            <w:shd w:val="clear" w:color="auto" w:fill="auto"/>
            <w:noWrap/>
            <w:vAlign w:val="center"/>
          </w:tcPr>
          <w:p w14:paraId="2011792C">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3,751.00</w:t>
            </w:r>
          </w:p>
        </w:tc>
        <w:tc>
          <w:tcPr>
            <w:tcW w:w="993" w:type="pct"/>
            <w:shd w:val="clear" w:color="auto" w:fill="auto"/>
            <w:noWrap/>
            <w:vAlign w:val="center"/>
          </w:tcPr>
          <w:p w14:paraId="59623F43">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65,000.00</w:t>
            </w:r>
          </w:p>
        </w:tc>
        <w:tc>
          <w:tcPr>
            <w:tcW w:w="1028" w:type="pct"/>
            <w:shd w:val="clear" w:color="auto" w:fill="auto"/>
            <w:noWrap/>
            <w:vAlign w:val="center"/>
          </w:tcPr>
          <w:p w14:paraId="2921C29C">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93,759.00</w:t>
            </w:r>
          </w:p>
        </w:tc>
      </w:tr>
      <w:tr w14:paraId="38708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74" w:type="pct"/>
            <w:shd w:val="clear" w:color="auto" w:fill="auto"/>
            <w:noWrap/>
            <w:vAlign w:val="center"/>
          </w:tcPr>
          <w:p w14:paraId="4BF1AAA9">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2040</w:t>
            </w:r>
          </w:p>
        </w:tc>
        <w:tc>
          <w:tcPr>
            <w:tcW w:w="1218" w:type="pct"/>
            <w:shd w:val="clear" w:color="auto" w:fill="auto"/>
            <w:noWrap/>
            <w:vAlign w:val="center"/>
          </w:tcPr>
          <w:p w14:paraId="112CF322">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25,536.00</w:t>
            </w:r>
          </w:p>
        </w:tc>
        <w:tc>
          <w:tcPr>
            <w:tcW w:w="886" w:type="pct"/>
            <w:shd w:val="clear" w:color="auto" w:fill="auto"/>
            <w:noWrap/>
            <w:vAlign w:val="center"/>
          </w:tcPr>
          <w:p w14:paraId="04781BBF">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3,830.00</w:t>
            </w:r>
          </w:p>
        </w:tc>
        <w:tc>
          <w:tcPr>
            <w:tcW w:w="993" w:type="pct"/>
            <w:shd w:val="clear" w:color="auto" w:fill="auto"/>
            <w:noWrap/>
            <w:vAlign w:val="center"/>
          </w:tcPr>
          <w:p w14:paraId="0ECD314D">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50,000.00</w:t>
            </w:r>
          </w:p>
        </w:tc>
        <w:tc>
          <w:tcPr>
            <w:tcW w:w="1028" w:type="pct"/>
            <w:shd w:val="clear" w:color="auto" w:fill="auto"/>
            <w:noWrap/>
            <w:vAlign w:val="center"/>
          </w:tcPr>
          <w:p w14:paraId="70E91250">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79,366.00</w:t>
            </w:r>
          </w:p>
        </w:tc>
      </w:tr>
      <w:tr w14:paraId="2BE2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74" w:type="pct"/>
            <w:shd w:val="clear" w:color="auto" w:fill="auto"/>
            <w:noWrap/>
            <w:vAlign w:val="center"/>
          </w:tcPr>
          <w:p w14:paraId="4F3316C3">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合计</w:t>
            </w:r>
          </w:p>
        </w:tc>
        <w:tc>
          <w:tcPr>
            <w:tcW w:w="1218" w:type="pct"/>
            <w:shd w:val="clear" w:color="auto" w:fill="auto"/>
            <w:noWrap/>
            <w:vAlign w:val="center"/>
          </w:tcPr>
          <w:p w14:paraId="75FD0D01">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319,515.00</w:t>
            </w:r>
          </w:p>
        </w:tc>
        <w:tc>
          <w:tcPr>
            <w:tcW w:w="886" w:type="pct"/>
            <w:shd w:val="clear" w:color="auto" w:fill="auto"/>
            <w:noWrap/>
            <w:vAlign w:val="center"/>
          </w:tcPr>
          <w:p w14:paraId="07E8DB39">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47,927.00</w:t>
            </w:r>
          </w:p>
        </w:tc>
        <w:tc>
          <w:tcPr>
            <w:tcW w:w="993" w:type="pct"/>
            <w:shd w:val="clear" w:color="auto" w:fill="auto"/>
            <w:noWrap/>
            <w:vAlign w:val="center"/>
          </w:tcPr>
          <w:p w14:paraId="0B2ED6ED">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980,000.00</w:t>
            </w:r>
          </w:p>
        </w:tc>
        <w:tc>
          <w:tcPr>
            <w:tcW w:w="1028" w:type="pct"/>
            <w:shd w:val="clear" w:color="auto" w:fill="auto"/>
            <w:noWrap/>
            <w:vAlign w:val="center"/>
          </w:tcPr>
          <w:p w14:paraId="1EF804F0">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1,347,442.00</w:t>
            </w:r>
          </w:p>
        </w:tc>
      </w:tr>
    </w:tbl>
    <w:p w14:paraId="1CE1AFE1">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本项目经营收入的估算依据如下：</w:t>
      </w:r>
    </w:p>
    <w:p w14:paraId="1925190B">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（1）客票收入</w:t>
      </w:r>
    </w:p>
    <w:p w14:paraId="3F3E675B">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运营票价收入=客运票价×客运量。参照南昌市已建地铁1号线的票价标准计算：采用计程票价按里程分段计算，平均运距初、近、远期分别为8.3公里、8公里、8公里，折算票价率分别为0.361元/公里、0.375元/公里、0.375元/公里，人次票价初、近、远期均按3.0元/人次计算。</w:t>
      </w:r>
      <w:r>
        <w:rPr>
          <w:rFonts w:hint="eastAsia" w:ascii="仿宋" w:hAnsi="仿宋" w:eastAsia="仿宋" w:cs="仿宋"/>
          <w:color w:val="000000"/>
        </w:rPr>
        <w:cr/>
      </w:r>
      <w:r>
        <w:rPr>
          <w:rFonts w:hint="eastAsia" w:ascii="仿宋" w:hAnsi="仿宋" w:eastAsia="仿宋" w:cs="仿宋"/>
          <w:color w:val="000000"/>
        </w:rPr>
        <w:t xml:space="preserve">    （2）其他业务收入</w:t>
      </w:r>
    </w:p>
    <w:p w14:paraId="580FD5EA">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包括广告、车站商场租金、物业开发等收入，参照上海、北京、广州等城市地铁其他收入 取值为地铁票务收入的15%，为行业平均值。</w:t>
      </w:r>
    </w:p>
    <w:p w14:paraId="728E5343">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（3）政府性基金收入</w:t>
      </w:r>
    </w:p>
    <w:p w14:paraId="591D28B3">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本项目为民生基建项目，项目社会公益性意义较强，盈利能力有限，为保障项目顺利进行，资金不足部分拟通过政府性基金收入弥补。</w:t>
      </w:r>
    </w:p>
    <w:p w14:paraId="4EAF4281">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南昌轨道交通集团有限公司综合考虑适度增长因素，保守预测了2026-2040年的收入、支出，在本项目的实施过程中，可以产生持续稳定的收益，各年现金流入及现金流出均保持了稳定的增长，且保持了各年现金结余的总体增长。</w:t>
      </w:r>
    </w:p>
    <w:p w14:paraId="349722C9">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（二）资金充足性</w:t>
      </w:r>
    </w:p>
    <w:p w14:paraId="251E3D48">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资金充足性分析情况表从项目开工年份开始编制，至债券存续期最后一年结束。</w:t>
      </w:r>
    </w:p>
    <w:p w14:paraId="1421B8D8">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1.债券还本付息分析</w:t>
      </w:r>
    </w:p>
    <w:p w14:paraId="6CBCE718">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本次南昌轨道交通集团有限公司组织申报发行南昌市轨道交通1号线北延工程项目专项债券项目的总投资额1,095,993.06万元。计划发行专项债券金额220,000.00万元，其中：9,000.00万元已由2021年江西省高质量发展专项债券（三期）——2021年江西省政府专项债券（八期）调整至本项目，发行期限15年，发行利率3.73%；600.00万元已由2020年江西省高质量发展补短板专项债券（一期）——2020年江西省政府专项债券（十六期）调整至本项目，发行期限7年，发行利率2.84%；4,400.00万元已由2020年江西省高质量发展补短板专项债券（二期）——2020年江西省政府专项债券（十七期）调整至本项目，发行期限15年，发行利率3.44%；2022年已发行117,600.00万元，期限为10年，实际年利率为2.94%；2023年1月已发行24,000.00万元，期限为15年，发行利率3.12%；2023年6月已发行5,000.00万元，期限为15年，发行利率3.04%；2024年本期计划申请</w:t>
      </w:r>
      <w:r>
        <w:rPr>
          <w:rFonts w:hint="eastAsia" w:ascii="仿宋" w:hAnsi="仿宋" w:eastAsia="仿宋" w:cs="仿宋"/>
          <w:color w:val="000000"/>
          <w:lang w:val="en-GB"/>
        </w:rPr>
        <w:t>40,000.00万元，期限15年；2025年计划申请19,400.00万元，期限为15年</w:t>
      </w:r>
      <w:r>
        <w:rPr>
          <w:rFonts w:hint="eastAsia" w:ascii="仿宋" w:hAnsi="仿宋" w:eastAsia="仿宋" w:cs="仿宋"/>
          <w:color w:val="000000"/>
        </w:rPr>
        <w:t>。从客观、谨慎角度出发，15年期债券利率预计4.3%,发行费率暂按照0.10%测算，据此预计专项债券利息合计为80,312.58万元，预计发行费用为220.00万元。</w:t>
      </w:r>
    </w:p>
    <w:p w14:paraId="25FA7F81">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按照该项目专项债券发行计划，2023-2025年计划发行债券15年期以年利率4.30%预计每年利息支出，每半年支付一次利息，到期一次还本，本项目专项债券还本付息情况如下表所示：</w:t>
      </w:r>
    </w:p>
    <w:p w14:paraId="15FA2E0A">
      <w:pPr>
        <w:spacing w:line="400" w:lineRule="exact"/>
        <w:ind w:firstLine="482"/>
        <w:jc w:val="center"/>
        <w:rPr>
          <w:rFonts w:hint="eastAsia" w:ascii="宋体" w:hAnsi="宋体" w:cs="仿宋"/>
          <w:b/>
          <w:color w:val="000000" w:themeColor="text1"/>
          <w:szCs w:val="24"/>
        </w:rPr>
      </w:pPr>
      <w:r>
        <w:rPr>
          <w:rFonts w:hint="eastAsia" w:ascii="宋体" w:hAnsi="宋体" w:cs="仿宋"/>
          <w:b/>
          <w:color w:val="000000" w:themeColor="text1"/>
          <w:szCs w:val="24"/>
        </w:rPr>
        <w:t>表3</w:t>
      </w:r>
      <w:r>
        <w:rPr>
          <w:rFonts w:hint="eastAsia" w:ascii="宋体" w:hAnsi="宋体"/>
          <w:b/>
          <w:color w:val="000000" w:themeColor="text1"/>
          <w:szCs w:val="24"/>
        </w:rPr>
        <w:t>-</w:t>
      </w:r>
      <w:r>
        <w:rPr>
          <w:rFonts w:ascii="宋体" w:hAnsi="宋体"/>
          <w:b/>
          <w:color w:val="000000" w:themeColor="text1"/>
          <w:szCs w:val="24"/>
        </w:rPr>
        <w:t>2</w:t>
      </w:r>
      <w:r>
        <w:rPr>
          <w:rFonts w:hint="eastAsia" w:ascii="宋体" w:hAnsi="宋体"/>
          <w:b/>
          <w:color w:val="000000" w:themeColor="text1"/>
          <w:szCs w:val="24"/>
        </w:rPr>
        <w:t xml:space="preserve"> </w:t>
      </w:r>
      <w:r>
        <w:rPr>
          <w:rFonts w:ascii="宋体" w:hAnsi="宋体"/>
          <w:b/>
          <w:color w:val="000000" w:themeColor="text1"/>
          <w:szCs w:val="24"/>
        </w:rPr>
        <w:t xml:space="preserve"> 2022</w:t>
      </w:r>
      <w:r>
        <w:rPr>
          <w:rFonts w:hint="eastAsia" w:ascii="宋体" w:hAnsi="宋体" w:cs="仿宋"/>
          <w:b/>
          <w:color w:val="000000" w:themeColor="text1"/>
          <w:szCs w:val="24"/>
        </w:rPr>
        <w:t>-</w:t>
      </w:r>
      <w:r>
        <w:rPr>
          <w:rFonts w:ascii="宋体" w:hAnsi="宋体" w:cs="仿宋"/>
          <w:b/>
          <w:color w:val="000000" w:themeColor="text1"/>
          <w:szCs w:val="24"/>
        </w:rPr>
        <w:t>2040</w:t>
      </w:r>
      <w:r>
        <w:rPr>
          <w:rFonts w:hint="eastAsia" w:ascii="宋体" w:hAnsi="宋体" w:cs="仿宋"/>
          <w:b/>
          <w:color w:val="000000" w:themeColor="text1"/>
          <w:szCs w:val="24"/>
        </w:rPr>
        <w:t>年专项债券还本付息情况预测表</w:t>
      </w:r>
    </w:p>
    <w:p w14:paraId="39C4F59F">
      <w:pPr>
        <w:spacing w:line="400" w:lineRule="exact"/>
        <w:ind w:firstLine="360"/>
        <w:jc w:val="right"/>
        <w:rPr>
          <w:rFonts w:hint="eastAsia" w:ascii="宋体" w:hAnsi="宋体" w:cs="仿宋"/>
          <w:color w:val="000000" w:themeColor="text1"/>
          <w:sz w:val="18"/>
          <w:szCs w:val="18"/>
        </w:rPr>
      </w:pPr>
      <w:r>
        <w:rPr>
          <w:rFonts w:hint="eastAsia" w:ascii="宋体" w:hAnsi="宋体" w:cs="仿宋"/>
          <w:color w:val="000000" w:themeColor="text1"/>
          <w:sz w:val="18"/>
          <w:szCs w:val="18"/>
        </w:rPr>
        <w:t>单位：万元</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
        <w:gridCol w:w="1345"/>
        <w:gridCol w:w="1345"/>
        <w:gridCol w:w="1155"/>
        <w:gridCol w:w="1235"/>
        <w:gridCol w:w="1345"/>
        <w:gridCol w:w="1343"/>
      </w:tblGrid>
      <w:tr w14:paraId="4187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546" w:type="pct"/>
            <w:shd w:val="clear" w:color="auto" w:fill="auto"/>
            <w:vAlign w:val="center"/>
          </w:tcPr>
          <w:p w14:paraId="540FB33F">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年 份</w:t>
            </w:r>
          </w:p>
        </w:tc>
        <w:tc>
          <w:tcPr>
            <w:tcW w:w="771" w:type="pct"/>
            <w:shd w:val="clear" w:color="auto" w:fill="auto"/>
            <w:vAlign w:val="center"/>
          </w:tcPr>
          <w:p w14:paraId="795C5399">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期初债券余额</w:t>
            </w:r>
          </w:p>
        </w:tc>
        <w:tc>
          <w:tcPr>
            <w:tcW w:w="771" w:type="pct"/>
            <w:shd w:val="clear" w:color="auto" w:fill="auto"/>
            <w:vAlign w:val="center"/>
          </w:tcPr>
          <w:p w14:paraId="65FFFB02">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本期发行</w:t>
            </w:r>
          </w:p>
        </w:tc>
        <w:tc>
          <w:tcPr>
            <w:tcW w:w="662" w:type="pct"/>
            <w:shd w:val="clear" w:color="auto" w:fill="auto"/>
            <w:vAlign w:val="center"/>
          </w:tcPr>
          <w:p w14:paraId="284D6142">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发行费用</w:t>
            </w:r>
          </w:p>
        </w:tc>
        <w:tc>
          <w:tcPr>
            <w:tcW w:w="708" w:type="pct"/>
            <w:shd w:val="clear" w:color="auto" w:fill="auto"/>
            <w:vAlign w:val="center"/>
          </w:tcPr>
          <w:p w14:paraId="3B98D92C">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本期付息</w:t>
            </w:r>
          </w:p>
        </w:tc>
        <w:tc>
          <w:tcPr>
            <w:tcW w:w="771" w:type="pct"/>
            <w:shd w:val="clear" w:color="auto" w:fill="auto"/>
            <w:vAlign w:val="center"/>
          </w:tcPr>
          <w:p w14:paraId="71D04FAA">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本期还本</w:t>
            </w:r>
          </w:p>
        </w:tc>
        <w:tc>
          <w:tcPr>
            <w:tcW w:w="770" w:type="pct"/>
            <w:shd w:val="clear" w:color="auto" w:fill="auto"/>
            <w:vAlign w:val="center"/>
          </w:tcPr>
          <w:p w14:paraId="5F8D0F10">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期末债券余额</w:t>
            </w:r>
          </w:p>
        </w:tc>
      </w:tr>
      <w:tr w14:paraId="323DA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546" w:type="pct"/>
            <w:shd w:val="clear" w:color="auto" w:fill="auto"/>
            <w:vAlign w:val="center"/>
          </w:tcPr>
          <w:p w14:paraId="0FA96DA7">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2023年调整金额</w:t>
            </w:r>
          </w:p>
        </w:tc>
        <w:tc>
          <w:tcPr>
            <w:tcW w:w="771" w:type="pct"/>
            <w:shd w:val="clear" w:color="auto" w:fill="auto"/>
          </w:tcPr>
          <w:p w14:paraId="71E04B80">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w:t>
            </w:r>
          </w:p>
        </w:tc>
        <w:tc>
          <w:tcPr>
            <w:tcW w:w="771" w:type="pct"/>
            <w:shd w:val="clear" w:color="auto" w:fill="auto"/>
          </w:tcPr>
          <w:p w14:paraId="44BD514E">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14,000.00</w:t>
            </w:r>
          </w:p>
        </w:tc>
        <w:tc>
          <w:tcPr>
            <w:tcW w:w="662" w:type="pct"/>
            <w:shd w:val="clear" w:color="auto" w:fill="auto"/>
          </w:tcPr>
          <w:p w14:paraId="2DE4F514">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14.00</w:t>
            </w:r>
          </w:p>
        </w:tc>
        <w:tc>
          <w:tcPr>
            <w:tcW w:w="708" w:type="pct"/>
            <w:shd w:val="clear" w:color="auto" w:fill="auto"/>
          </w:tcPr>
          <w:p w14:paraId="439ACEA4">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168.40</w:t>
            </w:r>
          </w:p>
        </w:tc>
        <w:tc>
          <w:tcPr>
            <w:tcW w:w="771" w:type="pct"/>
            <w:shd w:val="clear" w:color="auto" w:fill="auto"/>
          </w:tcPr>
          <w:p w14:paraId="24F64345">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167F71CE">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14,000.00</w:t>
            </w:r>
          </w:p>
        </w:tc>
      </w:tr>
      <w:tr w14:paraId="0C56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0240844A">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2022年</w:t>
            </w:r>
          </w:p>
        </w:tc>
        <w:tc>
          <w:tcPr>
            <w:tcW w:w="771" w:type="pct"/>
            <w:shd w:val="clear" w:color="auto" w:fill="auto"/>
          </w:tcPr>
          <w:p w14:paraId="001FB752">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14,000.00</w:t>
            </w:r>
          </w:p>
        </w:tc>
        <w:tc>
          <w:tcPr>
            <w:tcW w:w="771" w:type="pct"/>
            <w:shd w:val="clear" w:color="auto" w:fill="auto"/>
          </w:tcPr>
          <w:p w14:paraId="5BC86D40">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117,600.00</w:t>
            </w:r>
          </w:p>
        </w:tc>
        <w:tc>
          <w:tcPr>
            <w:tcW w:w="662" w:type="pct"/>
            <w:shd w:val="clear" w:color="auto" w:fill="auto"/>
          </w:tcPr>
          <w:p w14:paraId="33142462">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117.60</w:t>
            </w:r>
          </w:p>
        </w:tc>
        <w:tc>
          <w:tcPr>
            <w:tcW w:w="708" w:type="pct"/>
            <w:shd w:val="clear" w:color="auto" w:fill="auto"/>
          </w:tcPr>
          <w:p w14:paraId="26C4A203">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2,232.82</w:t>
            </w:r>
          </w:p>
        </w:tc>
        <w:tc>
          <w:tcPr>
            <w:tcW w:w="771" w:type="pct"/>
            <w:shd w:val="clear" w:color="auto" w:fill="auto"/>
          </w:tcPr>
          <w:p w14:paraId="608821D5">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6186D2ED">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131,600.00</w:t>
            </w:r>
          </w:p>
        </w:tc>
      </w:tr>
      <w:tr w14:paraId="4F81C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7524A075">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2023年</w:t>
            </w:r>
          </w:p>
        </w:tc>
        <w:tc>
          <w:tcPr>
            <w:tcW w:w="771" w:type="pct"/>
            <w:shd w:val="clear" w:color="auto" w:fill="auto"/>
          </w:tcPr>
          <w:p w14:paraId="192CA3EA">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131,600.00</w:t>
            </w:r>
          </w:p>
        </w:tc>
        <w:tc>
          <w:tcPr>
            <w:tcW w:w="771" w:type="pct"/>
            <w:shd w:val="clear" w:color="auto" w:fill="auto"/>
          </w:tcPr>
          <w:p w14:paraId="609901C7">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29,000.00</w:t>
            </w:r>
          </w:p>
        </w:tc>
        <w:tc>
          <w:tcPr>
            <w:tcW w:w="662" w:type="pct"/>
            <w:shd w:val="clear" w:color="auto" w:fill="auto"/>
          </w:tcPr>
          <w:p w14:paraId="68E60ADA">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29.00</w:t>
            </w:r>
          </w:p>
        </w:tc>
        <w:tc>
          <w:tcPr>
            <w:tcW w:w="708" w:type="pct"/>
            <w:shd w:val="clear" w:color="auto" w:fill="auto"/>
          </w:tcPr>
          <w:p w14:paraId="5C3B4C0C">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3,961.54</w:t>
            </w:r>
          </w:p>
        </w:tc>
        <w:tc>
          <w:tcPr>
            <w:tcW w:w="771" w:type="pct"/>
            <w:shd w:val="clear" w:color="auto" w:fill="auto"/>
          </w:tcPr>
          <w:p w14:paraId="69E1560D">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04AF2DEF">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160,600.00</w:t>
            </w:r>
          </w:p>
        </w:tc>
      </w:tr>
      <w:tr w14:paraId="6193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41536454">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2024年</w:t>
            </w:r>
          </w:p>
        </w:tc>
        <w:tc>
          <w:tcPr>
            <w:tcW w:w="771" w:type="pct"/>
            <w:shd w:val="clear" w:color="auto" w:fill="auto"/>
          </w:tcPr>
          <w:p w14:paraId="373CD01F">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160,600.00</w:t>
            </w:r>
          </w:p>
        </w:tc>
        <w:tc>
          <w:tcPr>
            <w:tcW w:w="771" w:type="pct"/>
            <w:shd w:val="clear" w:color="auto" w:fill="auto"/>
          </w:tcPr>
          <w:p w14:paraId="3308F46D">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40,000.00</w:t>
            </w:r>
          </w:p>
        </w:tc>
        <w:tc>
          <w:tcPr>
            <w:tcW w:w="662" w:type="pct"/>
            <w:shd w:val="clear" w:color="auto" w:fill="auto"/>
          </w:tcPr>
          <w:p w14:paraId="7995D827">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40.00</w:t>
            </w:r>
          </w:p>
        </w:tc>
        <w:tc>
          <w:tcPr>
            <w:tcW w:w="708" w:type="pct"/>
            <w:shd w:val="clear" w:color="auto" w:fill="auto"/>
          </w:tcPr>
          <w:p w14:paraId="04925937">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4,821.54</w:t>
            </w:r>
          </w:p>
        </w:tc>
        <w:tc>
          <w:tcPr>
            <w:tcW w:w="771" w:type="pct"/>
            <w:shd w:val="clear" w:color="auto" w:fill="auto"/>
          </w:tcPr>
          <w:p w14:paraId="7D754EFF">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1864796F">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200,600.00</w:t>
            </w:r>
          </w:p>
        </w:tc>
      </w:tr>
      <w:tr w14:paraId="595A2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6EEDBB00">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2025年</w:t>
            </w:r>
          </w:p>
        </w:tc>
        <w:tc>
          <w:tcPr>
            <w:tcW w:w="771" w:type="pct"/>
            <w:shd w:val="clear" w:color="auto" w:fill="auto"/>
          </w:tcPr>
          <w:p w14:paraId="312BCF49">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200,600.00</w:t>
            </w:r>
          </w:p>
        </w:tc>
        <w:tc>
          <w:tcPr>
            <w:tcW w:w="771" w:type="pct"/>
            <w:shd w:val="clear" w:color="auto" w:fill="auto"/>
          </w:tcPr>
          <w:p w14:paraId="78BBE6BA">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19,400.00</w:t>
            </w:r>
          </w:p>
        </w:tc>
        <w:tc>
          <w:tcPr>
            <w:tcW w:w="662" w:type="pct"/>
            <w:shd w:val="clear" w:color="auto" w:fill="auto"/>
          </w:tcPr>
          <w:p w14:paraId="5B8F6B26">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19.40</w:t>
            </w:r>
          </w:p>
        </w:tc>
        <w:tc>
          <w:tcPr>
            <w:tcW w:w="708" w:type="pct"/>
            <w:shd w:val="clear" w:color="auto" w:fill="auto"/>
          </w:tcPr>
          <w:p w14:paraId="280E7B21">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6,098.64</w:t>
            </w:r>
          </w:p>
        </w:tc>
        <w:tc>
          <w:tcPr>
            <w:tcW w:w="771" w:type="pct"/>
            <w:shd w:val="clear" w:color="auto" w:fill="auto"/>
          </w:tcPr>
          <w:p w14:paraId="4E967129">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7C80195E">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220,000.00</w:t>
            </w:r>
          </w:p>
        </w:tc>
      </w:tr>
      <w:tr w14:paraId="3F583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725AD795">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2026年</w:t>
            </w:r>
          </w:p>
        </w:tc>
        <w:tc>
          <w:tcPr>
            <w:tcW w:w="771" w:type="pct"/>
            <w:shd w:val="clear" w:color="auto" w:fill="auto"/>
          </w:tcPr>
          <w:p w14:paraId="220D5B2D">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220,000.00</w:t>
            </w:r>
          </w:p>
        </w:tc>
        <w:tc>
          <w:tcPr>
            <w:tcW w:w="771" w:type="pct"/>
            <w:shd w:val="clear" w:color="auto" w:fill="auto"/>
          </w:tcPr>
          <w:p w14:paraId="756FA47C">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570632C4">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23D65DA6">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6,515.74</w:t>
            </w:r>
          </w:p>
        </w:tc>
        <w:tc>
          <w:tcPr>
            <w:tcW w:w="771" w:type="pct"/>
            <w:shd w:val="clear" w:color="auto" w:fill="auto"/>
          </w:tcPr>
          <w:p w14:paraId="71D377FA">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58AEA762">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220,000.00</w:t>
            </w:r>
          </w:p>
        </w:tc>
      </w:tr>
      <w:tr w14:paraId="6D9E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546" w:type="pct"/>
            <w:shd w:val="clear" w:color="auto" w:fill="auto"/>
            <w:vAlign w:val="center"/>
          </w:tcPr>
          <w:p w14:paraId="35DAE4FB">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2027年</w:t>
            </w:r>
          </w:p>
        </w:tc>
        <w:tc>
          <w:tcPr>
            <w:tcW w:w="771" w:type="pct"/>
            <w:shd w:val="clear" w:color="auto" w:fill="auto"/>
          </w:tcPr>
          <w:p w14:paraId="298F52D1">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220,000.00</w:t>
            </w:r>
          </w:p>
        </w:tc>
        <w:tc>
          <w:tcPr>
            <w:tcW w:w="771" w:type="pct"/>
            <w:shd w:val="clear" w:color="auto" w:fill="auto"/>
          </w:tcPr>
          <w:p w14:paraId="7A68E966">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25CEE737">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0D88F7E2">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6,515.74</w:t>
            </w:r>
          </w:p>
        </w:tc>
        <w:tc>
          <w:tcPr>
            <w:tcW w:w="771" w:type="pct"/>
            <w:shd w:val="clear" w:color="auto" w:fill="auto"/>
          </w:tcPr>
          <w:p w14:paraId="5A9A56D7">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600.00</w:t>
            </w:r>
          </w:p>
        </w:tc>
        <w:tc>
          <w:tcPr>
            <w:tcW w:w="770" w:type="pct"/>
            <w:shd w:val="clear" w:color="auto" w:fill="auto"/>
          </w:tcPr>
          <w:p w14:paraId="6E0269B8">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219,400.00</w:t>
            </w:r>
          </w:p>
        </w:tc>
      </w:tr>
      <w:tr w14:paraId="77BFD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546" w:type="pct"/>
            <w:shd w:val="clear" w:color="auto" w:fill="auto"/>
            <w:vAlign w:val="center"/>
          </w:tcPr>
          <w:p w14:paraId="78D7466B">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2028年</w:t>
            </w:r>
          </w:p>
        </w:tc>
        <w:tc>
          <w:tcPr>
            <w:tcW w:w="771" w:type="pct"/>
            <w:shd w:val="clear" w:color="auto" w:fill="auto"/>
          </w:tcPr>
          <w:p w14:paraId="75B560E4">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219,400.00</w:t>
            </w:r>
          </w:p>
        </w:tc>
        <w:tc>
          <w:tcPr>
            <w:tcW w:w="771" w:type="pct"/>
            <w:shd w:val="clear" w:color="auto" w:fill="auto"/>
          </w:tcPr>
          <w:p w14:paraId="4A530BEE">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6EFD8219">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0E74F4B8">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6,498.70</w:t>
            </w:r>
          </w:p>
        </w:tc>
        <w:tc>
          <w:tcPr>
            <w:tcW w:w="771" w:type="pct"/>
            <w:shd w:val="clear" w:color="auto" w:fill="auto"/>
          </w:tcPr>
          <w:p w14:paraId="37DCDF3B">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2F6CB09A">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219,400.00</w:t>
            </w:r>
          </w:p>
        </w:tc>
      </w:tr>
      <w:tr w14:paraId="1AED8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16058132">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2029年</w:t>
            </w:r>
          </w:p>
        </w:tc>
        <w:tc>
          <w:tcPr>
            <w:tcW w:w="771" w:type="pct"/>
            <w:shd w:val="clear" w:color="auto" w:fill="auto"/>
          </w:tcPr>
          <w:p w14:paraId="6C3A1708">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219,400.00</w:t>
            </w:r>
          </w:p>
        </w:tc>
        <w:tc>
          <w:tcPr>
            <w:tcW w:w="771" w:type="pct"/>
            <w:shd w:val="clear" w:color="auto" w:fill="auto"/>
          </w:tcPr>
          <w:p w14:paraId="0B926CC5">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0B63738C">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01547B42">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6,498.70</w:t>
            </w:r>
          </w:p>
        </w:tc>
        <w:tc>
          <w:tcPr>
            <w:tcW w:w="771" w:type="pct"/>
            <w:shd w:val="clear" w:color="auto" w:fill="auto"/>
          </w:tcPr>
          <w:p w14:paraId="21094BB3">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7CA9D8C2">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219,400.00</w:t>
            </w:r>
          </w:p>
        </w:tc>
      </w:tr>
      <w:tr w14:paraId="7C86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24996653">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2030年</w:t>
            </w:r>
          </w:p>
        </w:tc>
        <w:tc>
          <w:tcPr>
            <w:tcW w:w="771" w:type="pct"/>
            <w:shd w:val="clear" w:color="auto" w:fill="auto"/>
          </w:tcPr>
          <w:p w14:paraId="2BF73141">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219,400.00</w:t>
            </w:r>
          </w:p>
        </w:tc>
        <w:tc>
          <w:tcPr>
            <w:tcW w:w="771" w:type="pct"/>
            <w:shd w:val="clear" w:color="auto" w:fill="auto"/>
          </w:tcPr>
          <w:p w14:paraId="45295FCF">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5F4D4FD4">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33FC6ABB">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6,498.70</w:t>
            </w:r>
          </w:p>
        </w:tc>
        <w:tc>
          <w:tcPr>
            <w:tcW w:w="771" w:type="pct"/>
            <w:shd w:val="clear" w:color="auto" w:fill="auto"/>
          </w:tcPr>
          <w:p w14:paraId="7597654B">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4C15D486">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219,400.00</w:t>
            </w:r>
          </w:p>
        </w:tc>
      </w:tr>
      <w:tr w14:paraId="2F2FE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5FBC6DDE">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2031年</w:t>
            </w:r>
          </w:p>
        </w:tc>
        <w:tc>
          <w:tcPr>
            <w:tcW w:w="771" w:type="pct"/>
            <w:shd w:val="clear" w:color="auto" w:fill="auto"/>
          </w:tcPr>
          <w:p w14:paraId="5ACFBF94">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219,400.00</w:t>
            </w:r>
          </w:p>
        </w:tc>
        <w:tc>
          <w:tcPr>
            <w:tcW w:w="771" w:type="pct"/>
            <w:shd w:val="clear" w:color="auto" w:fill="auto"/>
          </w:tcPr>
          <w:p w14:paraId="6EF57A1D">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5A5A9335">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5FCE4F03">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6,498.70</w:t>
            </w:r>
          </w:p>
        </w:tc>
        <w:tc>
          <w:tcPr>
            <w:tcW w:w="771" w:type="pct"/>
            <w:shd w:val="clear" w:color="auto" w:fill="auto"/>
          </w:tcPr>
          <w:p w14:paraId="08BA2279">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67C94383">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219,400.00</w:t>
            </w:r>
          </w:p>
        </w:tc>
      </w:tr>
      <w:tr w14:paraId="2DA3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5B5798B9">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2032年</w:t>
            </w:r>
          </w:p>
        </w:tc>
        <w:tc>
          <w:tcPr>
            <w:tcW w:w="771" w:type="pct"/>
            <w:shd w:val="clear" w:color="auto" w:fill="auto"/>
          </w:tcPr>
          <w:p w14:paraId="4A8AD71C">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219,400.00</w:t>
            </w:r>
          </w:p>
        </w:tc>
        <w:tc>
          <w:tcPr>
            <w:tcW w:w="771" w:type="pct"/>
            <w:shd w:val="clear" w:color="auto" w:fill="auto"/>
          </w:tcPr>
          <w:p w14:paraId="4B6B2836">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68F26DB1">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3767037B">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4,769.98</w:t>
            </w:r>
          </w:p>
        </w:tc>
        <w:tc>
          <w:tcPr>
            <w:tcW w:w="771" w:type="pct"/>
            <w:shd w:val="clear" w:color="auto" w:fill="auto"/>
          </w:tcPr>
          <w:p w14:paraId="05FD59E8">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117,600.00</w:t>
            </w:r>
          </w:p>
        </w:tc>
        <w:tc>
          <w:tcPr>
            <w:tcW w:w="770" w:type="pct"/>
            <w:shd w:val="clear" w:color="auto" w:fill="auto"/>
          </w:tcPr>
          <w:p w14:paraId="636ED30D">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101,800.00</w:t>
            </w:r>
          </w:p>
        </w:tc>
      </w:tr>
      <w:tr w14:paraId="47070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72D74A02">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2033年</w:t>
            </w:r>
          </w:p>
        </w:tc>
        <w:tc>
          <w:tcPr>
            <w:tcW w:w="771" w:type="pct"/>
            <w:shd w:val="clear" w:color="auto" w:fill="auto"/>
          </w:tcPr>
          <w:p w14:paraId="483F1C6C">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101,800.00</w:t>
            </w:r>
          </w:p>
        </w:tc>
        <w:tc>
          <w:tcPr>
            <w:tcW w:w="771" w:type="pct"/>
            <w:shd w:val="clear" w:color="auto" w:fill="auto"/>
          </w:tcPr>
          <w:p w14:paraId="38323214">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78B7F0BE">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439BB42A">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3,041.26</w:t>
            </w:r>
          </w:p>
        </w:tc>
        <w:tc>
          <w:tcPr>
            <w:tcW w:w="771" w:type="pct"/>
            <w:shd w:val="clear" w:color="auto" w:fill="auto"/>
          </w:tcPr>
          <w:p w14:paraId="475B94EF">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1F6D8153">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101,800.00</w:t>
            </w:r>
          </w:p>
        </w:tc>
      </w:tr>
      <w:tr w14:paraId="44407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72C6F11F">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2034年</w:t>
            </w:r>
          </w:p>
        </w:tc>
        <w:tc>
          <w:tcPr>
            <w:tcW w:w="771" w:type="pct"/>
            <w:shd w:val="clear" w:color="auto" w:fill="auto"/>
          </w:tcPr>
          <w:p w14:paraId="551D3769">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101,800.00</w:t>
            </w:r>
          </w:p>
        </w:tc>
        <w:tc>
          <w:tcPr>
            <w:tcW w:w="771" w:type="pct"/>
            <w:shd w:val="clear" w:color="auto" w:fill="auto"/>
          </w:tcPr>
          <w:p w14:paraId="5CE38871">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1FF633F7">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43344733">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3,041.26</w:t>
            </w:r>
          </w:p>
        </w:tc>
        <w:tc>
          <w:tcPr>
            <w:tcW w:w="771" w:type="pct"/>
            <w:shd w:val="clear" w:color="auto" w:fill="auto"/>
          </w:tcPr>
          <w:p w14:paraId="479C3968">
            <w:pPr>
              <w:widowControl/>
              <w:spacing w:line="240" w:lineRule="auto"/>
              <w:ind w:firstLine="0" w:firstLineChars="0"/>
              <w:rPr>
                <w:rFonts w:hint="eastAsia" w:ascii="宋体" w:hAnsi="宋体" w:cs="宋体"/>
                <w:kern w:val="0"/>
                <w:sz w:val="18"/>
                <w:szCs w:val="18"/>
              </w:rPr>
            </w:pPr>
          </w:p>
        </w:tc>
        <w:tc>
          <w:tcPr>
            <w:tcW w:w="770" w:type="pct"/>
            <w:shd w:val="clear" w:color="auto" w:fill="auto"/>
          </w:tcPr>
          <w:p w14:paraId="4F53285E">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101,800.00</w:t>
            </w:r>
          </w:p>
        </w:tc>
      </w:tr>
      <w:tr w14:paraId="50DDB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77875F3E">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2035年</w:t>
            </w:r>
          </w:p>
        </w:tc>
        <w:tc>
          <w:tcPr>
            <w:tcW w:w="771" w:type="pct"/>
            <w:shd w:val="clear" w:color="auto" w:fill="auto"/>
          </w:tcPr>
          <w:p w14:paraId="1F5DD4D9">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101,800.00</w:t>
            </w:r>
          </w:p>
        </w:tc>
        <w:tc>
          <w:tcPr>
            <w:tcW w:w="771" w:type="pct"/>
            <w:shd w:val="clear" w:color="auto" w:fill="auto"/>
          </w:tcPr>
          <w:p w14:paraId="6DBB3E1B">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434A7144">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19E8276E">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3,041.26</w:t>
            </w:r>
          </w:p>
        </w:tc>
        <w:tc>
          <w:tcPr>
            <w:tcW w:w="771" w:type="pct"/>
            <w:shd w:val="clear" w:color="auto" w:fill="auto"/>
          </w:tcPr>
          <w:p w14:paraId="7A3D65BF">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4,400.00</w:t>
            </w:r>
          </w:p>
        </w:tc>
        <w:tc>
          <w:tcPr>
            <w:tcW w:w="770" w:type="pct"/>
            <w:shd w:val="clear" w:color="auto" w:fill="auto"/>
          </w:tcPr>
          <w:p w14:paraId="207558D5">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97,400.00</w:t>
            </w:r>
          </w:p>
        </w:tc>
      </w:tr>
      <w:tr w14:paraId="440DC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645DAE46">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2036年</w:t>
            </w:r>
          </w:p>
        </w:tc>
        <w:tc>
          <w:tcPr>
            <w:tcW w:w="771" w:type="pct"/>
            <w:shd w:val="clear" w:color="auto" w:fill="auto"/>
          </w:tcPr>
          <w:p w14:paraId="78F3A6BE">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97,400.00</w:t>
            </w:r>
          </w:p>
        </w:tc>
        <w:tc>
          <w:tcPr>
            <w:tcW w:w="771" w:type="pct"/>
            <w:shd w:val="clear" w:color="auto" w:fill="auto"/>
          </w:tcPr>
          <w:p w14:paraId="3650B5C5">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515A0C06">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068C2AA2">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2,889.90</w:t>
            </w:r>
          </w:p>
        </w:tc>
        <w:tc>
          <w:tcPr>
            <w:tcW w:w="771" w:type="pct"/>
            <w:shd w:val="clear" w:color="auto" w:fill="auto"/>
          </w:tcPr>
          <w:p w14:paraId="4A4C4445">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9,000.00</w:t>
            </w:r>
          </w:p>
        </w:tc>
        <w:tc>
          <w:tcPr>
            <w:tcW w:w="770" w:type="pct"/>
            <w:shd w:val="clear" w:color="auto" w:fill="auto"/>
          </w:tcPr>
          <w:p w14:paraId="6AE3E67A">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88,400.00</w:t>
            </w:r>
          </w:p>
        </w:tc>
      </w:tr>
      <w:tr w14:paraId="175E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46" w:type="pct"/>
            <w:shd w:val="clear" w:color="auto" w:fill="auto"/>
            <w:vAlign w:val="center"/>
          </w:tcPr>
          <w:p w14:paraId="5FA13ECF">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2037年</w:t>
            </w:r>
          </w:p>
        </w:tc>
        <w:tc>
          <w:tcPr>
            <w:tcW w:w="771" w:type="pct"/>
            <w:shd w:val="clear" w:color="auto" w:fill="auto"/>
          </w:tcPr>
          <w:p w14:paraId="47F36843">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88,400.00</w:t>
            </w:r>
          </w:p>
        </w:tc>
        <w:tc>
          <w:tcPr>
            <w:tcW w:w="771" w:type="pct"/>
            <w:shd w:val="clear" w:color="auto" w:fill="auto"/>
          </w:tcPr>
          <w:p w14:paraId="5FF39CBE">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1FD10D07">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31ED7D84">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2,554.20</w:t>
            </w:r>
          </w:p>
        </w:tc>
        <w:tc>
          <w:tcPr>
            <w:tcW w:w="771" w:type="pct"/>
            <w:shd w:val="clear" w:color="auto" w:fill="auto"/>
          </w:tcPr>
          <w:p w14:paraId="7EF4FEBA">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w:t>
            </w:r>
          </w:p>
        </w:tc>
        <w:tc>
          <w:tcPr>
            <w:tcW w:w="770" w:type="pct"/>
            <w:shd w:val="clear" w:color="auto" w:fill="auto"/>
          </w:tcPr>
          <w:p w14:paraId="17DD143E">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88,400.00</w:t>
            </w:r>
          </w:p>
        </w:tc>
      </w:tr>
      <w:tr w14:paraId="7EFD5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46" w:type="pct"/>
            <w:shd w:val="clear" w:color="auto" w:fill="auto"/>
            <w:vAlign w:val="center"/>
          </w:tcPr>
          <w:p w14:paraId="17BA78CB">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2038年</w:t>
            </w:r>
          </w:p>
        </w:tc>
        <w:tc>
          <w:tcPr>
            <w:tcW w:w="771" w:type="pct"/>
            <w:shd w:val="clear" w:color="auto" w:fill="auto"/>
          </w:tcPr>
          <w:p w14:paraId="67B8C2E9">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88,400.00</w:t>
            </w:r>
          </w:p>
        </w:tc>
        <w:tc>
          <w:tcPr>
            <w:tcW w:w="771" w:type="pct"/>
            <w:shd w:val="clear" w:color="auto" w:fill="auto"/>
          </w:tcPr>
          <w:p w14:paraId="361A4334">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28910493">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5E693758">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2,554.20</w:t>
            </w:r>
          </w:p>
        </w:tc>
        <w:tc>
          <w:tcPr>
            <w:tcW w:w="771" w:type="pct"/>
            <w:shd w:val="clear" w:color="auto" w:fill="auto"/>
          </w:tcPr>
          <w:p w14:paraId="057D10CD">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29,000.00</w:t>
            </w:r>
          </w:p>
        </w:tc>
        <w:tc>
          <w:tcPr>
            <w:tcW w:w="770" w:type="pct"/>
            <w:shd w:val="clear" w:color="auto" w:fill="auto"/>
          </w:tcPr>
          <w:p w14:paraId="29FA362E">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59,400.00</w:t>
            </w:r>
          </w:p>
        </w:tc>
      </w:tr>
      <w:tr w14:paraId="29BC1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46" w:type="pct"/>
            <w:shd w:val="clear" w:color="auto" w:fill="auto"/>
            <w:vAlign w:val="center"/>
          </w:tcPr>
          <w:p w14:paraId="57AF2C16">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2039年</w:t>
            </w:r>
          </w:p>
        </w:tc>
        <w:tc>
          <w:tcPr>
            <w:tcW w:w="771" w:type="pct"/>
            <w:shd w:val="clear" w:color="auto" w:fill="auto"/>
          </w:tcPr>
          <w:p w14:paraId="763B1FBB">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59,400.00</w:t>
            </w:r>
          </w:p>
        </w:tc>
        <w:tc>
          <w:tcPr>
            <w:tcW w:w="771" w:type="pct"/>
            <w:shd w:val="clear" w:color="auto" w:fill="auto"/>
          </w:tcPr>
          <w:p w14:paraId="553D3DAC">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2973C953">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59FF46D3">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1,694.20</w:t>
            </w:r>
          </w:p>
        </w:tc>
        <w:tc>
          <w:tcPr>
            <w:tcW w:w="771" w:type="pct"/>
            <w:shd w:val="clear" w:color="auto" w:fill="auto"/>
          </w:tcPr>
          <w:p w14:paraId="314CE60B">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40,000.00</w:t>
            </w:r>
          </w:p>
        </w:tc>
        <w:tc>
          <w:tcPr>
            <w:tcW w:w="770" w:type="pct"/>
            <w:shd w:val="clear" w:color="auto" w:fill="auto"/>
          </w:tcPr>
          <w:p w14:paraId="6E220238">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19,400.00</w:t>
            </w:r>
          </w:p>
        </w:tc>
      </w:tr>
      <w:tr w14:paraId="60A3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46" w:type="pct"/>
            <w:shd w:val="clear" w:color="auto" w:fill="auto"/>
            <w:vAlign w:val="center"/>
          </w:tcPr>
          <w:p w14:paraId="2ED04AEC">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2040年</w:t>
            </w:r>
          </w:p>
        </w:tc>
        <w:tc>
          <w:tcPr>
            <w:tcW w:w="771" w:type="pct"/>
            <w:shd w:val="clear" w:color="auto" w:fill="auto"/>
          </w:tcPr>
          <w:p w14:paraId="07D7013A">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19,400.00</w:t>
            </w:r>
          </w:p>
        </w:tc>
        <w:tc>
          <w:tcPr>
            <w:tcW w:w="771" w:type="pct"/>
            <w:shd w:val="clear" w:color="auto" w:fill="auto"/>
          </w:tcPr>
          <w:p w14:paraId="5E56B81B">
            <w:pPr>
              <w:widowControl/>
              <w:spacing w:line="240" w:lineRule="auto"/>
              <w:ind w:firstLine="0" w:firstLineChars="0"/>
              <w:rPr>
                <w:rFonts w:hint="eastAsia" w:ascii="宋体" w:hAnsi="宋体" w:cs="宋体"/>
                <w:kern w:val="0"/>
                <w:sz w:val="18"/>
                <w:szCs w:val="18"/>
              </w:rPr>
            </w:pPr>
          </w:p>
        </w:tc>
        <w:tc>
          <w:tcPr>
            <w:tcW w:w="662" w:type="pct"/>
            <w:shd w:val="clear" w:color="auto" w:fill="auto"/>
          </w:tcPr>
          <w:p w14:paraId="3FE1B9D4">
            <w:pPr>
              <w:widowControl/>
              <w:spacing w:line="240" w:lineRule="auto"/>
              <w:ind w:firstLine="0" w:firstLineChars="0"/>
              <w:rPr>
                <w:rFonts w:hint="eastAsia" w:ascii="宋体" w:hAnsi="宋体" w:cs="宋体"/>
                <w:kern w:val="0"/>
                <w:sz w:val="18"/>
                <w:szCs w:val="18"/>
              </w:rPr>
            </w:pPr>
          </w:p>
        </w:tc>
        <w:tc>
          <w:tcPr>
            <w:tcW w:w="708" w:type="pct"/>
            <w:shd w:val="clear" w:color="auto" w:fill="auto"/>
          </w:tcPr>
          <w:p w14:paraId="51A2C192">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417.10</w:t>
            </w:r>
          </w:p>
        </w:tc>
        <w:tc>
          <w:tcPr>
            <w:tcW w:w="771" w:type="pct"/>
            <w:shd w:val="clear" w:color="auto" w:fill="auto"/>
          </w:tcPr>
          <w:p w14:paraId="6BE8E9C9">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19,400.00</w:t>
            </w:r>
          </w:p>
        </w:tc>
        <w:tc>
          <w:tcPr>
            <w:tcW w:w="770" w:type="pct"/>
            <w:shd w:val="clear" w:color="auto" w:fill="auto"/>
          </w:tcPr>
          <w:p w14:paraId="615DA580">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w:t>
            </w:r>
          </w:p>
        </w:tc>
      </w:tr>
      <w:tr w14:paraId="59F3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46" w:type="pct"/>
            <w:shd w:val="clear" w:color="auto" w:fill="auto"/>
            <w:vAlign w:val="center"/>
          </w:tcPr>
          <w:p w14:paraId="6915FB53">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合计</w:t>
            </w:r>
          </w:p>
        </w:tc>
        <w:tc>
          <w:tcPr>
            <w:tcW w:w="771" w:type="pct"/>
            <w:shd w:val="clear" w:color="auto" w:fill="auto"/>
            <w:vAlign w:val="center"/>
          </w:tcPr>
          <w:p w14:paraId="0B578F79">
            <w:pPr>
              <w:widowControl/>
              <w:spacing w:line="240" w:lineRule="auto"/>
              <w:ind w:firstLine="0" w:firstLineChars="0"/>
              <w:rPr>
                <w:rFonts w:hint="eastAsia" w:ascii="宋体" w:hAnsi="宋体" w:cs="宋体"/>
                <w:kern w:val="0"/>
                <w:sz w:val="18"/>
                <w:szCs w:val="18"/>
              </w:rPr>
            </w:pPr>
          </w:p>
        </w:tc>
        <w:tc>
          <w:tcPr>
            <w:tcW w:w="771" w:type="pct"/>
            <w:shd w:val="clear" w:color="auto" w:fill="auto"/>
          </w:tcPr>
          <w:p w14:paraId="3927D326">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220,000.00</w:t>
            </w:r>
          </w:p>
        </w:tc>
        <w:tc>
          <w:tcPr>
            <w:tcW w:w="662" w:type="pct"/>
            <w:shd w:val="clear" w:color="auto" w:fill="auto"/>
          </w:tcPr>
          <w:p w14:paraId="47DC2981">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220.00</w:t>
            </w:r>
          </w:p>
        </w:tc>
        <w:tc>
          <w:tcPr>
            <w:tcW w:w="708" w:type="pct"/>
            <w:shd w:val="clear" w:color="auto" w:fill="auto"/>
          </w:tcPr>
          <w:p w14:paraId="64310564">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80,312.58</w:t>
            </w:r>
          </w:p>
        </w:tc>
        <w:tc>
          <w:tcPr>
            <w:tcW w:w="771" w:type="pct"/>
            <w:shd w:val="clear" w:color="auto" w:fill="auto"/>
          </w:tcPr>
          <w:p w14:paraId="47A8AAC3">
            <w:pPr>
              <w:widowControl/>
              <w:spacing w:line="240" w:lineRule="auto"/>
              <w:ind w:firstLine="0" w:firstLineChars="0"/>
              <w:rPr>
                <w:rFonts w:hint="eastAsia" w:ascii="宋体" w:hAnsi="宋体" w:cs="宋体"/>
                <w:kern w:val="0"/>
                <w:sz w:val="18"/>
                <w:szCs w:val="18"/>
              </w:rPr>
            </w:pPr>
            <w:r>
              <w:rPr>
                <w:rFonts w:hint="eastAsia" w:ascii="宋体" w:hAnsi="宋体" w:cs="宋体"/>
                <w:kern w:val="0"/>
                <w:sz w:val="18"/>
                <w:szCs w:val="18"/>
              </w:rPr>
              <w:t>220,000.00</w:t>
            </w:r>
          </w:p>
        </w:tc>
        <w:tc>
          <w:tcPr>
            <w:tcW w:w="770" w:type="pct"/>
            <w:shd w:val="clear" w:color="auto" w:fill="auto"/>
            <w:vAlign w:val="center"/>
          </w:tcPr>
          <w:p w14:paraId="2CABE816">
            <w:pPr>
              <w:widowControl/>
              <w:spacing w:line="240" w:lineRule="auto"/>
              <w:ind w:firstLine="0" w:firstLineChars="0"/>
              <w:rPr>
                <w:rFonts w:hint="eastAsia" w:ascii="宋体" w:hAnsi="宋体" w:cs="宋体"/>
                <w:kern w:val="0"/>
                <w:sz w:val="18"/>
                <w:szCs w:val="18"/>
              </w:rPr>
            </w:pPr>
          </w:p>
        </w:tc>
      </w:tr>
    </w:tbl>
    <w:p w14:paraId="69D2212C">
      <w:pPr>
        <w:pStyle w:val="23"/>
        <w:spacing w:before="0" w:beforeAutospacing="0" w:after="156" w:afterLines="50" w:afterAutospacing="0" w:line="400" w:lineRule="exact"/>
        <w:ind w:firstLine="360" w:firstLineChars="200"/>
        <w:jc w:val="both"/>
        <w:rPr>
          <w:rFonts w:hint="eastAsia" w:cs="Times New Roman"/>
          <w:color w:val="000000" w:themeColor="text1"/>
          <w:sz w:val="18"/>
          <w:szCs w:val="18"/>
        </w:rPr>
      </w:pPr>
      <w:r>
        <w:rPr>
          <w:rFonts w:hint="eastAsia" w:cs="Times New Roman"/>
          <w:color w:val="000000" w:themeColor="text1"/>
          <w:sz w:val="18"/>
          <w:szCs w:val="18"/>
        </w:rPr>
        <w:t>注：1</w:t>
      </w:r>
      <w:r>
        <w:rPr>
          <w:rFonts w:cs="Times New Roman"/>
          <w:color w:val="000000" w:themeColor="text1"/>
          <w:sz w:val="18"/>
          <w:szCs w:val="18"/>
        </w:rPr>
        <w:t>0</w:t>
      </w:r>
      <w:r>
        <w:rPr>
          <w:rFonts w:hint="eastAsia" w:cs="Times New Roman"/>
          <w:color w:val="000000" w:themeColor="text1"/>
          <w:sz w:val="18"/>
          <w:szCs w:val="18"/>
        </w:rPr>
        <w:t>年期和1</w:t>
      </w:r>
      <w:r>
        <w:rPr>
          <w:rFonts w:cs="Times New Roman"/>
          <w:color w:val="000000" w:themeColor="text1"/>
          <w:sz w:val="18"/>
          <w:szCs w:val="18"/>
        </w:rPr>
        <w:t>5</w:t>
      </w:r>
      <w:r>
        <w:rPr>
          <w:rFonts w:hint="eastAsia" w:cs="Times New Roman"/>
          <w:color w:val="000000" w:themeColor="text1"/>
          <w:sz w:val="18"/>
          <w:szCs w:val="18"/>
        </w:rPr>
        <w:t>年期</w:t>
      </w:r>
      <w:r>
        <w:rPr>
          <w:rFonts w:hint="eastAsia"/>
          <w:color w:val="000000" w:themeColor="text1"/>
          <w:sz w:val="18"/>
          <w:szCs w:val="18"/>
        </w:rPr>
        <w:t>债券从债券发行年份的当年起按照每半年支付一次债券利息</w:t>
      </w:r>
      <w:r>
        <w:rPr>
          <w:rFonts w:hint="eastAsia" w:cs="Times New Roman"/>
          <w:color w:val="000000" w:themeColor="text1"/>
          <w:sz w:val="18"/>
          <w:szCs w:val="18"/>
        </w:rPr>
        <w:t>。</w:t>
      </w:r>
    </w:p>
    <w:p w14:paraId="3D4F7784">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2. 银行贷款还本付息分析</w:t>
      </w:r>
    </w:p>
    <w:p w14:paraId="2CA8D753">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项目拟通过银行借款437,595.84万元，其中：2021年已借款25,010.00万元，2022年已借款31,000.00万元，2023年已借款87,000.00万元；2024年计划借款108,100.00万元，2025年计划借款186,485.84万元，利率按3.5%计算。拟从2026年11月开始还本，融资利息按期支付，银行贷款还本付息情况如下：</w:t>
      </w:r>
    </w:p>
    <w:p w14:paraId="645952DB">
      <w:pPr>
        <w:pStyle w:val="23"/>
        <w:spacing w:before="0" w:beforeAutospacing="0" w:after="156" w:afterLines="50" w:afterAutospacing="0" w:line="400" w:lineRule="exact"/>
        <w:ind w:firstLine="420" w:firstLineChars="200"/>
        <w:jc w:val="center"/>
        <w:rPr>
          <w:rFonts w:hint="eastAsia" w:cs="仿宋"/>
          <w:b/>
          <w:color w:val="000000" w:themeColor="text1"/>
          <w:sz w:val="21"/>
          <w:szCs w:val="21"/>
        </w:rPr>
      </w:pPr>
      <w:r>
        <w:rPr>
          <w:rFonts w:hint="eastAsia" w:cs="仿宋"/>
          <w:b/>
          <w:color w:val="000000" w:themeColor="text1"/>
          <w:sz w:val="21"/>
          <w:szCs w:val="21"/>
        </w:rPr>
        <w:t>表</w:t>
      </w:r>
      <w:r>
        <w:rPr>
          <w:rFonts w:cs="仿宋"/>
          <w:b/>
          <w:color w:val="000000" w:themeColor="text1"/>
          <w:sz w:val="21"/>
          <w:szCs w:val="21"/>
        </w:rPr>
        <w:t>3</w:t>
      </w:r>
      <w:r>
        <w:rPr>
          <w:rFonts w:hint="eastAsia"/>
          <w:b/>
          <w:color w:val="000000" w:themeColor="text1"/>
          <w:sz w:val="21"/>
          <w:szCs w:val="21"/>
        </w:rPr>
        <w:t>-3  20</w:t>
      </w:r>
      <w:r>
        <w:rPr>
          <w:b/>
          <w:color w:val="000000" w:themeColor="text1"/>
          <w:sz w:val="21"/>
          <w:szCs w:val="21"/>
        </w:rPr>
        <w:t>21</w:t>
      </w:r>
      <w:r>
        <w:rPr>
          <w:rFonts w:hint="eastAsia"/>
          <w:b/>
          <w:color w:val="000000" w:themeColor="text1"/>
          <w:sz w:val="21"/>
          <w:szCs w:val="21"/>
        </w:rPr>
        <w:t>-20</w:t>
      </w:r>
      <w:r>
        <w:rPr>
          <w:b/>
          <w:color w:val="000000" w:themeColor="text1"/>
          <w:sz w:val="21"/>
          <w:szCs w:val="21"/>
        </w:rPr>
        <w:t>40</w:t>
      </w:r>
      <w:r>
        <w:rPr>
          <w:rFonts w:hint="eastAsia"/>
          <w:b/>
          <w:color w:val="000000" w:themeColor="text1"/>
          <w:sz w:val="21"/>
          <w:szCs w:val="21"/>
        </w:rPr>
        <w:t>年银行贷款还本付息情况预测表</w:t>
      </w:r>
    </w:p>
    <w:p w14:paraId="51CC953E">
      <w:pPr>
        <w:spacing w:after="156" w:afterLines="50" w:line="400" w:lineRule="exact"/>
        <w:ind w:firstLine="360"/>
        <w:jc w:val="right"/>
        <w:rPr>
          <w:rFonts w:hint="eastAsia" w:ascii="宋体" w:hAnsi="宋体" w:cs="仿宋"/>
          <w:color w:val="000000" w:themeColor="text1"/>
          <w:sz w:val="18"/>
          <w:szCs w:val="18"/>
        </w:rPr>
      </w:pPr>
      <w:r>
        <w:rPr>
          <w:rFonts w:hint="eastAsia" w:ascii="宋体" w:hAnsi="宋体" w:cs="仿宋"/>
          <w:color w:val="000000" w:themeColor="text1"/>
          <w:sz w:val="18"/>
          <w:szCs w:val="18"/>
        </w:rPr>
        <w:t>单位：万元</w:t>
      </w:r>
    </w:p>
    <w:tbl>
      <w:tblPr>
        <w:tblStyle w:val="28"/>
        <w:tblW w:w="8940" w:type="dxa"/>
        <w:tblInd w:w="-10" w:type="dxa"/>
        <w:tblLayout w:type="autofit"/>
        <w:tblCellMar>
          <w:top w:w="0" w:type="dxa"/>
          <w:left w:w="108" w:type="dxa"/>
          <w:bottom w:w="0" w:type="dxa"/>
          <w:right w:w="108" w:type="dxa"/>
        </w:tblCellMar>
      </w:tblPr>
      <w:tblGrid>
        <w:gridCol w:w="1146"/>
        <w:gridCol w:w="1407"/>
        <w:gridCol w:w="1846"/>
        <w:gridCol w:w="1604"/>
        <w:gridCol w:w="1604"/>
        <w:gridCol w:w="1333"/>
      </w:tblGrid>
      <w:tr w14:paraId="4DF65D17">
        <w:tblPrEx>
          <w:tblCellMar>
            <w:top w:w="0" w:type="dxa"/>
            <w:left w:w="108" w:type="dxa"/>
            <w:bottom w:w="0" w:type="dxa"/>
            <w:right w:w="108" w:type="dxa"/>
          </w:tblCellMar>
        </w:tblPrEx>
        <w:trPr>
          <w:trHeight w:val="465" w:hRule="atLeast"/>
          <w:tblHeader/>
        </w:trPr>
        <w:tc>
          <w:tcPr>
            <w:tcW w:w="1146" w:type="dxa"/>
            <w:tcBorders>
              <w:top w:val="single" w:color="auto" w:sz="8" w:space="0"/>
              <w:left w:val="single" w:color="auto" w:sz="8" w:space="0"/>
              <w:bottom w:val="single" w:color="auto" w:sz="8" w:space="0"/>
              <w:right w:val="single" w:color="auto" w:sz="8" w:space="0"/>
            </w:tcBorders>
            <w:shd w:val="clear" w:color="auto" w:fill="auto"/>
            <w:vAlign w:val="center"/>
          </w:tcPr>
          <w:p w14:paraId="308644C4">
            <w:pPr>
              <w:widowControl/>
              <w:spacing w:line="240" w:lineRule="auto"/>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 份</w:t>
            </w:r>
          </w:p>
        </w:tc>
        <w:tc>
          <w:tcPr>
            <w:tcW w:w="1407" w:type="dxa"/>
            <w:tcBorders>
              <w:top w:val="single" w:color="auto" w:sz="8" w:space="0"/>
              <w:left w:val="nil"/>
              <w:bottom w:val="single" w:color="auto" w:sz="8" w:space="0"/>
              <w:right w:val="single" w:color="auto" w:sz="8" w:space="0"/>
            </w:tcBorders>
            <w:shd w:val="clear" w:color="auto" w:fill="auto"/>
            <w:vAlign w:val="center"/>
          </w:tcPr>
          <w:p w14:paraId="2A08D37E">
            <w:pPr>
              <w:widowControl/>
              <w:spacing w:line="240" w:lineRule="auto"/>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期初融资余额</w:t>
            </w:r>
          </w:p>
        </w:tc>
        <w:tc>
          <w:tcPr>
            <w:tcW w:w="1846" w:type="dxa"/>
            <w:tcBorders>
              <w:top w:val="single" w:color="auto" w:sz="8" w:space="0"/>
              <w:left w:val="nil"/>
              <w:bottom w:val="single" w:color="auto" w:sz="8" w:space="0"/>
              <w:right w:val="single" w:color="auto" w:sz="8" w:space="0"/>
            </w:tcBorders>
            <w:shd w:val="clear" w:color="auto" w:fill="auto"/>
            <w:vAlign w:val="center"/>
          </w:tcPr>
          <w:p w14:paraId="2FA65CC5">
            <w:pPr>
              <w:widowControl/>
              <w:spacing w:line="240" w:lineRule="auto"/>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本期融资</w:t>
            </w:r>
          </w:p>
        </w:tc>
        <w:tc>
          <w:tcPr>
            <w:tcW w:w="1604" w:type="dxa"/>
            <w:tcBorders>
              <w:top w:val="single" w:color="auto" w:sz="8" w:space="0"/>
              <w:left w:val="nil"/>
              <w:bottom w:val="single" w:color="auto" w:sz="8" w:space="0"/>
              <w:right w:val="single" w:color="auto" w:sz="8" w:space="0"/>
            </w:tcBorders>
            <w:shd w:val="clear" w:color="auto" w:fill="auto"/>
            <w:vAlign w:val="center"/>
          </w:tcPr>
          <w:p w14:paraId="1C41BCCC">
            <w:pPr>
              <w:widowControl/>
              <w:spacing w:line="240" w:lineRule="auto"/>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本期付息</w:t>
            </w:r>
          </w:p>
        </w:tc>
        <w:tc>
          <w:tcPr>
            <w:tcW w:w="1604" w:type="dxa"/>
            <w:tcBorders>
              <w:top w:val="single" w:color="auto" w:sz="8" w:space="0"/>
              <w:left w:val="nil"/>
              <w:bottom w:val="single" w:color="auto" w:sz="8" w:space="0"/>
              <w:right w:val="single" w:color="auto" w:sz="8" w:space="0"/>
            </w:tcBorders>
            <w:shd w:val="clear" w:color="auto" w:fill="auto"/>
            <w:vAlign w:val="center"/>
          </w:tcPr>
          <w:p w14:paraId="20F49FAD">
            <w:pPr>
              <w:widowControl/>
              <w:spacing w:line="240" w:lineRule="auto"/>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本期还本</w:t>
            </w:r>
          </w:p>
        </w:tc>
        <w:tc>
          <w:tcPr>
            <w:tcW w:w="1333" w:type="dxa"/>
            <w:tcBorders>
              <w:top w:val="single" w:color="auto" w:sz="8" w:space="0"/>
              <w:left w:val="nil"/>
              <w:bottom w:val="single" w:color="auto" w:sz="8" w:space="0"/>
              <w:right w:val="single" w:color="auto" w:sz="8" w:space="0"/>
            </w:tcBorders>
            <w:shd w:val="clear" w:color="auto" w:fill="auto"/>
            <w:vAlign w:val="center"/>
          </w:tcPr>
          <w:p w14:paraId="639E60D9">
            <w:pPr>
              <w:widowControl/>
              <w:spacing w:line="240" w:lineRule="auto"/>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期末融资余额</w:t>
            </w:r>
          </w:p>
        </w:tc>
      </w:tr>
      <w:tr w14:paraId="2FF77BAA">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7F5E29A5">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2021年</w:t>
            </w:r>
          </w:p>
        </w:tc>
        <w:tc>
          <w:tcPr>
            <w:tcW w:w="1407" w:type="dxa"/>
            <w:tcBorders>
              <w:top w:val="nil"/>
              <w:left w:val="nil"/>
              <w:bottom w:val="single" w:color="auto" w:sz="8" w:space="0"/>
              <w:right w:val="single" w:color="auto" w:sz="8" w:space="0"/>
            </w:tcBorders>
            <w:shd w:val="clear" w:color="auto" w:fill="auto"/>
          </w:tcPr>
          <w:p w14:paraId="5A70AD87">
            <w:pPr>
              <w:widowControl/>
              <w:spacing w:line="240" w:lineRule="auto"/>
              <w:ind w:firstLine="0" w:firstLineChars="0"/>
              <w:jc w:val="center"/>
              <w:rPr>
                <w:rFonts w:hint="eastAsia" w:ascii="宋体" w:hAnsi="宋体" w:cs="宋体"/>
                <w:color w:val="000000"/>
                <w:kern w:val="0"/>
                <w:sz w:val="18"/>
                <w:szCs w:val="18"/>
              </w:rPr>
            </w:pPr>
          </w:p>
        </w:tc>
        <w:tc>
          <w:tcPr>
            <w:tcW w:w="1846" w:type="dxa"/>
            <w:tcBorders>
              <w:top w:val="nil"/>
              <w:left w:val="nil"/>
              <w:bottom w:val="single" w:color="auto" w:sz="8" w:space="0"/>
              <w:right w:val="single" w:color="auto" w:sz="8" w:space="0"/>
            </w:tcBorders>
            <w:shd w:val="clear" w:color="auto" w:fill="auto"/>
          </w:tcPr>
          <w:p w14:paraId="2FBE075C">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25,010.00</w:t>
            </w:r>
          </w:p>
        </w:tc>
        <w:tc>
          <w:tcPr>
            <w:tcW w:w="1604" w:type="dxa"/>
            <w:tcBorders>
              <w:top w:val="nil"/>
              <w:left w:val="nil"/>
              <w:bottom w:val="single" w:color="auto" w:sz="8" w:space="0"/>
              <w:right w:val="single" w:color="auto" w:sz="8" w:space="0"/>
            </w:tcBorders>
            <w:shd w:val="clear" w:color="auto" w:fill="auto"/>
          </w:tcPr>
          <w:p w14:paraId="282D1CCE">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1604" w:type="dxa"/>
            <w:tcBorders>
              <w:top w:val="nil"/>
              <w:left w:val="nil"/>
              <w:bottom w:val="single" w:color="auto" w:sz="8" w:space="0"/>
              <w:right w:val="single" w:color="auto" w:sz="8" w:space="0"/>
            </w:tcBorders>
            <w:shd w:val="clear" w:color="auto" w:fill="auto"/>
          </w:tcPr>
          <w:p w14:paraId="65B6D025">
            <w:pPr>
              <w:widowControl/>
              <w:spacing w:line="240" w:lineRule="auto"/>
              <w:ind w:firstLine="0" w:firstLineChars="0"/>
              <w:jc w:val="center"/>
              <w:rPr>
                <w:rFonts w:hint="eastAsia" w:ascii="宋体" w:hAnsi="宋体" w:cs="宋体"/>
                <w:color w:val="000000"/>
                <w:kern w:val="0"/>
                <w:sz w:val="18"/>
                <w:szCs w:val="18"/>
              </w:rPr>
            </w:pPr>
          </w:p>
        </w:tc>
        <w:tc>
          <w:tcPr>
            <w:tcW w:w="1333" w:type="dxa"/>
            <w:tcBorders>
              <w:top w:val="nil"/>
              <w:left w:val="nil"/>
              <w:bottom w:val="single" w:color="auto" w:sz="8" w:space="0"/>
              <w:right w:val="single" w:color="auto" w:sz="8" w:space="0"/>
            </w:tcBorders>
            <w:shd w:val="clear" w:color="auto" w:fill="auto"/>
          </w:tcPr>
          <w:p w14:paraId="315BF5F5">
            <w:pPr>
              <w:widowControl/>
              <w:spacing w:line="240" w:lineRule="auto"/>
              <w:ind w:firstLine="0" w:firstLineChars="0"/>
              <w:jc w:val="center"/>
              <w:rPr>
                <w:rFonts w:hint="eastAsia" w:ascii="宋体" w:hAnsi="宋体" w:cs="宋体"/>
                <w:color w:val="000000"/>
                <w:kern w:val="0"/>
                <w:sz w:val="18"/>
                <w:szCs w:val="18"/>
              </w:rPr>
            </w:pPr>
          </w:p>
        </w:tc>
      </w:tr>
      <w:tr w14:paraId="6920DAE2">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4450036C">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2022年</w:t>
            </w:r>
          </w:p>
        </w:tc>
        <w:tc>
          <w:tcPr>
            <w:tcW w:w="1407" w:type="dxa"/>
            <w:tcBorders>
              <w:top w:val="nil"/>
              <w:left w:val="nil"/>
              <w:bottom w:val="single" w:color="auto" w:sz="8" w:space="0"/>
              <w:right w:val="single" w:color="auto" w:sz="8" w:space="0"/>
            </w:tcBorders>
            <w:shd w:val="clear" w:color="auto" w:fill="auto"/>
          </w:tcPr>
          <w:p w14:paraId="4CA017D5">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25,010.00</w:t>
            </w:r>
          </w:p>
        </w:tc>
        <w:tc>
          <w:tcPr>
            <w:tcW w:w="1846" w:type="dxa"/>
            <w:tcBorders>
              <w:top w:val="nil"/>
              <w:left w:val="nil"/>
              <w:bottom w:val="single" w:color="auto" w:sz="8" w:space="0"/>
              <w:right w:val="single" w:color="auto" w:sz="8" w:space="0"/>
            </w:tcBorders>
            <w:shd w:val="clear" w:color="auto" w:fill="auto"/>
          </w:tcPr>
          <w:p w14:paraId="34BF18CD">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31,000.00</w:t>
            </w:r>
          </w:p>
        </w:tc>
        <w:tc>
          <w:tcPr>
            <w:tcW w:w="1604" w:type="dxa"/>
            <w:tcBorders>
              <w:top w:val="nil"/>
              <w:left w:val="nil"/>
              <w:bottom w:val="single" w:color="auto" w:sz="8" w:space="0"/>
              <w:right w:val="single" w:color="auto" w:sz="8" w:space="0"/>
            </w:tcBorders>
            <w:shd w:val="clear" w:color="auto" w:fill="auto"/>
          </w:tcPr>
          <w:p w14:paraId="222742D2">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1,050.42</w:t>
            </w:r>
          </w:p>
        </w:tc>
        <w:tc>
          <w:tcPr>
            <w:tcW w:w="1604" w:type="dxa"/>
            <w:tcBorders>
              <w:top w:val="nil"/>
              <w:left w:val="nil"/>
              <w:bottom w:val="single" w:color="auto" w:sz="8" w:space="0"/>
              <w:right w:val="single" w:color="auto" w:sz="8" w:space="0"/>
            </w:tcBorders>
            <w:shd w:val="clear" w:color="auto" w:fill="auto"/>
          </w:tcPr>
          <w:p w14:paraId="573B3DAA">
            <w:pPr>
              <w:widowControl/>
              <w:spacing w:line="240" w:lineRule="auto"/>
              <w:ind w:firstLine="0" w:firstLineChars="0"/>
              <w:jc w:val="center"/>
              <w:rPr>
                <w:rFonts w:hint="eastAsia" w:ascii="宋体" w:hAnsi="宋体" w:cs="宋体"/>
                <w:color w:val="000000"/>
                <w:kern w:val="0"/>
                <w:sz w:val="18"/>
                <w:szCs w:val="18"/>
              </w:rPr>
            </w:pPr>
          </w:p>
        </w:tc>
        <w:tc>
          <w:tcPr>
            <w:tcW w:w="1333" w:type="dxa"/>
            <w:tcBorders>
              <w:top w:val="nil"/>
              <w:left w:val="nil"/>
              <w:bottom w:val="single" w:color="auto" w:sz="8" w:space="0"/>
              <w:right w:val="single" w:color="auto" w:sz="8" w:space="0"/>
            </w:tcBorders>
            <w:shd w:val="clear" w:color="auto" w:fill="auto"/>
          </w:tcPr>
          <w:p w14:paraId="16B9989F">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25,010.00</w:t>
            </w:r>
          </w:p>
        </w:tc>
      </w:tr>
      <w:tr w14:paraId="29BED0E8">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2C7A091D">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2023年</w:t>
            </w:r>
          </w:p>
        </w:tc>
        <w:tc>
          <w:tcPr>
            <w:tcW w:w="1407" w:type="dxa"/>
            <w:tcBorders>
              <w:top w:val="nil"/>
              <w:left w:val="nil"/>
              <w:bottom w:val="single" w:color="auto" w:sz="8" w:space="0"/>
              <w:right w:val="single" w:color="auto" w:sz="8" w:space="0"/>
            </w:tcBorders>
            <w:shd w:val="clear" w:color="auto" w:fill="auto"/>
          </w:tcPr>
          <w:p w14:paraId="60BC5E6C">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56,010.00</w:t>
            </w:r>
          </w:p>
        </w:tc>
        <w:tc>
          <w:tcPr>
            <w:tcW w:w="1846" w:type="dxa"/>
            <w:tcBorders>
              <w:top w:val="nil"/>
              <w:left w:val="nil"/>
              <w:bottom w:val="single" w:color="auto" w:sz="8" w:space="0"/>
              <w:right w:val="single" w:color="auto" w:sz="8" w:space="0"/>
            </w:tcBorders>
            <w:shd w:val="clear" w:color="auto" w:fill="auto"/>
          </w:tcPr>
          <w:p w14:paraId="357F3A9D">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87,000.00</w:t>
            </w:r>
          </w:p>
        </w:tc>
        <w:tc>
          <w:tcPr>
            <w:tcW w:w="1604" w:type="dxa"/>
            <w:tcBorders>
              <w:top w:val="nil"/>
              <w:left w:val="nil"/>
              <w:bottom w:val="single" w:color="auto" w:sz="8" w:space="0"/>
              <w:right w:val="single" w:color="auto" w:sz="8" w:space="0"/>
            </w:tcBorders>
            <w:shd w:val="clear" w:color="auto" w:fill="auto"/>
          </w:tcPr>
          <w:p w14:paraId="6CF869A8">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2,352.42</w:t>
            </w:r>
          </w:p>
        </w:tc>
        <w:tc>
          <w:tcPr>
            <w:tcW w:w="1604" w:type="dxa"/>
            <w:tcBorders>
              <w:top w:val="nil"/>
              <w:left w:val="nil"/>
              <w:bottom w:val="single" w:color="auto" w:sz="8" w:space="0"/>
              <w:right w:val="single" w:color="auto" w:sz="8" w:space="0"/>
            </w:tcBorders>
            <w:shd w:val="clear" w:color="auto" w:fill="auto"/>
          </w:tcPr>
          <w:p w14:paraId="10FA3CF5">
            <w:pPr>
              <w:widowControl/>
              <w:spacing w:line="240" w:lineRule="auto"/>
              <w:ind w:firstLine="0" w:firstLineChars="0"/>
              <w:jc w:val="center"/>
              <w:rPr>
                <w:rFonts w:hint="eastAsia" w:ascii="宋体" w:hAnsi="宋体" w:cs="宋体"/>
                <w:color w:val="000000"/>
                <w:kern w:val="0"/>
                <w:sz w:val="18"/>
                <w:szCs w:val="18"/>
              </w:rPr>
            </w:pPr>
          </w:p>
        </w:tc>
        <w:tc>
          <w:tcPr>
            <w:tcW w:w="1333" w:type="dxa"/>
            <w:tcBorders>
              <w:top w:val="nil"/>
              <w:left w:val="nil"/>
              <w:bottom w:val="single" w:color="auto" w:sz="8" w:space="0"/>
              <w:right w:val="single" w:color="auto" w:sz="8" w:space="0"/>
            </w:tcBorders>
            <w:shd w:val="clear" w:color="auto" w:fill="auto"/>
          </w:tcPr>
          <w:p w14:paraId="6B013E45">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56,010.00</w:t>
            </w:r>
          </w:p>
        </w:tc>
      </w:tr>
      <w:tr w14:paraId="716FAB36">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1861273B">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2024年</w:t>
            </w:r>
          </w:p>
        </w:tc>
        <w:tc>
          <w:tcPr>
            <w:tcW w:w="1407" w:type="dxa"/>
            <w:tcBorders>
              <w:top w:val="nil"/>
              <w:left w:val="nil"/>
              <w:bottom w:val="single" w:color="auto" w:sz="8" w:space="0"/>
              <w:right w:val="single" w:color="auto" w:sz="8" w:space="0"/>
            </w:tcBorders>
            <w:shd w:val="clear" w:color="auto" w:fill="auto"/>
          </w:tcPr>
          <w:p w14:paraId="622AB8D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143,010.00</w:t>
            </w:r>
          </w:p>
        </w:tc>
        <w:tc>
          <w:tcPr>
            <w:tcW w:w="1846" w:type="dxa"/>
            <w:tcBorders>
              <w:top w:val="nil"/>
              <w:left w:val="nil"/>
              <w:bottom w:val="single" w:color="auto" w:sz="8" w:space="0"/>
              <w:right w:val="single" w:color="auto" w:sz="8" w:space="0"/>
            </w:tcBorders>
            <w:shd w:val="clear" w:color="auto" w:fill="auto"/>
          </w:tcPr>
          <w:p w14:paraId="1C019846">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108,100.00</w:t>
            </w:r>
          </w:p>
        </w:tc>
        <w:tc>
          <w:tcPr>
            <w:tcW w:w="1604" w:type="dxa"/>
            <w:tcBorders>
              <w:top w:val="nil"/>
              <w:left w:val="nil"/>
              <w:bottom w:val="single" w:color="auto" w:sz="8" w:space="0"/>
              <w:right w:val="single" w:color="auto" w:sz="8" w:space="0"/>
            </w:tcBorders>
            <w:shd w:val="clear" w:color="auto" w:fill="auto"/>
          </w:tcPr>
          <w:p w14:paraId="043B878E">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6,006.42</w:t>
            </w:r>
          </w:p>
        </w:tc>
        <w:tc>
          <w:tcPr>
            <w:tcW w:w="1604" w:type="dxa"/>
            <w:tcBorders>
              <w:top w:val="nil"/>
              <w:left w:val="nil"/>
              <w:bottom w:val="single" w:color="auto" w:sz="8" w:space="0"/>
              <w:right w:val="single" w:color="auto" w:sz="8" w:space="0"/>
            </w:tcBorders>
            <w:shd w:val="clear" w:color="auto" w:fill="auto"/>
          </w:tcPr>
          <w:p w14:paraId="7ACC090E">
            <w:pPr>
              <w:widowControl/>
              <w:spacing w:line="240" w:lineRule="auto"/>
              <w:ind w:firstLine="0" w:firstLineChars="0"/>
              <w:jc w:val="center"/>
              <w:rPr>
                <w:rFonts w:hint="eastAsia" w:ascii="宋体" w:hAnsi="宋体" w:cs="宋体"/>
                <w:color w:val="000000"/>
                <w:kern w:val="0"/>
                <w:sz w:val="18"/>
                <w:szCs w:val="18"/>
              </w:rPr>
            </w:pPr>
          </w:p>
        </w:tc>
        <w:tc>
          <w:tcPr>
            <w:tcW w:w="1333" w:type="dxa"/>
            <w:tcBorders>
              <w:top w:val="nil"/>
              <w:left w:val="nil"/>
              <w:bottom w:val="single" w:color="auto" w:sz="8" w:space="0"/>
              <w:right w:val="single" w:color="auto" w:sz="8" w:space="0"/>
            </w:tcBorders>
            <w:shd w:val="clear" w:color="auto" w:fill="auto"/>
          </w:tcPr>
          <w:p w14:paraId="00846051">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143,010.00</w:t>
            </w:r>
          </w:p>
        </w:tc>
      </w:tr>
      <w:tr w14:paraId="640256F1">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640821C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2025年</w:t>
            </w:r>
          </w:p>
        </w:tc>
        <w:tc>
          <w:tcPr>
            <w:tcW w:w="1407" w:type="dxa"/>
            <w:tcBorders>
              <w:top w:val="nil"/>
              <w:left w:val="nil"/>
              <w:bottom w:val="single" w:color="auto" w:sz="8" w:space="0"/>
              <w:right w:val="single" w:color="auto" w:sz="8" w:space="0"/>
            </w:tcBorders>
            <w:shd w:val="clear" w:color="auto" w:fill="auto"/>
          </w:tcPr>
          <w:p w14:paraId="270437D8">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251,110.00</w:t>
            </w:r>
          </w:p>
        </w:tc>
        <w:tc>
          <w:tcPr>
            <w:tcW w:w="1846" w:type="dxa"/>
            <w:tcBorders>
              <w:top w:val="nil"/>
              <w:left w:val="nil"/>
              <w:bottom w:val="single" w:color="auto" w:sz="8" w:space="0"/>
              <w:right w:val="single" w:color="auto" w:sz="8" w:space="0"/>
            </w:tcBorders>
            <w:shd w:val="clear" w:color="auto" w:fill="auto"/>
          </w:tcPr>
          <w:p w14:paraId="67DF1290">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186,485.84</w:t>
            </w:r>
          </w:p>
        </w:tc>
        <w:tc>
          <w:tcPr>
            <w:tcW w:w="1604" w:type="dxa"/>
            <w:tcBorders>
              <w:top w:val="nil"/>
              <w:left w:val="nil"/>
              <w:bottom w:val="single" w:color="auto" w:sz="8" w:space="0"/>
              <w:right w:val="single" w:color="auto" w:sz="8" w:space="0"/>
            </w:tcBorders>
            <w:shd w:val="clear" w:color="auto" w:fill="auto"/>
          </w:tcPr>
          <w:p w14:paraId="73D807E2">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10,546.62</w:t>
            </w:r>
          </w:p>
        </w:tc>
        <w:tc>
          <w:tcPr>
            <w:tcW w:w="1604" w:type="dxa"/>
            <w:tcBorders>
              <w:top w:val="nil"/>
              <w:left w:val="nil"/>
              <w:bottom w:val="single" w:color="auto" w:sz="8" w:space="0"/>
              <w:right w:val="single" w:color="auto" w:sz="8" w:space="0"/>
            </w:tcBorders>
            <w:shd w:val="clear" w:color="auto" w:fill="auto"/>
          </w:tcPr>
          <w:p w14:paraId="41B366AE">
            <w:pPr>
              <w:widowControl/>
              <w:spacing w:line="240" w:lineRule="auto"/>
              <w:ind w:firstLine="0" w:firstLineChars="0"/>
              <w:jc w:val="center"/>
              <w:rPr>
                <w:rFonts w:hint="eastAsia" w:ascii="宋体" w:hAnsi="宋体" w:cs="宋体"/>
                <w:color w:val="000000"/>
                <w:kern w:val="0"/>
                <w:sz w:val="18"/>
                <w:szCs w:val="18"/>
              </w:rPr>
            </w:pPr>
          </w:p>
        </w:tc>
        <w:tc>
          <w:tcPr>
            <w:tcW w:w="1333" w:type="dxa"/>
            <w:tcBorders>
              <w:top w:val="nil"/>
              <w:left w:val="nil"/>
              <w:bottom w:val="single" w:color="auto" w:sz="8" w:space="0"/>
              <w:right w:val="single" w:color="auto" w:sz="8" w:space="0"/>
            </w:tcBorders>
            <w:shd w:val="clear" w:color="auto" w:fill="auto"/>
          </w:tcPr>
          <w:p w14:paraId="1A770B89">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251,110.00</w:t>
            </w:r>
          </w:p>
        </w:tc>
      </w:tr>
      <w:tr w14:paraId="1D98EF0E">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48CE4307">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2026年</w:t>
            </w:r>
          </w:p>
        </w:tc>
        <w:tc>
          <w:tcPr>
            <w:tcW w:w="1407" w:type="dxa"/>
            <w:tcBorders>
              <w:top w:val="nil"/>
              <w:left w:val="nil"/>
              <w:bottom w:val="single" w:color="auto" w:sz="8" w:space="0"/>
              <w:right w:val="single" w:color="auto" w:sz="8" w:space="0"/>
            </w:tcBorders>
            <w:shd w:val="clear" w:color="auto" w:fill="auto"/>
          </w:tcPr>
          <w:p w14:paraId="2BEE3777">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437,595.84</w:t>
            </w:r>
          </w:p>
        </w:tc>
        <w:tc>
          <w:tcPr>
            <w:tcW w:w="1846" w:type="dxa"/>
            <w:tcBorders>
              <w:top w:val="nil"/>
              <w:left w:val="nil"/>
              <w:bottom w:val="single" w:color="auto" w:sz="8" w:space="0"/>
              <w:right w:val="single" w:color="auto" w:sz="8" w:space="0"/>
            </w:tcBorders>
            <w:shd w:val="clear" w:color="auto" w:fill="auto"/>
          </w:tcPr>
          <w:p w14:paraId="6CD2947D">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65976B7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18,379.02</w:t>
            </w:r>
          </w:p>
        </w:tc>
        <w:tc>
          <w:tcPr>
            <w:tcW w:w="1604" w:type="dxa"/>
            <w:tcBorders>
              <w:top w:val="nil"/>
              <w:left w:val="nil"/>
              <w:bottom w:val="single" w:color="auto" w:sz="8" w:space="0"/>
              <w:right w:val="single" w:color="auto" w:sz="8" w:space="0"/>
            </w:tcBorders>
            <w:shd w:val="clear" w:color="auto" w:fill="auto"/>
          </w:tcPr>
          <w:p w14:paraId="7D023EA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7,347.51</w:t>
            </w:r>
          </w:p>
        </w:tc>
        <w:tc>
          <w:tcPr>
            <w:tcW w:w="1333" w:type="dxa"/>
            <w:tcBorders>
              <w:top w:val="nil"/>
              <w:left w:val="nil"/>
              <w:bottom w:val="single" w:color="auto" w:sz="8" w:space="0"/>
              <w:right w:val="single" w:color="auto" w:sz="8" w:space="0"/>
            </w:tcBorders>
            <w:shd w:val="clear" w:color="auto" w:fill="auto"/>
          </w:tcPr>
          <w:p w14:paraId="5A2A234C">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437,595.84</w:t>
            </w:r>
          </w:p>
        </w:tc>
      </w:tr>
      <w:tr w14:paraId="03031561">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0F17BAC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2027年</w:t>
            </w:r>
          </w:p>
        </w:tc>
        <w:tc>
          <w:tcPr>
            <w:tcW w:w="1407" w:type="dxa"/>
            <w:tcBorders>
              <w:top w:val="nil"/>
              <w:left w:val="nil"/>
              <w:bottom w:val="single" w:color="auto" w:sz="8" w:space="0"/>
              <w:right w:val="single" w:color="auto" w:sz="8" w:space="0"/>
            </w:tcBorders>
            <w:shd w:val="clear" w:color="auto" w:fill="auto"/>
          </w:tcPr>
          <w:p w14:paraId="1C649A0B">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430,248.33</w:t>
            </w:r>
          </w:p>
        </w:tc>
        <w:tc>
          <w:tcPr>
            <w:tcW w:w="1846" w:type="dxa"/>
            <w:tcBorders>
              <w:top w:val="nil"/>
              <w:left w:val="nil"/>
              <w:bottom w:val="single" w:color="auto" w:sz="8" w:space="0"/>
              <w:right w:val="single" w:color="auto" w:sz="8" w:space="0"/>
            </w:tcBorders>
            <w:shd w:val="clear" w:color="auto" w:fill="auto"/>
          </w:tcPr>
          <w:p w14:paraId="5A764B3F">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07319305">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17,916.13</w:t>
            </w:r>
          </w:p>
        </w:tc>
        <w:tc>
          <w:tcPr>
            <w:tcW w:w="1604" w:type="dxa"/>
            <w:tcBorders>
              <w:top w:val="nil"/>
              <w:left w:val="nil"/>
              <w:bottom w:val="single" w:color="auto" w:sz="8" w:space="0"/>
              <w:right w:val="single" w:color="auto" w:sz="8" w:space="0"/>
            </w:tcBorders>
            <w:shd w:val="clear" w:color="auto" w:fill="auto"/>
          </w:tcPr>
          <w:p w14:paraId="13E1E635">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5C494C5B">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430,248.33</w:t>
            </w:r>
          </w:p>
        </w:tc>
      </w:tr>
      <w:tr w14:paraId="05543178">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2857E74E">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2028年</w:t>
            </w:r>
          </w:p>
        </w:tc>
        <w:tc>
          <w:tcPr>
            <w:tcW w:w="1407" w:type="dxa"/>
            <w:tcBorders>
              <w:top w:val="nil"/>
              <w:left w:val="nil"/>
              <w:bottom w:val="single" w:color="auto" w:sz="8" w:space="0"/>
              <w:right w:val="single" w:color="auto" w:sz="8" w:space="0"/>
            </w:tcBorders>
            <w:shd w:val="clear" w:color="auto" w:fill="auto"/>
          </w:tcPr>
          <w:p w14:paraId="4F51769A">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415,553.31</w:t>
            </w:r>
          </w:p>
        </w:tc>
        <w:tc>
          <w:tcPr>
            <w:tcW w:w="1846" w:type="dxa"/>
            <w:tcBorders>
              <w:top w:val="nil"/>
              <w:left w:val="nil"/>
              <w:bottom w:val="single" w:color="auto" w:sz="8" w:space="0"/>
              <w:right w:val="single" w:color="auto" w:sz="8" w:space="0"/>
            </w:tcBorders>
            <w:shd w:val="clear" w:color="auto" w:fill="auto"/>
          </w:tcPr>
          <w:p w14:paraId="033FC592">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408B1A6D">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17,298.94</w:t>
            </w:r>
          </w:p>
        </w:tc>
        <w:tc>
          <w:tcPr>
            <w:tcW w:w="1604" w:type="dxa"/>
            <w:tcBorders>
              <w:top w:val="nil"/>
              <w:left w:val="nil"/>
              <w:bottom w:val="single" w:color="auto" w:sz="8" w:space="0"/>
              <w:right w:val="single" w:color="auto" w:sz="8" w:space="0"/>
            </w:tcBorders>
            <w:shd w:val="clear" w:color="auto" w:fill="auto"/>
          </w:tcPr>
          <w:p w14:paraId="33819DC5">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0E8E54B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415,553.31</w:t>
            </w:r>
          </w:p>
        </w:tc>
      </w:tr>
      <w:tr w14:paraId="1C920040">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09FA854A">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2029年</w:t>
            </w:r>
          </w:p>
        </w:tc>
        <w:tc>
          <w:tcPr>
            <w:tcW w:w="1407" w:type="dxa"/>
            <w:tcBorders>
              <w:top w:val="nil"/>
              <w:left w:val="nil"/>
              <w:bottom w:val="single" w:color="auto" w:sz="8" w:space="0"/>
              <w:right w:val="single" w:color="auto" w:sz="8" w:space="0"/>
            </w:tcBorders>
            <w:shd w:val="clear" w:color="auto" w:fill="auto"/>
          </w:tcPr>
          <w:p w14:paraId="6AD8204D">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400,858.29</w:t>
            </w:r>
          </w:p>
        </w:tc>
        <w:tc>
          <w:tcPr>
            <w:tcW w:w="1846" w:type="dxa"/>
            <w:tcBorders>
              <w:top w:val="nil"/>
              <w:left w:val="nil"/>
              <w:bottom w:val="single" w:color="auto" w:sz="8" w:space="0"/>
              <w:right w:val="single" w:color="auto" w:sz="8" w:space="0"/>
            </w:tcBorders>
            <w:shd w:val="clear" w:color="auto" w:fill="auto"/>
          </w:tcPr>
          <w:p w14:paraId="005C2190">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698040E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16,681.75</w:t>
            </w:r>
          </w:p>
        </w:tc>
        <w:tc>
          <w:tcPr>
            <w:tcW w:w="1604" w:type="dxa"/>
            <w:tcBorders>
              <w:top w:val="nil"/>
              <w:left w:val="nil"/>
              <w:bottom w:val="single" w:color="auto" w:sz="8" w:space="0"/>
              <w:right w:val="single" w:color="auto" w:sz="8" w:space="0"/>
            </w:tcBorders>
            <w:shd w:val="clear" w:color="auto" w:fill="auto"/>
          </w:tcPr>
          <w:p w14:paraId="784651C7">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3CBC3D8C">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400,858.29</w:t>
            </w:r>
          </w:p>
        </w:tc>
      </w:tr>
      <w:tr w14:paraId="4261D1E1">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2820494E">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2030年</w:t>
            </w:r>
          </w:p>
        </w:tc>
        <w:tc>
          <w:tcPr>
            <w:tcW w:w="1407" w:type="dxa"/>
            <w:tcBorders>
              <w:top w:val="nil"/>
              <w:left w:val="nil"/>
              <w:bottom w:val="single" w:color="auto" w:sz="8" w:space="0"/>
              <w:right w:val="single" w:color="auto" w:sz="8" w:space="0"/>
            </w:tcBorders>
            <w:shd w:val="clear" w:color="auto" w:fill="auto"/>
          </w:tcPr>
          <w:p w14:paraId="79A8F5B2">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386,163.27</w:t>
            </w:r>
          </w:p>
        </w:tc>
        <w:tc>
          <w:tcPr>
            <w:tcW w:w="1846" w:type="dxa"/>
            <w:tcBorders>
              <w:top w:val="nil"/>
              <w:left w:val="nil"/>
              <w:bottom w:val="single" w:color="auto" w:sz="8" w:space="0"/>
              <w:right w:val="single" w:color="auto" w:sz="8" w:space="0"/>
            </w:tcBorders>
            <w:shd w:val="clear" w:color="auto" w:fill="auto"/>
          </w:tcPr>
          <w:p w14:paraId="61E6AEFD">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69D40D87">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16,064.56</w:t>
            </w:r>
          </w:p>
        </w:tc>
        <w:tc>
          <w:tcPr>
            <w:tcW w:w="1604" w:type="dxa"/>
            <w:tcBorders>
              <w:top w:val="nil"/>
              <w:left w:val="nil"/>
              <w:bottom w:val="single" w:color="auto" w:sz="8" w:space="0"/>
              <w:right w:val="single" w:color="auto" w:sz="8" w:space="0"/>
            </w:tcBorders>
            <w:shd w:val="clear" w:color="auto" w:fill="auto"/>
          </w:tcPr>
          <w:p w14:paraId="0717EA49">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3B8397C2">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386,163.27</w:t>
            </w:r>
          </w:p>
        </w:tc>
      </w:tr>
      <w:tr w14:paraId="719CA413">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3DBD8DDD">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2031年</w:t>
            </w:r>
          </w:p>
        </w:tc>
        <w:tc>
          <w:tcPr>
            <w:tcW w:w="1407" w:type="dxa"/>
            <w:tcBorders>
              <w:top w:val="nil"/>
              <w:left w:val="nil"/>
              <w:bottom w:val="single" w:color="auto" w:sz="8" w:space="0"/>
              <w:right w:val="single" w:color="auto" w:sz="8" w:space="0"/>
            </w:tcBorders>
            <w:shd w:val="clear" w:color="auto" w:fill="auto"/>
          </w:tcPr>
          <w:p w14:paraId="2BF82B0E">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371,468.25</w:t>
            </w:r>
          </w:p>
        </w:tc>
        <w:tc>
          <w:tcPr>
            <w:tcW w:w="1846" w:type="dxa"/>
            <w:tcBorders>
              <w:top w:val="nil"/>
              <w:left w:val="nil"/>
              <w:bottom w:val="single" w:color="auto" w:sz="8" w:space="0"/>
              <w:right w:val="single" w:color="auto" w:sz="8" w:space="0"/>
            </w:tcBorders>
            <w:shd w:val="clear" w:color="auto" w:fill="auto"/>
          </w:tcPr>
          <w:p w14:paraId="6A9894C5">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7A903DDA">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15,447.37</w:t>
            </w:r>
          </w:p>
        </w:tc>
        <w:tc>
          <w:tcPr>
            <w:tcW w:w="1604" w:type="dxa"/>
            <w:tcBorders>
              <w:top w:val="nil"/>
              <w:left w:val="nil"/>
              <w:bottom w:val="single" w:color="auto" w:sz="8" w:space="0"/>
              <w:right w:val="single" w:color="auto" w:sz="8" w:space="0"/>
            </w:tcBorders>
            <w:shd w:val="clear" w:color="auto" w:fill="auto"/>
          </w:tcPr>
          <w:p w14:paraId="0AA1D0CE">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7CD42501">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371,468.25</w:t>
            </w:r>
          </w:p>
        </w:tc>
      </w:tr>
      <w:tr w14:paraId="3C764CD2">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214F71E7">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2032年</w:t>
            </w:r>
          </w:p>
        </w:tc>
        <w:tc>
          <w:tcPr>
            <w:tcW w:w="1407" w:type="dxa"/>
            <w:tcBorders>
              <w:top w:val="nil"/>
              <w:left w:val="nil"/>
              <w:bottom w:val="single" w:color="auto" w:sz="8" w:space="0"/>
              <w:right w:val="single" w:color="auto" w:sz="8" w:space="0"/>
            </w:tcBorders>
            <w:shd w:val="clear" w:color="auto" w:fill="auto"/>
          </w:tcPr>
          <w:p w14:paraId="7FD16E46">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356,773.23</w:t>
            </w:r>
          </w:p>
        </w:tc>
        <w:tc>
          <w:tcPr>
            <w:tcW w:w="1846" w:type="dxa"/>
            <w:tcBorders>
              <w:top w:val="nil"/>
              <w:left w:val="nil"/>
              <w:bottom w:val="single" w:color="auto" w:sz="8" w:space="0"/>
              <w:right w:val="single" w:color="auto" w:sz="8" w:space="0"/>
            </w:tcBorders>
            <w:shd w:val="clear" w:color="auto" w:fill="auto"/>
          </w:tcPr>
          <w:p w14:paraId="20807EF3">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7C92EC2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14,830.18</w:t>
            </w:r>
          </w:p>
        </w:tc>
        <w:tc>
          <w:tcPr>
            <w:tcW w:w="1604" w:type="dxa"/>
            <w:tcBorders>
              <w:top w:val="nil"/>
              <w:left w:val="nil"/>
              <w:bottom w:val="single" w:color="auto" w:sz="8" w:space="0"/>
              <w:right w:val="single" w:color="auto" w:sz="8" w:space="0"/>
            </w:tcBorders>
            <w:shd w:val="clear" w:color="auto" w:fill="auto"/>
          </w:tcPr>
          <w:p w14:paraId="2B7A264D">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081C3051">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356,773.23</w:t>
            </w:r>
          </w:p>
        </w:tc>
      </w:tr>
      <w:tr w14:paraId="6BDBA447">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216DF360">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2033年</w:t>
            </w:r>
          </w:p>
        </w:tc>
        <w:tc>
          <w:tcPr>
            <w:tcW w:w="1407" w:type="dxa"/>
            <w:tcBorders>
              <w:top w:val="nil"/>
              <w:left w:val="nil"/>
              <w:bottom w:val="single" w:color="auto" w:sz="8" w:space="0"/>
              <w:right w:val="single" w:color="auto" w:sz="8" w:space="0"/>
            </w:tcBorders>
            <w:shd w:val="clear" w:color="auto" w:fill="auto"/>
          </w:tcPr>
          <w:p w14:paraId="121E709C">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342,078.21</w:t>
            </w:r>
          </w:p>
        </w:tc>
        <w:tc>
          <w:tcPr>
            <w:tcW w:w="1846" w:type="dxa"/>
            <w:tcBorders>
              <w:top w:val="nil"/>
              <w:left w:val="nil"/>
              <w:bottom w:val="single" w:color="auto" w:sz="8" w:space="0"/>
              <w:right w:val="single" w:color="auto" w:sz="8" w:space="0"/>
            </w:tcBorders>
            <w:shd w:val="clear" w:color="auto" w:fill="auto"/>
          </w:tcPr>
          <w:p w14:paraId="34D2D622">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176D9871">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14,212.98</w:t>
            </w:r>
          </w:p>
        </w:tc>
        <w:tc>
          <w:tcPr>
            <w:tcW w:w="1604" w:type="dxa"/>
            <w:tcBorders>
              <w:top w:val="nil"/>
              <w:left w:val="nil"/>
              <w:bottom w:val="single" w:color="auto" w:sz="8" w:space="0"/>
              <w:right w:val="single" w:color="auto" w:sz="8" w:space="0"/>
            </w:tcBorders>
            <w:shd w:val="clear" w:color="auto" w:fill="auto"/>
          </w:tcPr>
          <w:p w14:paraId="627DE278">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1265F102">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342,078.21</w:t>
            </w:r>
          </w:p>
        </w:tc>
      </w:tr>
      <w:tr w14:paraId="412E60CD">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643A2DBA">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2034年</w:t>
            </w:r>
          </w:p>
        </w:tc>
        <w:tc>
          <w:tcPr>
            <w:tcW w:w="1407" w:type="dxa"/>
            <w:tcBorders>
              <w:top w:val="nil"/>
              <w:left w:val="nil"/>
              <w:bottom w:val="single" w:color="auto" w:sz="8" w:space="0"/>
              <w:right w:val="single" w:color="auto" w:sz="8" w:space="0"/>
            </w:tcBorders>
            <w:shd w:val="clear" w:color="auto" w:fill="auto"/>
          </w:tcPr>
          <w:p w14:paraId="26F9352E">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327,383.19</w:t>
            </w:r>
          </w:p>
        </w:tc>
        <w:tc>
          <w:tcPr>
            <w:tcW w:w="1846" w:type="dxa"/>
            <w:tcBorders>
              <w:top w:val="nil"/>
              <w:left w:val="nil"/>
              <w:bottom w:val="single" w:color="auto" w:sz="8" w:space="0"/>
              <w:right w:val="single" w:color="auto" w:sz="8" w:space="0"/>
            </w:tcBorders>
            <w:shd w:val="clear" w:color="auto" w:fill="auto"/>
          </w:tcPr>
          <w:p w14:paraId="4179DBCF">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7AF2739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13,595.80</w:t>
            </w:r>
          </w:p>
        </w:tc>
        <w:tc>
          <w:tcPr>
            <w:tcW w:w="1604" w:type="dxa"/>
            <w:tcBorders>
              <w:top w:val="nil"/>
              <w:left w:val="nil"/>
              <w:bottom w:val="single" w:color="auto" w:sz="8" w:space="0"/>
              <w:right w:val="single" w:color="auto" w:sz="8" w:space="0"/>
            </w:tcBorders>
            <w:shd w:val="clear" w:color="auto" w:fill="auto"/>
          </w:tcPr>
          <w:p w14:paraId="4248FDBC">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053AF0A3">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327,383.19</w:t>
            </w:r>
          </w:p>
        </w:tc>
      </w:tr>
      <w:tr w14:paraId="3C99F599">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2B446C2B">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2035年</w:t>
            </w:r>
          </w:p>
        </w:tc>
        <w:tc>
          <w:tcPr>
            <w:tcW w:w="1407" w:type="dxa"/>
            <w:tcBorders>
              <w:top w:val="nil"/>
              <w:left w:val="nil"/>
              <w:bottom w:val="single" w:color="auto" w:sz="8" w:space="0"/>
              <w:right w:val="single" w:color="auto" w:sz="8" w:space="0"/>
            </w:tcBorders>
            <w:shd w:val="clear" w:color="auto" w:fill="auto"/>
          </w:tcPr>
          <w:p w14:paraId="7AF68356">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312,688.17</w:t>
            </w:r>
          </w:p>
        </w:tc>
        <w:tc>
          <w:tcPr>
            <w:tcW w:w="1846" w:type="dxa"/>
            <w:tcBorders>
              <w:top w:val="nil"/>
              <w:left w:val="nil"/>
              <w:bottom w:val="single" w:color="auto" w:sz="8" w:space="0"/>
              <w:right w:val="single" w:color="auto" w:sz="8" w:space="0"/>
            </w:tcBorders>
            <w:shd w:val="clear" w:color="auto" w:fill="auto"/>
          </w:tcPr>
          <w:p w14:paraId="5E1972A7">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1150469D">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12,978.60</w:t>
            </w:r>
          </w:p>
        </w:tc>
        <w:tc>
          <w:tcPr>
            <w:tcW w:w="1604" w:type="dxa"/>
            <w:tcBorders>
              <w:top w:val="nil"/>
              <w:left w:val="nil"/>
              <w:bottom w:val="single" w:color="auto" w:sz="8" w:space="0"/>
              <w:right w:val="single" w:color="auto" w:sz="8" w:space="0"/>
            </w:tcBorders>
            <w:shd w:val="clear" w:color="auto" w:fill="auto"/>
          </w:tcPr>
          <w:p w14:paraId="4FB1B59F">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6F9184A1">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312,688.17</w:t>
            </w:r>
          </w:p>
        </w:tc>
      </w:tr>
      <w:tr w14:paraId="6F4EDA93">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796FB1A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2036年</w:t>
            </w:r>
          </w:p>
        </w:tc>
        <w:tc>
          <w:tcPr>
            <w:tcW w:w="1407" w:type="dxa"/>
            <w:tcBorders>
              <w:top w:val="nil"/>
              <w:left w:val="nil"/>
              <w:bottom w:val="single" w:color="auto" w:sz="8" w:space="0"/>
              <w:right w:val="single" w:color="auto" w:sz="8" w:space="0"/>
            </w:tcBorders>
            <w:shd w:val="clear" w:color="auto" w:fill="auto"/>
          </w:tcPr>
          <w:p w14:paraId="4CFED039">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297,993.15</w:t>
            </w:r>
          </w:p>
        </w:tc>
        <w:tc>
          <w:tcPr>
            <w:tcW w:w="1846" w:type="dxa"/>
            <w:tcBorders>
              <w:top w:val="nil"/>
              <w:left w:val="nil"/>
              <w:bottom w:val="single" w:color="auto" w:sz="8" w:space="0"/>
              <w:right w:val="single" w:color="auto" w:sz="8" w:space="0"/>
            </w:tcBorders>
            <w:shd w:val="clear" w:color="auto" w:fill="auto"/>
          </w:tcPr>
          <w:p w14:paraId="6686E70F">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605B07CF">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12,361.42</w:t>
            </w:r>
          </w:p>
        </w:tc>
        <w:tc>
          <w:tcPr>
            <w:tcW w:w="1604" w:type="dxa"/>
            <w:tcBorders>
              <w:top w:val="nil"/>
              <w:left w:val="nil"/>
              <w:bottom w:val="single" w:color="auto" w:sz="8" w:space="0"/>
              <w:right w:val="single" w:color="auto" w:sz="8" w:space="0"/>
            </w:tcBorders>
            <w:shd w:val="clear" w:color="auto" w:fill="auto"/>
          </w:tcPr>
          <w:p w14:paraId="1F47767B">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1398FDD7">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297,993.15</w:t>
            </w:r>
          </w:p>
        </w:tc>
      </w:tr>
      <w:tr w14:paraId="7C342849">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3F241F7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2037年</w:t>
            </w:r>
          </w:p>
        </w:tc>
        <w:tc>
          <w:tcPr>
            <w:tcW w:w="1407" w:type="dxa"/>
            <w:tcBorders>
              <w:top w:val="nil"/>
              <w:left w:val="nil"/>
              <w:bottom w:val="single" w:color="auto" w:sz="8" w:space="0"/>
              <w:right w:val="single" w:color="auto" w:sz="8" w:space="0"/>
            </w:tcBorders>
            <w:shd w:val="clear" w:color="auto" w:fill="auto"/>
          </w:tcPr>
          <w:p w14:paraId="67D78E43">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283,298.13</w:t>
            </w:r>
          </w:p>
        </w:tc>
        <w:tc>
          <w:tcPr>
            <w:tcW w:w="1846" w:type="dxa"/>
            <w:tcBorders>
              <w:top w:val="nil"/>
              <w:left w:val="nil"/>
              <w:bottom w:val="single" w:color="auto" w:sz="8" w:space="0"/>
              <w:right w:val="single" w:color="auto" w:sz="8" w:space="0"/>
            </w:tcBorders>
            <w:shd w:val="clear" w:color="auto" w:fill="auto"/>
          </w:tcPr>
          <w:p w14:paraId="53799A79">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7B27F0A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11,744.22</w:t>
            </w:r>
          </w:p>
        </w:tc>
        <w:tc>
          <w:tcPr>
            <w:tcW w:w="1604" w:type="dxa"/>
            <w:tcBorders>
              <w:top w:val="nil"/>
              <w:left w:val="nil"/>
              <w:bottom w:val="single" w:color="auto" w:sz="8" w:space="0"/>
              <w:right w:val="single" w:color="auto" w:sz="8" w:space="0"/>
            </w:tcBorders>
            <w:shd w:val="clear" w:color="auto" w:fill="auto"/>
          </w:tcPr>
          <w:p w14:paraId="4647B7DE">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486595E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283,298.13</w:t>
            </w:r>
          </w:p>
        </w:tc>
      </w:tr>
      <w:tr w14:paraId="6C85A7E3">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77FA7E43">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2038年</w:t>
            </w:r>
          </w:p>
        </w:tc>
        <w:tc>
          <w:tcPr>
            <w:tcW w:w="1407" w:type="dxa"/>
            <w:tcBorders>
              <w:top w:val="nil"/>
              <w:left w:val="nil"/>
              <w:bottom w:val="single" w:color="auto" w:sz="8" w:space="0"/>
              <w:right w:val="single" w:color="auto" w:sz="8" w:space="0"/>
            </w:tcBorders>
            <w:shd w:val="clear" w:color="auto" w:fill="auto"/>
          </w:tcPr>
          <w:p w14:paraId="5FCAD962">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268,603.11</w:t>
            </w:r>
          </w:p>
        </w:tc>
        <w:tc>
          <w:tcPr>
            <w:tcW w:w="1846" w:type="dxa"/>
            <w:tcBorders>
              <w:top w:val="nil"/>
              <w:left w:val="nil"/>
              <w:bottom w:val="single" w:color="auto" w:sz="8" w:space="0"/>
              <w:right w:val="single" w:color="auto" w:sz="8" w:space="0"/>
            </w:tcBorders>
            <w:shd w:val="clear" w:color="auto" w:fill="auto"/>
          </w:tcPr>
          <w:p w14:paraId="040266FD">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6B3597FA">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11,127.04</w:t>
            </w:r>
          </w:p>
        </w:tc>
        <w:tc>
          <w:tcPr>
            <w:tcW w:w="1604" w:type="dxa"/>
            <w:tcBorders>
              <w:top w:val="nil"/>
              <w:left w:val="nil"/>
              <w:bottom w:val="single" w:color="auto" w:sz="8" w:space="0"/>
              <w:right w:val="single" w:color="auto" w:sz="8" w:space="0"/>
            </w:tcBorders>
            <w:shd w:val="clear" w:color="auto" w:fill="auto"/>
          </w:tcPr>
          <w:p w14:paraId="02144823">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5F2012FF">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268,603.11</w:t>
            </w:r>
          </w:p>
        </w:tc>
      </w:tr>
      <w:tr w14:paraId="4D48E283">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5E86ABD8">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2039年</w:t>
            </w:r>
          </w:p>
        </w:tc>
        <w:tc>
          <w:tcPr>
            <w:tcW w:w="1407" w:type="dxa"/>
            <w:tcBorders>
              <w:top w:val="nil"/>
              <w:left w:val="nil"/>
              <w:bottom w:val="single" w:color="auto" w:sz="8" w:space="0"/>
              <w:right w:val="single" w:color="auto" w:sz="8" w:space="0"/>
            </w:tcBorders>
            <w:shd w:val="clear" w:color="auto" w:fill="auto"/>
          </w:tcPr>
          <w:p w14:paraId="6F7B6B63">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253,908.09</w:t>
            </w:r>
          </w:p>
        </w:tc>
        <w:tc>
          <w:tcPr>
            <w:tcW w:w="1846" w:type="dxa"/>
            <w:tcBorders>
              <w:top w:val="nil"/>
              <w:left w:val="nil"/>
              <w:bottom w:val="single" w:color="auto" w:sz="8" w:space="0"/>
              <w:right w:val="single" w:color="auto" w:sz="8" w:space="0"/>
            </w:tcBorders>
            <w:shd w:val="clear" w:color="auto" w:fill="auto"/>
          </w:tcPr>
          <w:p w14:paraId="6CD3A0B6">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0DC947C1">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10,509.84</w:t>
            </w:r>
          </w:p>
        </w:tc>
        <w:tc>
          <w:tcPr>
            <w:tcW w:w="1604" w:type="dxa"/>
            <w:tcBorders>
              <w:top w:val="nil"/>
              <w:left w:val="nil"/>
              <w:bottom w:val="single" w:color="auto" w:sz="8" w:space="0"/>
              <w:right w:val="single" w:color="auto" w:sz="8" w:space="0"/>
            </w:tcBorders>
            <w:shd w:val="clear" w:color="auto" w:fill="auto"/>
          </w:tcPr>
          <w:p w14:paraId="7DD25E4C">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0A7889BE">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253,908.09</w:t>
            </w:r>
          </w:p>
        </w:tc>
      </w:tr>
      <w:tr w14:paraId="486F8B37">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0026A70B">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2040年</w:t>
            </w:r>
          </w:p>
        </w:tc>
        <w:tc>
          <w:tcPr>
            <w:tcW w:w="1407" w:type="dxa"/>
            <w:tcBorders>
              <w:top w:val="nil"/>
              <w:left w:val="nil"/>
              <w:bottom w:val="single" w:color="auto" w:sz="8" w:space="0"/>
              <w:right w:val="single" w:color="auto" w:sz="8" w:space="0"/>
            </w:tcBorders>
            <w:shd w:val="clear" w:color="auto" w:fill="auto"/>
          </w:tcPr>
          <w:p w14:paraId="65E2F03D">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239,213.07</w:t>
            </w:r>
          </w:p>
        </w:tc>
        <w:tc>
          <w:tcPr>
            <w:tcW w:w="1846" w:type="dxa"/>
            <w:tcBorders>
              <w:top w:val="nil"/>
              <w:left w:val="nil"/>
              <w:bottom w:val="single" w:color="auto" w:sz="8" w:space="0"/>
              <w:right w:val="single" w:color="auto" w:sz="8" w:space="0"/>
            </w:tcBorders>
            <w:shd w:val="clear" w:color="auto" w:fill="auto"/>
          </w:tcPr>
          <w:p w14:paraId="4E274A8C">
            <w:pPr>
              <w:widowControl/>
              <w:spacing w:line="240" w:lineRule="auto"/>
              <w:ind w:firstLine="0" w:firstLineChars="0"/>
              <w:jc w:val="center"/>
              <w:rPr>
                <w:rFonts w:hint="eastAsia" w:ascii="宋体" w:hAnsi="宋体" w:cs="宋体"/>
                <w:color w:val="000000"/>
                <w:kern w:val="0"/>
                <w:sz w:val="18"/>
                <w:szCs w:val="18"/>
              </w:rPr>
            </w:pPr>
          </w:p>
        </w:tc>
        <w:tc>
          <w:tcPr>
            <w:tcW w:w="1604" w:type="dxa"/>
            <w:tcBorders>
              <w:top w:val="nil"/>
              <w:left w:val="nil"/>
              <w:bottom w:val="single" w:color="auto" w:sz="8" w:space="0"/>
              <w:right w:val="single" w:color="auto" w:sz="8" w:space="0"/>
            </w:tcBorders>
            <w:shd w:val="clear" w:color="auto" w:fill="auto"/>
          </w:tcPr>
          <w:p w14:paraId="5463C4C9">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9,892.65</w:t>
            </w:r>
          </w:p>
        </w:tc>
        <w:tc>
          <w:tcPr>
            <w:tcW w:w="1604" w:type="dxa"/>
            <w:tcBorders>
              <w:top w:val="nil"/>
              <w:left w:val="nil"/>
              <w:bottom w:val="single" w:color="auto" w:sz="8" w:space="0"/>
              <w:right w:val="single" w:color="auto" w:sz="8" w:space="0"/>
            </w:tcBorders>
            <w:shd w:val="clear" w:color="auto" w:fill="auto"/>
          </w:tcPr>
          <w:p w14:paraId="12812A64">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1333" w:type="dxa"/>
            <w:tcBorders>
              <w:top w:val="nil"/>
              <w:left w:val="nil"/>
              <w:bottom w:val="single" w:color="auto" w:sz="8" w:space="0"/>
              <w:right w:val="single" w:color="auto" w:sz="8" w:space="0"/>
            </w:tcBorders>
            <w:shd w:val="clear" w:color="auto" w:fill="auto"/>
          </w:tcPr>
          <w:p w14:paraId="0043E9DE">
            <w:pPr>
              <w:widowControl/>
              <w:spacing w:line="240" w:lineRule="auto"/>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239,213.07</w:t>
            </w:r>
          </w:p>
        </w:tc>
      </w:tr>
      <w:tr w14:paraId="32E65D2F">
        <w:tblPrEx>
          <w:tblCellMar>
            <w:top w:w="0" w:type="dxa"/>
            <w:left w:w="108" w:type="dxa"/>
            <w:bottom w:w="0" w:type="dxa"/>
            <w:right w:w="108" w:type="dxa"/>
          </w:tblCellMar>
        </w:tblPrEx>
        <w:trPr>
          <w:trHeight w:val="285" w:hRule="atLeast"/>
        </w:trPr>
        <w:tc>
          <w:tcPr>
            <w:tcW w:w="1146" w:type="dxa"/>
            <w:tcBorders>
              <w:top w:val="nil"/>
              <w:left w:val="single" w:color="auto" w:sz="8" w:space="0"/>
              <w:bottom w:val="single" w:color="auto" w:sz="8" w:space="0"/>
              <w:right w:val="single" w:color="auto" w:sz="8" w:space="0"/>
            </w:tcBorders>
            <w:shd w:val="clear" w:color="auto" w:fill="auto"/>
            <w:vAlign w:val="center"/>
          </w:tcPr>
          <w:p w14:paraId="7A3CA534">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1407" w:type="dxa"/>
            <w:tcBorders>
              <w:top w:val="nil"/>
              <w:left w:val="nil"/>
              <w:bottom w:val="single" w:color="auto" w:sz="8" w:space="0"/>
              <w:right w:val="single" w:color="auto" w:sz="8" w:space="0"/>
            </w:tcBorders>
            <w:shd w:val="clear" w:color="auto" w:fill="auto"/>
            <w:vAlign w:val="center"/>
          </w:tcPr>
          <w:p w14:paraId="039ABD85">
            <w:pPr>
              <w:widowControl/>
              <w:spacing w:line="240" w:lineRule="auto"/>
              <w:ind w:firstLine="360"/>
              <w:jc w:val="center"/>
              <w:rPr>
                <w:rFonts w:hint="eastAsia" w:ascii="宋体" w:hAnsi="宋体" w:cs="宋体"/>
                <w:color w:val="000000"/>
                <w:kern w:val="0"/>
                <w:sz w:val="18"/>
                <w:szCs w:val="18"/>
              </w:rPr>
            </w:pPr>
          </w:p>
        </w:tc>
        <w:tc>
          <w:tcPr>
            <w:tcW w:w="1846" w:type="dxa"/>
            <w:tcBorders>
              <w:top w:val="nil"/>
              <w:left w:val="nil"/>
              <w:bottom w:val="single" w:color="auto" w:sz="8" w:space="0"/>
              <w:right w:val="single" w:color="auto" w:sz="8" w:space="0"/>
            </w:tcBorders>
            <w:shd w:val="clear" w:color="auto" w:fill="auto"/>
          </w:tcPr>
          <w:p w14:paraId="62655415">
            <w:pPr>
              <w:widowControl/>
              <w:spacing w:line="240" w:lineRule="auto"/>
              <w:ind w:firstLine="361"/>
              <w:jc w:val="center"/>
              <w:rPr>
                <w:rFonts w:hint="eastAsia" w:ascii="宋体" w:hAnsi="宋体" w:cs="宋体"/>
                <w:b/>
                <w:color w:val="000000"/>
                <w:kern w:val="0"/>
                <w:sz w:val="18"/>
                <w:szCs w:val="18"/>
              </w:rPr>
            </w:pPr>
            <w:r>
              <w:rPr>
                <w:rFonts w:ascii="宋体" w:hAnsi="宋体" w:cs="宋体"/>
                <w:b/>
                <w:color w:val="000000"/>
                <w:kern w:val="0"/>
                <w:sz w:val="18"/>
                <w:szCs w:val="18"/>
              </w:rPr>
              <w:t>437,595.84</w:t>
            </w:r>
          </w:p>
        </w:tc>
        <w:tc>
          <w:tcPr>
            <w:tcW w:w="1604" w:type="dxa"/>
            <w:tcBorders>
              <w:top w:val="nil"/>
              <w:left w:val="nil"/>
              <w:bottom w:val="single" w:color="auto" w:sz="8" w:space="0"/>
              <w:right w:val="single" w:color="auto" w:sz="8" w:space="0"/>
            </w:tcBorders>
            <w:shd w:val="clear" w:color="auto" w:fill="auto"/>
          </w:tcPr>
          <w:p w14:paraId="64578F61">
            <w:pPr>
              <w:widowControl/>
              <w:spacing w:line="240" w:lineRule="auto"/>
              <w:ind w:firstLine="361"/>
              <w:jc w:val="center"/>
              <w:rPr>
                <w:rFonts w:hint="eastAsia" w:ascii="宋体" w:hAnsi="宋体" w:cs="宋体"/>
                <w:b/>
                <w:color w:val="000000"/>
                <w:kern w:val="0"/>
                <w:sz w:val="18"/>
                <w:szCs w:val="18"/>
              </w:rPr>
            </w:pPr>
            <w:r>
              <w:rPr>
                <w:rFonts w:ascii="宋体" w:hAnsi="宋体" w:cs="宋体"/>
                <w:b/>
                <w:color w:val="000000"/>
                <w:kern w:val="0"/>
                <w:sz w:val="18"/>
                <w:szCs w:val="18"/>
              </w:rPr>
              <w:t>232,996.38</w:t>
            </w:r>
          </w:p>
        </w:tc>
        <w:tc>
          <w:tcPr>
            <w:tcW w:w="1604" w:type="dxa"/>
            <w:tcBorders>
              <w:top w:val="nil"/>
              <w:left w:val="nil"/>
              <w:bottom w:val="single" w:color="auto" w:sz="8" w:space="0"/>
              <w:right w:val="single" w:color="auto" w:sz="8" w:space="0"/>
            </w:tcBorders>
            <w:shd w:val="clear" w:color="auto" w:fill="auto"/>
          </w:tcPr>
          <w:p w14:paraId="0E246FB5">
            <w:pPr>
              <w:widowControl/>
              <w:spacing w:line="240" w:lineRule="auto"/>
              <w:ind w:firstLine="361"/>
              <w:jc w:val="center"/>
              <w:rPr>
                <w:rFonts w:hint="eastAsia" w:ascii="宋体" w:hAnsi="宋体" w:cs="宋体"/>
                <w:b/>
                <w:color w:val="000000"/>
                <w:kern w:val="0"/>
                <w:sz w:val="18"/>
                <w:szCs w:val="18"/>
              </w:rPr>
            </w:pPr>
            <w:r>
              <w:rPr>
                <w:rFonts w:ascii="宋体" w:hAnsi="宋体" w:cs="宋体"/>
                <w:b/>
                <w:color w:val="000000"/>
                <w:kern w:val="0"/>
                <w:sz w:val="18"/>
                <w:szCs w:val="18"/>
              </w:rPr>
              <w:t>213,077.79</w:t>
            </w:r>
          </w:p>
        </w:tc>
        <w:tc>
          <w:tcPr>
            <w:tcW w:w="1333" w:type="dxa"/>
            <w:tcBorders>
              <w:top w:val="nil"/>
              <w:left w:val="nil"/>
              <w:bottom w:val="single" w:color="auto" w:sz="8" w:space="0"/>
              <w:right w:val="single" w:color="auto" w:sz="8" w:space="0"/>
            </w:tcBorders>
            <w:shd w:val="clear" w:color="auto" w:fill="auto"/>
            <w:vAlign w:val="center"/>
          </w:tcPr>
          <w:p w14:paraId="26DE22B6">
            <w:pPr>
              <w:widowControl/>
              <w:spacing w:line="240" w:lineRule="auto"/>
              <w:ind w:firstLine="360"/>
              <w:jc w:val="center"/>
              <w:rPr>
                <w:rFonts w:hint="eastAsia" w:ascii="宋体" w:hAnsi="宋体" w:cs="宋体"/>
                <w:color w:val="000000"/>
                <w:kern w:val="0"/>
                <w:sz w:val="18"/>
                <w:szCs w:val="18"/>
              </w:rPr>
            </w:pPr>
          </w:p>
        </w:tc>
      </w:tr>
    </w:tbl>
    <w:p w14:paraId="4A91AF56">
      <w:pPr>
        <w:pStyle w:val="23"/>
        <w:spacing w:before="156" w:beforeLines="50" w:beforeAutospacing="0" w:after="156" w:afterLines="50" w:afterAutospacing="0" w:line="400" w:lineRule="exact"/>
        <w:ind w:firstLine="360" w:firstLineChars="200"/>
        <w:jc w:val="both"/>
        <w:rPr>
          <w:rFonts w:hint="eastAsia"/>
          <w:color w:val="000000" w:themeColor="text1"/>
          <w:sz w:val="21"/>
          <w:szCs w:val="21"/>
        </w:rPr>
      </w:pPr>
      <w:r>
        <w:rPr>
          <w:rFonts w:hint="eastAsia"/>
          <w:color w:val="000000" w:themeColor="text1"/>
          <w:sz w:val="18"/>
          <w:szCs w:val="18"/>
        </w:rPr>
        <w:t>注：本表仅列示债券存续期间的银行贷款还本付息情况。</w:t>
      </w:r>
    </w:p>
    <w:p w14:paraId="52005939">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3.运营成本费用分析</w:t>
      </w:r>
    </w:p>
    <w:p w14:paraId="726BB785">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项目支出按照支出用途分类可分为：经营成本支出、其他支出及固定资产投资支出，本项目建成后的经营成本主要包括职工工资及福利费、电力费、修理费、营运费、管理费、折旧摊销费等各项费用支出，因充足性分析主要依据对现金流量进行分析，故对于不需付现的费用（如折旧摊销等）暂不在支出情况预测表中反映。</w:t>
      </w:r>
    </w:p>
    <w:p w14:paraId="296C6506">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可研报告及《实施方案》中明确了各项成本的估算标准如下：</w:t>
      </w:r>
    </w:p>
    <w:p w14:paraId="3E6C6CD3">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（1）职工工资及福利费：职工工资及福利费指运营企业支付给员工的劳动报酬。依据设计定员及预测运营期初工资标准计算工资总额，并以工资总额为基数，提取14%的职工福利费。；</w:t>
      </w:r>
    </w:p>
    <w:p w14:paraId="6097A5BB">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（2）牵引、动力照明用电量及电价:是指为保证运营所必需的牵引及动力、照明用电。按用电量及预测运营期初电价计算，电价参考江西省发改委对已运营1号线的电价的建议，采用0.7177元/度。</w:t>
      </w:r>
    </w:p>
    <w:p w14:paraId="34BDD0EC">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（3）车辆维修费：车辆是直接与乘客接触，在轨道上运行的，其日常损耗在所难免。车辆维修费即指车辆日常维护、维修以及大修所消耗材料的费用，如车轮、移门等。</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845"/>
        <w:gridCol w:w="756"/>
        <w:gridCol w:w="886"/>
        <w:gridCol w:w="846"/>
        <w:gridCol w:w="927"/>
        <w:gridCol w:w="756"/>
        <w:gridCol w:w="927"/>
        <w:gridCol w:w="846"/>
        <w:gridCol w:w="927"/>
      </w:tblGrid>
      <w:tr w14:paraId="154F5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0" w:type="auto"/>
            <w:shd w:val="clear" w:color="auto" w:fill="auto"/>
            <w:vAlign w:val="center"/>
          </w:tcPr>
          <w:p w14:paraId="7104CD57">
            <w:pPr>
              <w:pStyle w:val="113"/>
              <w:spacing w:line="400" w:lineRule="exact"/>
              <w:rPr>
                <w:rFonts w:hint="eastAsia" w:ascii="宋体" w:hAnsi="宋体" w:cs="宋体" w:eastAsiaTheme="minorEastAsia"/>
                <w:color w:val="000000"/>
                <w:kern w:val="0"/>
                <w:sz w:val="18"/>
                <w:szCs w:val="18"/>
              </w:rPr>
            </w:pPr>
          </w:p>
        </w:tc>
        <w:tc>
          <w:tcPr>
            <w:tcW w:w="0" w:type="auto"/>
            <w:shd w:val="clear" w:color="auto" w:fill="auto"/>
            <w:vAlign w:val="center"/>
          </w:tcPr>
          <w:p w14:paraId="60467A1D">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日常维修1</w:t>
            </w:r>
          </w:p>
          <w:p w14:paraId="0AC79FF4">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(1~5年)</w:t>
            </w:r>
          </w:p>
        </w:tc>
        <w:tc>
          <w:tcPr>
            <w:tcW w:w="0" w:type="auto"/>
            <w:shd w:val="clear" w:color="auto" w:fill="auto"/>
            <w:vAlign w:val="center"/>
          </w:tcPr>
          <w:p w14:paraId="274FF8F5">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首次</w:t>
            </w:r>
          </w:p>
          <w:p w14:paraId="420E9403">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架修</w:t>
            </w:r>
          </w:p>
        </w:tc>
        <w:tc>
          <w:tcPr>
            <w:tcW w:w="0" w:type="auto"/>
            <w:shd w:val="clear" w:color="auto" w:fill="auto"/>
            <w:vAlign w:val="center"/>
          </w:tcPr>
          <w:p w14:paraId="44511C18">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日常维修2</w:t>
            </w:r>
          </w:p>
          <w:p w14:paraId="76AF98DC">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(6~10年)</w:t>
            </w:r>
          </w:p>
        </w:tc>
        <w:tc>
          <w:tcPr>
            <w:tcW w:w="0" w:type="auto"/>
            <w:shd w:val="clear" w:color="auto" w:fill="auto"/>
            <w:vAlign w:val="center"/>
          </w:tcPr>
          <w:p w14:paraId="49882F73">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首次</w:t>
            </w:r>
          </w:p>
          <w:p w14:paraId="08912E9D">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大修</w:t>
            </w:r>
          </w:p>
        </w:tc>
        <w:tc>
          <w:tcPr>
            <w:tcW w:w="0" w:type="auto"/>
            <w:shd w:val="clear" w:color="auto" w:fill="auto"/>
            <w:vAlign w:val="center"/>
          </w:tcPr>
          <w:p w14:paraId="44B5FCB9">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日常维修3</w:t>
            </w:r>
          </w:p>
          <w:p w14:paraId="14AD2E2F">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(11~15年)</w:t>
            </w:r>
          </w:p>
        </w:tc>
        <w:tc>
          <w:tcPr>
            <w:tcW w:w="0" w:type="auto"/>
            <w:shd w:val="clear" w:color="auto" w:fill="auto"/>
            <w:vAlign w:val="center"/>
          </w:tcPr>
          <w:p w14:paraId="52D186E8">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二次</w:t>
            </w:r>
          </w:p>
          <w:p w14:paraId="4B315736">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架修</w:t>
            </w:r>
          </w:p>
        </w:tc>
        <w:tc>
          <w:tcPr>
            <w:tcW w:w="0" w:type="auto"/>
            <w:shd w:val="clear" w:color="auto" w:fill="auto"/>
            <w:vAlign w:val="center"/>
          </w:tcPr>
          <w:p w14:paraId="3EEB7FCB">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日常维修4</w:t>
            </w:r>
          </w:p>
          <w:p w14:paraId="6B926C08">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(16~20年)</w:t>
            </w:r>
          </w:p>
        </w:tc>
        <w:tc>
          <w:tcPr>
            <w:tcW w:w="0" w:type="auto"/>
            <w:shd w:val="clear" w:color="auto" w:fill="auto"/>
            <w:vAlign w:val="center"/>
          </w:tcPr>
          <w:p w14:paraId="6B474E36">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二次</w:t>
            </w:r>
          </w:p>
          <w:p w14:paraId="29906F9F">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大修</w:t>
            </w:r>
          </w:p>
        </w:tc>
        <w:tc>
          <w:tcPr>
            <w:tcW w:w="0" w:type="auto"/>
            <w:shd w:val="clear" w:color="auto" w:fill="auto"/>
            <w:vAlign w:val="center"/>
          </w:tcPr>
          <w:p w14:paraId="2516DFEF">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日常维修5</w:t>
            </w:r>
          </w:p>
          <w:p w14:paraId="79999E00">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(21~25年)</w:t>
            </w:r>
          </w:p>
        </w:tc>
      </w:tr>
      <w:tr w14:paraId="72F7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0" w:type="auto"/>
            <w:shd w:val="clear" w:color="auto" w:fill="auto"/>
            <w:vAlign w:val="center"/>
          </w:tcPr>
          <w:p w14:paraId="210DF647">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维修成本</w:t>
            </w:r>
          </w:p>
          <w:p w14:paraId="2FADD56A">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(万元/列)</w:t>
            </w:r>
          </w:p>
        </w:tc>
        <w:tc>
          <w:tcPr>
            <w:tcW w:w="0" w:type="auto"/>
            <w:shd w:val="clear" w:color="auto" w:fill="auto"/>
            <w:vAlign w:val="center"/>
          </w:tcPr>
          <w:p w14:paraId="3AE11242">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1.59</w:t>
            </w:r>
          </w:p>
        </w:tc>
        <w:tc>
          <w:tcPr>
            <w:tcW w:w="0" w:type="auto"/>
            <w:shd w:val="clear" w:color="auto" w:fill="auto"/>
            <w:vAlign w:val="center"/>
          </w:tcPr>
          <w:p w14:paraId="67864424">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157.31</w:t>
            </w:r>
          </w:p>
        </w:tc>
        <w:tc>
          <w:tcPr>
            <w:tcW w:w="0" w:type="auto"/>
            <w:shd w:val="clear" w:color="auto" w:fill="auto"/>
            <w:vAlign w:val="center"/>
          </w:tcPr>
          <w:p w14:paraId="24F114F0">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49.35</w:t>
            </w:r>
          </w:p>
        </w:tc>
        <w:tc>
          <w:tcPr>
            <w:tcW w:w="0" w:type="auto"/>
            <w:shd w:val="clear" w:color="auto" w:fill="auto"/>
            <w:vAlign w:val="center"/>
          </w:tcPr>
          <w:p w14:paraId="4FBCF854">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1088.89</w:t>
            </w:r>
          </w:p>
        </w:tc>
        <w:tc>
          <w:tcPr>
            <w:tcW w:w="0" w:type="auto"/>
            <w:shd w:val="clear" w:color="auto" w:fill="auto"/>
            <w:vAlign w:val="center"/>
          </w:tcPr>
          <w:p w14:paraId="1F8F90C0">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44.33</w:t>
            </w:r>
          </w:p>
        </w:tc>
        <w:tc>
          <w:tcPr>
            <w:tcW w:w="0" w:type="auto"/>
            <w:shd w:val="clear" w:color="auto" w:fill="auto"/>
            <w:vAlign w:val="center"/>
          </w:tcPr>
          <w:p w14:paraId="61B0CE3F">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431.67</w:t>
            </w:r>
          </w:p>
        </w:tc>
        <w:tc>
          <w:tcPr>
            <w:tcW w:w="0" w:type="auto"/>
            <w:shd w:val="clear" w:color="auto" w:fill="auto"/>
            <w:vAlign w:val="center"/>
          </w:tcPr>
          <w:p w14:paraId="56E51F14">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44.33</w:t>
            </w:r>
          </w:p>
        </w:tc>
        <w:tc>
          <w:tcPr>
            <w:tcW w:w="0" w:type="auto"/>
            <w:shd w:val="clear" w:color="auto" w:fill="auto"/>
            <w:vAlign w:val="center"/>
          </w:tcPr>
          <w:p w14:paraId="2EE61417">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1711.11</w:t>
            </w:r>
          </w:p>
        </w:tc>
        <w:tc>
          <w:tcPr>
            <w:tcW w:w="0" w:type="auto"/>
            <w:shd w:val="clear" w:color="auto" w:fill="auto"/>
            <w:vAlign w:val="center"/>
          </w:tcPr>
          <w:p w14:paraId="4B9D7751">
            <w:pPr>
              <w:pStyle w:val="113"/>
              <w:spacing w:line="400" w:lineRule="exact"/>
              <w:rPr>
                <w:rFonts w:hint="eastAsia" w:ascii="宋体" w:hAnsi="宋体" w:cs="宋体" w:eastAsiaTheme="minorEastAsia"/>
                <w:color w:val="000000"/>
                <w:kern w:val="0"/>
                <w:sz w:val="18"/>
                <w:szCs w:val="18"/>
              </w:rPr>
            </w:pPr>
            <w:r>
              <w:rPr>
                <w:rFonts w:hint="eastAsia" w:ascii="宋体" w:hAnsi="宋体" w:cs="宋体" w:eastAsiaTheme="minorEastAsia"/>
                <w:color w:val="000000"/>
                <w:kern w:val="0"/>
                <w:sz w:val="18"/>
                <w:szCs w:val="18"/>
              </w:rPr>
              <w:t>44.33</w:t>
            </w:r>
          </w:p>
        </w:tc>
      </w:tr>
    </w:tbl>
    <w:p w14:paraId="13FC5A6F">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（4）其他修理费：除车辆以外的车站、区间、房屋建筑、设备的日常修理及大修费用。年维修费按工程费用提取，土建工程取0.3%，设备系统取1.0%。</w:t>
      </w:r>
    </w:p>
    <w:p w14:paraId="53261955">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（5）营运费（营运材料消耗）：营运费包括燃料费、水费、低值易耗品摊销、劳动保护费、生产用消耗品等开支。营运费指标按10万元/km计。</w:t>
      </w:r>
    </w:p>
    <w:p w14:paraId="77A6B6E1">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6）管理费用：管理费用指企业管理部门为管理和组织运营活动发生的各项费用，包括计入成本的税费及工会经费、职工教育经费、办公费、差旅费、招待费、各种基金及保险费等等支出。管理费按职工工资及福利费的20%计。</w:t>
      </w:r>
    </w:p>
    <w:p w14:paraId="51C2D03F">
      <w:pPr>
        <w:pStyle w:val="23"/>
        <w:spacing w:before="156" w:beforeLines="50" w:beforeAutospacing="0" w:after="156"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业务活动支出及投资建设支出预测情况如下表3-4所示：</w:t>
      </w:r>
    </w:p>
    <w:p w14:paraId="39BBDA21">
      <w:pPr>
        <w:pStyle w:val="23"/>
        <w:spacing w:before="0" w:beforeAutospacing="0" w:after="156" w:afterLines="50" w:afterAutospacing="0" w:line="400" w:lineRule="exact"/>
        <w:ind w:firstLine="420" w:firstLineChars="200"/>
        <w:jc w:val="center"/>
        <w:rPr>
          <w:rFonts w:hint="eastAsia"/>
          <w:b/>
          <w:color w:val="000000" w:themeColor="text1"/>
          <w:sz w:val="21"/>
          <w:szCs w:val="21"/>
        </w:rPr>
      </w:pPr>
      <w:r>
        <w:rPr>
          <w:rFonts w:hint="eastAsia"/>
          <w:b/>
          <w:color w:val="000000" w:themeColor="text1"/>
          <w:sz w:val="21"/>
          <w:szCs w:val="21"/>
        </w:rPr>
        <w:t>表3-</w:t>
      </w:r>
      <w:r>
        <w:rPr>
          <w:b/>
          <w:color w:val="000000" w:themeColor="text1"/>
          <w:sz w:val="21"/>
          <w:szCs w:val="21"/>
        </w:rPr>
        <w:t>4  2026</w:t>
      </w:r>
      <w:r>
        <w:rPr>
          <w:rFonts w:hint="eastAsia"/>
          <w:b/>
          <w:color w:val="000000" w:themeColor="text1"/>
          <w:sz w:val="21"/>
          <w:szCs w:val="21"/>
        </w:rPr>
        <w:t>-</w:t>
      </w:r>
      <w:r>
        <w:rPr>
          <w:b/>
          <w:color w:val="000000" w:themeColor="text1"/>
          <w:sz w:val="21"/>
          <w:szCs w:val="21"/>
        </w:rPr>
        <w:t>2040</w:t>
      </w:r>
      <w:r>
        <w:rPr>
          <w:rFonts w:hint="eastAsia"/>
          <w:b/>
          <w:color w:val="000000" w:themeColor="text1"/>
          <w:sz w:val="21"/>
          <w:szCs w:val="21"/>
        </w:rPr>
        <w:t>年支出情况预测表</w:t>
      </w:r>
    </w:p>
    <w:p w14:paraId="76ABE446">
      <w:pPr>
        <w:pStyle w:val="23"/>
        <w:keepNext/>
        <w:spacing w:before="0" w:beforeAutospacing="0" w:after="0" w:afterAutospacing="0" w:line="400" w:lineRule="exact"/>
        <w:ind w:right="54" w:rightChars="26" w:firstLine="360" w:firstLineChars="200"/>
        <w:jc w:val="right"/>
        <w:rPr>
          <w:rFonts w:hint="eastAsia"/>
          <w:color w:val="000000" w:themeColor="text1"/>
          <w:sz w:val="18"/>
          <w:szCs w:val="18"/>
        </w:rPr>
      </w:pPr>
      <w:r>
        <w:rPr>
          <w:rFonts w:hint="eastAsia"/>
          <w:color w:val="000000" w:themeColor="text1"/>
          <w:sz w:val="18"/>
          <w:szCs w:val="18"/>
        </w:rPr>
        <w:t>单位：万元</w:t>
      </w:r>
    </w:p>
    <w:tbl>
      <w:tblPr>
        <w:tblStyle w:val="28"/>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1549"/>
        <w:gridCol w:w="1310"/>
        <w:gridCol w:w="1162"/>
        <w:gridCol w:w="1093"/>
        <w:gridCol w:w="743"/>
        <w:gridCol w:w="1002"/>
        <w:gridCol w:w="1089"/>
      </w:tblGrid>
      <w:tr w14:paraId="2F79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trPr>
        <w:tc>
          <w:tcPr>
            <w:tcW w:w="709" w:type="dxa"/>
            <w:shd w:val="clear" w:color="auto" w:fill="auto"/>
            <w:noWrap/>
            <w:vAlign w:val="center"/>
          </w:tcPr>
          <w:p w14:paraId="3B614BCA">
            <w:pPr>
              <w:widowControl/>
              <w:spacing w:line="240" w:lineRule="auto"/>
              <w:ind w:firstLine="0" w:firstLineChars="0"/>
              <w:rPr>
                <w:rFonts w:hint="eastAsia" w:ascii="宋体" w:hAnsi="宋体" w:cs="宋体"/>
                <w:b/>
                <w:bCs/>
                <w:kern w:val="0"/>
                <w:sz w:val="18"/>
                <w:szCs w:val="18"/>
              </w:rPr>
            </w:pPr>
            <w:r>
              <w:rPr>
                <w:rFonts w:hint="eastAsia" w:ascii="宋体" w:hAnsi="宋体" w:cs="宋体"/>
                <w:b/>
                <w:bCs/>
                <w:kern w:val="0"/>
                <w:sz w:val="18"/>
                <w:szCs w:val="18"/>
              </w:rPr>
              <w:t>年份</w:t>
            </w:r>
          </w:p>
        </w:tc>
        <w:tc>
          <w:tcPr>
            <w:tcW w:w="1591" w:type="dxa"/>
            <w:shd w:val="clear" w:color="auto" w:fill="auto"/>
            <w:noWrap/>
            <w:vAlign w:val="center"/>
          </w:tcPr>
          <w:p w14:paraId="1EA54FB0">
            <w:pPr>
              <w:widowControl/>
              <w:spacing w:line="240" w:lineRule="auto"/>
              <w:ind w:firstLine="0" w:firstLineChars="0"/>
              <w:rPr>
                <w:rFonts w:hint="eastAsia" w:ascii="宋体" w:hAnsi="宋体" w:cs="宋体"/>
                <w:b/>
                <w:bCs/>
                <w:kern w:val="0"/>
                <w:sz w:val="18"/>
                <w:szCs w:val="18"/>
              </w:rPr>
            </w:pPr>
            <w:r>
              <w:rPr>
                <w:rFonts w:hint="eastAsia" w:ascii="宋体" w:hAnsi="宋体" w:cs="宋体"/>
                <w:b/>
                <w:bCs/>
                <w:kern w:val="0"/>
                <w:sz w:val="18"/>
                <w:szCs w:val="18"/>
              </w:rPr>
              <w:t>牵引、动力照明电费</w:t>
            </w:r>
          </w:p>
        </w:tc>
        <w:tc>
          <w:tcPr>
            <w:tcW w:w="1344" w:type="dxa"/>
            <w:shd w:val="clear" w:color="auto" w:fill="auto"/>
            <w:noWrap/>
            <w:vAlign w:val="center"/>
          </w:tcPr>
          <w:p w14:paraId="46EEDB78">
            <w:pPr>
              <w:widowControl/>
              <w:spacing w:line="240" w:lineRule="auto"/>
              <w:ind w:firstLine="0" w:firstLineChars="0"/>
              <w:rPr>
                <w:rFonts w:hint="eastAsia" w:ascii="宋体" w:hAnsi="宋体" w:cs="宋体"/>
                <w:b/>
                <w:bCs/>
                <w:kern w:val="0"/>
                <w:sz w:val="18"/>
                <w:szCs w:val="18"/>
              </w:rPr>
            </w:pPr>
            <w:r>
              <w:rPr>
                <w:rFonts w:hint="eastAsia" w:ascii="宋体" w:hAnsi="宋体" w:cs="宋体"/>
                <w:b/>
                <w:bCs/>
                <w:kern w:val="0"/>
                <w:sz w:val="18"/>
                <w:szCs w:val="18"/>
              </w:rPr>
              <w:t>职工工资及福利费用</w:t>
            </w:r>
          </w:p>
        </w:tc>
        <w:tc>
          <w:tcPr>
            <w:tcW w:w="1191" w:type="dxa"/>
            <w:shd w:val="clear" w:color="auto" w:fill="auto"/>
            <w:noWrap/>
            <w:vAlign w:val="center"/>
          </w:tcPr>
          <w:p w14:paraId="54665DD7">
            <w:pPr>
              <w:widowControl/>
              <w:spacing w:line="240" w:lineRule="auto"/>
              <w:ind w:firstLine="0" w:firstLineChars="0"/>
              <w:rPr>
                <w:rFonts w:hint="eastAsia" w:ascii="宋体" w:hAnsi="宋体" w:cs="宋体"/>
                <w:b/>
                <w:bCs/>
                <w:kern w:val="0"/>
                <w:sz w:val="18"/>
                <w:szCs w:val="18"/>
              </w:rPr>
            </w:pPr>
            <w:r>
              <w:rPr>
                <w:rFonts w:hint="eastAsia" w:ascii="宋体" w:hAnsi="宋体" w:cs="宋体"/>
                <w:b/>
                <w:bCs/>
                <w:kern w:val="0"/>
                <w:sz w:val="18"/>
                <w:szCs w:val="18"/>
              </w:rPr>
              <w:t>车辆维修费</w:t>
            </w:r>
          </w:p>
        </w:tc>
        <w:tc>
          <w:tcPr>
            <w:tcW w:w="0" w:type="auto"/>
            <w:shd w:val="clear" w:color="auto" w:fill="auto"/>
            <w:noWrap/>
            <w:vAlign w:val="center"/>
          </w:tcPr>
          <w:p w14:paraId="762AD360">
            <w:pPr>
              <w:widowControl/>
              <w:spacing w:line="240" w:lineRule="auto"/>
              <w:ind w:firstLine="0" w:firstLineChars="0"/>
              <w:rPr>
                <w:rFonts w:hint="eastAsia" w:ascii="宋体" w:hAnsi="宋体" w:cs="宋体"/>
                <w:b/>
                <w:bCs/>
                <w:kern w:val="0"/>
                <w:sz w:val="18"/>
                <w:szCs w:val="18"/>
              </w:rPr>
            </w:pPr>
            <w:r>
              <w:rPr>
                <w:rFonts w:hint="eastAsia" w:ascii="宋体" w:hAnsi="宋体" w:cs="宋体"/>
                <w:b/>
                <w:bCs/>
                <w:kern w:val="0"/>
                <w:sz w:val="18"/>
                <w:szCs w:val="18"/>
              </w:rPr>
              <w:t>其他修理费</w:t>
            </w:r>
          </w:p>
        </w:tc>
        <w:tc>
          <w:tcPr>
            <w:tcW w:w="0" w:type="auto"/>
            <w:shd w:val="clear" w:color="auto" w:fill="auto"/>
            <w:noWrap/>
            <w:vAlign w:val="center"/>
          </w:tcPr>
          <w:p w14:paraId="63FBF4A5">
            <w:pPr>
              <w:widowControl/>
              <w:spacing w:line="240" w:lineRule="auto"/>
              <w:ind w:firstLine="0" w:firstLineChars="0"/>
              <w:rPr>
                <w:rFonts w:hint="eastAsia" w:ascii="宋体" w:hAnsi="宋体" w:cs="宋体"/>
                <w:b/>
                <w:bCs/>
                <w:kern w:val="0"/>
                <w:sz w:val="18"/>
                <w:szCs w:val="18"/>
              </w:rPr>
            </w:pPr>
            <w:r>
              <w:rPr>
                <w:rFonts w:hint="eastAsia" w:ascii="宋体" w:hAnsi="宋体" w:cs="宋体"/>
                <w:b/>
                <w:bCs/>
                <w:kern w:val="0"/>
                <w:sz w:val="18"/>
                <w:szCs w:val="18"/>
              </w:rPr>
              <w:t>营运费</w:t>
            </w:r>
          </w:p>
        </w:tc>
        <w:tc>
          <w:tcPr>
            <w:tcW w:w="971" w:type="dxa"/>
            <w:shd w:val="clear" w:color="auto" w:fill="auto"/>
            <w:noWrap/>
            <w:vAlign w:val="center"/>
          </w:tcPr>
          <w:p w14:paraId="53E55800">
            <w:pPr>
              <w:widowControl/>
              <w:spacing w:line="240" w:lineRule="auto"/>
              <w:ind w:firstLine="0" w:firstLineChars="0"/>
              <w:rPr>
                <w:rFonts w:hint="eastAsia" w:ascii="宋体" w:hAnsi="宋体" w:cs="宋体"/>
                <w:b/>
                <w:bCs/>
                <w:kern w:val="0"/>
                <w:sz w:val="18"/>
                <w:szCs w:val="18"/>
              </w:rPr>
            </w:pPr>
            <w:r>
              <w:rPr>
                <w:rFonts w:hint="eastAsia" w:ascii="宋体" w:hAnsi="宋体" w:cs="宋体"/>
                <w:b/>
                <w:bCs/>
                <w:kern w:val="0"/>
                <w:sz w:val="18"/>
                <w:szCs w:val="18"/>
              </w:rPr>
              <w:t>管理费</w:t>
            </w:r>
          </w:p>
        </w:tc>
        <w:tc>
          <w:tcPr>
            <w:tcW w:w="1055" w:type="dxa"/>
            <w:shd w:val="clear" w:color="auto" w:fill="auto"/>
            <w:noWrap/>
            <w:vAlign w:val="center"/>
          </w:tcPr>
          <w:p w14:paraId="206DCDB8">
            <w:pPr>
              <w:widowControl/>
              <w:spacing w:line="240" w:lineRule="auto"/>
              <w:ind w:firstLine="0" w:firstLineChars="0"/>
              <w:rPr>
                <w:rFonts w:hint="eastAsia" w:ascii="宋体" w:hAnsi="宋体" w:cs="宋体"/>
                <w:b/>
                <w:bCs/>
                <w:kern w:val="0"/>
                <w:sz w:val="18"/>
                <w:szCs w:val="18"/>
              </w:rPr>
            </w:pPr>
            <w:r>
              <w:rPr>
                <w:rFonts w:hint="eastAsia" w:ascii="宋体" w:hAnsi="宋体" w:cs="宋体"/>
                <w:b/>
                <w:bCs/>
                <w:kern w:val="0"/>
                <w:sz w:val="18"/>
                <w:szCs w:val="18"/>
              </w:rPr>
              <w:t>年成本</w:t>
            </w:r>
          </w:p>
        </w:tc>
      </w:tr>
      <w:tr w14:paraId="3F921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09" w:type="dxa"/>
            <w:shd w:val="clear" w:color="auto" w:fill="auto"/>
            <w:noWrap/>
            <w:vAlign w:val="center"/>
          </w:tcPr>
          <w:p w14:paraId="714249B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2026</w:t>
            </w:r>
          </w:p>
        </w:tc>
        <w:tc>
          <w:tcPr>
            <w:tcW w:w="1591" w:type="dxa"/>
            <w:shd w:val="clear" w:color="auto" w:fill="auto"/>
            <w:noWrap/>
            <w:vAlign w:val="center"/>
          </w:tcPr>
          <w:p w14:paraId="171211A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3,349.71</w:t>
            </w:r>
          </w:p>
        </w:tc>
        <w:tc>
          <w:tcPr>
            <w:tcW w:w="1344" w:type="dxa"/>
            <w:shd w:val="clear" w:color="auto" w:fill="auto"/>
            <w:noWrap/>
            <w:vAlign w:val="center"/>
          </w:tcPr>
          <w:p w14:paraId="2B3BDB02">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5,768.00</w:t>
            </w:r>
          </w:p>
        </w:tc>
        <w:tc>
          <w:tcPr>
            <w:tcW w:w="1191" w:type="dxa"/>
            <w:shd w:val="clear" w:color="auto" w:fill="auto"/>
            <w:noWrap/>
            <w:vAlign w:val="center"/>
          </w:tcPr>
          <w:p w14:paraId="324D9D1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37.00</w:t>
            </w:r>
          </w:p>
        </w:tc>
        <w:tc>
          <w:tcPr>
            <w:tcW w:w="0" w:type="auto"/>
            <w:shd w:val="clear" w:color="auto" w:fill="auto"/>
            <w:noWrap/>
            <w:vAlign w:val="center"/>
          </w:tcPr>
          <w:p w14:paraId="668F57A3">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1,886.65</w:t>
            </w:r>
          </w:p>
        </w:tc>
        <w:tc>
          <w:tcPr>
            <w:tcW w:w="0" w:type="auto"/>
            <w:shd w:val="clear" w:color="auto" w:fill="auto"/>
            <w:noWrap/>
            <w:vAlign w:val="center"/>
          </w:tcPr>
          <w:p w14:paraId="2421E67A">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43939D2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10FFC76B">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12,861.93</w:t>
            </w:r>
          </w:p>
        </w:tc>
      </w:tr>
      <w:tr w14:paraId="2D8F9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61C320E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2027</w:t>
            </w:r>
          </w:p>
        </w:tc>
        <w:tc>
          <w:tcPr>
            <w:tcW w:w="1591" w:type="dxa"/>
            <w:shd w:val="clear" w:color="auto" w:fill="auto"/>
            <w:noWrap/>
            <w:vAlign w:val="center"/>
          </w:tcPr>
          <w:p w14:paraId="15D1EF73">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3,415.60</w:t>
            </w:r>
          </w:p>
        </w:tc>
        <w:tc>
          <w:tcPr>
            <w:tcW w:w="1344" w:type="dxa"/>
            <w:shd w:val="clear" w:color="auto" w:fill="auto"/>
            <w:noWrap/>
            <w:vAlign w:val="center"/>
          </w:tcPr>
          <w:p w14:paraId="31DBC4BA">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5,883.00</w:t>
            </w:r>
          </w:p>
        </w:tc>
        <w:tc>
          <w:tcPr>
            <w:tcW w:w="1191" w:type="dxa"/>
            <w:shd w:val="clear" w:color="auto" w:fill="auto"/>
            <w:noWrap/>
            <w:vAlign w:val="center"/>
          </w:tcPr>
          <w:p w14:paraId="5716E504">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3,239.20</w:t>
            </w:r>
          </w:p>
        </w:tc>
        <w:tc>
          <w:tcPr>
            <w:tcW w:w="0" w:type="auto"/>
            <w:shd w:val="clear" w:color="auto" w:fill="auto"/>
            <w:noWrap/>
            <w:vAlign w:val="center"/>
          </w:tcPr>
          <w:p w14:paraId="245CB54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1,923.89</w:t>
            </w:r>
          </w:p>
        </w:tc>
        <w:tc>
          <w:tcPr>
            <w:tcW w:w="0" w:type="auto"/>
            <w:shd w:val="clear" w:color="auto" w:fill="auto"/>
            <w:noWrap/>
            <w:vAlign w:val="center"/>
          </w:tcPr>
          <w:p w14:paraId="13A42590">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1B41CFF2">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46D32718">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16,282.26</w:t>
            </w:r>
          </w:p>
        </w:tc>
      </w:tr>
      <w:tr w14:paraId="4509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786E7632">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2028</w:t>
            </w:r>
          </w:p>
        </w:tc>
        <w:tc>
          <w:tcPr>
            <w:tcW w:w="1591" w:type="dxa"/>
            <w:shd w:val="clear" w:color="auto" w:fill="auto"/>
            <w:noWrap/>
            <w:vAlign w:val="center"/>
          </w:tcPr>
          <w:p w14:paraId="40B966A2">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3,481.49</w:t>
            </w:r>
          </w:p>
        </w:tc>
        <w:tc>
          <w:tcPr>
            <w:tcW w:w="1344" w:type="dxa"/>
            <w:shd w:val="clear" w:color="auto" w:fill="auto"/>
            <w:noWrap/>
            <w:vAlign w:val="center"/>
          </w:tcPr>
          <w:p w14:paraId="23A3221B">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6,001.00</w:t>
            </w:r>
          </w:p>
        </w:tc>
        <w:tc>
          <w:tcPr>
            <w:tcW w:w="1191" w:type="dxa"/>
            <w:shd w:val="clear" w:color="auto" w:fill="auto"/>
            <w:noWrap/>
            <w:vAlign w:val="center"/>
          </w:tcPr>
          <w:p w14:paraId="446023B3">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1,295.68</w:t>
            </w:r>
          </w:p>
        </w:tc>
        <w:tc>
          <w:tcPr>
            <w:tcW w:w="0" w:type="auto"/>
            <w:shd w:val="clear" w:color="auto" w:fill="auto"/>
            <w:noWrap/>
            <w:vAlign w:val="center"/>
          </w:tcPr>
          <w:p w14:paraId="3746653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1,962.36</w:t>
            </w:r>
          </w:p>
        </w:tc>
        <w:tc>
          <w:tcPr>
            <w:tcW w:w="0" w:type="auto"/>
            <w:shd w:val="clear" w:color="auto" w:fill="auto"/>
            <w:noWrap/>
            <w:vAlign w:val="center"/>
          </w:tcPr>
          <w:p w14:paraId="22A5CAFF">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4D694E3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5BEA429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14,561.10</w:t>
            </w:r>
          </w:p>
        </w:tc>
      </w:tr>
      <w:tr w14:paraId="0DFD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709" w:type="dxa"/>
            <w:shd w:val="clear" w:color="auto" w:fill="auto"/>
            <w:noWrap/>
            <w:vAlign w:val="center"/>
          </w:tcPr>
          <w:p w14:paraId="10F225D9">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2029</w:t>
            </w:r>
          </w:p>
        </w:tc>
        <w:tc>
          <w:tcPr>
            <w:tcW w:w="1591" w:type="dxa"/>
            <w:shd w:val="clear" w:color="auto" w:fill="auto"/>
            <w:noWrap/>
            <w:vAlign w:val="center"/>
          </w:tcPr>
          <w:p w14:paraId="34A2ABB5">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3,547.38</w:t>
            </w:r>
          </w:p>
        </w:tc>
        <w:tc>
          <w:tcPr>
            <w:tcW w:w="1344" w:type="dxa"/>
            <w:shd w:val="clear" w:color="auto" w:fill="auto"/>
            <w:noWrap/>
            <w:vAlign w:val="center"/>
          </w:tcPr>
          <w:p w14:paraId="5FA2093B">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6,121.00</w:t>
            </w:r>
          </w:p>
        </w:tc>
        <w:tc>
          <w:tcPr>
            <w:tcW w:w="1191" w:type="dxa"/>
            <w:shd w:val="clear" w:color="auto" w:fill="auto"/>
            <w:noWrap/>
            <w:vAlign w:val="center"/>
          </w:tcPr>
          <w:p w14:paraId="66490B6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1,295.68</w:t>
            </w:r>
          </w:p>
        </w:tc>
        <w:tc>
          <w:tcPr>
            <w:tcW w:w="0" w:type="auto"/>
            <w:shd w:val="clear" w:color="auto" w:fill="auto"/>
            <w:noWrap/>
            <w:vAlign w:val="center"/>
          </w:tcPr>
          <w:p w14:paraId="1B4748A2">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2,002.05</w:t>
            </w:r>
          </w:p>
        </w:tc>
        <w:tc>
          <w:tcPr>
            <w:tcW w:w="0" w:type="auto"/>
            <w:shd w:val="clear" w:color="auto" w:fill="auto"/>
            <w:noWrap/>
            <w:vAlign w:val="center"/>
          </w:tcPr>
          <w:p w14:paraId="18BA3D0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3BC3142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45E8C5E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14,786.68</w:t>
            </w:r>
          </w:p>
        </w:tc>
      </w:tr>
      <w:tr w14:paraId="5B1E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4045A0A4">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2030</w:t>
            </w:r>
          </w:p>
        </w:tc>
        <w:tc>
          <w:tcPr>
            <w:tcW w:w="1591" w:type="dxa"/>
            <w:shd w:val="clear" w:color="auto" w:fill="auto"/>
            <w:noWrap/>
            <w:vAlign w:val="center"/>
          </w:tcPr>
          <w:p w14:paraId="4A30777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3,613.27</w:t>
            </w:r>
          </w:p>
        </w:tc>
        <w:tc>
          <w:tcPr>
            <w:tcW w:w="1344" w:type="dxa"/>
            <w:shd w:val="clear" w:color="auto" w:fill="auto"/>
            <w:noWrap/>
            <w:vAlign w:val="center"/>
          </w:tcPr>
          <w:p w14:paraId="4063D970">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6,243.00</w:t>
            </w:r>
          </w:p>
        </w:tc>
        <w:tc>
          <w:tcPr>
            <w:tcW w:w="1191" w:type="dxa"/>
            <w:shd w:val="clear" w:color="auto" w:fill="auto"/>
            <w:noWrap/>
            <w:vAlign w:val="center"/>
          </w:tcPr>
          <w:p w14:paraId="519962EC">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1,295.68</w:t>
            </w:r>
          </w:p>
        </w:tc>
        <w:tc>
          <w:tcPr>
            <w:tcW w:w="0" w:type="auto"/>
            <w:shd w:val="clear" w:color="auto" w:fill="auto"/>
            <w:noWrap/>
            <w:vAlign w:val="center"/>
          </w:tcPr>
          <w:p w14:paraId="0474CB49">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2,041.74</w:t>
            </w:r>
          </w:p>
        </w:tc>
        <w:tc>
          <w:tcPr>
            <w:tcW w:w="0" w:type="auto"/>
            <w:shd w:val="clear" w:color="auto" w:fill="auto"/>
            <w:noWrap/>
            <w:vAlign w:val="center"/>
          </w:tcPr>
          <w:p w14:paraId="0FA750F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20D8E17A">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3B4EDA7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15,014.26</w:t>
            </w:r>
          </w:p>
        </w:tc>
      </w:tr>
      <w:tr w14:paraId="4172F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4AC5F9F4">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2031</w:t>
            </w:r>
          </w:p>
        </w:tc>
        <w:tc>
          <w:tcPr>
            <w:tcW w:w="1591" w:type="dxa"/>
            <w:shd w:val="clear" w:color="auto" w:fill="auto"/>
            <w:noWrap/>
            <w:vAlign w:val="center"/>
          </w:tcPr>
          <w:p w14:paraId="2812E2A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3,680.86</w:t>
            </w:r>
          </w:p>
        </w:tc>
        <w:tc>
          <w:tcPr>
            <w:tcW w:w="1344" w:type="dxa"/>
            <w:shd w:val="clear" w:color="auto" w:fill="auto"/>
            <w:noWrap/>
            <w:vAlign w:val="center"/>
          </w:tcPr>
          <w:p w14:paraId="778CFDEC">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6,368.00</w:t>
            </w:r>
          </w:p>
        </w:tc>
        <w:tc>
          <w:tcPr>
            <w:tcW w:w="1191" w:type="dxa"/>
            <w:shd w:val="clear" w:color="auto" w:fill="auto"/>
            <w:noWrap/>
            <w:vAlign w:val="center"/>
          </w:tcPr>
          <w:p w14:paraId="76F632DA">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1,943.52</w:t>
            </w:r>
          </w:p>
        </w:tc>
        <w:tc>
          <w:tcPr>
            <w:tcW w:w="0" w:type="auto"/>
            <w:shd w:val="clear" w:color="auto" w:fill="auto"/>
            <w:noWrap/>
            <w:vAlign w:val="center"/>
          </w:tcPr>
          <w:p w14:paraId="5E09D998">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2,082.65</w:t>
            </w:r>
          </w:p>
        </w:tc>
        <w:tc>
          <w:tcPr>
            <w:tcW w:w="0" w:type="auto"/>
            <w:shd w:val="clear" w:color="auto" w:fill="auto"/>
            <w:noWrap/>
            <w:vAlign w:val="center"/>
          </w:tcPr>
          <w:p w14:paraId="3AED748F">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429D71B5">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2D200BD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15,895.60</w:t>
            </w:r>
          </w:p>
        </w:tc>
      </w:tr>
      <w:tr w14:paraId="057C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09" w:type="dxa"/>
            <w:shd w:val="clear" w:color="auto" w:fill="auto"/>
            <w:noWrap/>
            <w:vAlign w:val="center"/>
          </w:tcPr>
          <w:p w14:paraId="7380E690">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2032</w:t>
            </w:r>
          </w:p>
        </w:tc>
        <w:tc>
          <w:tcPr>
            <w:tcW w:w="1591" w:type="dxa"/>
            <w:shd w:val="clear" w:color="auto" w:fill="auto"/>
            <w:noWrap/>
            <w:vAlign w:val="center"/>
          </w:tcPr>
          <w:p w14:paraId="331A0AC3">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3,767.13</w:t>
            </w:r>
          </w:p>
        </w:tc>
        <w:tc>
          <w:tcPr>
            <w:tcW w:w="1344" w:type="dxa"/>
            <w:shd w:val="clear" w:color="auto" w:fill="auto"/>
            <w:noWrap/>
            <w:vAlign w:val="center"/>
          </w:tcPr>
          <w:p w14:paraId="091BBCC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6,495.00</w:t>
            </w:r>
          </w:p>
        </w:tc>
        <w:tc>
          <w:tcPr>
            <w:tcW w:w="1191" w:type="dxa"/>
            <w:shd w:val="clear" w:color="auto" w:fill="auto"/>
            <w:noWrap/>
            <w:vAlign w:val="center"/>
          </w:tcPr>
          <w:p w14:paraId="0825BAEB">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7,126.25</w:t>
            </w:r>
          </w:p>
        </w:tc>
        <w:tc>
          <w:tcPr>
            <w:tcW w:w="0" w:type="auto"/>
            <w:shd w:val="clear" w:color="auto" w:fill="auto"/>
            <w:noWrap/>
            <w:vAlign w:val="center"/>
          </w:tcPr>
          <w:p w14:paraId="2A808BAF">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2,124.17</w:t>
            </w:r>
          </w:p>
        </w:tc>
        <w:tc>
          <w:tcPr>
            <w:tcW w:w="0" w:type="auto"/>
            <w:shd w:val="clear" w:color="auto" w:fill="auto"/>
            <w:noWrap/>
            <w:vAlign w:val="center"/>
          </w:tcPr>
          <w:p w14:paraId="207B88E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3E3FAE9B">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2C1A3BFD">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21,333.12</w:t>
            </w:r>
          </w:p>
        </w:tc>
      </w:tr>
      <w:tr w14:paraId="27751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0594A56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2033</w:t>
            </w:r>
          </w:p>
        </w:tc>
        <w:tc>
          <w:tcPr>
            <w:tcW w:w="1591" w:type="dxa"/>
            <w:shd w:val="clear" w:color="auto" w:fill="auto"/>
            <w:noWrap/>
            <w:vAlign w:val="center"/>
          </w:tcPr>
          <w:p w14:paraId="32992805">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3,853.40</w:t>
            </w:r>
          </w:p>
        </w:tc>
        <w:tc>
          <w:tcPr>
            <w:tcW w:w="1344" w:type="dxa"/>
            <w:shd w:val="clear" w:color="auto" w:fill="auto"/>
            <w:noWrap/>
            <w:vAlign w:val="center"/>
          </w:tcPr>
          <w:p w14:paraId="38A120FB">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6,625.00</w:t>
            </w:r>
          </w:p>
        </w:tc>
        <w:tc>
          <w:tcPr>
            <w:tcW w:w="1191" w:type="dxa"/>
            <w:shd w:val="clear" w:color="auto" w:fill="auto"/>
            <w:noWrap/>
            <w:vAlign w:val="center"/>
          </w:tcPr>
          <w:p w14:paraId="187B1CDF">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1,425.25</w:t>
            </w:r>
          </w:p>
        </w:tc>
        <w:tc>
          <w:tcPr>
            <w:tcW w:w="0" w:type="auto"/>
            <w:shd w:val="clear" w:color="auto" w:fill="auto"/>
            <w:noWrap/>
            <w:vAlign w:val="center"/>
          </w:tcPr>
          <w:p w14:paraId="460F48C4">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2,166.91</w:t>
            </w:r>
          </w:p>
        </w:tc>
        <w:tc>
          <w:tcPr>
            <w:tcW w:w="0" w:type="auto"/>
            <w:shd w:val="clear" w:color="auto" w:fill="auto"/>
            <w:noWrap/>
            <w:vAlign w:val="center"/>
          </w:tcPr>
          <w:p w14:paraId="5367520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3DC3CE89">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1BD7236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15,891.13</w:t>
            </w:r>
          </w:p>
        </w:tc>
      </w:tr>
      <w:tr w14:paraId="422A4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50FDB3E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2034</w:t>
            </w:r>
          </w:p>
        </w:tc>
        <w:tc>
          <w:tcPr>
            <w:tcW w:w="1591" w:type="dxa"/>
            <w:shd w:val="clear" w:color="auto" w:fill="auto"/>
            <w:noWrap/>
            <w:vAlign w:val="center"/>
          </w:tcPr>
          <w:p w14:paraId="2FEA9AE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3,939.67</w:t>
            </w:r>
          </w:p>
        </w:tc>
        <w:tc>
          <w:tcPr>
            <w:tcW w:w="1344" w:type="dxa"/>
            <w:shd w:val="clear" w:color="auto" w:fill="auto"/>
            <w:noWrap/>
            <w:vAlign w:val="center"/>
          </w:tcPr>
          <w:p w14:paraId="5645536D">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6,758.00</w:t>
            </w:r>
          </w:p>
        </w:tc>
        <w:tc>
          <w:tcPr>
            <w:tcW w:w="1191" w:type="dxa"/>
            <w:shd w:val="clear" w:color="auto" w:fill="auto"/>
            <w:noWrap/>
            <w:vAlign w:val="center"/>
          </w:tcPr>
          <w:p w14:paraId="3C9E6FB0">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1,425.25</w:t>
            </w:r>
          </w:p>
        </w:tc>
        <w:tc>
          <w:tcPr>
            <w:tcW w:w="0" w:type="auto"/>
            <w:shd w:val="clear" w:color="auto" w:fill="auto"/>
            <w:noWrap/>
            <w:vAlign w:val="center"/>
          </w:tcPr>
          <w:p w14:paraId="252F8CC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2,210.26</w:t>
            </w:r>
          </w:p>
        </w:tc>
        <w:tc>
          <w:tcPr>
            <w:tcW w:w="0" w:type="auto"/>
            <w:shd w:val="clear" w:color="auto" w:fill="auto"/>
            <w:noWrap/>
            <w:vAlign w:val="center"/>
          </w:tcPr>
          <w:p w14:paraId="2C387FF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0E920020">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121B737D">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16,153.75</w:t>
            </w:r>
          </w:p>
        </w:tc>
      </w:tr>
      <w:tr w14:paraId="2190B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6C056D3C">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2035</w:t>
            </w:r>
          </w:p>
        </w:tc>
        <w:tc>
          <w:tcPr>
            <w:tcW w:w="1591" w:type="dxa"/>
            <w:shd w:val="clear" w:color="auto" w:fill="auto"/>
            <w:noWrap/>
            <w:vAlign w:val="center"/>
          </w:tcPr>
          <w:p w14:paraId="273C77A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4,025.94</w:t>
            </w:r>
          </w:p>
        </w:tc>
        <w:tc>
          <w:tcPr>
            <w:tcW w:w="1344" w:type="dxa"/>
            <w:shd w:val="clear" w:color="auto" w:fill="auto"/>
            <w:noWrap/>
            <w:vAlign w:val="center"/>
          </w:tcPr>
          <w:p w14:paraId="55C822C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6,893.00</w:t>
            </w:r>
          </w:p>
        </w:tc>
        <w:tc>
          <w:tcPr>
            <w:tcW w:w="1191" w:type="dxa"/>
            <w:shd w:val="clear" w:color="auto" w:fill="auto"/>
            <w:noWrap/>
            <w:vAlign w:val="center"/>
          </w:tcPr>
          <w:p w14:paraId="79EC1572">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1,425.25</w:t>
            </w:r>
          </w:p>
        </w:tc>
        <w:tc>
          <w:tcPr>
            <w:tcW w:w="0" w:type="auto"/>
            <w:shd w:val="clear" w:color="auto" w:fill="auto"/>
            <w:noWrap/>
            <w:vAlign w:val="center"/>
          </w:tcPr>
          <w:p w14:paraId="70FFA3BB">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2,254.22</w:t>
            </w:r>
          </w:p>
        </w:tc>
        <w:tc>
          <w:tcPr>
            <w:tcW w:w="0" w:type="auto"/>
            <w:shd w:val="clear" w:color="auto" w:fill="auto"/>
            <w:noWrap/>
            <w:vAlign w:val="center"/>
          </w:tcPr>
          <w:p w14:paraId="1A393DBD">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2102386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6D3B9359">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16,418.98</w:t>
            </w:r>
          </w:p>
        </w:tc>
      </w:tr>
      <w:tr w14:paraId="24A0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46DB5880">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2036</w:t>
            </w:r>
          </w:p>
        </w:tc>
        <w:tc>
          <w:tcPr>
            <w:tcW w:w="1591" w:type="dxa"/>
            <w:shd w:val="clear" w:color="auto" w:fill="auto"/>
            <w:noWrap/>
            <w:vAlign w:val="center"/>
          </w:tcPr>
          <w:p w14:paraId="67DF10E5">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4,112.21</w:t>
            </w:r>
          </w:p>
        </w:tc>
        <w:tc>
          <w:tcPr>
            <w:tcW w:w="1344" w:type="dxa"/>
            <w:shd w:val="clear" w:color="auto" w:fill="auto"/>
            <w:noWrap/>
            <w:vAlign w:val="center"/>
          </w:tcPr>
          <w:p w14:paraId="73981EB2">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7,031.00</w:t>
            </w:r>
          </w:p>
        </w:tc>
        <w:tc>
          <w:tcPr>
            <w:tcW w:w="1191" w:type="dxa"/>
            <w:shd w:val="clear" w:color="auto" w:fill="auto"/>
            <w:noWrap/>
            <w:vAlign w:val="center"/>
          </w:tcPr>
          <w:p w14:paraId="2DDE7605">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2,137.88</w:t>
            </w:r>
          </w:p>
        </w:tc>
        <w:tc>
          <w:tcPr>
            <w:tcW w:w="0" w:type="auto"/>
            <w:shd w:val="clear" w:color="auto" w:fill="auto"/>
            <w:noWrap/>
            <w:vAlign w:val="center"/>
          </w:tcPr>
          <w:p w14:paraId="4A627243">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2,299.40</w:t>
            </w:r>
          </w:p>
        </w:tc>
        <w:tc>
          <w:tcPr>
            <w:tcW w:w="0" w:type="auto"/>
            <w:shd w:val="clear" w:color="auto" w:fill="auto"/>
            <w:noWrap/>
            <w:vAlign w:val="center"/>
          </w:tcPr>
          <w:p w14:paraId="3DC64304">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7A05BFA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49964348">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17,401.06</w:t>
            </w:r>
          </w:p>
        </w:tc>
      </w:tr>
      <w:tr w14:paraId="4193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29D14A46">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2037</w:t>
            </w:r>
          </w:p>
        </w:tc>
        <w:tc>
          <w:tcPr>
            <w:tcW w:w="1591" w:type="dxa"/>
            <w:shd w:val="clear" w:color="auto" w:fill="auto"/>
            <w:noWrap/>
            <w:vAlign w:val="center"/>
          </w:tcPr>
          <w:p w14:paraId="5D1B2C88">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4,198.48</w:t>
            </w:r>
          </w:p>
        </w:tc>
        <w:tc>
          <w:tcPr>
            <w:tcW w:w="1344" w:type="dxa"/>
            <w:shd w:val="clear" w:color="auto" w:fill="auto"/>
            <w:noWrap/>
            <w:vAlign w:val="center"/>
          </w:tcPr>
          <w:p w14:paraId="768833B8">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7,172.00</w:t>
            </w:r>
          </w:p>
        </w:tc>
        <w:tc>
          <w:tcPr>
            <w:tcW w:w="1191" w:type="dxa"/>
            <w:shd w:val="clear" w:color="auto" w:fill="auto"/>
            <w:noWrap/>
            <w:vAlign w:val="center"/>
          </w:tcPr>
          <w:p w14:paraId="623523A3">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7,838.90</w:t>
            </w:r>
          </w:p>
        </w:tc>
        <w:tc>
          <w:tcPr>
            <w:tcW w:w="0" w:type="auto"/>
            <w:shd w:val="clear" w:color="auto" w:fill="auto"/>
            <w:noWrap/>
            <w:vAlign w:val="center"/>
          </w:tcPr>
          <w:p w14:paraId="2BA4FF8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2,345.19</w:t>
            </w:r>
          </w:p>
        </w:tc>
        <w:tc>
          <w:tcPr>
            <w:tcW w:w="0" w:type="auto"/>
            <w:shd w:val="clear" w:color="auto" w:fill="auto"/>
            <w:noWrap/>
            <w:vAlign w:val="center"/>
          </w:tcPr>
          <w:p w14:paraId="73ECAE2B">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59E2A1A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66616600">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23,375.14</w:t>
            </w:r>
          </w:p>
        </w:tc>
      </w:tr>
      <w:tr w14:paraId="44A98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417513FC">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2038</w:t>
            </w:r>
          </w:p>
        </w:tc>
        <w:tc>
          <w:tcPr>
            <w:tcW w:w="1591" w:type="dxa"/>
            <w:shd w:val="clear" w:color="auto" w:fill="auto"/>
            <w:noWrap/>
            <w:vAlign w:val="center"/>
          </w:tcPr>
          <w:p w14:paraId="438C8AE8">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4,284.75</w:t>
            </w:r>
          </w:p>
        </w:tc>
        <w:tc>
          <w:tcPr>
            <w:tcW w:w="1344" w:type="dxa"/>
            <w:shd w:val="clear" w:color="auto" w:fill="auto"/>
            <w:noWrap/>
            <w:vAlign w:val="center"/>
          </w:tcPr>
          <w:p w14:paraId="01B9B064">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7,315.00</w:t>
            </w:r>
          </w:p>
        </w:tc>
        <w:tc>
          <w:tcPr>
            <w:tcW w:w="1191" w:type="dxa"/>
            <w:shd w:val="clear" w:color="auto" w:fill="auto"/>
            <w:noWrap/>
            <w:vAlign w:val="center"/>
          </w:tcPr>
          <w:p w14:paraId="4BB0921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1,567.78</w:t>
            </w:r>
          </w:p>
        </w:tc>
        <w:tc>
          <w:tcPr>
            <w:tcW w:w="0" w:type="auto"/>
            <w:shd w:val="clear" w:color="auto" w:fill="auto"/>
            <w:noWrap/>
            <w:vAlign w:val="center"/>
          </w:tcPr>
          <w:p w14:paraId="4FE16B2D">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2,392.20</w:t>
            </w:r>
          </w:p>
        </w:tc>
        <w:tc>
          <w:tcPr>
            <w:tcW w:w="0" w:type="auto"/>
            <w:shd w:val="clear" w:color="auto" w:fill="auto"/>
            <w:noWrap/>
            <w:vAlign w:val="center"/>
          </w:tcPr>
          <w:p w14:paraId="15D980A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54286DD0">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2E09AFC9">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17,380.30</w:t>
            </w:r>
          </w:p>
        </w:tc>
      </w:tr>
      <w:tr w14:paraId="17EE0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36FCED6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2039</w:t>
            </w:r>
          </w:p>
        </w:tc>
        <w:tc>
          <w:tcPr>
            <w:tcW w:w="1591" w:type="dxa"/>
            <w:shd w:val="clear" w:color="auto" w:fill="auto"/>
            <w:noWrap/>
            <w:vAlign w:val="center"/>
          </w:tcPr>
          <w:p w14:paraId="202B7AA8">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4,371.02</w:t>
            </w:r>
          </w:p>
        </w:tc>
        <w:tc>
          <w:tcPr>
            <w:tcW w:w="1344" w:type="dxa"/>
            <w:shd w:val="clear" w:color="auto" w:fill="auto"/>
            <w:noWrap/>
            <w:vAlign w:val="center"/>
          </w:tcPr>
          <w:p w14:paraId="3F0D3F65">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7,461.00</w:t>
            </w:r>
          </w:p>
        </w:tc>
        <w:tc>
          <w:tcPr>
            <w:tcW w:w="1191" w:type="dxa"/>
            <w:shd w:val="clear" w:color="auto" w:fill="auto"/>
            <w:noWrap/>
            <w:vAlign w:val="center"/>
          </w:tcPr>
          <w:p w14:paraId="7A45E0A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1,567.78</w:t>
            </w:r>
          </w:p>
        </w:tc>
        <w:tc>
          <w:tcPr>
            <w:tcW w:w="0" w:type="auto"/>
            <w:shd w:val="clear" w:color="auto" w:fill="auto"/>
            <w:noWrap/>
            <w:vAlign w:val="center"/>
          </w:tcPr>
          <w:p w14:paraId="65C85423">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2,440.43</w:t>
            </w:r>
          </w:p>
        </w:tc>
        <w:tc>
          <w:tcPr>
            <w:tcW w:w="0" w:type="auto"/>
            <w:shd w:val="clear" w:color="auto" w:fill="auto"/>
            <w:noWrap/>
            <w:vAlign w:val="center"/>
          </w:tcPr>
          <w:p w14:paraId="5150AB1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1EC06C2C">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57028D2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17,660.80</w:t>
            </w:r>
          </w:p>
        </w:tc>
      </w:tr>
      <w:tr w14:paraId="5E904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09" w:type="dxa"/>
            <w:shd w:val="clear" w:color="auto" w:fill="auto"/>
            <w:noWrap/>
            <w:vAlign w:val="center"/>
          </w:tcPr>
          <w:p w14:paraId="20C47637">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2040</w:t>
            </w:r>
          </w:p>
        </w:tc>
        <w:tc>
          <w:tcPr>
            <w:tcW w:w="1591" w:type="dxa"/>
            <w:shd w:val="clear" w:color="auto" w:fill="auto"/>
            <w:noWrap/>
            <w:vAlign w:val="center"/>
          </w:tcPr>
          <w:p w14:paraId="2BF7E051">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4,457.29</w:t>
            </w:r>
          </w:p>
        </w:tc>
        <w:tc>
          <w:tcPr>
            <w:tcW w:w="1344" w:type="dxa"/>
            <w:shd w:val="clear" w:color="auto" w:fill="auto"/>
            <w:noWrap/>
            <w:vAlign w:val="center"/>
          </w:tcPr>
          <w:p w14:paraId="5F655013">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7,610.00</w:t>
            </w:r>
          </w:p>
        </w:tc>
        <w:tc>
          <w:tcPr>
            <w:tcW w:w="1191" w:type="dxa"/>
            <w:shd w:val="clear" w:color="auto" w:fill="auto"/>
            <w:noWrap/>
            <w:vAlign w:val="center"/>
          </w:tcPr>
          <w:p w14:paraId="4CBDE223">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1,567.78</w:t>
            </w:r>
          </w:p>
        </w:tc>
        <w:tc>
          <w:tcPr>
            <w:tcW w:w="0" w:type="auto"/>
            <w:shd w:val="clear" w:color="auto" w:fill="auto"/>
            <w:noWrap/>
            <w:vAlign w:val="center"/>
          </w:tcPr>
          <w:p w14:paraId="2B992E82">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2,489.28</w:t>
            </w:r>
          </w:p>
        </w:tc>
        <w:tc>
          <w:tcPr>
            <w:tcW w:w="0" w:type="auto"/>
            <w:shd w:val="clear" w:color="auto" w:fill="auto"/>
            <w:noWrap/>
            <w:vAlign w:val="center"/>
          </w:tcPr>
          <w:p w14:paraId="2E9A0A3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54.00</w:t>
            </w:r>
          </w:p>
        </w:tc>
        <w:tc>
          <w:tcPr>
            <w:tcW w:w="971" w:type="dxa"/>
            <w:shd w:val="clear" w:color="auto" w:fill="auto"/>
            <w:noWrap/>
            <w:vAlign w:val="center"/>
          </w:tcPr>
          <w:p w14:paraId="6687BE45">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1,766.57</w:t>
            </w:r>
          </w:p>
        </w:tc>
        <w:tc>
          <w:tcPr>
            <w:tcW w:w="1055" w:type="dxa"/>
            <w:shd w:val="clear" w:color="auto" w:fill="auto"/>
            <w:noWrap/>
            <w:vAlign w:val="center"/>
          </w:tcPr>
          <w:p w14:paraId="009B3D6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17,944.92</w:t>
            </w:r>
          </w:p>
        </w:tc>
      </w:tr>
      <w:tr w14:paraId="11FC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09" w:type="dxa"/>
            <w:shd w:val="clear" w:color="auto" w:fill="auto"/>
            <w:noWrap/>
            <w:vAlign w:val="center"/>
          </w:tcPr>
          <w:p w14:paraId="6041ED84">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合计</w:t>
            </w:r>
          </w:p>
        </w:tc>
        <w:tc>
          <w:tcPr>
            <w:tcW w:w="1591" w:type="dxa"/>
            <w:shd w:val="clear" w:color="auto" w:fill="auto"/>
            <w:noWrap/>
            <w:vAlign w:val="center"/>
          </w:tcPr>
          <w:p w14:paraId="5C41DB3C">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58,098.20</w:t>
            </w:r>
          </w:p>
        </w:tc>
        <w:tc>
          <w:tcPr>
            <w:tcW w:w="1344" w:type="dxa"/>
            <w:shd w:val="clear" w:color="auto" w:fill="auto"/>
            <w:noWrap/>
            <w:vAlign w:val="center"/>
          </w:tcPr>
          <w:p w14:paraId="6584776B">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99,744.00</w:t>
            </w:r>
          </w:p>
        </w:tc>
        <w:tc>
          <w:tcPr>
            <w:tcW w:w="1191" w:type="dxa"/>
            <w:shd w:val="clear" w:color="auto" w:fill="auto"/>
            <w:noWrap/>
            <w:vAlign w:val="center"/>
          </w:tcPr>
          <w:p w14:paraId="25E62FEB">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35,188.88</w:t>
            </w:r>
          </w:p>
        </w:tc>
        <w:tc>
          <w:tcPr>
            <w:tcW w:w="0" w:type="auto"/>
            <w:shd w:val="clear" w:color="auto" w:fill="auto"/>
            <w:noWrap/>
            <w:vAlign w:val="center"/>
          </w:tcPr>
          <w:p w14:paraId="0AC9215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32,621.40</w:t>
            </w:r>
          </w:p>
        </w:tc>
        <w:tc>
          <w:tcPr>
            <w:tcW w:w="0" w:type="auto"/>
            <w:shd w:val="clear" w:color="auto" w:fill="auto"/>
            <w:noWrap/>
            <w:vAlign w:val="center"/>
          </w:tcPr>
          <w:p w14:paraId="6111C234">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810.00</w:t>
            </w:r>
          </w:p>
        </w:tc>
        <w:tc>
          <w:tcPr>
            <w:tcW w:w="971" w:type="dxa"/>
            <w:shd w:val="clear" w:color="auto" w:fill="auto"/>
            <w:noWrap/>
            <w:vAlign w:val="center"/>
          </w:tcPr>
          <w:p w14:paraId="0154216E">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26,498.55</w:t>
            </w:r>
          </w:p>
        </w:tc>
        <w:tc>
          <w:tcPr>
            <w:tcW w:w="1055" w:type="dxa"/>
            <w:shd w:val="clear" w:color="auto" w:fill="auto"/>
            <w:noWrap/>
            <w:vAlign w:val="center"/>
          </w:tcPr>
          <w:p w14:paraId="139338F4">
            <w:pPr>
              <w:widowControl/>
              <w:spacing w:line="240" w:lineRule="auto"/>
              <w:ind w:firstLine="0" w:firstLineChars="0"/>
              <w:jc w:val="center"/>
              <w:rPr>
                <w:rFonts w:hint="eastAsia" w:ascii="宋体" w:hAnsi="宋体" w:cs="宋体"/>
                <w:kern w:val="0"/>
                <w:sz w:val="18"/>
                <w:szCs w:val="18"/>
              </w:rPr>
            </w:pPr>
            <w:r>
              <w:rPr>
                <w:rFonts w:hint="eastAsia" w:ascii="宋体" w:hAnsi="宋体" w:cs="宋体"/>
                <w:kern w:val="0"/>
                <w:sz w:val="18"/>
                <w:szCs w:val="18"/>
              </w:rPr>
              <w:t>252,961.03</w:t>
            </w:r>
          </w:p>
        </w:tc>
      </w:tr>
    </w:tbl>
    <w:p w14:paraId="23B0400E">
      <w:pPr>
        <w:pStyle w:val="23"/>
        <w:spacing w:before="0" w:beforeAutospacing="0" w:after="156" w:afterLines="50" w:afterAutospacing="0" w:line="400" w:lineRule="exact"/>
        <w:ind w:firstLine="360" w:firstLineChars="200"/>
        <w:jc w:val="both"/>
        <w:rPr>
          <w:rFonts w:hint="eastAsia"/>
          <w:color w:val="000000" w:themeColor="text1"/>
          <w:sz w:val="18"/>
          <w:szCs w:val="18"/>
        </w:rPr>
      </w:pPr>
      <w:r>
        <w:rPr>
          <w:rFonts w:hint="eastAsia"/>
          <w:color w:val="000000" w:themeColor="text1"/>
          <w:sz w:val="18"/>
          <w:szCs w:val="18"/>
        </w:rPr>
        <w:t>注：1.支出情况预测表主要体现的是需要支付现金的成本费用部分，故对于不需付现的费用（如折旧摊销等）进行了剔除，暂不在上表中反映。</w:t>
      </w:r>
    </w:p>
    <w:p w14:paraId="77D7482D">
      <w:pPr>
        <w:pStyle w:val="23"/>
        <w:spacing w:before="0" w:beforeAutospacing="0" w:after="156" w:afterLines="50" w:afterAutospacing="0" w:line="400" w:lineRule="exact"/>
        <w:ind w:firstLine="420" w:firstLineChars="200"/>
        <w:jc w:val="both"/>
        <w:rPr>
          <w:rFonts w:hint="eastAsia"/>
          <w:color w:val="000000" w:themeColor="text1"/>
          <w:sz w:val="21"/>
          <w:szCs w:val="21"/>
        </w:rPr>
        <w:sectPr>
          <w:headerReference r:id="rId3" w:type="default"/>
          <w:footerReference r:id="rId4" w:type="default"/>
          <w:pgSz w:w="11906" w:h="16838"/>
          <w:pgMar w:top="1531" w:right="1701" w:bottom="1418" w:left="1701" w:header="851" w:footer="992" w:gutter="0"/>
          <w:cols w:space="425" w:num="1"/>
          <w:docGrid w:type="linesAndChars" w:linePitch="312" w:charSpace="0"/>
        </w:sectPr>
      </w:pPr>
    </w:p>
    <w:p w14:paraId="0A81A2FA">
      <w:pPr>
        <w:pStyle w:val="23"/>
        <w:spacing w:before="120" w:beforeLines="50" w:beforeAutospacing="0" w:after="120" w:afterLines="50" w:afterAutospacing="0" w:line="400" w:lineRule="exact"/>
        <w:ind w:firstLine="440" w:firstLineChars="200"/>
        <w:jc w:val="both"/>
        <w:rPr>
          <w:rFonts w:hint="eastAsia" w:ascii="仿宋" w:hAnsi="仿宋" w:eastAsia="仿宋" w:cs="仿宋"/>
          <w:color w:val="000000"/>
        </w:rPr>
      </w:pPr>
      <w:r>
        <w:rPr>
          <w:rFonts w:hint="eastAsia" w:ascii="仿宋" w:hAnsi="仿宋" w:eastAsia="仿宋" w:cs="仿宋"/>
          <w:color w:val="000000"/>
        </w:rPr>
        <w:t>2024年江西省南昌市轨道交通1号线北延工程专项债券项目实施方案资金充足性分析情况具体如下表3-5及图3-1所示：</w:t>
      </w:r>
    </w:p>
    <w:p w14:paraId="2A561528">
      <w:pPr>
        <w:pStyle w:val="23"/>
        <w:spacing w:after="120" w:afterLines="50" w:afterAutospacing="0" w:line="400" w:lineRule="exact"/>
        <w:ind w:firstLine="442" w:firstLineChars="200"/>
        <w:jc w:val="center"/>
        <w:rPr>
          <w:rFonts w:hint="eastAsia"/>
          <w:b/>
          <w:color w:val="000000" w:themeColor="text1"/>
        </w:rPr>
      </w:pPr>
      <w:r>
        <w:rPr>
          <w:rFonts w:hint="eastAsia"/>
          <w:b/>
          <w:color w:val="000000" w:themeColor="text1"/>
        </w:rPr>
        <w:t>表3-</w:t>
      </w:r>
      <w:r>
        <w:rPr>
          <w:b/>
          <w:color w:val="000000" w:themeColor="text1"/>
        </w:rPr>
        <w:t xml:space="preserve">5 </w:t>
      </w:r>
      <w:r>
        <w:rPr>
          <w:rFonts w:hint="eastAsia"/>
          <w:b/>
          <w:color w:val="000000" w:themeColor="text1"/>
        </w:rPr>
        <w:t>202</w:t>
      </w:r>
      <w:r>
        <w:rPr>
          <w:b/>
          <w:color w:val="000000" w:themeColor="text1"/>
        </w:rPr>
        <w:t>4</w:t>
      </w:r>
      <w:r>
        <w:rPr>
          <w:rFonts w:hint="eastAsia"/>
          <w:b/>
          <w:color w:val="000000" w:themeColor="text1"/>
        </w:rPr>
        <w:t>年江西省南昌市轨道交通1号线北延工程专项债券项目实施方案资金充足性分析情况表</w:t>
      </w:r>
    </w:p>
    <w:p w14:paraId="43766C2F">
      <w:pPr>
        <w:pStyle w:val="23"/>
        <w:spacing w:before="0" w:beforeAutospacing="0" w:after="0" w:afterAutospacing="0" w:line="400" w:lineRule="exact"/>
        <w:ind w:right="-510" w:rightChars="-243" w:firstLine="360" w:firstLineChars="200"/>
        <w:jc w:val="right"/>
        <w:rPr>
          <w:rFonts w:hint="eastAsia"/>
          <w:color w:val="000000" w:themeColor="text1"/>
          <w:sz w:val="18"/>
          <w:szCs w:val="18"/>
        </w:rPr>
      </w:pPr>
      <w:r>
        <w:rPr>
          <w:rFonts w:hint="eastAsia"/>
          <w:color w:val="000000" w:themeColor="text1"/>
          <w:sz w:val="18"/>
          <w:szCs w:val="18"/>
        </w:rPr>
        <w:t>单位：万元</w:t>
      </w:r>
    </w:p>
    <w:tbl>
      <w:tblPr>
        <w:tblStyle w:val="28"/>
        <w:tblW w:w="0" w:type="auto"/>
        <w:jc w:val="center"/>
        <w:tblLayout w:type="autofit"/>
        <w:tblCellMar>
          <w:top w:w="0" w:type="dxa"/>
          <w:left w:w="108" w:type="dxa"/>
          <w:bottom w:w="0" w:type="dxa"/>
          <w:right w:w="108" w:type="dxa"/>
        </w:tblCellMar>
      </w:tblPr>
      <w:tblGrid>
        <w:gridCol w:w="546"/>
        <w:gridCol w:w="1216"/>
        <w:gridCol w:w="1296"/>
        <w:gridCol w:w="1026"/>
        <w:gridCol w:w="1116"/>
        <w:gridCol w:w="1116"/>
        <w:gridCol w:w="1116"/>
        <w:gridCol w:w="1116"/>
        <w:gridCol w:w="1116"/>
        <w:gridCol w:w="1026"/>
        <w:gridCol w:w="1026"/>
        <w:gridCol w:w="1116"/>
        <w:gridCol w:w="1116"/>
      </w:tblGrid>
      <w:tr w14:paraId="4F028A4E">
        <w:tblPrEx>
          <w:tblCellMar>
            <w:top w:w="0" w:type="dxa"/>
            <w:left w:w="108" w:type="dxa"/>
            <w:bottom w:w="0" w:type="dxa"/>
            <w:right w:w="108" w:type="dxa"/>
          </w:tblCellMar>
        </w:tblPrEx>
        <w:trPr>
          <w:trHeight w:val="285" w:hRule="atLeast"/>
          <w:tblHeader/>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12119F2">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0" w:type="auto"/>
            <w:tcBorders>
              <w:top w:val="single" w:color="auto" w:sz="4" w:space="0"/>
              <w:left w:val="nil"/>
              <w:bottom w:val="single" w:color="auto" w:sz="4" w:space="0"/>
              <w:right w:val="single" w:color="auto" w:sz="4" w:space="0"/>
            </w:tcBorders>
            <w:shd w:val="clear" w:color="auto" w:fill="auto"/>
            <w:vAlign w:val="center"/>
          </w:tcPr>
          <w:p w14:paraId="5DED2EB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0" w:type="auto"/>
            <w:tcBorders>
              <w:top w:val="single" w:color="auto" w:sz="4" w:space="0"/>
              <w:left w:val="nil"/>
              <w:bottom w:val="single" w:color="auto" w:sz="4" w:space="0"/>
              <w:right w:val="single" w:color="auto" w:sz="4" w:space="0"/>
            </w:tcBorders>
            <w:shd w:val="clear" w:color="auto" w:fill="auto"/>
            <w:vAlign w:val="center"/>
          </w:tcPr>
          <w:p w14:paraId="6F25AEC4">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0" w:type="auto"/>
            <w:tcBorders>
              <w:top w:val="single" w:color="auto" w:sz="4" w:space="0"/>
              <w:left w:val="nil"/>
              <w:bottom w:val="single" w:color="auto" w:sz="4" w:space="0"/>
              <w:right w:val="single" w:color="auto" w:sz="4" w:space="0"/>
            </w:tcBorders>
            <w:shd w:val="clear" w:color="auto" w:fill="auto"/>
            <w:vAlign w:val="center"/>
          </w:tcPr>
          <w:p w14:paraId="13AE8D51">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2021年</w:t>
            </w:r>
          </w:p>
        </w:tc>
        <w:tc>
          <w:tcPr>
            <w:tcW w:w="0" w:type="auto"/>
            <w:tcBorders>
              <w:top w:val="single" w:color="auto" w:sz="4" w:space="0"/>
              <w:left w:val="nil"/>
              <w:bottom w:val="single" w:color="auto" w:sz="4" w:space="0"/>
              <w:right w:val="single" w:color="auto" w:sz="4" w:space="0"/>
            </w:tcBorders>
            <w:shd w:val="clear" w:color="auto" w:fill="auto"/>
            <w:vAlign w:val="center"/>
          </w:tcPr>
          <w:p w14:paraId="2A70167F">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2022年</w:t>
            </w:r>
          </w:p>
        </w:tc>
        <w:tc>
          <w:tcPr>
            <w:tcW w:w="0" w:type="auto"/>
            <w:tcBorders>
              <w:top w:val="single" w:color="auto" w:sz="4" w:space="0"/>
              <w:left w:val="nil"/>
              <w:bottom w:val="single" w:color="auto" w:sz="4" w:space="0"/>
              <w:right w:val="single" w:color="auto" w:sz="4" w:space="0"/>
            </w:tcBorders>
            <w:shd w:val="clear" w:color="auto" w:fill="auto"/>
            <w:vAlign w:val="center"/>
          </w:tcPr>
          <w:p w14:paraId="291BD73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0" w:type="auto"/>
            <w:tcBorders>
              <w:top w:val="single" w:color="auto" w:sz="4" w:space="0"/>
              <w:left w:val="nil"/>
              <w:bottom w:val="single" w:color="auto" w:sz="4" w:space="0"/>
              <w:right w:val="single" w:color="auto" w:sz="4" w:space="0"/>
            </w:tcBorders>
            <w:shd w:val="clear" w:color="auto" w:fill="auto"/>
            <w:vAlign w:val="center"/>
          </w:tcPr>
          <w:p w14:paraId="2C1BFAA0">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0" w:type="auto"/>
            <w:tcBorders>
              <w:top w:val="single" w:color="auto" w:sz="4" w:space="0"/>
              <w:left w:val="nil"/>
              <w:bottom w:val="single" w:color="auto" w:sz="4" w:space="0"/>
              <w:right w:val="single" w:color="auto" w:sz="4" w:space="0"/>
            </w:tcBorders>
            <w:shd w:val="clear" w:color="auto" w:fill="auto"/>
            <w:vAlign w:val="center"/>
          </w:tcPr>
          <w:p w14:paraId="486A94F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2025年</w:t>
            </w:r>
          </w:p>
        </w:tc>
        <w:tc>
          <w:tcPr>
            <w:tcW w:w="0" w:type="auto"/>
            <w:tcBorders>
              <w:top w:val="single" w:color="auto" w:sz="4" w:space="0"/>
              <w:left w:val="nil"/>
              <w:bottom w:val="single" w:color="auto" w:sz="4" w:space="0"/>
              <w:right w:val="single" w:color="auto" w:sz="4" w:space="0"/>
            </w:tcBorders>
            <w:shd w:val="clear" w:color="auto" w:fill="auto"/>
            <w:vAlign w:val="center"/>
          </w:tcPr>
          <w:p w14:paraId="3BE143C3">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2026年</w:t>
            </w:r>
          </w:p>
        </w:tc>
        <w:tc>
          <w:tcPr>
            <w:tcW w:w="0" w:type="auto"/>
            <w:tcBorders>
              <w:top w:val="single" w:color="auto" w:sz="4" w:space="0"/>
              <w:left w:val="nil"/>
              <w:bottom w:val="single" w:color="auto" w:sz="4" w:space="0"/>
              <w:right w:val="single" w:color="auto" w:sz="4" w:space="0"/>
            </w:tcBorders>
            <w:shd w:val="clear" w:color="auto" w:fill="auto"/>
            <w:vAlign w:val="center"/>
          </w:tcPr>
          <w:p w14:paraId="4BF151A0">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2027年</w:t>
            </w:r>
          </w:p>
        </w:tc>
        <w:tc>
          <w:tcPr>
            <w:tcW w:w="0" w:type="auto"/>
            <w:tcBorders>
              <w:top w:val="single" w:color="auto" w:sz="4" w:space="0"/>
              <w:left w:val="nil"/>
              <w:bottom w:val="single" w:color="auto" w:sz="4" w:space="0"/>
              <w:right w:val="single" w:color="auto" w:sz="4" w:space="0"/>
            </w:tcBorders>
            <w:shd w:val="clear" w:color="auto" w:fill="auto"/>
            <w:vAlign w:val="center"/>
          </w:tcPr>
          <w:p w14:paraId="03D55366">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2028年</w:t>
            </w:r>
          </w:p>
        </w:tc>
        <w:tc>
          <w:tcPr>
            <w:tcW w:w="0" w:type="auto"/>
            <w:tcBorders>
              <w:top w:val="single" w:color="auto" w:sz="4" w:space="0"/>
              <w:left w:val="nil"/>
              <w:bottom w:val="single" w:color="auto" w:sz="4" w:space="0"/>
              <w:right w:val="single" w:color="auto" w:sz="4" w:space="0"/>
            </w:tcBorders>
            <w:shd w:val="clear" w:color="auto" w:fill="auto"/>
            <w:vAlign w:val="center"/>
          </w:tcPr>
          <w:p w14:paraId="29ED3597">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2029年</w:t>
            </w:r>
          </w:p>
        </w:tc>
        <w:tc>
          <w:tcPr>
            <w:tcW w:w="0" w:type="auto"/>
            <w:tcBorders>
              <w:top w:val="single" w:color="auto" w:sz="4" w:space="0"/>
              <w:left w:val="nil"/>
              <w:bottom w:val="single" w:color="auto" w:sz="4" w:space="0"/>
              <w:right w:val="single" w:color="auto" w:sz="4" w:space="0"/>
            </w:tcBorders>
            <w:shd w:val="clear" w:color="auto" w:fill="auto"/>
            <w:vAlign w:val="center"/>
          </w:tcPr>
          <w:p w14:paraId="0C2DAAEA">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2030年</w:t>
            </w:r>
          </w:p>
        </w:tc>
      </w:tr>
      <w:tr w14:paraId="13BB8D69">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2F80AE2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一</w:t>
            </w:r>
          </w:p>
        </w:tc>
        <w:tc>
          <w:tcPr>
            <w:tcW w:w="0" w:type="auto"/>
            <w:tcBorders>
              <w:top w:val="nil"/>
              <w:left w:val="nil"/>
              <w:bottom w:val="single" w:color="auto" w:sz="4" w:space="0"/>
              <w:right w:val="single" w:color="auto" w:sz="4" w:space="0"/>
            </w:tcBorders>
            <w:shd w:val="clear" w:color="auto" w:fill="auto"/>
            <w:vAlign w:val="center"/>
          </w:tcPr>
          <w:p w14:paraId="76A4C8A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现金流入</w:t>
            </w:r>
          </w:p>
        </w:tc>
        <w:tc>
          <w:tcPr>
            <w:tcW w:w="0" w:type="auto"/>
            <w:tcBorders>
              <w:top w:val="nil"/>
              <w:left w:val="nil"/>
              <w:bottom w:val="single" w:color="auto" w:sz="4" w:space="0"/>
              <w:right w:val="single" w:color="auto" w:sz="4" w:space="0"/>
            </w:tcBorders>
            <w:shd w:val="clear" w:color="auto" w:fill="auto"/>
          </w:tcPr>
          <w:p w14:paraId="2AB2B65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2,443,435.06</w:t>
            </w:r>
          </w:p>
        </w:tc>
        <w:tc>
          <w:tcPr>
            <w:tcW w:w="0" w:type="auto"/>
            <w:tcBorders>
              <w:top w:val="nil"/>
              <w:left w:val="nil"/>
              <w:bottom w:val="single" w:color="auto" w:sz="4" w:space="0"/>
              <w:right w:val="single" w:color="auto" w:sz="4" w:space="0"/>
            </w:tcBorders>
            <w:shd w:val="clear" w:color="auto" w:fill="auto"/>
          </w:tcPr>
          <w:p w14:paraId="250AE5D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71,127.12</w:t>
            </w:r>
          </w:p>
        </w:tc>
        <w:tc>
          <w:tcPr>
            <w:tcW w:w="0" w:type="auto"/>
            <w:tcBorders>
              <w:top w:val="nil"/>
              <w:left w:val="nil"/>
              <w:bottom w:val="single" w:color="auto" w:sz="4" w:space="0"/>
              <w:right w:val="single" w:color="auto" w:sz="4" w:space="0"/>
            </w:tcBorders>
            <w:shd w:val="clear" w:color="auto" w:fill="auto"/>
          </w:tcPr>
          <w:p w14:paraId="2E1FB9E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168,188.69</w:t>
            </w:r>
          </w:p>
        </w:tc>
        <w:tc>
          <w:tcPr>
            <w:tcW w:w="0" w:type="auto"/>
            <w:tcBorders>
              <w:top w:val="nil"/>
              <w:left w:val="nil"/>
              <w:bottom w:val="single" w:color="auto" w:sz="4" w:space="0"/>
              <w:right w:val="single" w:color="auto" w:sz="4" w:space="0"/>
            </w:tcBorders>
            <w:shd w:val="clear" w:color="auto" w:fill="auto"/>
          </w:tcPr>
          <w:p w14:paraId="122B9C2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296,390.30</w:t>
            </w:r>
          </w:p>
        </w:tc>
        <w:tc>
          <w:tcPr>
            <w:tcW w:w="0" w:type="auto"/>
            <w:tcBorders>
              <w:top w:val="nil"/>
              <w:left w:val="nil"/>
              <w:bottom w:val="single" w:color="auto" w:sz="4" w:space="0"/>
              <w:right w:val="single" w:color="auto" w:sz="4" w:space="0"/>
            </w:tcBorders>
            <w:shd w:val="clear" w:color="auto" w:fill="auto"/>
          </w:tcPr>
          <w:p w14:paraId="2E113CD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293,731.77</w:t>
            </w:r>
          </w:p>
        </w:tc>
        <w:tc>
          <w:tcPr>
            <w:tcW w:w="0" w:type="auto"/>
            <w:tcBorders>
              <w:top w:val="nil"/>
              <w:left w:val="nil"/>
              <w:bottom w:val="single" w:color="auto" w:sz="4" w:space="0"/>
              <w:right w:val="single" w:color="auto" w:sz="4" w:space="0"/>
            </w:tcBorders>
            <w:shd w:val="clear" w:color="auto" w:fill="auto"/>
          </w:tcPr>
          <w:p w14:paraId="6658977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266,555.18</w:t>
            </w:r>
          </w:p>
        </w:tc>
        <w:tc>
          <w:tcPr>
            <w:tcW w:w="0" w:type="auto"/>
            <w:tcBorders>
              <w:top w:val="nil"/>
              <w:left w:val="nil"/>
              <w:bottom w:val="single" w:color="auto" w:sz="4" w:space="0"/>
              <w:right w:val="single" w:color="auto" w:sz="4" w:space="0"/>
            </w:tcBorders>
            <w:shd w:val="clear" w:color="auto" w:fill="auto"/>
          </w:tcPr>
          <w:p w14:paraId="6FB79E5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102,764.00</w:t>
            </w:r>
          </w:p>
        </w:tc>
        <w:tc>
          <w:tcPr>
            <w:tcW w:w="0" w:type="auto"/>
            <w:tcBorders>
              <w:top w:val="nil"/>
              <w:left w:val="nil"/>
              <w:bottom w:val="single" w:color="auto" w:sz="4" w:space="0"/>
              <w:right w:val="single" w:color="auto" w:sz="4" w:space="0"/>
            </w:tcBorders>
            <w:shd w:val="clear" w:color="auto" w:fill="auto"/>
          </w:tcPr>
          <w:p w14:paraId="7243A32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83,992.00</w:t>
            </w:r>
          </w:p>
        </w:tc>
        <w:tc>
          <w:tcPr>
            <w:tcW w:w="0" w:type="auto"/>
            <w:tcBorders>
              <w:top w:val="nil"/>
              <w:left w:val="nil"/>
              <w:bottom w:val="single" w:color="auto" w:sz="4" w:space="0"/>
              <w:right w:val="single" w:color="auto" w:sz="4" w:space="0"/>
            </w:tcBorders>
            <w:shd w:val="clear" w:color="auto" w:fill="auto"/>
          </w:tcPr>
          <w:p w14:paraId="27D7577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85,220.00</w:t>
            </w:r>
          </w:p>
        </w:tc>
        <w:tc>
          <w:tcPr>
            <w:tcW w:w="0" w:type="auto"/>
            <w:tcBorders>
              <w:top w:val="nil"/>
              <w:left w:val="nil"/>
              <w:bottom w:val="single" w:color="auto" w:sz="4" w:space="0"/>
              <w:right w:val="single" w:color="auto" w:sz="4" w:space="0"/>
            </w:tcBorders>
            <w:shd w:val="clear" w:color="auto" w:fill="auto"/>
          </w:tcPr>
          <w:p w14:paraId="0B42C4D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86,449.00</w:t>
            </w:r>
          </w:p>
        </w:tc>
        <w:tc>
          <w:tcPr>
            <w:tcW w:w="0" w:type="auto"/>
            <w:tcBorders>
              <w:top w:val="nil"/>
              <w:left w:val="nil"/>
              <w:bottom w:val="single" w:color="auto" w:sz="4" w:space="0"/>
              <w:right w:val="single" w:color="auto" w:sz="4" w:space="0"/>
            </w:tcBorders>
            <w:shd w:val="clear" w:color="auto" w:fill="auto"/>
          </w:tcPr>
          <w:p w14:paraId="1B868C2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87,677.00</w:t>
            </w:r>
          </w:p>
        </w:tc>
      </w:tr>
      <w:tr w14:paraId="6B1F7AA0">
        <w:tblPrEx>
          <w:tblCellMar>
            <w:top w:w="0" w:type="dxa"/>
            <w:left w:w="108" w:type="dxa"/>
            <w:bottom w:w="0" w:type="dxa"/>
            <w:right w:w="108" w:type="dxa"/>
          </w:tblCellMar>
        </w:tblPrEx>
        <w:trPr>
          <w:trHeight w:val="55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1D2CB56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5739375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0" w:type="auto"/>
            <w:tcBorders>
              <w:top w:val="nil"/>
              <w:left w:val="nil"/>
              <w:bottom w:val="single" w:color="auto" w:sz="4" w:space="0"/>
              <w:right w:val="single" w:color="auto" w:sz="4" w:space="0"/>
            </w:tcBorders>
            <w:shd w:val="clear" w:color="auto" w:fill="auto"/>
          </w:tcPr>
          <w:p w14:paraId="490C100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1,347,442.00</w:t>
            </w:r>
          </w:p>
        </w:tc>
        <w:tc>
          <w:tcPr>
            <w:tcW w:w="0" w:type="auto"/>
            <w:tcBorders>
              <w:top w:val="nil"/>
              <w:left w:val="nil"/>
              <w:bottom w:val="single" w:color="auto" w:sz="4" w:space="0"/>
              <w:right w:val="single" w:color="auto" w:sz="4" w:space="0"/>
            </w:tcBorders>
            <w:shd w:val="clear" w:color="auto" w:fill="auto"/>
          </w:tcPr>
          <w:p w14:paraId="6ECF516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2271CD9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02E9855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53ADC9E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4D28691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22542F4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102,764.00</w:t>
            </w:r>
          </w:p>
        </w:tc>
        <w:tc>
          <w:tcPr>
            <w:tcW w:w="0" w:type="auto"/>
            <w:tcBorders>
              <w:top w:val="nil"/>
              <w:left w:val="nil"/>
              <w:bottom w:val="single" w:color="auto" w:sz="4" w:space="0"/>
              <w:right w:val="single" w:color="auto" w:sz="4" w:space="0"/>
            </w:tcBorders>
            <w:shd w:val="clear" w:color="auto" w:fill="auto"/>
          </w:tcPr>
          <w:p w14:paraId="12A5CEA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83,992.00</w:t>
            </w:r>
          </w:p>
        </w:tc>
        <w:tc>
          <w:tcPr>
            <w:tcW w:w="0" w:type="auto"/>
            <w:tcBorders>
              <w:top w:val="nil"/>
              <w:left w:val="nil"/>
              <w:bottom w:val="single" w:color="auto" w:sz="4" w:space="0"/>
              <w:right w:val="single" w:color="auto" w:sz="4" w:space="0"/>
            </w:tcBorders>
            <w:shd w:val="clear" w:color="auto" w:fill="auto"/>
          </w:tcPr>
          <w:p w14:paraId="7DF5575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85,220.00</w:t>
            </w:r>
          </w:p>
        </w:tc>
        <w:tc>
          <w:tcPr>
            <w:tcW w:w="0" w:type="auto"/>
            <w:tcBorders>
              <w:top w:val="nil"/>
              <w:left w:val="nil"/>
              <w:bottom w:val="single" w:color="auto" w:sz="4" w:space="0"/>
              <w:right w:val="single" w:color="auto" w:sz="4" w:space="0"/>
            </w:tcBorders>
            <w:shd w:val="clear" w:color="auto" w:fill="auto"/>
          </w:tcPr>
          <w:p w14:paraId="4824CF2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86,449.00</w:t>
            </w:r>
          </w:p>
        </w:tc>
        <w:tc>
          <w:tcPr>
            <w:tcW w:w="0" w:type="auto"/>
            <w:tcBorders>
              <w:top w:val="nil"/>
              <w:left w:val="nil"/>
              <w:bottom w:val="single" w:color="auto" w:sz="4" w:space="0"/>
              <w:right w:val="single" w:color="auto" w:sz="4" w:space="0"/>
            </w:tcBorders>
            <w:shd w:val="clear" w:color="auto" w:fill="auto"/>
          </w:tcPr>
          <w:p w14:paraId="472B81C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87,677.00</w:t>
            </w:r>
          </w:p>
        </w:tc>
      </w:tr>
      <w:tr w14:paraId="488BF393">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31B02E3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0" w:type="auto"/>
            <w:tcBorders>
              <w:top w:val="nil"/>
              <w:left w:val="nil"/>
              <w:bottom w:val="single" w:color="auto" w:sz="4" w:space="0"/>
              <w:right w:val="single" w:color="auto" w:sz="4" w:space="0"/>
            </w:tcBorders>
            <w:shd w:val="clear" w:color="auto" w:fill="auto"/>
            <w:vAlign w:val="center"/>
          </w:tcPr>
          <w:p w14:paraId="4EE9784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经营收入</w:t>
            </w:r>
          </w:p>
        </w:tc>
        <w:tc>
          <w:tcPr>
            <w:tcW w:w="0" w:type="auto"/>
            <w:tcBorders>
              <w:top w:val="nil"/>
              <w:left w:val="nil"/>
              <w:bottom w:val="single" w:color="auto" w:sz="4" w:space="0"/>
              <w:right w:val="single" w:color="auto" w:sz="4" w:space="0"/>
            </w:tcBorders>
            <w:shd w:val="clear" w:color="auto" w:fill="auto"/>
          </w:tcPr>
          <w:p w14:paraId="6DB716A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1,347,442.00</w:t>
            </w:r>
          </w:p>
        </w:tc>
        <w:tc>
          <w:tcPr>
            <w:tcW w:w="0" w:type="auto"/>
            <w:tcBorders>
              <w:top w:val="nil"/>
              <w:left w:val="nil"/>
              <w:bottom w:val="single" w:color="auto" w:sz="4" w:space="0"/>
              <w:right w:val="single" w:color="auto" w:sz="4" w:space="0"/>
            </w:tcBorders>
            <w:shd w:val="clear" w:color="auto" w:fill="auto"/>
          </w:tcPr>
          <w:p w14:paraId="23ECD19F">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4F32893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60C6F59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4BC9AB2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12B7E19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noWrap/>
          </w:tcPr>
          <w:p w14:paraId="33554ED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102,764.00</w:t>
            </w:r>
          </w:p>
        </w:tc>
        <w:tc>
          <w:tcPr>
            <w:tcW w:w="0" w:type="auto"/>
            <w:tcBorders>
              <w:top w:val="nil"/>
              <w:left w:val="nil"/>
              <w:bottom w:val="single" w:color="auto" w:sz="4" w:space="0"/>
              <w:right w:val="single" w:color="auto" w:sz="4" w:space="0"/>
            </w:tcBorders>
            <w:shd w:val="clear" w:color="auto" w:fill="auto"/>
            <w:noWrap/>
          </w:tcPr>
          <w:p w14:paraId="6ABD8B4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83,992.00</w:t>
            </w:r>
          </w:p>
        </w:tc>
        <w:tc>
          <w:tcPr>
            <w:tcW w:w="0" w:type="auto"/>
            <w:tcBorders>
              <w:top w:val="nil"/>
              <w:left w:val="nil"/>
              <w:bottom w:val="single" w:color="auto" w:sz="4" w:space="0"/>
              <w:right w:val="single" w:color="auto" w:sz="4" w:space="0"/>
            </w:tcBorders>
            <w:shd w:val="clear" w:color="auto" w:fill="auto"/>
            <w:noWrap/>
          </w:tcPr>
          <w:p w14:paraId="04951D7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85,220.00</w:t>
            </w:r>
          </w:p>
        </w:tc>
        <w:tc>
          <w:tcPr>
            <w:tcW w:w="0" w:type="auto"/>
            <w:tcBorders>
              <w:top w:val="nil"/>
              <w:left w:val="nil"/>
              <w:bottom w:val="single" w:color="auto" w:sz="4" w:space="0"/>
              <w:right w:val="single" w:color="auto" w:sz="4" w:space="0"/>
            </w:tcBorders>
            <w:shd w:val="clear" w:color="auto" w:fill="auto"/>
            <w:noWrap/>
          </w:tcPr>
          <w:p w14:paraId="6797ABE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86,449.00</w:t>
            </w:r>
          </w:p>
        </w:tc>
        <w:tc>
          <w:tcPr>
            <w:tcW w:w="0" w:type="auto"/>
            <w:tcBorders>
              <w:top w:val="nil"/>
              <w:left w:val="nil"/>
              <w:bottom w:val="single" w:color="auto" w:sz="4" w:space="0"/>
              <w:right w:val="single" w:color="auto" w:sz="4" w:space="0"/>
            </w:tcBorders>
            <w:shd w:val="clear" w:color="auto" w:fill="auto"/>
            <w:noWrap/>
          </w:tcPr>
          <w:p w14:paraId="40A9AE2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87,677.00</w:t>
            </w:r>
          </w:p>
        </w:tc>
      </w:tr>
      <w:tr w14:paraId="769F346F">
        <w:tblPrEx>
          <w:tblCellMar>
            <w:top w:w="0" w:type="dxa"/>
            <w:left w:w="108" w:type="dxa"/>
            <w:bottom w:w="0" w:type="dxa"/>
            <w:right w:w="108" w:type="dxa"/>
          </w:tblCellMar>
        </w:tblPrEx>
        <w:trPr>
          <w:trHeight w:val="55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3C0C389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0" w:type="auto"/>
            <w:tcBorders>
              <w:top w:val="nil"/>
              <w:left w:val="nil"/>
              <w:bottom w:val="single" w:color="auto" w:sz="4" w:space="0"/>
              <w:right w:val="single" w:color="auto" w:sz="4" w:space="0"/>
            </w:tcBorders>
            <w:shd w:val="clear" w:color="auto" w:fill="auto"/>
            <w:vAlign w:val="center"/>
          </w:tcPr>
          <w:p w14:paraId="3BE3480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0" w:type="auto"/>
            <w:tcBorders>
              <w:top w:val="nil"/>
              <w:left w:val="nil"/>
              <w:bottom w:val="single" w:color="auto" w:sz="4" w:space="0"/>
              <w:right w:val="single" w:color="auto" w:sz="4" w:space="0"/>
            </w:tcBorders>
            <w:shd w:val="clear" w:color="auto" w:fill="auto"/>
          </w:tcPr>
          <w:p w14:paraId="194E17B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657,595.84</w:t>
            </w:r>
          </w:p>
        </w:tc>
        <w:tc>
          <w:tcPr>
            <w:tcW w:w="0" w:type="auto"/>
            <w:tcBorders>
              <w:top w:val="nil"/>
              <w:left w:val="nil"/>
              <w:bottom w:val="single" w:color="auto" w:sz="4" w:space="0"/>
              <w:right w:val="single" w:color="auto" w:sz="4" w:space="0"/>
            </w:tcBorders>
            <w:shd w:val="clear" w:color="auto" w:fill="auto"/>
          </w:tcPr>
          <w:p w14:paraId="63F0C10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25,010.00</w:t>
            </w:r>
          </w:p>
        </w:tc>
        <w:tc>
          <w:tcPr>
            <w:tcW w:w="0" w:type="auto"/>
            <w:tcBorders>
              <w:top w:val="nil"/>
              <w:left w:val="nil"/>
              <w:bottom w:val="single" w:color="auto" w:sz="4" w:space="0"/>
              <w:right w:val="single" w:color="auto" w:sz="4" w:space="0"/>
            </w:tcBorders>
            <w:shd w:val="clear" w:color="auto" w:fill="auto"/>
          </w:tcPr>
          <w:p w14:paraId="262981C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162,600.00</w:t>
            </w:r>
          </w:p>
        </w:tc>
        <w:tc>
          <w:tcPr>
            <w:tcW w:w="0" w:type="auto"/>
            <w:tcBorders>
              <w:top w:val="nil"/>
              <w:left w:val="nil"/>
              <w:bottom w:val="single" w:color="auto" w:sz="4" w:space="0"/>
              <w:right w:val="single" w:color="auto" w:sz="4" w:space="0"/>
            </w:tcBorders>
            <w:shd w:val="clear" w:color="auto" w:fill="auto"/>
          </w:tcPr>
          <w:p w14:paraId="2163B80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116,000.00</w:t>
            </w:r>
          </w:p>
        </w:tc>
        <w:tc>
          <w:tcPr>
            <w:tcW w:w="0" w:type="auto"/>
            <w:tcBorders>
              <w:top w:val="nil"/>
              <w:left w:val="nil"/>
              <w:bottom w:val="single" w:color="auto" w:sz="4" w:space="0"/>
              <w:right w:val="single" w:color="auto" w:sz="4" w:space="0"/>
            </w:tcBorders>
            <w:shd w:val="clear" w:color="auto" w:fill="auto"/>
          </w:tcPr>
          <w:p w14:paraId="0996F7F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148,100.00</w:t>
            </w:r>
          </w:p>
        </w:tc>
        <w:tc>
          <w:tcPr>
            <w:tcW w:w="0" w:type="auto"/>
            <w:tcBorders>
              <w:top w:val="nil"/>
              <w:left w:val="nil"/>
              <w:bottom w:val="single" w:color="auto" w:sz="4" w:space="0"/>
              <w:right w:val="single" w:color="auto" w:sz="4" w:space="0"/>
            </w:tcBorders>
            <w:shd w:val="clear" w:color="auto" w:fill="auto"/>
          </w:tcPr>
          <w:p w14:paraId="7FB3DDB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205,885.84</w:t>
            </w:r>
          </w:p>
        </w:tc>
        <w:tc>
          <w:tcPr>
            <w:tcW w:w="0" w:type="auto"/>
            <w:tcBorders>
              <w:top w:val="nil"/>
              <w:left w:val="nil"/>
              <w:bottom w:val="single" w:color="auto" w:sz="4" w:space="0"/>
              <w:right w:val="single" w:color="auto" w:sz="4" w:space="0"/>
            </w:tcBorders>
            <w:shd w:val="clear" w:color="auto" w:fill="auto"/>
          </w:tcPr>
          <w:p w14:paraId="324E135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7848EAA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205F517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03C5875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4BE6F70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29501F72">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54AB7A5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2.1</w:t>
            </w:r>
          </w:p>
        </w:tc>
        <w:tc>
          <w:tcPr>
            <w:tcW w:w="0" w:type="auto"/>
            <w:tcBorders>
              <w:top w:val="nil"/>
              <w:left w:val="nil"/>
              <w:bottom w:val="single" w:color="auto" w:sz="4" w:space="0"/>
              <w:right w:val="single" w:color="auto" w:sz="4" w:space="0"/>
            </w:tcBorders>
            <w:shd w:val="clear" w:color="auto" w:fill="auto"/>
            <w:vAlign w:val="center"/>
          </w:tcPr>
          <w:p w14:paraId="51802FC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债券融资款</w:t>
            </w:r>
          </w:p>
        </w:tc>
        <w:tc>
          <w:tcPr>
            <w:tcW w:w="0" w:type="auto"/>
            <w:tcBorders>
              <w:top w:val="nil"/>
              <w:left w:val="nil"/>
              <w:bottom w:val="single" w:color="auto" w:sz="4" w:space="0"/>
              <w:right w:val="single" w:color="auto" w:sz="4" w:space="0"/>
            </w:tcBorders>
            <w:shd w:val="clear" w:color="auto" w:fill="auto"/>
          </w:tcPr>
          <w:p w14:paraId="3DB66BB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220,000.00</w:t>
            </w:r>
          </w:p>
        </w:tc>
        <w:tc>
          <w:tcPr>
            <w:tcW w:w="0" w:type="auto"/>
            <w:tcBorders>
              <w:top w:val="nil"/>
              <w:left w:val="nil"/>
              <w:bottom w:val="single" w:color="auto" w:sz="4" w:space="0"/>
              <w:right w:val="single" w:color="auto" w:sz="4" w:space="0"/>
            </w:tcBorders>
            <w:shd w:val="clear" w:color="auto" w:fill="auto"/>
          </w:tcPr>
          <w:p w14:paraId="1A4E4330">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477452C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131,600.00</w:t>
            </w:r>
          </w:p>
        </w:tc>
        <w:tc>
          <w:tcPr>
            <w:tcW w:w="0" w:type="auto"/>
            <w:tcBorders>
              <w:top w:val="nil"/>
              <w:left w:val="nil"/>
              <w:bottom w:val="single" w:color="auto" w:sz="4" w:space="0"/>
              <w:right w:val="single" w:color="auto" w:sz="4" w:space="0"/>
            </w:tcBorders>
            <w:shd w:val="clear" w:color="auto" w:fill="auto"/>
          </w:tcPr>
          <w:p w14:paraId="54980A3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29,000.00</w:t>
            </w:r>
          </w:p>
        </w:tc>
        <w:tc>
          <w:tcPr>
            <w:tcW w:w="0" w:type="auto"/>
            <w:tcBorders>
              <w:top w:val="nil"/>
              <w:left w:val="nil"/>
              <w:bottom w:val="single" w:color="auto" w:sz="4" w:space="0"/>
              <w:right w:val="single" w:color="auto" w:sz="4" w:space="0"/>
            </w:tcBorders>
            <w:shd w:val="clear" w:color="auto" w:fill="auto"/>
          </w:tcPr>
          <w:p w14:paraId="67CD824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40,000.00</w:t>
            </w:r>
          </w:p>
        </w:tc>
        <w:tc>
          <w:tcPr>
            <w:tcW w:w="0" w:type="auto"/>
            <w:tcBorders>
              <w:top w:val="nil"/>
              <w:left w:val="nil"/>
              <w:bottom w:val="single" w:color="auto" w:sz="4" w:space="0"/>
              <w:right w:val="single" w:color="auto" w:sz="4" w:space="0"/>
            </w:tcBorders>
            <w:shd w:val="clear" w:color="auto" w:fill="auto"/>
          </w:tcPr>
          <w:p w14:paraId="520AC50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19,400.00</w:t>
            </w:r>
          </w:p>
        </w:tc>
        <w:tc>
          <w:tcPr>
            <w:tcW w:w="0" w:type="auto"/>
            <w:tcBorders>
              <w:top w:val="nil"/>
              <w:left w:val="nil"/>
              <w:bottom w:val="single" w:color="auto" w:sz="4" w:space="0"/>
              <w:right w:val="single" w:color="auto" w:sz="4" w:space="0"/>
            </w:tcBorders>
            <w:shd w:val="clear" w:color="auto" w:fill="auto"/>
          </w:tcPr>
          <w:p w14:paraId="0234F649">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44D8FB1A">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5325F135">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71A36A26">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252C233A">
            <w:pPr>
              <w:widowControl/>
              <w:spacing w:line="240" w:lineRule="auto"/>
              <w:ind w:firstLine="0" w:firstLineChars="0"/>
              <w:rPr>
                <w:rFonts w:hint="eastAsia" w:ascii="宋体" w:hAnsi="宋体" w:cs="宋体"/>
                <w:color w:val="000000"/>
                <w:kern w:val="0"/>
                <w:sz w:val="18"/>
                <w:szCs w:val="18"/>
              </w:rPr>
            </w:pPr>
          </w:p>
        </w:tc>
      </w:tr>
      <w:tr w14:paraId="3190135A">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01D314C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2.2</w:t>
            </w:r>
          </w:p>
        </w:tc>
        <w:tc>
          <w:tcPr>
            <w:tcW w:w="0" w:type="auto"/>
            <w:tcBorders>
              <w:top w:val="nil"/>
              <w:left w:val="nil"/>
              <w:bottom w:val="single" w:color="auto" w:sz="4" w:space="0"/>
              <w:right w:val="single" w:color="auto" w:sz="4" w:space="0"/>
            </w:tcBorders>
            <w:shd w:val="clear" w:color="auto" w:fill="auto"/>
            <w:vAlign w:val="center"/>
          </w:tcPr>
          <w:p w14:paraId="19D20C1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其他融资款</w:t>
            </w:r>
          </w:p>
        </w:tc>
        <w:tc>
          <w:tcPr>
            <w:tcW w:w="0" w:type="auto"/>
            <w:tcBorders>
              <w:top w:val="nil"/>
              <w:left w:val="nil"/>
              <w:bottom w:val="single" w:color="auto" w:sz="4" w:space="0"/>
              <w:right w:val="single" w:color="auto" w:sz="4" w:space="0"/>
            </w:tcBorders>
            <w:shd w:val="clear" w:color="auto" w:fill="auto"/>
          </w:tcPr>
          <w:p w14:paraId="2A276FE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437,595.84</w:t>
            </w:r>
          </w:p>
        </w:tc>
        <w:tc>
          <w:tcPr>
            <w:tcW w:w="0" w:type="auto"/>
            <w:tcBorders>
              <w:top w:val="nil"/>
              <w:left w:val="nil"/>
              <w:bottom w:val="single" w:color="auto" w:sz="4" w:space="0"/>
              <w:right w:val="single" w:color="auto" w:sz="4" w:space="0"/>
            </w:tcBorders>
            <w:shd w:val="clear" w:color="auto" w:fill="auto"/>
          </w:tcPr>
          <w:p w14:paraId="45FBF62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25,010.00</w:t>
            </w:r>
          </w:p>
        </w:tc>
        <w:tc>
          <w:tcPr>
            <w:tcW w:w="0" w:type="auto"/>
            <w:tcBorders>
              <w:top w:val="nil"/>
              <w:left w:val="nil"/>
              <w:bottom w:val="single" w:color="auto" w:sz="4" w:space="0"/>
              <w:right w:val="single" w:color="auto" w:sz="4" w:space="0"/>
            </w:tcBorders>
            <w:shd w:val="clear" w:color="auto" w:fill="auto"/>
          </w:tcPr>
          <w:p w14:paraId="6E20550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31,000.00</w:t>
            </w:r>
          </w:p>
        </w:tc>
        <w:tc>
          <w:tcPr>
            <w:tcW w:w="0" w:type="auto"/>
            <w:tcBorders>
              <w:top w:val="nil"/>
              <w:left w:val="nil"/>
              <w:bottom w:val="single" w:color="auto" w:sz="4" w:space="0"/>
              <w:right w:val="single" w:color="auto" w:sz="4" w:space="0"/>
            </w:tcBorders>
            <w:shd w:val="clear" w:color="auto" w:fill="auto"/>
          </w:tcPr>
          <w:p w14:paraId="696B7D6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87,000.00</w:t>
            </w:r>
          </w:p>
        </w:tc>
        <w:tc>
          <w:tcPr>
            <w:tcW w:w="0" w:type="auto"/>
            <w:tcBorders>
              <w:top w:val="nil"/>
              <w:left w:val="nil"/>
              <w:bottom w:val="single" w:color="auto" w:sz="4" w:space="0"/>
              <w:right w:val="single" w:color="auto" w:sz="4" w:space="0"/>
            </w:tcBorders>
            <w:shd w:val="clear" w:color="auto" w:fill="auto"/>
          </w:tcPr>
          <w:p w14:paraId="5BB5F22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108,100.00</w:t>
            </w:r>
          </w:p>
        </w:tc>
        <w:tc>
          <w:tcPr>
            <w:tcW w:w="0" w:type="auto"/>
            <w:tcBorders>
              <w:top w:val="nil"/>
              <w:left w:val="nil"/>
              <w:bottom w:val="single" w:color="auto" w:sz="4" w:space="0"/>
              <w:right w:val="single" w:color="auto" w:sz="4" w:space="0"/>
            </w:tcBorders>
            <w:shd w:val="clear" w:color="auto" w:fill="auto"/>
          </w:tcPr>
          <w:p w14:paraId="6E172B3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186,485.84</w:t>
            </w:r>
          </w:p>
        </w:tc>
        <w:tc>
          <w:tcPr>
            <w:tcW w:w="0" w:type="auto"/>
            <w:tcBorders>
              <w:top w:val="nil"/>
              <w:left w:val="nil"/>
              <w:bottom w:val="single" w:color="auto" w:sz="4" w:space="0"/>
              <w:right w:val="single" w:color="auto" w:sz="4" w:space="0"/>
            </w:tcBorders>
            <w:shd w:val="clear" w:color="auto" w:fill="auto"/>
          </w:tcPr>
          <w:p w14:paraId="09E2AD0A">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5814FF12">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388A3659">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2953C1E2">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0D41D4DE">
            <w:pPr>
              <w:widowControl/>
              <w:spacing w:line="240" w:lineRule="auto"/>
              <w:ind w:firstLine="0" w:firstLineChars="0"/>
              <w:rPr>
                <w:rFonts w:hint="eastAsia" w:ascii="宋体" w:hAnsi="宋体" w:cs="宋体"/>
                <w:color w:val="000000"/>
                <w:kern w:val="0"/>
                <w:sz w:val="18"/>
                <w:szCs w:val="18"/>
              </w:rPr>
            </w:pPr>
          </w:p>
        </w:tc>
      </w:tr>
      <w:tr w14:paraId="5D239FD0">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7F43413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0" w:type="auto"/>
            <w:tcBorders>
              <w:top w:val="nil"/>
              <w:left w:val="nil"/>
              <w:bottom w:val="single" w:color="auto" w:sz="4" w:space="0"/>
              <w:right w:val="single" w:color="auto" w:sz="4" w:space="0"/>
            </w:tcBorders>
            <w:shd w:val="clear" w:color="auto" w:fill="auto"/>
            <w:vAlign w:val="center"/>
          </w:tcPr>
          <w:p w14:paraId="52295C1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资本金投入</w:t>
            </w:r>
          </w:p>
        </w:tc>
        <w:tc>
          <w:tcPr>
            <w:tcW w:w="0" w:type="auto"/>
            <w:tcBorders>
              <w:top w:val="nil"/>
              <w:left w:val="nil"/>
              <w:bottom w:val="single" w:color="auto" w:sz="4" w:space="0"/>
              <w:right w:val="single" w:color="auto" w:sz="4" w:space="0"/>
            </w:tcBorders>
            <w:shd w:val="clear" w:color="auto" w:fill="auto"/>
          </w:tcPr>
          <w:p w14:paraId="17BF472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438,397.22</w:t>
            </w:r>
          </w:p>
        </w:tc>
        <w:tc>
          <w:tcPr>
            <w:tcW w:w="0" w:type="auto"/>
            <w:tcBorders>
              <w:top w:val="nil"/>
              <w:left w:val="nil"/>
              <w:bottom w:val="single" w:color="auto" w:sz="4" w:space="0"/>
              <w:right w:val="single" w:color="auto" w:sz="4" w:space="0"/>
            </w:tcBorders>
            <w:shd w:val="clear" w:color="auto" w:fill="auto"/>
          </w:tcPr>
          <w:p w14:paraId="2019B11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46,117.12</w:t>
            </w:r>
          </w:p>
        </w:tc>
        <w:tc>
          <w:tcPr>
            <w:tcW w:w="0" w:type="auto"/>
            <w:tcBorders>
              <w:top w:val="nil"/>
              <w:left w:val="nil"/>
              <w:bottom w:val="single" w:color="auto" w:sz="4" w:space="0"/>
              <w:right w:val="single" w:color="auto" w:sz="4" w:space="0"/>
            </w:tcBorders>
            <w:shd w:val="clear" w:color="auto" w:fill="auto"/>
          </w:tcPr>
          <w:p w14:paraId="14AB4D8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5,588.69</w:t>
            </w:r>
          </w:p>
        </w:tc>
        <w:tc>
          <w:tcPr>
            <w:tcW w:w="0" w:type="auto"/>
            <w:tcBorders>
              <w:top w:val="nil"/>
              <w:left w:val="nil"/>
              <w:bottom w:val="single" w:color="auto" w:sz="4" w:space="0"/>
              <w:right w:val="single" w:color="auto" w:sz="4" w:space="0"/>
            </w:tcBorders>
            <w:shd w:val="clear" w:color="auto" w:fill="auto"/>
          </w:tcPr>
          <w:p w14:paraId="0AC9A77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180,390.30</w:t>
            </w:r>
          </w:p>
        </w:tc>
        <w:tc>
          <w:tcPr>
            <w:tcW w:w="0" w:type="auto"/>
            <w:tcBorders>
              <w:top w:val="nil"/>
              <w:left w:val="nil"/>
              <w:bottom w:val="single" w:color="auto" w:sz="4" w:space="0"/>
              <w:right w:val="single" w:color="auto" w:sz="4" w:space="0"/>
            </w:tcBorders>
            <w:shd w:val="clear" w:color="auto" w:fill="auto"/>
          </w:tcPr>
          <w:p w14:paraId="7529F98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145,631.77</w:t>
            </w:r>
          </w:p>
        </w:tc>
        <w:tc>
          <w:tcPr>
            <w:tcW w:w="0" w:type="auto"/>
            <w:tcBorders>
              <w:top w:val="nil"/>
              <w:left w:val="nil"/>
              <w:bottom w:val="single" w:color="auto" w:sz="4" w:space="0"/>
              <w:right w:val="single" w:color="auto" w:sz="4" w:space="0"/>
            </w:tcBorders>
            <w:shd w:val="clear" w:color="auto" w:fill="auto"/>
          </w:tcPr>
          <w:p w14:paraId="6657DCC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60,669.34</w:t>
            </w:r>
          </w:p>
        </w:tc>
        <w:tc>
          <w:tcPr>
            <w:tcW w:w="0" w:type="auto"/>
            <w:tcBorders>
              <w:top w:val="nil"/>
              <w:left w:val="nil"/>
              <w:bottom w:val="single" w:color="auto" w:sz="4" w:space="0"/>
              <w:right w:val="single" w:color="auto" w:sz="4" w:space="0"/>
            </w:tcBorders>
            <w:shd w:val="clear" w:color="auto" w:fill="auto"/>
          </w:tcPr>
          <w:p w14:paraId="53BDCBFB">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33474888">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50B655E8">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7E0A9093">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76595BCC">
            <w:pPr>
              <w:widowControl/>
              <w:spacing w:line="240" w:lineRule="auto"/>
              <w:ind w:firstLine="0" w:firstLineChars="0"/>
              <w:rPr>
                <w:rFonts w:hint="eastAsia" w:ascii="宋体" w:hAnsi="宋体" w:cs="宋体"/>
                <w:color w:val="000000"/>
                <w:kern w:val="0"/>
                <w:sz w:val="18"/>
                <w:szCs w:val="18"/>
              </w:rPr>
            </w:pPr>
          </w:p>
        </w:tc>
      </w:tr>
      <w:tr w14:paraId="0B75CC8A">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3AB6CE6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二</w:t>
            </w:r>
          </w:p>
        </w:tc>
        <w:tc>
          <w:tcPr>
            <w:tcW w:w="0" w:type="auto"/>
            <w:tcBorders>
              <w:top w:val="nil"/>
              <w:left w:val="nil"/>
              <w:bottom w:val="single" w:color="auto" w:sz="4" w:space="0"/>
              <w:right w:val="single" w:color="auto" w:sz="4" w:space="0"/>
            </w:tcBorders>
            <w:shd w:val="clear" w:color="auto" w:fill="auto"/>
            <w:vAlign w:val="center"/>
          </w:tcPr>
          <w:p w14:paraId="1218DEB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现金流出</w:t>
            </w:r>
          </w:p>
        </w:tc>
        <w:tc>
          <w:tcPr>
            <w:tcW w:w="0" w:type="auto"/>
            <w:tcBorders>
              <w:top w:val="nil"/>
              <w:left w:val="nil"/>
              <w:bottom w:val="single" w:color="auto" w:sz="4" w:space="0"/>
              <w:right w:val="single" w:color="auto" w:sz="4" w:space="0"/>
            </w:tcBorders>
            <w:shd w:val="clear" w:color="auto" w:fill="auto"/>
          </w:tcPr>
          <w:p w14:paraId="5F2607F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2,095,560.84</w:t>
            </w:r>
          </w:p>
        </w:tc>
        <w:tc>
          <w:tcPr>
            <w:tcW w:w="0" w:type="auto"/>
            <w:tcBorders>
              <w:top w:val="nil"/>
              <w:left w:val="nil"/>
              <w:bottom w:val="single" w:color="auto" w:sz="4" w:space="0"/>
              <w:right w:val="single" w:color="auto" w:sz="4" w:space="0"/>
            </w:tcBorders>
            <w:shd w:val="clear" w:color="auto" w:fill="auto"/>
          </w:tcPr>
          <w:p w14:paraId="510DADD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71,127.12</w:t>
            </w:r>
          </w:p>
        </w:tc>
        <w:tc>
          <w:tcPr>
            <w:tcW w:w="0" w:type="auto"/>
            <w:tcBorders>
              <w:top w:val="nil"/>
              <w:left w:val="nil"/>
              <w:bottom w:val="single" w:color="auto" w:sz="4" w:space="0"/>
              <w:right w:val="single" w:color="auto" w:sz="4" w:space="0"/>
            </w:tcBorders>
            <w:shd w:val="clear" w:color="auto" w:fill="auto"/>
          </w:tcPr>
          <w:p w14:paraId="14D2A94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171,771.93</w:t>
            </w:r>
          </w:p>
        </w:tc>
        <w:tc>
          <w:tcPr>
            <w:tcW w:w="0" w:type="auto"/>
            <w:tcBorders>
              <w:top w:val="nil"/>
              <w:left w:val="nil"/>
              <w:bottom w:val="single" w:color="auto" w:sz="4" w:space="0"/>
              <w:right w:val="single" w:color="auto" w:sz="4" w:space="0"/>
            </w:tcBorders>
            <w:shd w:val="clear" w:color="auto" w:fill="auto"/>
          </w:tcPr>
          <w:p w14:paraId="70B608D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302,733.26</w:t>
            </w:r>
          </w:p>
        </w:tc>
        <w:tc>
          <w:tcPr>
            <w:tcW w:w="0" w:type="auto"/>
            <w:tcBorders>
              <w:top w:val="nil"/>
              <w:left w:val="nil"/>
              <w:bottom w:val="single" w:color="auto" w:sz="4" w:space="0"/>
              <w:right w:val="single" w:color="auto" w:sz="4" w:space="0"/>
            </w:tcBorders>
            <w:shd w:val="clear" w:color="auto" w:fill="auto"/>
          </w:tcPr>
          <w:p w14:paraId="127F56A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304,599.73</w:t>
            </w:r>
          </w:p>
        </w:tc>
        <w:tc>
          <w:tcPr>
            <w:tcW w:w="0" w:type="auto"/>
            <w:tcBorders>
              <w:top w:val="nil"/>
              <w:left w:val="nil"/>
              <w:bottom w:val="single" w:color="auto" w:sz="4" w:space="0"/>
              <w:right w:val="single" w:color="auto" w:sz="4" w:space="0"/>
            </w:tcBorders>
            <w:shd w:val="clear" w:color="auto" w:fill="auto"/>
          </w:tcPr>
          <w:p w14:paraId="3A2C70C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283,219.84</w:t>
            </w:r>
          </w:p>
        </w:tc>
        <w:tc>
          <w:tcPr>
            <w:tcW w:w="0" w:type="auto"/>
            <w:tcBorders>
              <w:top w:val="nil"/>
              <w:left w:val="nil"/>
              <w:bottom w:val="single" w:color="auto" w:sz="4" w:space="0"/>
              <w:right w:val="single" w:color="auto" w:sz="4" w:space="0"/>
            </w:tcBorders>
            <w:shd w:val="clear" w:color="auto" w:fill="auto"/>
          </w:tcPr>
          <w:p w14:paraId="55EF64E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45,104.20</w:t>
            </w:r>
          </w:p>
        </w:tc>
        <w:tc>
          <w:tcPr>
            <w:tcW w:w="0" w:type="auto"/>
            <w:tcBorders>
              <w:top w:val="nil"/>
              <w:left w:val="nil"/>
              <w:bottom w:val="single" w:color="auto" w:sz="4" w:space="0"/>
              <w:right w:val="single" w:color="auto" w:sz="4" w:space="0"/>
            </w:tcBorders>
            <w:shd w:val="clear" w:color="auto" w:fill="auto"/>
          </w:tcPr>
          <w:p w14:paraId="5BFEA6E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56,009.15</w:t>
            </w:r>
          </w:p>
        </w:tc>
        <w:tc>
          <w:tcPr>
            <w:tcW w:w="0" w:type="auto"/>
            <w:tcBorders>
              <w:top w:val="nil"/>
              <w:left w:val="nil"/>
              <w:bottom w:val="single" w:color="auto" w:sz="4" w:space="0"/>
              <w:right w:val="single" w:color="auto" w:sz="4" w:space="0"/>
            </w:tcBorders>
            <w:shd w:val="clear" w:color="auto" w:fill="auto"/>
          </w:tcPr>
          <w:p w14:paraId="535562C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53,053.76</w:t>
            </w:r>
          </w:p>
        </w:tc>
        <w:tc>
          <w:tcPr>
            <w:tcW w:w="0" w:type="auto"/>
            <w:tcBorders>
              <w:top w:val="nil"/>
              <w:left w:val="nil"/>
              <w:bottom w:val="single" w:color="auto" w:sz="4" w:space="0"/>
              <w:right w:val="single" w:color="auto" w:sz="4" w:space="0"/>
            </w:tcBorders>
            <w:shd w:val="clear" w:color="auto" w:fill="auto"/>
          </w:tcPr>
          <w:p w14:paraId="0DBB3FF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52,662.15</w:t>
            </w:r>
          </w:p>
        </w:tc>
        <w:tc>
          <w:tcPr>
            <w:tcW w:w="0" w:type="auto"/>
            <w:tcBorders>
              <w:top w:val="nil"/>
              <w:left w:val="nil"/>
              <w:bottom w:val="single" w:color="auto" w:sz="4" w:space="0"/>
              <w:right w:val="single" w:color="auto" w:sz="4" w:space="0"/>
            </w:tcBorders>
            <w:shd w:val="clear" w:color="auto" w:fill="auto"/>
          </w:tcPr>
          <w:p w14:paraId="6392A2A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52,272.54</w:t>
            </w:r>
          </w:p>
        </w:tc>
      </w:tr>
      <w:tr w14:paraId="5310CC39">
        <w:tblPrEx>
          <w:tblCellMar>
            <w:top w:w="0" w:type="dxa"/>
            <w:left w:w="108" w:type="dxa"/>
            <w:bottom w:w="0" w:type="dxa"/>
            <w:right w:w="108" w:type="dxa"/>
          </w:tblCellMar>
        </w:tblPrEx>
        <w:trPr>
          <w:trHeight w:val="55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413479A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0" w:type="auto"/>
            <w:tcBorders>
              <w:top w:val="nil"/>
              <w:left w:val="nil"/>
              <w:bottom w:val="single" w:color="auto" w:sz="4" w:space="0"/>
              <w:right w:val="single" w:color="auto" w:sz="4" w:space="0"/>
            </w:tcBorders>
            <w:shd w:val="clear" w:color="auto" w:fill="auto"/>
            <w:vAlign w:val="center"/>
          </w:tcPr>
          <w:p w14:paraId="152B423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0" w:type="auto"/>
            <w:tcBorders>
              <w:top w:val="nil"/>
              <w:left w:val="nil"/>
              <w:bottom w:val="single" w:color="auto" w:sz="4" w:space="0"/>
              <w:right w:val="single" w:color="auto" w:sz="4" w:space="0"/>
            </w:tcBorders>
            <w:shd w:val="clear" w:color="auto" w:fill="auto"/>
          </w:tcPr>
          <w:p w14:paraId="37976C2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252,961.03</w:t>
            </w:r>
          </w:p>
        </w:tc>
        <w:tc>
          <w:tcPr>
            <w:tcW w:w="0" w:type="auto"/>
            <w:tcBorders>
              <w:top w:val="nil"/>
              <w:left w:val="nil"/>
              <w:bottom w:val="single" w:color="auto" w:sz="4" w:space="0"/>
              <w:right w:val="single" w:color="auto" w:sz="4" w:space="0"/>
            </w:tcBorders>
            <w:shd w:val="clear" w:color="auto" w:fill="auto"/>
          </w:tcPr>
          <w:p w14:paraId="471CF4E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3CEC088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460EF46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46C2444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25C2D24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3E09D04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12,861.93</w:t>
            </w:r>
          </w:p>
        </w:tc>
        <w:tc>
          <w:tcPr>
            <w:tcW w:w="0" w:type="auto"/>
            <w:tcBorders>
              <w:top w:val="nil"/>
              <w:left w:val="nil"/>
              <w:bottom w:val="single" w:color="auto" w:sz="4" w:space="0"/>
              <w:right w:val="single" w:color="auto" w:sz="4" w:space="0"/>
            </w:tcBorders>
            <w:shd w:val="clear" w:color="auto" w:fill="auto"/>
          </w:tcPr>
          <w:p w14:paraId="1986F4A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16,282.26</w:t>
            </w:r>
          </w:p>
        </w:tc>
        <w:tc>
          <w:tcPr>
            <w:tcW w:w="0" w:type="auto"/>
            <w:tcBorders>
              <w:top w:val="nil"/>
              <w:left w:val="nil"/>
              <w:bottom w:val="single" w:color="auto" w:sz="4" w:space="0"/>
              <w:right w:val="single" w:color="auto" w:sz="4" w:space="0"/>
            </w:tcBorders>
            <w:shd w:val="clear" w:color="auto" w:fill="auto"/>
          </w:tcPr>
          <w:p w14:paraId="6964767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14,561.10</w:t>
            </w:r>
          </w:p>
        </w:tc>
        <w:tc>
          <w:tcPr>
            <w:tcW w:w="0" w:type="auto"/>
            <w:tcBorders>
              <w:top w:val="nil"/>
              <w:left w:val="nil"/>
              <w:bottom w:val="single" w:color="auto" w:sz="4" w:space="0"/>
              <w:right w:val="single" w:color="auto" w:sz="4" w:space="0"/>
            </w:tcBorders>
            <w:shd w:val="clear" w:color="auto" w:fill="auto"/>
          </w:tcPr>
          <w:p w14:paraId="4E22B91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14,786.68</w:t>
            </w:r>
          </w:p>
        </w:tc>
        <w:tc>
          <w:tcPr>
            <w:tcW w:w="0" w:type="auto"/>
            <w:tcBorders>
              <w:top w:val="nil"/>
              <w:left w:val="nil"/>
              <w:bottom w:val="single" w:color="auto" w:sz="4" w:space="0"/>
              <w:right w:val="single" w:color="auto" w:sz="4" w:space="0"/>
            </w:tcBorders>
            <w:shd w:val="clear" w:color="auto" w:fill="auto"/>
          </w:tcPr>
          <w:p w14:paraId="2523376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15,014.26</w:t>
            </w:r>
          </w:p>
        </w:tc>
      </w:tr>
      <w:tr w14:paraId="70259381">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467778D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0" w:type="auto"/>
            <w:tcBorders>
              <w:top w:val="nil"/>
              <w:left w:val="nil"/>
              <w:bottom w:val="single" w:color="auto" w:sz="4" w:space="0"/>
              <w:right w:val="single" w:color="auto" w:sz="4" w:space="0"/>
            </w:tcBorders>
            <w:shd w:val="clear" w:color="auto" w:fill="auto"/>
            <w:vAlign w:val="center"/>
          </w:tcPr>
          <w:p w14:paraId="706339D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运营成本</w:t>
            </w:r>
          </w:p>
        </w:tc>
        <w:tc>
          <w:tcPr>
            <w:tcW w:w="0" w:type="auto"/>
            <w:tcBorders>
              <w:top w:val="nil"/>
              <w:left w:val="nil"/>
              <w:bottom w:val="single" w:color="auto" w:sz="4" w:space="0"/>
              <w:right w:val="single" w:color="auto" w:sz="4" w:space="0"/>
            </w:tcBorders>
            <w:shd w:val="clear" w:color="auto" w:fill="auto"/>
          </w:tcPr>
          <w:p w14:paraId="29AF3C0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252,961.03</w:t>
            </w:r>
          </w:p>
        </w:tc>
        <w:tc>
          <w:tcPr>
            <w:tcW w:w="0" w:type="auto"/>
            <w:tcBorders>
              <w:top w:val="nil"/>
              <w:left w:val="nil"/>
              <w:bottom w:val="single" w:color="auto" w:sz="4" w:space="0"/>
              <w:right w:val="single" w:color="auto" w:sz="4" w:space="0"/>
            </w:tcBorders>
            <w:shd w:val="clear" w:color="auto" w:fill="auto"/>
          </w:tcPr>
          <w:p w14:paraId="429FD99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096BADB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02F4AF0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7FEBA66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0E5C088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7BC0E41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12,861.93</w:t>
            </w:r>
          </w:p>
        </w:tc>
        <w:tc>
          <w:tcPr>
            <w:tcW w:w="0" w:type="auto"/>
            <w:tcBorders>
              <w:top w:val="nil"/>
              <w:left w:val="nil"/>
              <w:bottom w:val="single" w:color="auto" w:sz="4" w:space="0"/>
              <w:right w:val="single" w:color="auto" w:sz="4" w:space="0"/>
            </w:tcBorders>
            <w:shd w:val="clear" w:color="auto" w:fill="auto"/>
          </w:tcPr>
          <w:p w14:paraId="31FBECA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16,282.26</w:t>
            </w:r>
          </w:p>
        </w:tc>
        <w:tc>
          <w:tcPr>
            <w:tcW w:w="0" w:type="auto"/>
            <w:tcBorders>
              <w:top w:val="nil"/>
              <w:left w:val="nil"/>
              <w:bottom w:val="single" w:color="auto" w:sz="4" w:space="0"/>
              <w:right w:val="single" w:color="auto" w:sz="4" w:space="0"/>
            </w:tcBorders>
            <w:shd w:val="clear" w:color="auto" w:fill="auto"/>
          </w:tcPr>
          <w:p w14:paraId="28B36EE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14,561.10</w:t>
            </w:r>
          </w:p>
        </w:tc>
        <w:tc>
          <w:tcPr>
            <w:tcW w:w="0" w:type="auto"/>
            <w:tcBorders>
              <w:top w:val="nil"/>
              <w:left w:val="nil"/>
              <w:bottom w:val="single" w:color="auto" w:sz="4" w:space="0"/>
              <w:right w:val="single" w:color="auto" w:sz="4" w:space="0"/>
            </w:tcBorders>
            <w:shd w:val="clear" w:color="auto" w:fill="auto"/>
          </w:tcPr>
          <w:p w14:paraId="06B28DC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14,786.68</w:t>
            </w:r>
          </w:p>
        </w:tc>
        <w:tc>
          <w:tcPr>
            <w:tcW w:w="0" w:type="auto"/>
            <w:tcBorders>
              <w:top w:val="nil"/>
              <w:left w:val="nil"/>
              <w:bottom w:val="single" w:color="auto" w:sz="4" w:space="0"/>
              <w:right w:val="single" w:color="auto" w:sz="4" w:space="0"/>
            </w:tcBorders>
            <w:shd w:val="clear" w:color="auto" w:fill="auto"/>
          </w:tcPr>
          <w:p w14:paraId="0AF4E5E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15,014.26</w:t>
            </w:r>
          </w:p>
        </w:tc>
      </w:tr>
      <w:tr w14:paraId="1A5D5DFD">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6C98B6F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0" w:type="auto"/>
            <w:tcBorders>
              <w:top w:val="nil"/>
              <w:left w:val="nil"/>
              <w:bottom w:val="single" w:color="auto" w:sz="4" w:space="0"/>
              <w:right w:val="single" w:color="auto" w:sz="4" w:space="0"/>
            </w:tcBorders>
            <w:shd w:val="clear" w:color="auto" w:fill="auto"/>
            <w:vAlign w:val="center"/>
          </w:tcPr>
          <w:p w14:paraId="39B032B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税金支出</w:t>
            </w:r>
          </w:p>
        </w:tc>
        <w:tc>
          <w:tcPr>
            <w:tcW w:w="0" w:type="auto"/>
            <w:tcBorders>
              <w:top w:val="nil"/>
              <w:left w:val="nil"/>
              <w:bottom w:val="single" w:color="auto" w:sz="4" w:space="0"/>
              <w:right w:val="single" w:color="auto" w:sz="4" w:space="0"/>
            </w:tcBorders>
            <w:shd w:val="clear" w:color="auto" w:fill="auto"/>
          </w:tcPr>
          <w:p w14:paraId="3796829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241D2BE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0E2A349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042FEEAE">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3DE445AE">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7951EE16">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5727C5F1">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2BE18372">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057C7E8A">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140F2A9C">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24E2582C">
            <w:pPr>
              <w:widowControl/>
              <w:spacing w:line="240" w:lineRule="auto"/>
              <w:ind w:firstLine="0" w:firstLineChars="0"/>
              <w:rPr>
                <w:rFonts w:hint="eastAsia" w:ascii="宋体" w:hAnsi="宋体" w:cs="宋体"/>
                <w:color w:val="000000"/>
                <w:kern w:val="0"/>
                <w:sz w:val="18"/>
                <w:szCs w:val="18"/>
              </w:rPr>
            </w:pPr>
          </w:p>
        </w:tc>
      </w:tr>
      <w:tr w14:paraId="3401E9BE">
        <w:tblPrEx>
          <w:tblCellMar>
            <w:top w:w="0" w:type="dxa"/>
            <w:left w:w="108" w:type="dxa"/>
            <w:bottom w:w="0" w:type="dxa"/>
            <w:right w:w="108" w:type="dxa"/>
          </w:tblCellMar>
        </w:tblPrEx>
        <w:trPr>
          <w:trHeight w:val="55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0AEB69C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0" w:type="auto"/>
            <w:tcBorders>
              <w:top w:val="nil"/>
              <w:left w:val="nil"/>
              <w:bottom w:val="single" w:color="auto" w:sz="4" w:space="0"/>
              <w:right w:val="single" w:color="auto" w:sz="4" w:space="0"/>
            </w:tcBorders>
            <w:shd w:val="clear" w:color="auto" w:fill="auto"/>
            <w:vAlign w:val="center"/>
          </w:tcPr>
          <w:p w14:paraId="04450FD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0" w:type="auto"/>
            <w:tcBorders>
              <w:top w:val="nil"/>
              <w:left w:val="nil"/>
              <w:bottom w:val="single" w:color="auto" w:sz="4" w:space="0"/>
              <w:right w:val="single" w:color="auto" w:sz="4" w:space="0"/>
            </w:tcBorders>
            <w:shd w:val="clear" w:color="auto" w:fill="auto"/>
          </w:tcPr>
          <w:p w14:paraId="687CA4A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1,095,993.06</w:t>
            </w:r>
          </w:p>
        </w:tc>
        <w:tc>
          <w:tcPr>
            <w:tcW w:w="0" w:type="auto"/>
            <w:tcBorders>
              <w:top w:val="nil"/>
              <w:left w:val="nil"/>
              <w:bottom w:val="single" w:color="auto" w:sz="4" w:space="0"/>
              <w:right w:val="single" w:color="auto" w:sz="4" w:space="0"/>
            </w:tcBorders>
            <w:shd w:val="clear" w:color="auto" w:fill="auto"/>
          </w:tcPr>
          <w:p w14:paraId="10C6ACA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71,127.12</w:t>
            </w:r>
          </w:p>
        </w:tc>
        <w:tc>
          <w:tcPr>
            <w:tcW w:w="0" w:type="auto"/>
            <w:tcBorders>
              <w:top w:val="nil"/>
              <w:left w:val="nil"/>
              <w:bottom w:val="single" w:color="auto" w:sz="4" w:space="0"/>
              <w:right w:val="single" w:color="auto" w:sz="4" w:space="0"/>
            </w:tcBorders>
            <w:shd w:val="clear" w:color="auto" w:fill="auto"/>
          </w:tcPr>
          <w:p w14:paraId="30DA962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168,188.69</w:t>
            </w:r>
          </w:p>
        </w:tc>
        <w:tc>
          <w:tcPr>
            <w:tcW w:w="0" w:type="auto"/>
            <w:tcBorders>
              <w:top w:val="nil"/>
              <w:left w:val="nil"/>
              <w:bottom w:val="single" w:color="auto" w:sz="4" w:space="0"/>
              <w:right w:val="single" w:color="auto" w:sz="4" w:space="0"/>
            </w:tcBorders>
            <w:shd w:val="clear" w:color="auto" w:fill="auto"/>
          </w:tcPr>
          <w:p w14:paraId="4CBE357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296,390.30</w:t>
            </w:r>
          </w:p>
        </w:tc>
        <w:tc>
          <w:tcPr>
            <w:tcW w:w="0" w:type="auto"/>
            <w:tcBorders>
              <w:top w:val="nil"/>
              <w:left w:val="nil"/>
              <w:bottom w:val="single" w:color="auto" w:sz="4" w:space="0"/>
              <w:right w:val="single" w:color="auto" w:sz="4" w:space="0"/>
            </w:tcBorders>
            <w:shd w:val="clear" w:color="auto" w:fill="auto"/>
          </w:tcPr>
          <w:p w14:paraId="38153ED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293,731.77</w:t>
            </w:r>
          </w:p>
        </w:tc>
        <w:tc>
          <w:tcPr>
            <w:tcW w:w="0" w:type="auto"/>
            <w:tcBorders>
              <w:top w:val="nil"/>
              <w:left w:val="nil"/>
              <w:bottom w:val="single" w:color="auto" w:sz="4" w:space="0"/>
              <w:right w:val="single" w:color="auto" w:sz="4" w:space="0"/>
            </w:tcBorders>
            <w:shd w:val="clear" w:color="auto" w:fill="auto"/>
          </w:tcPr>
          <w:p w14:paraId="2219861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266,555.18</w:t>
            </w:r>
          </w:p>
        </w:tc>
        <w:tc>
          <w:tcPr>
            <w:tcW w:w="0" w:type="auto"/>
            <w:tcBorders>
              <w:top w:val="nil"/>
              <w:left w:val="nil"/>
              <w:bottom w:val="single" w:color="auto" w:sz="4" w:space="0"/>
              <w:right w:val="single" w:color="auto" w:sz="4" w:space="0"/>
            </w:tcBorders>
            <w:shd w:val="clear" w:color="auto" w:fill="auto"/>
          </w:tcPr>
          <w:p w14:paraId="48391597">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50FE0C69">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3D2EE7B8">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4B7C53F0">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7BACECB6">
            <w:pPr>
              <w:widowControl/>
              <w:spacing w:line="240" w:lineRule="auto"/>
              <w:ind w:firstLine="0" w:firstLineChars="0"/>
              <w:rPr>
                <w:rFonts w:hint="eastAsia" w:ascii="宋体" w:hAnsi="宋体" w:cs="宋体"/>
                <w:color w:val="000000"/>
                <w:kern w:val="0"/>
                <w:sz w:val="18"/>
                <w:szCs w:val="18"/>
              </w:rPr>
            </w:pPr>
          </w:p>
        </w:tc>
      </w:tr>
      <w:tr w14:paraId="0ECC7717">
        <w:tblPrEx>
          <w:tblCellMar>
            <w:top w:w="0" w:type="dxa"/>
            <w:left w:w="108" w:type="dxa"/>
            <w:bottom w:w="0" w:type="dxa"/>
            <w:right w:w="108" w:type="dxa"/>
          </w:tblCellMar>
        </w:tblPrEx>
        <w:trPr>
          <w:trHeight w:val="55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4870FFF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0" w:type="auto"/>
            <w:tcBorders>
              <w:top w:val="nil"/>
              <w:left w:val="nil"/>
              <w:bottom w:val="single" w:color="auto" w:sz="4" w:space="0"/>
              <w:right w:val="single" w:color="auto" w:sz="4" w:space="0"/>
            </w:tcBorders>
            <w:shd w:val="clear" w:color="auto" w:fill="auto"/>
            <w:vAlign w:val="center"/>
          </w:tcPr>
          <w:p w14:paraId="32181CF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0" w:type="auto"/>
            <w:tcBorders>
              <w:top w:val="nil"/>
              <w:left w:val="nil"/>
              <w:bottom w:val="single" w:color="auto" w:sz="4" w:space="0"/>
              <w:right w:val="single" w:color="auto" w:sz="4" w:space="0"/>
            </w:tcBorders>
            <w:shd w:val="clear" w:color="auto" w:fill="auto"/>
          </w:tcPr>
          <w:p w14:paraId="621CFE9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746,606.75</w:t>
            </w:r>
          </w:p>
        </w:tc>
        <w:tc>
          <w:tcPr>
            <w:tcW w:w="0" w:type="auto"/>
            <w:tcBorders>
              <w:top w:val="nil"/>
              <w:left w:val="nil"/>
              <w:bottom w:val="single" w:color="auto" w:sz="4" w:space="0"/>
              <w:right w:val="single" w:color="auto" w:sz="4" w:space="0"/>
            </w:tcBorders>
            <w:shd w:val="clear" w:color="auto" w:fill="auto"/>
          </w:tcPr>
          <w:p w14:paraId="0D5F90D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264370F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3,583.24</w:t>
            </w:r>
          </w:p>
        </w:tc>
        <w:tc>
          <w:tcPr>
            <w:tcW w:w="0" w:type="auto"/>
            <w:tcBorders>
              <w:top w:val="nil"/>
              <w:left w:val="nil"/>
              <w:bottom w:val="single" w:color="auto" w:sz="4" w:space="0"/>
              <w:right w:val="single" w:color="auto" w:sz="4" w:space="0"/>
            </w:tcBorders>
            <w:shd w:val="clear" w:color="auto" w:fill="auto"/>
          </w:tcPr>
          <w:p w14:paraId="0451F28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6,342.96</w:t>
            </w:r>
          </w:p>
        </w:tc>
        <w:tc>
          <w:tcPr>
            <w:tcW w:w="0" w:type="auto"/>
            <w:tcBorders>
              <w:top w:val="nil"/>
              <w:left w:val="nil"/>
              <w:bottom w:val="single" w:color="auto" w:sz="4" w:space="0"/>
              <w:right w:val="single" w:color="auto" w:sz="4" w:space="0"/>
            </w:tcBorders>
            <w:shd w:val="clear" w:color="auto" w:fill="auto"/>
          </w:tcPr>
          <w:p w14:paraId="56D0DD8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10,867.96</w:t>
            </w:r>
          </w:p>
        </w:tc>
        <w:tc>
          <w:tcPr>
            <w:tcW w:w="0" w:type="auto"/>
            <w:tcBorders>
              <w:top w:val="nil"/>
              <w:left w:val="nil"/>
              <w:bottom w:val="single" w:color="auto" w:sz="4" w:space="0"/>
              <w:right w:val="single" w:color="auto" w:sz="4" w:space="0"/>
            </w:tcBorders>
            <w:shd w:val="clear" w:color="auto" w:fill="auto"/>
          </w:tcPr>
          <w:p w14:paraId="25CEA93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16,664.66</w:t>
            </w:r>
          </w:p>
        </w:tc>
        <w:tc>
          <w:tcPr>
            <w:tcW w:w="0" w:type="auto"/>
            <w:tcBorders>
              <w:top w:val="nil"/>
              <w:left w:val="nil"/>
              <w:bottom w:val="single" w:color="auto" w:sz="4" w:space="0"/>
              <w:right w:val="single" w:color="auto" w:sz="4" w:space="0"/>
            </w:tcBorders>
            <w:shd w:val="clear" w:color="auto" w:fill="auto"/>
          </w:tcPr>
          <w:p w14:paraId="043F109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32,242.27</w:t>
            </w:r>
          </w:p>
        </w:tc>
        <w:tc>
          <w:tcPr>
            <w:tcW w:w="0" w:type="auto"/>
            <w:tcBorders>
              <w:top w:val="nil"/>
              <w:left w:val="nil"/>
              <w:bottom w:val="single" w:color="auto" w:sz="4" w:space="0"/>
              <w:right w:val="single" w:color="auto" w:sz="4" w:space="0"/>
            </w:tcBorders>
            <w:shd w:val="clear" w:color="auto" w:fill="auto"/>
          </w:tcPr>
          <w:p w14:paraId="026BD6E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39,726.89</w:t>
            </w:r>
          </w:p>
        </w:tc>
        <w:tc>
          <w:tcPr>
            <w:tcW w:w="0" w:type="auto"/>
            <w:tcBorders>
              <w:top w:val="nil"/>
              <w:left w:val="nil"/>
              <w:bottom w:val="single" w:color="auto" w:sz="4" w:space="0"/>
              <w:right w:val="single" w:color="auto" w:sz="4" w:space="0"/>
            </w:tcBorders>
            <w:shd w:val="clear" w:color="auto" w:fill="auto"/>
          </w:tcPr>
          <w:p w14:paraId="7E21482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38,492.66</w:t>
            </w:r>
          </w:p>
        </w:tc>
        <w:tc>
          <w:tcPr>
            <w:tcW w:w="0" w:type="auto"/>
            <w:tcBorders>
              <w:top w:val="nil"/>
              <w:left w:val="nil"/>
              <w:bottom w:val="single" w:color="auto" w:sz="4" w:space="0"/>
              <w:right w:val="single" w:color="auto" w:sz="4" w:space="0"/>
            </w:tcBorders>
            <w:shd w:val="clear" w:color="auto" w:fill="auto"/>
          </w:tcPr>
          <w:p w14:paraId="5DD98B8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37,875.47</w:t>
            </w:r>
          </w:p>
        </w:tc>
        <w:tc>
          <w:tcPr>
            <w:tcW w:w="0" w:type="auto"/>
            <w:tcBorders>
              <w:top w:val="nil"/>
              <w:left w:val="nil"/>
              <w:bottom w:val="single" w:color="auto" w:sz="4" w:space="0"/>
              <w:right w:val="single" w:color="auto" w:sz="4" w:space="0"/>
            </w:tcBorders>
            <w:shd w:val="clear" w:color="auto" w:fill="auto"/>
          </w:tcPr>
          <w:p w14:paraId="7DCBCEE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37,258.28</w:t>
            </w:r>
          </w:p>
        </w:tc>
      </w:tr>
      <w:tr w14:paraId="4081D3D3">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55016FD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3.1</w:t>
            </w:r>
          </w:p>
        </w:tc>
        <w:tc>
          <w:tcPr>
            <w:tcW w:w="0" w:type="auto"/>
            <w:tcBorders>
              <w:top w:val="nil"/>
              <w:left w:val="nil"/>
              <w:bottom w:val="single" w:color="auto" w:sz="4" w:space="0"/>
              <w:right w:val="single" w:color="auto" w:sz="4" w:space="0"/>
            </w:tcBorders>
            <w:shd w:val="clear" w:color="auto" w:fill="auto"/>
            <w:vAlign w:val="center"/>
          </w:tcPr>
          <w:p w14:paraId="332B833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债券发行费用</w:t>
            </w:r>
          </w:p>
        </w:tc>
        <w:tc>
          <w:tcPr>
            <w:tcW w:w="0" w:type="auto"/>
            <w:tcBorders>
              <w:top w:val="nil"/>
              <w:left w:val="nil"/>
              <w:bottom w:val="single" w:color="auto" w:sz="4" w:space="0"/>
              <w:right w:val="single" w:color="auto" w:sz="4" w:space="0"/>
            </w:tcBorders>
            <w:shd w:val="clear" w:color="auto" w:fill="auto"/>
          </w:tcPr>
          <w:p w14:paraId="27548F3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220.00</w:t>
            </w:r>
          </w:p>
        </w:tc>
        <w:tc>
          <w:tcPr>
            <w:tcW w:w="0" w:type="auto"/>
            <w:tcBorders>
              <w:top w:val="nil"/>
              <w:left w:val="nil"/>
              <w:bottom w:val="single" w:color="auto" w:sz="4" w:space="0"/>
              <w:right w:val="single" w:color="auto" w:sz="4" w:space="0"/>
            </w:tcBorders>
            <w:shd w:val="clear" w:color="auto" w:fill="auto"/>
          </w:tcPr>
          <w:p w14:paraId="72083050">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3F32516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131.60</w:t>
            </w:r>
          </w:p>
        </w:tc>
        <w:tc>
          <w:tcPr>
            <w:tcW w:w="0" w:type="auto"/>
            <w:tcBorders>
              <w:top w:val="nil"/>
              <w:left w:val="nil"/>
              <w:bottom w:val="single" w:color="auto" w:sz="4" w:space="0"/>
              <w:right w:val="single" w:color="auto" w:sz="4" w:space="0"/>
            </w:tcBorders>
            <w:shd w:val="clear" w:color="auto" w:fill="auto"/>
          </w:tcPr>
          <w:p w14:paraId="08694B9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29.00</w:t>
            </w:r>
          </w:p>
        </w:tc>
        <w:tc>
          <w:tcPr>
            <w:tcW w:w="0" w:type="auto"/>
            <w:tcBorders>
              <w:top w:val="nil"/>
              <w:left w:val="nil"/>
              <w:bottom w:val="single" w:color="auto" w:sz="4" w:space="0"/>
              <w:right w:val="single" w:color="auto" w:sz="4" w:space="0"/>
            </w:tcBorders>
            <w:shd w:val="clear" w:color="auto" w:fill="auto"/>
          </w:tcPr>
          <w:p w14:paraId="4A848BC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40.00</w:t>
            </w:r>
          </w:p>
        </w:tc>
        <w:tc>
          <w:tcPr>
            <w:tcW w:w="0" w:type="auto"/>
            <w:tcBorders>
              <w:top w:val="nil"/>
              <w:left w:val="nil"/>
              <w:bottom w:val="single" w:color="auto" w:sz="4" w:space="0"/>
              <w:right w:val="single" w:color="auto" w:sz="4" w:space="0"/>
            </w:tcBorders>
            <w:shd w:val="clear" w:color="auto" w:fill="auto"/>
          </w:tcPr>
          <w:p w14:paraId="59F45C6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19.40</w:t>
            </w:r>
          </w:p>
        </w:tc>
        <w:tc>
          <w:tcPr>
            <w:tcW w:w="0" w:type="auto"/>
            <w:tcBorders>
              <w:top w:val="nil"/>
              <w:left w:val="nil"/>
              <w:bottom w:val="single" w:color="auto" w:sz="4" w:space="0"/>
              <w:right w:val="single" w:color="auto" w:sz="4" w:space="0"/>
            </w:tcBorders>
            <w:shd w:val="clear" w:color="auto" w:fill="auto"/>
          </w:tcPr>
          <w:p w14:paraId="0E893A27">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4188AB22">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3319FD56">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071898BF">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55A89C52">
            <w:pPr>
              <w:widowControl/>
              <w:spacing w:line="240" w:lineRule="auto"/>
              <w:ind w:firstLine="0" w:firstLineChars="0"/>
              <w:rPr>
                <w:rFonts w:hint="eastAsia" w:ascii="宋体" w:hAnsi="宋体" w:cs="宋体"/>
                <w:color w:val="000000"/>
                <w:kern w:val="0"/>
                <w:sz w:val="18"/>
                <w:szCs w:val="18"/>
              </w:rPr>
            </w:pPr>
          </w:p>
        </w:tc>
      </w:tr>
      <w:tr w14:paraId="22C35655">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4FA81DE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3.2</w:t>
            </w:r>
          </w:p>
        </w:tc>
        <w:tc>
          <w:tcPr>
            <w:tcW w:w="0" w:type="auto"/>
            <w:tcBorders>
              <w:top w:val="nil"/>
              <w:left w:val="nil"/>
              <w:bottom w:val="single" w:color="auto" w:sz="4" w:space="0"/>
              <w:right w:val="single" w:color="auto" w:sz="4" w:space="0"/>
            </w:tcBorders>
            <w:shd w:val="clear" w:color="auto" w:fill="auto"/>
            <w:vAlign w:val="center"/>
          </w:tcPr>
          <w:p w14:paraId="7F90992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偿还债券本金</w:t>
            </w:r>
          </w:p>
        </w:tc>
        <w:tc>
          <w:tcPr>
            <w:tcW w:w="0" w:type="auto"/>
            <w:tcBorders>
              <w:top w:val="nil"/>
              <w:left w:val="nil"/>
              <w:bottom w:val="single" w:color="auto" w:sz="4" w:space="0"/>
              <w:right w:val="single" w:color="auto" w:sz="4" w:space="0"/>
            </w:tcBorders>
            <w:shd w:val="clear" w:color="auto" w:fill="auto"/>
          </w:tcPr>
          <w:p w14:paraId="69509D1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220,000.00</w:t>
            </w:r>
          </w:p>
        </w:tc>
        <w:tc>
          <w:tcPr>
            <w:tcW w:w="0" w:type="auto"/>
            <w:tcBorders>
              <w:top w:val="nil"/>
              <w:left w:val="nil"/>
              <w:bottom w:val="single" w:color="auto" w:sz="4" w:space="0"/>
              <w:right w:val="single" w:color="auto" w:sz="4" w:space="0"/>
            </w:tcBorders>
            <w:shd w:val="clear" w:color="auto" w:fill="auto"/>
          </w:tcPr>
          <w:p w14:paraId="54A7B4CD">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noWrap/>
          </w:tcPr>
          <w:p w14:paraId="40D00BD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noWrap/>
          </w:tcPr>
          <w:p w14:paraId="0862279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noWrap/>
          </w:tcPr>
          <w:p w14:paraId="3896B84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noWrap/>
          </w:tcPr>
          <w:p w14:paraId="0929755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noWrap/>
          </w:tcPr>
          <w:p w14:paraId="168808E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noWrap/>
          </w:tcPr>
          <w:p w14:paraId="7BCABF3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600.00</w:t>
            </w:r>
          </w:p>
        </w:tc>
        <w:tc>
          <w:tcPr>
            <w:tcW w:w="0" w:type="auto"/>
            <w:tcBorders>
              <w:top w:val="nil"/>
              <w:left w:val="nil"/>
              <w:bottom w:val="single" w:color="auto" w:sz="4" w:space="0"/>
              <w:right w:val="single" w:color="auto" w:sz="4" w:space="0"/>
            </w:tcBorders>
            <w:shd w:val="clear" w:color="auto" w:fill="auto"/>
            <w:noWrap/>
          </w:tcPr>
          <w:p w14:paraId="2C16826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noWrap/>
          </w:tcPr>
          <w:p w14:paraId="7694EEE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noWrap/>
          </w:tcPr>
          <w:p w14:paraId="4A9DCCB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781D7463">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3AD3CA2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3.3</w:t>
            </w:r>
          </w:p>
        </w:tc>
        <w:tc>
          <w:tcPr>
            <w:tcW w:w="0" w:type="auto"/>
            <w:tcBorders>
              <w:top w:val="nil"/>
              <w:left w:val="nil"/>
              <w:bottom w:val="single" w:color="auto" w:sz="4" w:space="0"/>
              <w:right w:val="single" w:color="auto" w:sz="4" w:space="0"/>
            </w:tcBorders>
            <w:shd w:val="clear" w:color="auto" w:fill="auto"/>
            <w:vAlign w:val="center"/>
          </w:tcPr>
          <w:p w14:paraId="69FF1AC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支付债券利息</w:t>
            </w:r>
          </w:p>
        </w:tc>
        <w:tc>
          <w:tcPr>
            <w:tcW w:w="0" w:type="auto"/>
            <w:tcBorders>
              <w:top w:val="nil"/>
              <w:left w:val="nil"/>
              <w:bottom w:val="single" w:color="auto" w:sz="4" w:space="0"/>
              <w:right w:val="single" w:color="auto" w:sz="4" w:space="0"/>
            </w:tcBorders>
            <w:shd w:val="clear" w:color="auto" w:fill="auto"/>
          </w:tcPr>
          <w:p w14:paraId="7AB216C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80,312.58</w:t>
            </w:r>
          </w:p>
        </w:tc>
        <w:tc>
          <w:tcPr>
            <w:tcW w:w="0" w:type="auto"/>
            <w:tcBorders>
              <w:top w:val="nil"/>
              <w:left w:val="nil"/>
              <w:bottom w:val="single" w:color="auto" w:sz="4" w:space="0"/>
              <w:right w:val="single" w:color="auto" w:sz="4" w:space="0"/>
            </w:tcBorders>
            <w:shd w:val="clear" w:color="auto" w:fill="auto"/>
          </w:tcPr>
          <w:p w14:paraId="1D1FF69B">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noWrap/>
          </w:tcPr>
          <w:p w14:paraId="6E4461F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2,401.22</w:t>
            </w:r>
          </w:p>
        </w:tc>
        <w:tc>
          <w:tcPr>
            <w:tcW w:w="0" w:type="auto"/>
            <w:tcBorders>
              <w:top w:val="nil"/>
              <w:left w:val="nil"/>
              <w:bottom w:val="single" w:color="auto" w:sz="4" w:space="0"/>
              <w:right w:val="single" w:color="auto" w:sz="4" w:space="0"/>
            </w:tcBorders>
            <w:shd w:val="clear" w:color="auto" w:fill="auto"/>
            <w:noWrap/>
          </w:tcPr>
          <w:p w14:paraId="506F096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3,961.54</w:t>
            </w:r>
          </w:p>
        </w:tc>
        <w:tc>
          <w:tcPr>
            <w:tcW w:w="0" w:type="auto"/>
            <w:tcBorders>
              <w:top w:val="nil"/>
              <w:left w:val="nil"/>
              <w:bottom w:val="single" w:color="auto" w:sz="4" w:space="0"/>
              <w:right w:val="single" w:color="auto" w:sz="4" w:space="0"/>
            </w:tcBorders>
            <w:shd w:val="clear" w:color="auto" w:fill="auto"/>
            <w:noWrap/>
          </w:tcPr>
          <w:p w14:paraId="4EC8E27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4,821.54</w:t>
            </w:r>
          </w:p>
        </w:tc>
        <w:tc>
          <w:tcPr>
            <w:tcW w:w="0" w:type="auto"/>
            <w:tcBorders>
              <w:top w:val="nil"/>
              <w:left w:val="nil"/>
              <w:bottom w:val="single" w:color="auto" w:sz="4" w:space="0"/>
              <w:right w:val="single" w:color="auto" w:sz="4" w:space="0"/>
            </w:tcBorders>
            <w:shd w:val="clear" w:color="auto" w:fill="auto"/>
            <w:noWrap/>
          </w:tcPr>
          <w:p w14:paraId="0BA53A4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6,098.64</w:t>
            </w:r>
          </w:p>
        </w:tc>
        <w:tc>
          <w:tcPr>
            <w:tcW w:w="0" w:type="auto"/>
            <w:tcBorders>
              <w:top w:val="nil"/>
              <w:left w:val="nil"/>
              <w:bottom w:val="single" w:color="auto" w:sz="4" w:space="0"/>
              <w:right w:val="single" w:color="auto" w:sz="4" w:space="0"/>
            </w:tcBorders>
            <w:shd w:val="clear" w:color="auto" w:fill="auto"/>
            <w:noWrap/>
          </w:tcPr>
          <w:p w14:paraId="5CB9E5C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6,515.74</w:t>
            </w:r>
          </w:p>
        </w:tc>
        <w:tc>
          <w:tcPr>
            <w:tcW w:w="0" w:type="auto"/>
            <w:tcBorders>
              <w:top w:val="nil"/>
              <w:left w:val="nil"/>
              <w:bottom w:val="single" w:color="auto" w:sz="4" w:space="0"/>
              <w:right w:val="single" w:color="auto" w:sz="4" w:space="0"/>
            </w:tcBorders>
            <w:shd w:val="clear" w:color="auto" w:fill="auto"/>
            <w:noWrap/>
          </w:tcPr>
          <w:p w14:paraId="62B1B6C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6,515.74</w:t>
            </w:r>
          </w:p>
        </w:tc>
        <w:tc>
          <w:tcPr>
            <w:tcW w:w="0" w:type="auto"/>
            <w:tcBorders>
              <w:top w:val="nil"/>
              <w:left w:val="nil"/>
              <w:bottom w:val="single" w:color="auto" w:sz="4" w:space="0"/>
              <w:right w:val="single" w:color="auto" w:sz="4" w:space="0"/>
            </w:tcBorders>
            <w:shd w:val="clear" w:color="auto" w:fill="auto"/>
            <w:noWrap/>
          </w:tcPr>
          <w:p w14:paraId="56BE9B5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6,498.70</w:t>
            </w:r>
          </w:p>
        </w:tc>
        <w:tc>
          <w:tcPr>
            <w:tcW w:w="0" w:type="auto"/>
            <w:tcBorders>
              <w:top w:val="nil"/>
              <w:left w:val="nil"/>
              <w:bottom w:val="single" w:color="auto" w:sz="4" w:space="0"/>
              <w:right w:val="single" w:color="auto" w:sz="4" w:space="0"/>
            </w:tcBorders>
            <w:shd w:val="clear" w:color="auto" w:fill="auto"/>
            <w:noWrap/>
          </w:tcPr>
          <w:p w14:paraId="6959E2F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6,498.70</w:t>
            </w:r>
          </w:p>
        </w:tc>
        <w:tc>
          <w:tcPr>
            <w:tcW w:w="0" w:type="auto"/>
            <w:tcBorders>
              <w:top w:val="nil"/>
              <w:left w:val="nil"/>
              <w:bottom w:val="single" w:color="auto" w:sz="4" w:space="0"/>
              <w:right w:val="single" w:color="auto" w:sz="4" w:space="0"/>
            </w:tcBorders>
            <w:shd w:val="clear" w:color="auto" w:fill="auto"/>
            <w:noWrap/>
          </w:tcPr>
          <w:p w14:paraId="38643A4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6,498.70</w:t>
            </w:r>
          </w:p>
        </w:tc>
      </w:tr>
      <w:tr w14:paraId="5E421B04">
        <w:tblPrEx>
          <w:tblCellMar>
            <w:top w:w="0" w:type="dxa"/>
            <w:left w:w="108" w:type="dxa"/>
            <w:bottom w:w="0" w:type="dxa"/>
            <w:right w:w="108" w:type="dxa"/>
          </w:tblCellMar>
        </w:tblPrEx>
        <w:trPr>
          <w:trHeight w:val="540"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1D06E0B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3.4</w:t>
            </w:r>
          </w:p>
        </w:tc>
        <w:tc>
          <w:tcPr>
            <w:tcW w:w="0" w:type="auto"/>
            <w:tcBorders>
              <w:top w:val="nil"/>
              <w:left w:val="nil"/>
              <w:bottom w:val="single" w:color="auto" w:sz="4" w:space="0"/>
              <w:right w:val="single" w:color="auto" w:sz="4" w:space="0"/>
            </w:tcBorders>
            <w:shd w:val="clear" w:color="auto" w:fill="auto"/>
            <w:vAlign w:val="center"/>
          </w:tcPr>
          <w:p w14:paraId="2BE6C15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0" w:type="auto"/>
            <w:tcBorders>
              <w:top w:val="nil"/>
              <w:left w:val="nil"/>
              <w:bottom w:val="single" w:color="auto" w:sz="4" w:space="0"/>
              <w:right w:val="single" w:color="auto" w:sz="4" w:space="0"/>
            </w:tcBorders>
            <w:shd w:val="clear" w:color="auto" w:fill="auto"/>
          </w:tcPr>
          <w:p w14:paraId="4E93F4A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213,077.79</w:t>
            </w:r>
          </w:p>
        </w:tc>
        <w:tc>
          <w:tcPr>
            <w:tcW w:w="0" w:type="auto"/>
            <w:tcBorders>
              <w:top w:val="nil"/>
              <w:left w:val="nil"/>
              <w:bottom w:val="single" w:color="auto" w:sz="4" w:space="0"/>
              <w:right w:val="single" w:color="auto" w:sz="4" w:space="0"/>
            </w:tcBorders>
            <w:shd w:val="clear" w:color="auto" w:fill="auto"/>
          </w:tcPr>
          <w:p w14:paraId="1D1E9B64">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3A3C1F8C">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2F931DFE">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39F274D6">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tcPr>
          <w:p w14:paraId="25790E3C">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noWrap/>
          </w:tcPr>
          <w:p w14:paraId="3023DB2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7,347.51</w:t>
            </w:r>
          </w:p>
        </w:tc>
        <w:tc>
          <w:tcPr>
            <w:tcW w:w="0" w:type="auto"/>
            <w:tcBorders>
              <w:top w:val="nil"/>
              <w:left w:val="nil"/>
              <w:bottom w:val="single" w:color="auto" w:sz="4" w:space="0"/>
              <w:right w:val="single" w:color="auto" w:sz="4" w:space="0"/>
            </w:tcBorders>
            <w:shd w:val="clear" w:color="auto" w:fill="auto"/>
            <w:noWrap/>
          </w:tcPr>
          <w:p w14:paraId="6A9A57D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0" w:type="auto"/>
            <w:tcBorders>
              <w:top w:val="nil"/>
              <w:left w:val="nil"/>
              <w:bottom w:val="single" w:color="auto" w:sz="4" w:space="0"/>
              <w:right w:val="single" w:color="auto" w:sz="4" w:space="0"/>
            </w:tcBorders>
            <w:shd w:val="clear" w:color="auto" w:fill="auto"/>
            <w:noWrap/>
          </w:tcPr>
          <w:p w14:paraId="3E284DD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0" w:type="auto"/>
            <w:tcBorders>
              <w:top w:val="nil"/>
              <w:left w:val="nil"/>
              <w:bottom w:val="single" w:color="auto" w:sz="4" w:space="0"/>
              <w:right w:val="single" w:color="auto" w:sz="4" w:space="0"/>
            </w:tcBorders>
            <w:shd w:val="clear" w:color="auto" w:fill="auto"/>
            <w:noWrap/>
          </w:tcPr>
          <w:p w14:paraId="2B3FD5B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0" w:type="auto"/>
            <w:tcBorders>
              <w:top w:val="nil"/>
              <w:left w:val="nil"/>
              <w:bottom w:val="single" w:color="auto" w:sz="4" w:space="0"/>
              <w:right w:val="single" w:color="auto" w:sz="4" w:space="0"/>
            </w:tcBorders>
            <w:shd w:val="clear" w:color="auto" w:fill="auto"/>
            <w:noWrap/>
          </w:tcPr>
          <w:p w14:paraId="4AF619A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r>
      <w:tr w14:paraId="34B7B205">
        <w:tblPrEx>
          <w:tblCellMar>
            <w:top w:w="0" w:type="dxa"/>
            <w:left w:w="108" w:type="dxa"/>
            <w:bottom w:w="0" w:type="dxa"/>
            <w:right w:w="108" w:type="dxa"/>
          </w:tblCellMar>
        </w:tblPrEx>
        <w:trPr>
          <w:trHeight w:val="55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2913470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3.5</w:t>
            </w:r>
          </w:p>
        </w:tc>
        <w:tc>
          <w:tcPr>
            <w:tcW w:w="0" w:type="auto"/>
            <w:tcBorders>
              <w:top w:val="nil"/>
              <w:left w:val="nil"/>
              <w:bottom w:val="single" w:color="auto" w:sz="4" w:space="0"/>
              <w:right w:val="single" w:color="auto" w:sz="4" w:space="0"/>
            </w:tcBorders>
            <w:shd w:val="clear" w:color="auto" w:fill="auto"/>
            <w:vAlign w:val="center"/>
          </w:tcPr>
          <w:p w14:paraId="639820C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0" w:type="auto"/>
            <w:tcBorders>
              <w:top w:val="nil"/>
              <w:left w:val="nil"/>
              <w:bottom w:val="single" w:color="auto" w:sz="4" w:space="0"/>
              <w:right w:val="single" w:color="auto" w:sz="4" w:space="0"/>
            </w:tcBorders>
            <w:shd w:val="clear" w:color="auto" w:fill="auto"/>
          </w:tcPr>
          <w:p w14:paraId="5E2E07D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232,996.38</w:t>
            </w:r>
          </w:p>
        </w:tc>
        <w:tc>
          <w:tcPr>
            <w:tcW w:w="0" w:type="auto"/>
            <w:tcBorders>
              <w:top w:val="nil"/>
              <w:left w:val="nil"/>
              <w:bottom w:val="single" w:color="auto" w:sz="4" w:space="0"/>
              <w:right w:val="single" w:color="auto" w:sz="4" w:space="0"/>
            </w:tcBorders>
            <w:shd w:val="clear" w:color="auto" w:fill="auto"/>
          </w:tcPr>
          <w:p w14:paraId="26F0DBD7">
            <w:pPr>
              <w:widowControl/>
              <w:spacing w:line="240" w:lineRule="auto"/>
              <w:ind w:firstLine="0" w:firstLineChars="0"/>
              <w:rPr>
                <w:rFonts w:hint="eastAsia" w:ascii="宋体" w:hAnsi="宋体" w:cs="宋体"/>
                <w:color w:val="000000"/>
                <w:kern w:val="0"/>
                <w:sz w:val="18"/>
                <w:szCs w:val="18"/>
              </w:rPr>
            </w:pPr>
          </w:p>
        </w:tc>
        <w:tc>
          <w:tcPr>
            <w:tcW w:w="0" w:type="auto"/>
            <w:tcBorders>
              <w:top w:val="nil"/>
              <w:left w:val="nil"/>
              <w:bottom w:val="single" w:color="auto" w:sz="4" w:space="0"/>
              <w:right w:val="single" w:color="auto" w:sz="4" w:space="0"/>
            </w:tcBorders>
            <w:shd w:val="clear" w:color="auto" w:fill="auto"/>
            <w:noWrap/>
          </w:tcPr>
          <w:p w14:paraId="012E9B2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1,050.42</w:t>
            </w:r>
          </w:p>
        </w:tc>
        <w:tc>
          <w:tcPr>
            <w:tcW w:w="0" w:type="auto"/>
            <w:tcBorders>
              <w:top w:val="nil"/>
              <w:left w:val="nil"/>
              <w:bottom w:val="single" w:color="auto" w:sz="4" w:space="0"/>
              <w:right w:val="single" w:color="auto" w:sz="4" w:space="0"/>
            </w:tcBorders>
            <w:shd w:val="clear" w:color="auto" w:fill="auto"/>
            <w:noWrap/>
          </w:tcPr>
          <w:p w14:paraId="7403DF8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2,352.42</w:t>
            </w:r>
          </w:p>
        </w:tc>
        <w:tc>
          <w:tcPr>
            <w:tcW w:w="0" w:type="auto"/>
            <w:tcBorders>
              <w:top w:val="nil"/>
              <w:left w:val="nil"/>
              <w:bottom w:val="single" w:color="auto" w:sz="4" w:space="0"/>
              <w:right w:val="single" w:color="auto" w:sz="4" w:space="0"/>
            </w:tcBorders>
            <w:shd w:val="clear" w:color="auto" w:fill="auto"/>
            <w:noWrap/>
          </w:tcPr>
          <w:p w14:paraId="53A3BB4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6,006.42</w:t>
            </w:r>
          </w:p>
        </w:tc>
        <w:tc>
          <w:tcPr>
            <w:tcW w:w="0" w:type="auto"/>
            <w:tcBorders>
              <w:top w:val="nil"/>
              <w:left w:val="nil"/>
              <w:bottom w:val="single" w:color="auto" w:sz="4" w:space="0"/>
              <w:right w:val="single" w:color="auto" w:sz="4" w:space="0"/>
            </w:tcBorders>
            <w:shd w:val="clear" w:color="auto" w:fill="auto"/>
            <w:noWrap/>
          </w:tcPr>
          <w:p w14:paraId="4B555C4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10,546.62</w:t>
            </w:r>
          </w:p>
        </w:tc>
        <w:tc>
          <w:tcPr>
            <w:tcW w:w="0" w:type="auto"/>
            <w:tcBorders>
              <w:top w:val="nil"/>
              <w:left w:val="nil"/>
              <w:bottom w:val="single" w:color="auto" w:sz="4" w:space="0"/>
              <w:right w:val="single" w:color="auto" w:sz="4" w:space="0"/>
            </w:tcBorders>
            <w:shd w:val="clear" w:color="auto" w:fill="auto"/>
            <w:noWrap/>
          </w:tcPr>
          <w:p w14:paraId="24C0F6F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18,379.02</w:t>
            </w:r>
          </w:p>
        </w:tc>
        <w:tc>
          <w:tcPr>
            <w:tcW w:w="0" w:type="auto"/>
            <w:tcBorders>
              <w:top w:val="nil"/>
              <w:left w:val="nil"/>
              <w:bottom w:val="single" w:color="auto" w:sz="4" w:space="0"/>
              <w:right w:val="single" w:color="auto" w:sz="4" w:space="0"/>
            </w:tcBorders>
            <w:shd w:val="clear" w:color="auto" w:fill="auto"/>
            <w:noWrap/>
          </w:tcPr>
          <w:p w14:paraId="19CE406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17,916.13</w:t>
            </w:r>
          </w:p>
        </w:tc>
        <w:tc>
          <w:tcPr>
            <w:tcW w:w="0" w:type="auto"/>
            <w:tcBorders>
              <w:top w:val="nil"/>
              <w:left w:val="nil"/>
              <w:bottom w:val="single" w:color="auto" w:sz="4" w:space="0"/>
              <w:right w:val="single" w:color="auto" w:sz="4" w:space="0"/>
            </w:tcBorders>
            <w:shd w:val="clear" w:color="auto" w:fill="auto"/>
            <w:noWrap/>
          </w:tcPr>
          <w:p w14:paraId="1889D33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17,298.94</w:t>
            </w:r>
          </w:p>
        </w:tc>
        <w:tc>
          <w:tcPr>
            <w:tcW w:w="0" w:type="auto"/>
            <w:tcBorders>
              <w:top w:val="nil"/>
              <w:left w:val="nil"/>
              <w:bottom w:val="single" w:color="auto" w:sz="4" w:space="0"/>
              <w:right w:val="single" w:color="auto" w:sz="4" w:space="0"/>
            </w:tcBorders>
            <w:shd w:val="clear" w:color="auto" w:fill="auto"/>
            <w:noWrap/>
          </w:tcPr>
          <w:p w14:paraId="7A789B0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16,681.75</w:t>
            </w:r>
          </w:p>
        </w:tc>
        <w:tc>
          <w:tcPr>
            <w:tcW w:w="0" w:type="auto"/>
            <w:tcBorders>
              <w:top w:val="nil"/>
              <w:left w:val="nil"/>
              <w:bottom w:val="single" w:color="auto" w:sz="4" w:space="0"/>
              <w:right w:val="single" w:color="auto" w:sz="4" w:space="0"/>
            </w:tcBorders>
            <w:shd w:val="clear" w:color="auto" w:fill="auto"/>
            <w:noWrap/>
          </w:tcPr>
          <w:p w14:paraId="7FDF4DC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16,064.56</w:t>
            </w:r>
          </w:p>
        </w:tc>
      </w:tr>
      <w:tr w14:paraId="4E9698B7">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063544D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三</w:t>
            </w:r>
          </w:p>
        </w:tc>
        <w:tc>
          <w:tcPr>
            <w:tcW w:w="0" w:type="auto"/>
            <w:tcBorders>
              <w:top w:val="nil"/>
              <w:left w:val="nil"/>
              <w:bottom w:val="single" w:color="auto" w:sz="4" w:space="0"/>
              <w:right w:val="single" w:color="auto" w:sz="4" w:space="0"/>
            </w:tcBorders>
            <w:shd w:val="clear" w:color="auto" w:fill="auto"/>
            <w:vAlign w:val="center"/>
          </w:tcPr>
          <w:p w14:paraId="449F53A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当期现金结余</w:t>
            </w:r>
          </w:p>
        </w:tc>
        <w:tc>
          <w:tcPr>
            <w:tcW w:w="0" w:type="auto"/>
            <w:tcBorders>
              <w:top w:val="nil"/>
              <w:left w:val="nil"/>
              <w:bottom w:val="single" w:color="auto" w:sz="4" w:space="0"/>
              <w:right w:val="single" w:color="auto" w:sz="4" w:space="0"/>
            </w:tcBorders>
            <w:shd w:val="clear" w:color="auto" w:fill="auto"/>
          </w:tcPr>
          <w:p w14:paraId="2F58520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347,874.22</w:t>
            </w:r>
          </w:p>
        </w:tc>
        <w:tc>
          <w:tcPr>
            <w:tcW w:w="0" w:type="auto"/>
            <w:tcBorders>
              <w:top w:val="nil"/>
              <w:left w:val="nil"/>
              <w:bottom w:val="single" w:color="auto" w:sz="4" w:space="0"/>
              <w:right w:val="single" w:color="auto" w:sz="4" w:space="0"/>
            </w:tcBorders>
            <w:shd w:val="clear" w:color="auto" w:fill="auto"/>
          </w:tcPr>
          <w:p w14:paraId="6A4FD12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131698C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-3,583.24</w:t>
            </w:r>
          </w:p>
        </w:tc>
        <w:tc>
          <w:tcPr>
            <w:tcW w:w="0" w:type="auto"/>
            <w:tcBorders>
              <w:top w:val="nil"/>
              <w:left w:val="nil"/>
              <w:bottom w:val="single" w:color="auto" w:sz="4" w:space="0"/>
              <w:right w:val="single" w:color="auto" w:sz="4" w:space="0"/>
            </w:tcBorders>
            <w:shd w:val="clear" w:color="auto" w:fill="auto"/>
          </w:tcPr>
          <w:p w14:paraId="64EF260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-6,342.96</w:t>
            </w:r>
          </w:p>
        </w:tc>
        <w:tc>
          <w:tcPr>
            <w:tcW w:w="0" w:type="auto"/>
            <w:tcBorders>
              <w:top w:val="nil"/>
              <w:left w:val="nil"/>
              <w:bottom w:val="single" w:color="auto" w:sz="4" w:space="0"/>
              <w:right w:val="single" w:color="auto" w:sz="4" w:space="0"/>
            </w:tcBorders>
            <w:shd w:val="clear" w:color="auto" w:fill="auto"/>
          </w:tcPr>
          <w:p w14:paraId="4593262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-10,867.96</w:t>
            </w:r>
          </w:p>
        </w:tc>
        <w:tc>
          <w:tcPr>
            <w:tcW w:w="0" w:type="auto"/>
            <w:tcBorders>
              <w:top w:val="nil"/>
              <w:left w:val="nil"/>
              <w:bottom w:val="single" w:color="auto" w:sz="4" w:space="0"/>
              <w:right w:val="single" w:color="auto" w:sz="4" w:space="0"/>
            </w:tcBorders>
            <w:shd w:val="clear" w:color="auto" w:fill="auto"/>
          </w:tcPr>
          <w:p w14:paraId="392A60F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-16,664.66</w:t>
            </w:r>
          </w:p>
        </w:tc>
        <w:tc>
          <w:tcPr>
            <w:tcW w:w="0" w:type="auto"/>
            <w:tcBorders>
              <w:top w:val="nil"/>
              <w:left w:val="nil"/>
              <w:bottom w:val="single" w:color="auto" w:sz="4" w:space="0"/>
              <w:right w:val="single" w:color="auto" w:sz="4" w:space="0"/>
            </w:tcBorders>
            <w:shd w:val="clear" w:color="auto" w:fill="auto"/>
          </w:tcPr>
          <w:p w14:paraId="29D66DD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57,659.80</w:t>
            </w:r>
          </w:p>
        </w:tc>
        <w:tc>
          <w:tcPr>
            <w:tcW w:w="0" w:type="auto"/>
            <w:tcBorders>
              <w:top w:val="nil"/>
              <w:left w:val="nil"/>
              <w:bottom w:val="single" w:color="auto" w:sz="4" w:space="0"/>
              <w:right w:val="single" w:color="auto" w:sz="4" w:space="0"/>
            </w:tcBorders>
            <w:shd w:val="clear" w:color="auto" w:fill="auto"/>
          </w:tcPr>
          <w:p w14:paraId="2240E55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27,982.85</w:t>
            </w:r>
          </w:p>
        </w:tc>
        <w:tc>
          <w:tcPr>
            <w:tcW w:w="0" w:type="auto"/>
            <w:tcBorders>
              <w:top w:val="nil"/>
              <w:left w:val="nil"/>
              <w:bottom w:val="single" w:color="auto" w:sz="4" w:space="0"/>
              <w:right w:val="single" w:color="auto" w:sz="4" w:space="0"/>
            </w:tcBorders>
            <w:shd w:val="clear" w:color="auto" w:fill="auto"/>
          </w:tcPr>
          <w:p w14:paraId="2EAA12D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32,166.24</w:t>
            </w:r>
          </w:p>
        </w:tc>
        <w:tc>
          <w:tcPr>
            <w:tcW w:w="0" w:type="auto"/>
            <w:tcBorders>
              <w:top w:val="nil"/>
              <w:left w:val="nil"/>
              <w:bottom w:val="single" w:color="auto" w:sz="4" w:space="0"/>
              <w:right w:val="single" w:color="auto" w:sz="4" w:space="0"/>
            </w:tcBorders>
            <w:shd w:val="clear" w:color="auto" w:fill="auto"/>
          </w:tcPr>
          <w:p w14:paraId="4DA1A7B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33,786.85</w:t>
            </w:r>
          </w:p>
        </w:tc>
        <w:tc>
          <w:tcPr>
            <w:tcW w:w="0" w:type="auto"/>
            <w:tcBorders>
              <w:top w:val="nil"/>
              <w:left w:val="nil"/>
              <w:bottom w:val="single" w:color="auto" w:sz="4" w:space="0"/>
              <w:right w:val="single" w:color="auto" w:sz="4" w:space="0"/>
            </w:tcBorders>
            <w:shd w:val="clear" w:color="auto" w:fill="auto"/>
          </w:tcPr>
          <w:p w14:paraId="4DABB04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35,404.46</w:t>
            </w:r>
          </w:p>
        </w:tc>
      </w:tr>
      <w:tr w14:paraId="4349663D">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026D872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四</w:t>
            </w:r>
          </w:p>
        </w:tc>
        <w:tc>
          <w:tcPr>
            <w:tcW w:w="0" w:type="auto"/>
            <w:tcBorders>
              <w:top w:val="nil"/>
              <w:left w:val="nil"/>
              <w:bottom w:val="single" w:color="auto" w:sz="4" w:space="0"/>
              <w:right w:val="single" w:color="auto" w:sz="4" w:space="0"/>
            </w:tcBorders>
            <w:shd w:val="clear" w:color="auto" w:fill="auto"/>
            <w:vAlign w:val="center"/>
          </w:tcPr>
          <w:p w14:paraId="3EE7123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期初现金</w:t>
            </w:r>
          </w:p>
        </w:tc>
        <w:tc>
          <w:tcPr>
            <w:tcW w:w="0" w:type="auto"/>
            <w:tcBorders>
              <w:top w:val="nil"/>
              <w:left w:val="nil"/>
              <w:bottom w:val="single" w:color="auto" w:sz="4" w:space="0"/>
              <w:right w:val="single" w:color="auto" w:sz="4" w:space="0"/>
            </w:tcBorders>
            <w:shd w:val="clear" w:color="auto" w:fill="auto"/>
            <w:vAlign w:val="center"/>
          </w:tcPr>
          <w:p w14:paraId="41B2145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67C3D22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5E612B7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50CDF25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-3,583.24</w:t>
            </w:r>
          </w:p>
        </w:tc>
        <w:tc>
          <w:tcPr>
            <w:tcW w:w="0" w:type="auto"/>
            <w:tcBorders>
              <w:top w:val="nil"/>
              <w:left w:val="nil"/>
              <w:bottom w:val="single" w:color="auto" w:sz="4" w:space="0"/>
              <w:right w:val="single" w:color="auto" w:sz="4" w:space="0"/>
            </w:tcBorders>
            <w:shd w:val="clear" w:color="auto" w:fill="auto"/>
          </w:tcPr>
          <w:p w14:paraId="07D5BEB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-9,926.20</w:t>
            </w:r>
          </w:p>
        </w:tc>
        <w:tc>
          <w:tcPr>
            <w:tcW w:w="0" w:type="auto"/>
            <w:tcBorders>
              <w:top w:val="nil"/>
              <w:left w:val="nil"/>
              <w:bottom w:val="single" w:color="auto" w:sz="4" w:space="0"/>
              <w:right w:val="single" w:color="auto" w:sz="4" w:space="0"/>
            </w:tcBorders>
            <w:shd w:val="clear" w:color="auto" w:fill="auto"/>
          </w:tcPr>
          <w:p w14:paraId="2E02D35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-20,794.16</w:t>
            </w:r>
          </w:p>
        </w:tc>
        <w:tc>
          <w:tcPr>
            <w:tcW w:w="0" w:type="auto"/>
            <w:tcBorders>
              <w:top w:val="nil"/>
              <w:left w:val="nil"/>
              <w:bottom w:val="single" w:color="auto" w:sz="4" w:space="0"/>
              <w:right w:val="single" w:color="auto" w:sz="4" w:space="0"/>
            </w:tcBorders>
            <w:shd w:val="clear" w:color="auto" w:fill="auto"/>
          </w:tcPr>
          <w:p w14:paraId="3D728E6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-37,458.82</w:t>
            </w:r>
          </w:p>
        </w:tc>
        <w:tc>
          <w:tcPr>
            <w:tcW w:w="0" w:type="auto"/>
            <w:tcBorders>
              <w:top w:val="nil"/>
              <w:left w:val="nil"/>
              <w:bottom w:val="single" w:color="auto" w:sz="4" w:space="0"/>
              <w:right w:val="single" w:color="auto" w:sz="4" w:space="0"/>
            </w:tcBorders>
            <w:shd w:val="clear" w:color="auto" w:fill="auto"/>
          </w:tcPr>
          <w:p w14:paraId="6ECE623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20,200.98</w:t>
            </w:r>
          </w:p>
        </w:tc>
        <w:tc>
          <w:tcPr>
            <w:tcW w:w="0" w:type="auto"/>
            <w:tcBorders>
              <w:top w:val="nil"/>
              <w:left w:val="nil"/>
              <w:bottom w:val="single" w:color="auto" w:sz="4" w:space="0"/>
              <w:right w:val="single" w:color="auto" w:sz="4" w:space="0"/>
            </w:tcBorders>
            <w:shd w:val="clear" w:color="auto" w:fill="auto"/>
          </w:tcPr>
          <w:p w14:paraId="7E9B569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48,183.83</w:t>
            </w:r>
          </w:p>
        </w:tc>
        <w:tc>
          <w:tcPr>
            <w:tcW w:w="0" w:type="auto"/>
            <w:tcBorders>
              <w:top w:val="nil"/>
              <w:left w:val="nil"/>
              <w:bottom w:val="single" w:color="auto" w:sz="4" w:space="0"/>
              <w:right w:val="single" w:color="auto" w:sz="4" w:space="0"/>
            </w:tcBorders>
            <w:shd w:val="clear" w:color="auto" w:fill="auto"/>
          </w:tcPr>
          <w:p w14:paraId="28559AB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80,350.07</w:t>
            </w:r>
          </w:p>
        </w:tc>
        <w:tc>
          <w:tcPr>
            <w:tcW w:w="0" w:type="auto"/>
            <w:tcBorders>
              <w:top w:val="nil"/>
              <w:left w:val="nil"/>
              <w:bottom w:val="single" w:color="auto" w:sz="4" w:space="0"/>
              <w:right w:val="single" w:color="auto" w:sz="4" w:space="0"/>
            </w:tcBorders>
            <w:shd w:val="clear" w:color="auto" w:fill="auto"/>
          </w:tcPr>
          <w:p w14:paraId="771D8A2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114,136.92</w:t>
            </w:r>
          </w:p>
        </w:tc>
      </w:tr>
      <w:tr w14:paraId="0195B87B">
        <w:tblPrEx>
          <w:tblCellMar>
            <w:top w:w="0" w:type="dxa"/>
            <w:left w:w="108" w:type="dxa"/>
            <w:bottom w:w="0" w:type="dxa"/>
            <w:right w:w="108" w:type="dxa"/>
          </w:tblCellMar>
        </w:tblPrEx>
        <w:trPr>
          <w:trHeight w:val="285" w:hRule="atLeast"/>
          <w:jc w:val="center"/>
        </w:trPr>
        <w:tc>
          <w:tcPr>
            <w:tcW w:w="0" w:type="auto"/>
            <w:tcBorders>
              <w:top w:val="nil"/>
              <w:left w:val="single" w:color="auto" w:sz="4" w:space="0"/>
              <w:bottom w:val="single" w:color="auto" w:sz="4" w:space="0"/>
              <w:right w:val="single" w:color="auto" w:sz="4" w:space="0"/>
            </w:tcBorders>
            <w:shd w:val="clear" w:color="auto" w:fill="auto"/>
            <w:vAlign w:val="center"/>
          </w:tcPr>
          <w:p w14:paraId="71E4000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五</w:t>
            </w:r>
          </w:p>
        </w:tc>
        <w:tc>
          <w:tcPr>
            <w:tcW w:w="0" w:type="auto"/>
            <w:tcBorders>
              <w:top w:val="nil"/>
              <w:left w:val="nil"/>
              <w:bottom w:val="single" w:color="auto" w:sz="4" w:space="0"/>
              <w:right w:val="single" w:color="auto" w:sz="4" w:space="0"/>
            </w:tcBorders>
            <w:shd w:val="clear" w:color="auto" w:fill="auto"/>
            <w:vAlign w:val="center"/>
          </w:tcPr>
          <w:p w14:paraId="52E1425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期末现金</w:t>
            </w:r>
          </w:p>
        </w:tc>
        <w:tc>
          <w:tcPr>
            <w:tcW w:w="0" w:type="auto"/>
            <w:tcBorders>
              <w:top w:val="nil"/>
              <w:left w:val="nil"/>
              <w:bottom w:val="single" w:color="auto" w:sz="4" w:space="0"/>
              <w:right w:val="single" w:color="auto" w:sz="4" w:space="0"/>
            </w:tcBorders>
            <w:shd w:val="clear" w:color="auto" w:fill="auto"/>
            <w:vAlign w:val="center"/>
          </w:tcPr>
          <w:p w14:paraId="26BBCA8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0D5516E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0" w:type="auto"/>
            <w:tcBorders>
              <w:top w:val="nil"/>
              <w:left w:val="nil"/>
              <w:bottom w:val="single" w:color="auto" w:sz="4" w:space="0"/>
              <w:right w:val="single" w:color="auto" w:sz="4" w:space="0"/>
            </w:tcBorders>
            <w:shd w:val="clear" w:color="auto" w:fill="auto"/>
          </w:tcPr>
          <w:p w14:paraId="145C537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-3,583.24</w:t>
            </w:r>
          </w:p>
        </w:tc>
        <w:tc>
          <w:tcPr>
            <w:tcW w:w="0" w:type="auto"/>
            <w:tcBorders>
              <w:top w:val="nil"/>
              <w:left w:val="nil"/>
              <w:bottom w:val="single" w:color="auto" w:sz="4" w:space="0"/>
              <w:right w:val="single" w:color="auto" w:sz="4" w:space="0"/>
            </w:tcBorders>
            <w:shd w:val="clear" w:color="auto" w:fill="auto"/>
          </w:tcPr>
          <w:p w14:paraId="34F9E06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-9,926.20</w:t>
            </w:r>
          </w:p>
        </w:tc>
        <w:tc>
          <w:tcPr>
            <w:tcW w:w="0" w:type="auto"/>
            <w:tcBorders>
              <w:top w:val="nil"/>
              <w:left w:val="nil"/>
              <w:bottom w:val="single" w:color="auto" w:sz="4" w:space="0"/>
              <w:right w:val="single" w:color="auto" w:sz="4" w:space="0"/>
            </w:tcBorders>
            <w:shd w:val="clear" w:color="auto" w:fill="auto"/>
          </w:tcPr>
          <w:p w14:paraId="7121CA4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-20,794.16</w:t>
            </w:r>
          </w:p>
        </w:tc>
        <w:tc>
          <w:tcPr>
            <w:tcW w:w="0" w:type="auto"/>
            <w:tcBorders>
              <w:top w:val="nil"/>
              <w:left w:val="nil"/>
              <w:bottom w:val="single" w:color="auto" w:sz="4" w:space="0"/>
              <w:right w:val="single" w:color="auto" w:sz="4" w:space="0"/>
            </w:tcBorders>
            <w:shd w:val="clear" w:color="auto" w:fill="auto"/>
          </w:tcPr>
          <w:p w14:paraId="38599B8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-37,458.82</w:t>
            </w:r>
          </w:p>
        </w:tc>
        <w:tc>
          <w:tcPr>
            <w:tcW w:w="0" w:type="auto"/>
            <w:tcBorders>
              <w:top w:val="nil"/>
              <w:left w:val="nil"/>
              <w:bottom w:val="single" w:color="auto" w:sz="4" w:space="0"/>
              <w:right w:val="single" w:color="auto" w:sz="4" w:space="0"/>
            </w:tcBorders>
            <w:shd w:val="clear" w:color="auto" w:fill="auto"/>
          </w:tcPr>
          <w:p w14:paraId="60B0313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20,200.98</w:t>
            </w:r>
          </w:p>
        </w:tc>
        <w:tc>
          <w:tcPr>
            <w:tcW w:w="0" w:type="auto"/>
            <w:tcBorders>
              <w:top w:val="nil"/>
              <w:left w:val="nil"/>
              <w:bottom w:val="single" w:color="auto" w:sz="4" w:space="0"/>
              <w:right w:val="single" w:color="auto" w:sz="4" w:space="0"/>
            </w:tcBorders>
            <w:shd w:val="clear" w:color="auto" w:fill="auto"/>
          </w:tcPr>
          <w:p w14:paraId="625D7E3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48,183.83</w:t>
            </w:r>
          </w:p>
        </w:tc>
        <w:tc>
          <w:tcPr>
            <w:tcW w:w="0" w:type="auto"/>
            <w:tcBorders>
              <w:top w:val="nil"/>
              <w:left w:val="nil"/>
              <w:bottom w:val="single" w:color="auto" w:sz="4" w:space="0"/>
              <w:right w:val="single" w:color="auto" w:sz="4" w:space="0"/>
            </w:tcBorders>
            <w:shd w:val="clear" w:color="auto" w:fill="auto"/>
          </w:tcPr>
          <w:p w14:paraId="37BF353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80,350.07</w:t>
            </w:r>
          </w:p>
        </w:tc>
        <w:tc>
          <w:tcPr>
            <w:tcW w:w="0" w:type="auto"/>
            <w:tcBorders>
              <w:top w:val="nil"/>
              <w:left w:val="nil"/>
              <w:bottom w:val="single" w:color="auto" w:sz="4" w:space="0"/>
              <w:right w:val="single" w:color="auto" w:sz="4" w:space="0"/>
            </w:tcBorders>
            <w:shd w:val="clear" w:color="auto" w:fill="auto"/>
          </w:tcPr>
          <w:p w14:paraId="3D69F5F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114,136.92</w:t>
            </w:r>
          </w:p>
        </w:tc>
        <w:tc>
          <w:tcPr>
            <w:tcW w:w="0" w:type="auto"/>
            <w:tcBorders>
              <w:top w:val="nil"/>
              <w:left w:val="nil"/>
              <w:bottom w:val="single" w:color="auto" w:sz="4" w:space="0"/>
              <w:right w:val="single" w:color="auto" w:sz="4" w:space="0"/>
            </w:tcBorders>
            <w:shd w:val="clear" w:color="auto" w:fill="auto"/>
          </w:tcPr>
          <w:p w14:paraId="250D12C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149,541.38</w:t>
            </w:r>
          </w:p>
        </w:tc>
      </w:tr>
    </w:tbl>
    <w:p w14:paraId="67D300E7">
      <w:pPr>
        <w:widowControl/>
        <w:spacing w:line="40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续上表：</w:t>
      </w:r>
    </w:p>
    <w:tbl>
      <w:tblPr>
        <w:tblStyle w:val="28"/>
        <w:tblW w:w="4998" w:type="pct"/>
        <w:jc w:val="center"/>
        <w:tblLayout w:type="autofit"/>
        <w:tblCellMar>
          <w:top w:w="0" w:type="dxa"/>
          <w:left w:w="108" w:type="dxa"/>
          <w:bottom w:w="0" w:type="dxa"/>
          <w:right w:w="108" w:type="dxa"/>
        </w:tblCellMar>
      </w:tblPr>
      <w:tblGrid>
        <w:gridCol w:w="598"/>
        <w:gridCol w:w="1724"/>
        <w:gridCol w:w="1161"/>
        <w:gridCol w:w="1160"/>
        <w:gridCol w:w="1160"/>
        <w:gridCol w:w="1168"/>
        <w:gridCol w:w="1160"/>
        <w:gridCol w:w="1160"/>
        <w:gridCol w:w="1160"/>
        <w:gridCol w:w="1160"/>
        <w:gridCol w:w="1160"/>
        <w:gridCol w:w="1171"/>
      </w:tblGrid>
      <w:tr w14:paraId="13B09015">
        <w:tblPrEx>
          <w:tblCellMar>
            <w:top w:w="0" w:type="dxa"/>
            <w:left w:w="108" w:type="dxa"/>
            <w:bottom w:w="0" w:type="dxa"/>
            <w:right w:w="108" w:type="dxa"/>
          </w:tblCellMar>
        </w:tblPrEx>
        <w:trPr>
          <w:trHeight w:val="285" w:hRule="atLeast"/>
          <w:tblHeader/>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24D67CE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序号</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538381B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年份</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71324D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2031年</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47A09A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2032年</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8D11DB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2033年</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96DCB5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2034年</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41EF55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2035年</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2B5F20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2036年</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913BD7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2037年</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557F81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2038年</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AD541E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2039年</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24D1F2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2040年</w:t>
            </w:r>
          </w:p>
        </w:tc>
      </w:tr>
      <w:tr w14:paraId="3E696612">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77942D9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一</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0AA63AB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现金流入</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62793A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88,902.00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758AD0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89,509.00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FF308A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90,116.00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9A025C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90,723.00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FD6B3E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91,330.00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ABFEED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91,938.00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039C2B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92,545.00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2F074F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93,152.00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DC443A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93,759.00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D645DA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79,366.00</w:t>
            </w:r>
          </w:p>
        </w:tc>
      </w:tr>
      <w:tr w14:paraId="046D696D">
        <w:tblPrEx>
          <w:tblCellMar>
            <w:top w:w="0" w:type="dxa"/>
            <w:left w:w="108" w:type="dxa"/>
            <w:bottom w:w="0" w:type="dxa"/>
            <w:right w:w="108" w:type="dxa"/>
          </w:tblCellMar>
        </w:tblPrEx>
        <w:trPr>
          <w:trHeight w:val="55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6C7DA65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2B64383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ECD8EB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88,902.00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EE7E7A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89,509.00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1AFCDB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90,116.00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0738E5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90,723.00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C27930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91,330.00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540C9C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91,938.00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189239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92,545.00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5274B5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93,152.00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F815F1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93,759.00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12A723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79,366.00</w:t>
            </w:r>
          </w:p>
        </w:tc>
      </w:tr>
      <w:tr w14:paraId="233311F0">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7472375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5CC2D08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经营收入</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C70B6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88,902.00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70C92D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89,509.00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6AB6B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90,116.00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0F1996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90,723.00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96B9F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91,330.00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46A1A3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91,938.00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57D959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92,545.00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DE180C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93,152.00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F1521F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93,759.00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8C5B16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79,366.00</w:t>
            </w:r>
          </w:p>
        </w:tc>
      </w:tr>
      <w:tr w14:paraId="757C0791">
        <w:tblPrEx>
          <w:tblCellMar>
            <w:top w:w="0" w:type="dxa"/>
            <w:left w:w="108" w:type="dxa"/>
            <w:bottom w:w="0" w:type="dxa"/>
            <w:right w:w="108" w:type="dxa"/>
          </w:tblCellMar>
        </w:tblPrEx>
        <w:trPr>
          <w:trHeight w:val="55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7943D80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3AC3C5C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38774E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E9BB2C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627653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063143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40AAFD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90961C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7F863AF">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F151582">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6E6C31D">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DD813CA">
            <w:pPr>
              <w:widowControl/>
              <w:spacing w:line="240" w:lineRule="auto"/>
              <w:ind w:firstLine="0" w:firstLineChars="0"/>
              <w:rPr>
                <w:rFonts w:hint="eastAsia" w:ascii="宋体" w:hAnsi="宋体" w:cs="宋体"/>
                <w:color w:val="000000"/>
                <w:kern w:val="0"/>
                <w:sz w:val="18"/>
                <w:szCs w:val="18"/>
              </w:rPr>
            </w:pPr>
          </w:p>
        </w:tc>
      </w:tr>
      <w:tr w14:paraId="5E38BDE1">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323B480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2.1</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2747F6A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债券融资款</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ECE865E">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40576E0">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0AE4818">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9107698">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7A26FB3">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DA3FA19">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6BE6347">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0F37E99">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84C8B52">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B89BD87">
            <w:pPr>
              <w:widowControl/>
              <w:spacing w:line="240" w:lineRule="auto"/>
              <w:ind w:firstLine="0" w:firstLineChars="0"/>
              <w:rPr>
                <w:rFonts w:hint="eastAsia" w:ascii="宋体" w:hAnsi="宋体" w:cs="宋体"/>
                <w:color w:val="000000"/>
                <w:kern w:val="0"/>
                <w:sz w:val="18"/>
                <w:szCs w:val="18"/>
              </w:rPr>
            </w:pPr>
          </w:p>
        </w:tc>
      </w:tr>
      <w:tr w14:paraId="11328854">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41D958C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2.2</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4A2F7D5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其他融资款</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AE78104">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E4D4235">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4F1B73B">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80F3351">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A307EF2">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182DF8E">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4C73C07">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A56B2AF">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B11AAC1">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FD09D62">
            <w:pPr>
              <w:widowControl/>
              <w:spacing w:line="240" w:lineRule="auto"/>
              <w:ind w:firstLine="0" w:firstLineChars="0"/>
              <w:rPr>
                <w:rFonts w:hint="eastAsia" w:ascii="宋体" w:hAnsi="宋体" w:cs="宋体"/>
                <w:color w:val="000000"/>
                <w:kern w:val="0"/>
                <w:sz w:val="18"/>
                <w:szCs w:val="18"/>
              </w:rPr>
            </w:pPr>
          </w:p>
        </w:tc>
      </w:tr>
      <w:tr w14:paraId="53C02DA3">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5AA4BC2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7CD41D5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资本金投入</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077146E">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357C137">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89C1B31">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7CC1A31">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C159927">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3A12E5B">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97C33F2">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CE1B16B">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9601BEE">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71C4CEF">
            <w:pPr>
              <w:widowControl/>
              <w:spacing w:line="240" w:lineRule="auto"/>
              <w:ind w:firstLine="0" w:firstLineChars="0"/>
              <w:rPr>
                <w:rFonts w:hint="eastAsia" w:ascii="宋体" w:hAnsi="宋体" w:cs="宋体"/>
                <w:color w:val="000000"/>
                <w:kern w:val="0"/>
                <w:sz w:val="18"/>
                <w:szCs w:val="18"/>
              </w:rPr>
            </w:pPr>
          </w:p>
        </w:tc>
      </w:tr>
      <w:tr w14:paraId="4730257A">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0EA3A4A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二</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36EF62D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现金流出</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8B0C93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52,536.69</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123683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173,228.30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662EDA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47,840.39</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C435B4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47,485.83</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F10D30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51,533.86</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37CD4D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56,347.40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6FEFEE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52,368.58</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F85848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74,756.56</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0396FF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84,559.86</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688BFB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62,349.69</w:t>
            </w:r>
          </w:p>
        </w:tc>
      </w:tr>
      <w:tr w14:paraId="46EA30D2">
        <w:tblPrEx>
          <w:tblCellMar>
            <w:top w:w="0" w:type="dxa"/>
            <w:left w:w="108" w:type="dxa"/>
            <w:bottom w:w="0" w:type="dxa"/>
            <w:right w:w="108" w:type="dxa"/>
          </w:tblCellMar>
        </w:tblPrEx>
        <w:trPr>
          <w:trHeight w:val="55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1D1A8A2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1E336D1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5ECBA3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15,895.60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5AF8B1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21,333.12</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A76FDE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15,891.13</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1F6F13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16,153.75</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98FA4B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16,418.98</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6AED7F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17,401.06</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CA1317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23,375.14</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EF3AEA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17,380.30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57FD8E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17,660.80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4B1753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17,944.92</w:t>
            </w:r>
          </w:p>
        </w:tc>
      </w:tr>
      <w:tr w14:paraId="469EDB12">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215FB57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6FC1738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运营成本</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B796E4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15,895.60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C87DBF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21,333.12</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30EE55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15,891.13</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D819E3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16,153.75</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0A05D6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16,418.98</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32C310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17,401.06</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162AA8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23,375.14</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1339DD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17,380.30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43ACA1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17,660.80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E67FE9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17,944.92</w:t>
            </w:r>
          </w:p>
        </w:tc>
      </w:tr>
      <w:tr w14:paraId="1945DC98">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574710D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5C5CDC2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税金支出</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1765673">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3DF5FE7">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B6F10F0">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EE98FDE">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14118D5">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9626D68">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00C1A4E">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B59EEE9">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42F52EA">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68C8E8F">
            <w:pPr>
              <w:widowControl/>
              <w:spacing w:line="240" w:lineRule="auto"/>
              <w:ind w:firstLine="0" w:firstLineChars="0"/>
              <w:rPr>
                <w:rFonts w:hint="eastAsia" w:ascii="宋体" w:hAnsi="宋体" w:cs="宋体"/>
                <w:color w:val="000000"/>
                <w:kern w:val="0"/>
                <w:sz w:val="18"/>
                <w:szCs w:val="18"/>
              </w:rPr>
            </w:pPr>
          </w:p>
        </w:tc>
      </w:tr>
      <w:tr w14:paraId="39614B6B">
        <w:tblPrEx>
          <w:tblCellMar>
            <w:top w:w="0" w:type="dxa"/>
            <w:left w:w="108" w:type="dxa"/>
            <w:bottom w:w="0" w:type="dxa"/>
            <w:right w:w="108" w:type="dxa"/>
          </w:tblCellMar>
        </w:tblPrEx>
        <w:trPr>
          <w:trHeight w:val="55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282C622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49BD343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A895D4C">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2CD30B6">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4D27296">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882AE5F">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8686719">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8481C32">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16E9C94">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B79C19D">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9059ACC">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7105A34">
            <w:pPr>
              <w:widowControl/>
              <w:spacing w:line="240" w:lineRule="auto"/>
              <w:ind w:firstLine="0" w:firstLineChars="0"/>
              <w:rPr>
                <w:rFonts w:hint="eastAsia" w:ascii="宋体" w:hAnsi="宋体" w:cs="宋体"/>
                <w:color w:val="000000"/>
                <w:kern w:val="0"/>
                <w:sz w:val="18"/>
                <w:szCs w:val="18"/>
              </w:rPr>
            </w:pPr>
          </w:p>
        </w:tc>
      </w:tr>
      <w:tr w14:paraId="3B191393">
        <w:tblPrEx>
          <w:tblCellMar>
            <w:top w:w="0" w:type="dxa"/>
            <w:left w:w="108" w:type="dxa"/>
            <w:bottom w:w="0" w:type="dxa"/>
            <w:right w:w="108" w:type="dxa"/>
          </w:tblCellMar>
        </w:tblPrEx>
        <w:trPr>
          <w:trHeight w:val="55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6497092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11463F3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EF3B6A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36,641.09</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6B251A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151,895.18</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1F31D4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31,949.26</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6B6194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31,332.08</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2F3E03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35,114.88</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0EDF67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38,946.34</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4146A6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28,993.44</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E42B5F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57,376.26</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04C24D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66,899.06</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42E30F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44,404.77</w:t>
            </w:r>
          </w:p>
        </w:tc>
      </w:tr>
      <w:tr w14:paraId="60A7265E">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4C10CFC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3.1</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3C01172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债券发行费用</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0E15284">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F27394B">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ECDB396">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46F43F5">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B8EC5E7">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F4AF5B9">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9C1AD00">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61696F8">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BAA63E3">
            <w:pPr>
              <w:widowControl/>
              <w:spacing w:line="240" w:lineRule="auto"/>
              <w:ind w:firstLine="0" w:firstLineChars="0"/>
              <w:rPr>
                <w:rFonts w:hint="eastAsia" w:ascii="宋体" w:hAnsi="宋体" w:cs="宋体"/>
                <w:color w:val="000000"/>
                <w:kern w:val="0"/>
                <w:sz w:val="18"/>
                <w:szCs w:val="18"/>
              </w:rPr>
            </w:pP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2C6D35B">
            <w:pPr>
              <w:widowControl/>
              <w:spacing w:line="240" w:lineRule="auto"/>
              <w:ind w:firstLine="0" w:firstLineChars="0"/>
              <w:rPr>
                <w:rFonts w:hint="eastAsia" w:ascii="宋体" w:hAnsi="宋体" w:cs="宋体"/>
                <w:color w:val="000000"/>
                <w:kern w:val="0"/>
                <w:sz w:val="18"/>
                <w:szCs w:val="18"/>
              </w:rPr>
            </w:pPr>
          </w:p>
        </w:tc>
      </w:tr>
      <w:tr w14:paraId="5B7FB089">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0777DBF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3.2</w:t>
            </w:r>
          </w:p>
        </w:tc>
        <w:tc>
          <w:tcPr>
            <w:tcW w:w="618" w:type="pct"/>
            <w:tcBorders>
              <w:top w:val="single" w:color="auto" w:sz="4" w:space="0"/>
              <w:left w:val="nil"/>
              <w:bottom w:val="single" w:color="auto" w:sz="4" w:space="0"/>
              <w:right w:val="single" w:color="auto" w:sz="4" w:space="0"/>
            </w:tcBorders>
            <w:shd w:val="clear" w:color="auto" w:fill="auto"/>
            <w:vAlign w:val="center"/>
          </w:tcPr>
          <w:p w14:paraId="1C3E30D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偿还债券本金</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18E4F5C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22B5EAA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117,600.00</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37F7B8D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357B2EC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51BF63B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4,400.00</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3662076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9,000.00</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69C2C7A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7072CF5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29,000.00</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7F8A710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40,000.00</w:t>
            </w:r>
          </w:p>
        </w:tc>
        <w:tc>
          <w:tcPr>
            <w:tcW w:w="416" w:type="pct"/>
            <w:tcBorders>
              <w:top w:val="single" w:color="auto" w:sz="4" w:space="0"/>
              <w:left w:val="nil"/>
              <w:bottom w:val="single" w:color="auto" w:sz="4" w:space="0"/>
              <w:right w:val="single" w:color="auto" w:sz="4" w:space="0"/>
            </w:tcBorders>
            <w:shd w:val="clear" w:color="auto" w:fill="auto"/>
            <w:noWrap/>
            <w:vAlign w:val="center"/>
          </w:tcPr>
          <w:p w14:paraId="7D204EE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19,400.00</w:t>
            </w:r>
          </w:p>
        </w:tc>
      </w:tr>
      <w:tr w14:paraId="5101B890">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4CA44FA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3.3</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5690E2B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支付债券利息</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F560B3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6,498.70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2F88E5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4,769.98</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47AD37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3,041.26</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70F46E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3,041.26</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0211C5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3,041.26</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148DD1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2,889.90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356B0F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2,554.20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FD0E10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2,554.20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B54D05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1,694.20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FC844B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417.10</w:t>
            </w:r>
          </w:p>
        </w:tc>
      </w:tr>
      <w:tr w14:paraId="3E37008B">
        <w:tblPrEx>
          <w:tblCellMar>
            <w:top w:w="0" w:type="dxa"/>
            <w:left w:w="108" w:type="dxa"/>
            <w:bottom w:w="0" w:type="dxa"/>
            <w:right w:w="108" w:type="dxa"/>
          </w:tblCellMar>
        </w:tblPrEx>
        <w:trPr>
          <w:trHeight w:val="540"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4A12451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3.4</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39F1D9A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E37A20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74FAF8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70D7E6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BB5E26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BBC0FE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8BA82C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63719A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DFF8F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D5E87F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E9250E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14,695.02</w:t>
            </w:r>
          </w:p>
        </w:tc>
      </w:tr>
      <w:tr w14:paraId="13097AB0">
        <w:tblPrEx>
          <w:tblCellMar>
            <w:top w:w="0" w:type="dxa"/>
            <w:left w:w="108" w:type="dxa"/>
            <w:bottom w:w="0" w:type="dxa"/>
            <w:right w:w="108" w:type="dxa"/>
          </w:tblCellMar>
        </w:tblPrEx>
        <w:trPr>
          <w:trHeight w:val="55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5F1C9EA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3.5</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680025F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8BC793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15,447.37</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18458E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14,830.18</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D5368C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14,212.98</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3E7E32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13,595.80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2030E7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12,978.60</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A4DB76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12,361.42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281C6A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11,744.22</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7AEE58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11,127.04</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BA79B3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10,509.84</w:t>
            </w:r>
          </w:p>
        </w:tc>
        <w:tc>
          <w:tcPr>
            <w:tcW w:w="416"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7F9BE6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9,892.65</w:t>
            </w:r>
          </w:p>
        </w:tc>
      </w:tr>
      <w:tr w14:paraId="7D298365">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6DB4778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三</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3F5B05E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当期现金结余</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1FD88A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36,365.31</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66FD7B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-83,719.30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BB45788">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42,275.61</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08EEF7F">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43,237.17</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686B4F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39,796.14</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8D9AC7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35,590.60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1BB3750">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40,176.42</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645D43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18,395.44</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FEB789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9,199.14</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77DB8D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17,016.31</w:t>
            </w:r>
          </w:p>
        </w:tc>
      </w:tr>
      <w:tr w14:paraId="68FC7669">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3CA2B1B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四</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4889061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期初现金</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BBC3C55">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149,541.38</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F6372C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185,906.69</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753622D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102,187.39</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8E36BF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144,463.00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7B0F4A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187,700.17</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AA6D7C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227,496.31</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DAFD137">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263,086.91</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CFA1D7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303,263.33</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249736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321,658.77</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36DD75C9">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330,857.91</w:t>
            </w:r>
          </w:p>
        </w:tc>
      </w:tr>
      <w:tr w14:paraId="0530DC5D">
        <w:tblPrEx>
          <w:tblCellMar>
            <w:top w:w="0" w:type="dxa"/>
            <w:left w:w="108" w:type="dxa"/>
            <w:bottom w:w="0" w:type="dxa"/>
            <w:right w:w="108" w:type="dxa"/>
          </w:tblCellMar>
        </w:tblPrEx>
        <w:trPr>
          <w:trHeight w:val="285" w:hRule="atLeast"/>
          <w:jc w:val="center"/>
        </w:trPr>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14:paraId="3857848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五</w:t>
            </w:r>
          </w:p>
        </w:tc>
        <w:tc>
          <w:tcPr>
            <w:tcW w:w="618" w:type="pct"/>
            <w:tcBorders>
              <w:top w:val="single" w:color="auto" w:sz="4" w:space="0"/>
              <w:left w:val="single" w:color="auto" w:sz="4" w:space="0"/>
              <w:bottom w:val="single" w:color="auto" w:sz="4" w:space="0"/>
              <w:right w:val="single" w:color="auto" w:sz="4" w:space="0"/>
            </w:tcBorders>
            <w:shd w:val="clear" w:color="auto" w:fill="auto"/>
            <w:vAlign w:val="center"/>
          </w:tcPr>
          <w:p w14:paraId="10849FA4">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期末现金</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4AED1392">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185,906.69</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4149C5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102,187.39</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5BE4FFB">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144,463.00</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10F27A1">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187,700.17</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D6FFDFE">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227,496.31</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1C6FBD16">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263,086.91</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05B5B73C">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303,263.33</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27431BCA">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321,658.77</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548DE78D">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330,857.91</w:t>
            </w:r>
          </w:p>
        </w:tc>
        <w:tc>
          <w:tcPr>
            <w:tcW w:w="416" w:type="pct"/>
            <w:tcBorders>
              <w:top w:val="single" w:color="auto" w:sz="4" w:space="0"/>
              <w:left w:val="single" w:color="auto" w:sz="4" w:space="0"/>
              <w:bottom w:val="single" w:color="auto" w:sz="4" w:space="0"/>
              <w:right w:val="single" w:color="auto" w:sz="4" w:space="0"/>
            </w:tcBorders>
            <w:shd w:val="clear" w:color="auto" w:fill="auto"/>
            <w:vAlign w:val="center"/>
          </w:tcPr>
          <w:p w14:paraId="62F8FDE3">
            <w:pPr>
              <w:widowControl/>
              <w:spacing w:line="240" w:lineRule="auto"/>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347,874.22</w:t>
            </w:r>
          </w:p>
        </w:tc>
      </w:tr>
      <w:tr w14:paraId="17E4191B">
        <w:tblPrEx>
          <w:tblCellMar>
            <w:top w:w="0" w:type="dxa"/>
            <w:left w:w="108" w:type="dxa"/>
            <w:bottom w:w="0" w:type="dxa"/>
            <w:right w:w="108" w:type="dxa"/>
          </w:tblCellMar>
        </w:tblPrEx>
        <w:trPr>
          <w:trHeight w:val="285" w:hRule="atLeast"/>
          <w:jc w:val="center"/>
        </w:trPr>
        <w:tc>
          <w:tcPr>
            <w:tcW w:w="2499"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3E8288AB">
            <w:pPr>
              <w:widowControl/>
              <w:spacing w:line="240" w:lineRule="auto"/>
              <w:ind w:firstLine="361"/>
              <w:jc w:val="center"/>
              <w:rPr>
                <w:rFonts w:hint="eastAsia" w:ascii="宋体" w:hAnsi="宋体" w:cs="宋体"/>
                <w:b/>
                <w:color w:val="000000"/>
                <w:kern w:val="0"/>
                <w:sz w:val="18"/>
                <w:szCs w:val="18"/>
              </w:rPr>
            </w:pPr>
            <w:r>
              <w:rPr>
                <w:rFonts w:hint="eastAsia" w:ascii="宋体" w:hAnsi="宋体" w:cs="宋体"/>
                <w:b/>
                <w:color w:val="000000"/>
                <w:kern w:val="0"/>
                <w:sz w:val="18"/>
                <w:szCs w:val="18"/>
              </w:rPr>
              <w:t>债券资金覆盖倍数</w:t>
            </w:r>
          </w:p>
        </w:tc>
        <w:tc>
          <w:tcPr>
            <w:tcW w:w="25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30C1DA65">
            <w:pPr>
              <w:widowControl/>
              <w:spacing w:line="240" w:lineRule="auto"/>
              <w:ind w:firstLine="361"/>
              <w:jc w:val="center"/>
              <w:rPr>
                <w:rFonts w:hint="eastAsia" w:ascii="宋体" w:hAnsi="宋体" w:cs="宋体"/>
                <w:b/>
                <w:color w:val="000000"/>
                <w:kern w:val="0"/>
                <w:sz w:val="18"/>
                <w:szCs w:val="18"/>
              </w:rPr>
            </w:pPr>
            <w:r>
              <w:rPr>
                <w:rFonts w:hint="eastAsia" w:ascii="宋体" w:hAnsi="宋体" w:cs="宋体"/>
                <w:b/>
                <w:color w:val="000000"/>
                <w:kern w:val="0"/>
                <w:sz w:val="18"/>
                <w:szCs w:val="18"/>
              </w:rPr>
              <w:t>1</w:t>
            </w:r>
            <w:r>
              <w:rPr>
                <w:rFonts w:ascii="宋体" w:hAnsi="宋体" w:cs="宋体"/>
                <w:b/>
                <w:color w:val="000000"/>
                <w:kern w:val="0"/>
                <w:sz w:val="18"/>
                <w:szCs w:val="18"/>
              </w:rPr>
              <w:t>.47</w:t>
            </w:r>
          </w:p>
        </w:tc>
      </w:tr>
    </w:tbl>
    <w:p w14:paraId="24A3CE11">
      <w:pPr>
        <w:pStyle w:val="23"/>
        <w:spacing w:after="120" w:afterLines="50" w:afterAutospacing="0" w:line="400" w:lineRule="exact"/>
        <w:ind w:firstLine="360" w:firstLineChars="200"/>
        <w:jc w:val="both"/>
        <w:rPr>
          <w:rFonts w:hint="eastAsia"/>
          <w:color w:val="000000" w:themeColor="text1"/>
          <w:sz w:val="18"/>
          <w:szCs w:val="18"/>
        </w:rPr>
      </w:pPr>
      <w:r>
        <w:rPr>
          <w:rFonts w:hint="eastAsia"/>
          <w:color w:val="000000" w:themeColor="text1"/>
          <w:sz w:val="18"/>
          <w:szCs w:val="18"/>
        </w:rPr>
        <w:t>注：</w:t>
      </w:r>
      <w:r>
        <w:rPr>
          <w:color w:val="000000" w:themeColor="text1"/>
          <w:sz w:val="18"/>
          <w:szCs w:val="18"/>
        </w:rPr>
        <w:t>1</w:t>
      </w:r>
      <w:r>
        <w:rPr>
          <w:rFonts w:hint="eastAsia"/>
          <w:color w:val="000000" w:themeColor="text1"/>
          <w:sz w:val="18"/>
          <w:szCs w:val="18"/>
        </w:rPr>
        <w:t>.按照南昌轨道交通集团有限公司在存续期内预期收入和预期支出测算，该项目在存续期间能够产生持续稳定的净现金流。按照预计条件的资金测算平衡结果，项目存续期内可达到的债券资金覆盖率为</w:t>
      </w:r>
      <w:r>
        <w:rPr>
          <w:color w:val="000000" w:themeColor="text1"/>
          <w:sz w:val="18"/>
          <w:szCs w:val="18"/>
        </w:rPr>
        <w:t>1.47</w:t>
      </w:r>
      <w:r>
        <w:rPr>
          <w:rFonts w:hint="eastAsia"/>
          <w:color w:val="000000" w:themeColor="text1"/>
          <w:sz w:val="18"/>
          <w:szCs w:val="18"/>
        </w:rPr>
        <w:t>倍，还本付息资金有充分保障。</w:t>
      </w:r>
      <w:r>
        <w:rPr>
          <w:color w:val="000000" w:themeColor="text1"/>
          <w:sz w:val="18"/>
          <w:szCs w:val="18"/>
        </w:rPr>
        <w:t>2</w:t>
      </w:r>
      <w:r>
        <w:rPr>
          <w:rFonts w:hint="eastAsia"/>
          <w:color w:val="000000" w:themeColor="text1"/>
          <w:sz w:val="18"/>
          <w:szCs w:val="18"/>
        </w:rPr>
        <w:t>.2</w:t>
      </w:r>
      <w:r>
        <w:rPr>
          <w:color w:val="000000" w:themeColor="text1"/>
          <w:sz w:val="18"/>
          <w:szCs w:val="18"/>
        </w:rPr>
        <w:t>022</w:t>
      </w:r>
      <w:r>
        <w:rPr>
          <w:rFonts w:hint="eastAsia"/>
          <w:color w:val="000000" w:themeColor="text1"/>
          <w:sz w:val="18"/>
          <w:szCs w:val="18"/>
        </w:rPr>
        <w:t>-</w:t>
      </w:r>
      <w:r>
        <w:rPr>
          <w:color w:val="000000" w:themeColor="text1"/>
          <w:sz w:val="18"/>
          <w:szCs w:val="18"/>
        </w:rPr>
        <w:t>2025</w:t>
      </w:r>
      <w:r>
        <w:rPr>
          <w:rFonts w:hint="eastAsia"/>
          <w:color w:val="000000" w:themeColor="text1"/>
          <w:sz w:val="18"/>
          <w:szCs w:val="18"/>
        </w:rPr>
        <w:t>年期末现金为负数的原因系建设期的债券发行费及利息及借款利息，该部分资金由项目单位自筹解决。</w:t>
      </w:r>
    </w:p>
    <w:p w14:paraId="3B2530ED">
      <w:pPr>
        <w:spacing w:line="400" w:lineRule="exact"/>
        <w:ind w:firstLine="480"/>
        <w:rPr>
          <w:color w:val="000000" w:themeColor="text1"/>
          <w:szCs w:val="21"/>
        </w:rPr>
      </w:pPr>
      <w:r>
        <w:rPr>
          <w:rFonts w:hint="eastAsia"/>
          <w:color w:val="000000" w:themeColor="text1"/>
          <w:szCs w:val="21"/>
        </w:rPr>
        <w:br w:type="page"/>
      </w:r>
    </w:p>
    <w:p w14:paraId="506C3656">
      <w:pPr>
        <w:widowControl/>
        <w:spacing w:line="400" w:lineRule="exact"/>
        <w:ind w:firstLine="480"/>
        <w:rPr>
          <w:color w:val="000000" w:themeColor="text1"/>
          <w:szCs w:val="21"/>
        </w:rPr>
        <w:sectPr>
          <w:footerReference r:id="rId5" w:type="default"/>
          <w:pgSz w:w="16838" w:h="11906" w:orient="landscape"/>
          <w:pgMar w:top="1797" w:right="1440" w:bottom="1797" w:left="1440" w:header="851" w:footer="992" w:gutter="0"/>
          <w:cols w:space="425" w:num="1"/>
          <w:docGrid w:linePitch="312" w:charSpace="0"/>
        </w:sectPr>
      </w:pPr>
    </w:p>
    <w:p w14:paraId="5DA66832">
      <w:pPr>
        <w:widowControl/>
        <w:spacing w:line="400" w:lineRule="exact"/>
        <w:ind w:firstLine="480"/>
        <w:rPr>
          <w:rFonts w:hint="eastAsia" w:ascii="仿宋" w:hAnsi="仿宋" w:eastAsia="仿宋" w:cs="仿宋"/>
          <w:color w:val="000000"/>
          <w:kern w:val="0"/>
          <w:szCs w:val="24"/>
        </w:rPr>
      </w:pPr>
      <w:r>
        <w:rPr>
          <w:rFonts w:hint="eastAsia" w:ascii="仿宋" w:hAnsi="仿宋" w:eastAsia="仿宋" w:cs="仿宋"/>
          <w:color w:val="000000"/>
          <w:kern w:val="0"/>
          <w:szCs w:val="24"/>
        </w:rPr>
        <w:t xml:space="preserve">本次发行专项债券各项目预期业务活动现金流入合计1,347,442.00万元，业务活动现金流出合计252,961.03万元，债券存续期内债券本金与利息合计300,312.58万元，借款本金与利息合计446,074.17万元。项目存续期内偿债资金覆盖倍数为1.47倍，还本付息资金有充分保障，项目实施方案资金计划能够满足发行专项债券资金充足性要求。债券存续期间整体资金流入、流出情况及期末现金如下图所示： </w:t>
      </w:r>
    </w:p>
    <w:p w14:paraId="53F829AB">
      <w:pPr>
        <w:pStyle w:val="23"/>
        <w:spacing w:before="0" w:beforeAutospacing="0" w:after="0" w:afterAutospacing="0" w:line="400" w:lineRule="exact"/>
        <w:ind w:firstLine="440" w:firstLineChars="200"/>
        <w:jc w:val="right"/>
        <w:rPr>
          <w:rFonts w:hint="eastAsia"/>
          <w:color w:val="000000" w:themeColor="text1"/>
          <w:sz w:val="18"/>
          <w:szCs w:val="18"/>
        </w:rPr>
      </w:pPr>
      <w:r>
        <w:rPr>
          <w:color w:val="000000" w:themeColor="text1"/>
        </w:rPr>
        <w:t xml:space="preserve"> </w:t>
      </w:r>
      <w:r>
        <w:rPr>
          <w:rFonts w:hint="eastAsia"/>
          <w:color w:val="000000" w:themeColor="text1"/>
          <w:sz w:val="18"/>
          <w:szCs w:val="18"/>
        </w:rPr>
        <w:t>单位：万元</w:t>
      </w:r>
    </w:p>
    <w:p w14:paraId="72636759">
      <w:pPr>
        <w:pStyle w:val="23"/>
        <w:spacing w:before="0" w:beforeAutospacing="0" w:after="120" w:afterLines="50" w:afterAutospacing="0" w:line="400" w:lineRule="exact"/>
        <w:ind w:firstLine="420" w:firstLineChars="200"/>
        <w:jc w:val="center"/>
        <w:rPr>
          <w:rFonts w:hint="eastAsia"/>
          <w:color w:val="000000" w:themeColor="text1"/>
          <w:sz w:val="21"/>
          <w:szCs w:val="21"/>
        </w:rPr>
      </w:pPr>
      <w:r>
        <w:rPr>
          <w:rFonts w:hint="eastAsia"/>
          <w:color w:val="000000" w:themeColor="text1"/>
          <w:sz w:val="21"/>
          <w:szCs w:val="21"/>
        </w:rPr>
        <w:t>图3-</w:t>
      </w:r>
      <w:r>
        <w:rPr>
          <w:color w:val="000000" w:themeColor="text1"/>
          <w:sz w:val="21"/>
          <w:szCs w:val="21"/>
        </w:rPr>
        <w:t xml:space="preserve">1  </w:t>
      </w:r>
      <w:r>
        <w:rPr>
          <w:rFonts w:hint="eastAsia"/>
          <w:color w:val="000000" w:themeColor="text1"/>
          <w:sz w:val="21"/>
          <w:szCs w:val="21"/>
        </w:rPr>
        <w:t>债券存续期间现金流情况图</w:t>
      </w:r>
    </w:p>
    <w:p w14:paraId="6A80C68D">
      <w:pPr>
        <w:spacing w:line="400" w:lineRule="exact"/>
        <w:ind w:firstLine="480"/>
        <w:rPr>
          <w:rFonts w:hint="eastAsia" w:ascii="仿宋" w:hAnsi="仿宋" w:eastAsia="仿宋" w:cs="仿宋"/>
          <w:szCs w:val="24"/>
        </w:rPr>
      </w:pPr>
      <w:r>
        <w:drawing>
          <wp:anchor distT="0" distB="0" distL="114300" distR="114300" simplePos="0" relativeHeight="251661312" behindDoc="0" locked="0" layoutInCell="1" allowOverlap="1">
            <wp:simplePos x="0" y="0"/>
            <wp:positionH relativeFrom="margin">
              <wp:posOffset>73025</wp:posOffset>
            </wp:positionH>
            <wp:positionV relativeFrom="paragraph">
              <wp:posOffset>83185</wp:posOffset>
            </wp:positionV>
            <wp:extent cx="5403850" cy="2470150"/>
            <wp:effectExtent l="4445" t="4445" r="20955" b="20955"/>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rFonts w:ascii="仿宋" w:hAnsi="仿宋" w:eastAsia="仿宋" w:cs="仿宋"/>
          <w:szCs w:val="24"/>
        </w:rPr>
        <w:br w:type="page"/>
      </w:r>
    </w:p>
    <w:p w14:paraId="694E0DED">
      <w:pPr>
        <w:spacing w:line="400" w:lineRule="exact"/>
        <w:ind w:firstLine="482"/>
        <w:rPr>
          <w:rFonts w:hint="eastAsia" w:ascii="仿宋" w:hAnsi="仿宋" w:eastAsia="仿宋" w:cs="仿宋"/>
          <w:b/>
          <w:bCs/>
          <w:szCs w:val="24"/>
        </w:rPr>
      </w:pPr>
      <w:r>
        <w:rPr>
          <w:rFonts w:hint="eastAsia" w:ascii="仿宋" w:hAnsi="仿宋" w:eastAsia="仿宋" w:cs="仿宋"/>
          <w:b/>
          <w:bCs/>
          <w:szCs w:val="24"/>
        </w:rPr>
        <w:t>四、事前绩效评价</w:t>
      </w:r>
    </w:p>
    <w:p w14:paraId="72791CDA">
      <w:pPr>
        <w:spacing w:line="400" w:lineRule="exact"/>
        <w:ind w:firstLine="480"/>
        <w:rPr>
          <w:rFonts w:hint="eastAsia" w:ascii="仿宋" w:hAnsi="仿宋" w:eastAsia="仿宋" w:cs="仿宋"/>
          <w:szCs w:val="24"/>
        </w:rPr>
      </w:pPr>
      <w:r>
        <w:rPr>
          <w:rFonts w:hint="eastAsia" w:ascii="仿宋" w:hAnsi="仿宋" w:eastAsia="仿宋" w:cs="仿宋"/>
          <w:szCs w:val="24"/>
        </w:rPr>
        <w:t>1、项目实施的必要性、公益性、收益性</w:t>
      </w:r>
    </w:p>
    <w:p w14:paraId="2B54DCA5">
      <w:pPr>
        <w:spacing w:line="400" w:lineRule="exact"/>
        <w:ind w:firstLine="130" w:firstLineChars="62"/>
        <w:rPr>
          <w:rFonts w:hint="eastAsia" w:ascii="仿宋" w:hAnsi="仿宋" w:eastAsia="仿宋" w:cs="仿宋"/>
          <w:szCs w:val="24"/>
        </w:rPr>
      </w:pPr>
      <w:r>
        <w:rPr>
          <w:rFonts w:hint="eastAsia" w:ascii="仿宋" w:hAnsi="仿宋" w:eastAsia="仿宋" w:cs="仿宋"/>
          <w:szCs w:val="24"/>
        </w:rPr>
        <w:t>（1）必要性</w:t>
      </w:r>
    </w:p>
    <w:p w14:paraId="71A16CBF">
      <w:pPr>
        <w:spacing w:line="400" w:lineRule="exact"/>
        <w:ind w:firstLine="480"/>
        <w:rPr>
          <w:rFonts w:hint="eastAsia" w:ascii="仿宋" w:hAnsi="仿宋" w:eastAsia="仿宋" w:cs="仿宋"/>
          <w:szCs w:val="24"/>
        </w:rPr>
      </w:pPr>
      <w:r>
        <w:rPr>
          <w:rFonts w:hint="eastAsia" w:ascii="仿宋" w:hAnsi="仿宋" w:eastAsia="仿宋" w:cs="仿宋"/>
          <w:szCs w:val="24"/>
        </w:rPr>
        <w:t>1）本工程的建设是解决交通问题，切实落实南昌市民出行的需要。</w:t>
      </w:r>
    </w:p>
    <w:p w14:paraId="58D5CE2D">
      <w:pPr>
        <w:spacing w:line="400" w:lineRule="exact"/>
        <w:ind w:firstLine="480"/>
        <w:rPr>
          <w:rFonts w:hint="eastAsia" w:ascii="仿宋" w:hAnsi="仿宋" w:eastAsia="仿宋" w:cs="仿宋"/>
          <w:szCs w:val="24"/>
        </w:rPr>
      </w:pPr>
      <w:r>
        <w:rPr>
          <w:rFonts w:hint="eastAsia" w:ascii="仿宋" w:hAnsi="仿宋" w:eastAsia="仿宋" w:cs="仿宋"/>
          <w:szCs w:val="24"/>
        </w:rPr>
        <w:t>2）本工程的建设是维护生态平衡，构建可持续发展、绿色生态体系的重要保障。</w:t>
      </w:r>
    </w:p>
    <w:p w14:paraId="1D5378AE">
      <w:pPr>
        <w:spacing w:line="400" w:lineRule="exact"/>
        <w:ind w:firstLine="480"/>
        <w:rPr>
          <w:rFonts w:hint="eastAsia" w:ascii="仿宋" w:hAnsi="仿宋" w:eastAsia="仿宋" w:cs="仿宋"/>
          <w:szCs w:val="24"/>
        </w:rPr>
      </w:pPr>
      <w:r>
        <w:rPr>
          <w:rFonts w:hint="eastAsia" w:ascii="仿宋" w:hAnsi="仿宋" w:eastAsia="仿宋" w:cs="仿宋"/>
          <w:szCs w:val="24"/>
        </w:rPr>
        <w:t>3）本工程的建设有利于保证南昌经济开发区及昌北机场周边经济安全和生态稳定，有利于促进当地经济的可持续发展。</w:t>
      </w:r>
    </w:p>
    <w:p w14:paraId="26496701">
      <w:pPr>
        <w:spacing w:line="400" w:lineRule="exact"/>
        <w:ind w:firstLine="130" w:firstLineChars="62"/>
        <w:rPr>
          <w:rFonts w:hint="eastAsia" w:ascii="仿宋" w:hAnsi="仿宋" w:eastAsia="仿宋" w:cs="仿宋"/>
          <w:szCs w:val="24"/>
        </w:rPr>
      </w:pPr>
      <w:r>
        <w:rPr>
          <w:rFonts w:hint="eastAsia" w:ascii="仿宋" w:hAnsi="仿宋" w:eastAsia="仿宋" w:cs="仿宋"/>
          <w:szCs w:val="24"/>
        </w:rPr>
        <w:t>（2）公益性</w:t>
      </w:r>
    </w:p>
    <w:p w14:paraId="69016941">
      <w:pPr>
        <w:spacing w:line="400" w:lineRule="exact"/>
        <w:ind w:firstLine="480"/>
        <w:rPr>
          <w:rFonts w:hint="eastAsia" w:ascii="仿宋" w:hAnsi="仿宋" w:eastAsia="仿宋" w:cs="仿宋"/>
          <w:szCs w:val="24"/>
        </w:rPr>
      </w:pPr>
      <w:r>
        <w:rPr>
          <w:rFonts w:hint="eastAsia" w:ascii="仿宋" w:hAnsi="仿宋" w:eastAsia="仿宋" w:cs="仿宋"/>
          <w:szCs w:val="24"/>
        </w:rPr>
        <w:t>本工程建成后可实现完善南昌市轨道交通网络，完善交通基础设施，缓解交通压力，促进城市加快发展。具有重要作用。</w:t>
      </w:r>
    </w:p>
    <w:p w14:paraId="762FBEEC">
      <w:pPr>
        <w:spacing w:line="400" w:lineRule="exact"/>
        <w:ind w:firstLine="480"/>
        <w:rPr>
          <w:rFonts w:hint="eastAsia" w:ascii="仿宋" w:hAnsi="仿宋" w:eastAsia="仿宋" w:cs="仿宋"/>
          <w:szCs w:val="24"/>
        </w:rPr>
      </w:pPr>
      <w:r>
        <w:rPr>
          <w:rFonts w:hint="eastAsia" w:ascii="仿宋" w:hAnsi="仿宋" w:eastAsia="仿宋" w:cs="仿宋"/>
          <w:szCs w:val="24"/>
        </w:rPr>
        <w:t>本工程的建设将推动关联产业的发展，给周边地区的建筑、旅游业、房地产、对外贸易、商贸、酒店、文化娱乐等经营企业带来巨大商机。</w:t>
      </w:r>
    </w:p>
    <w:p w14:paraId="20BC5B8C">
      <w:pPr>
        <w:spacing w:line="400" w:lineRule="exact"/>
        <w:ind w:firstLine="480"/>
        <w:rPr>
          <w:rFonts w:hint="eastAsia" w:ascii="仿宋" w:hAnsi="仿宋" w:eastAsia="仿宋" w:cs="仿宋"/>
          <w:szCs w:val="24"/>
        </w:rPr>
      </w:pPr>
      <w:r>
        <w:rPr>
          <w:rFonts w:hint="eastAsia" w:ascii="仿宋" w:hAnsi="仿宋" w:eastAsia="仿宋" w:cs="仿宋"/>
          <w:szCs w:val="24"/>
        </w:rPr>
        <w:t>（3</w:t>
      </w:r>
      <w:r>
        <w:rPr>
          <w:rFonts w:ascii="仿宋" w:hAnsi="仿宋" w:eastAsia="仿宋" w:cs="仿宋"/>
          <w:szCs w:val="24"/>
        </w:rPr>
        <w:t>）</w:t>
      </w:r>
      <w:r>
        <w:rPr>
          <w:rFonts w:hint="eastAsia" w:ascii="仿宋" w:hAnsi="仿宋" w:eastAsia="仿宋" w:cs="仿宋"/>
          <w:szCs w:val="24"/>
        </w:rPr>
        <w:t>收益性</w:t>
      </w:r>
    </w:p>
    <w:p w14:paraId="7510CE6A">
      <w:pPr>
        <w:spacing w:line="400" w:lineRule="exact"/>
        <w:ind w:firstLine="480"/>
        <w:rPr>
          <w:rFonts w:hint="eastAsia" w:ascii="仿宋" w:hAnsi="仿宋" w:eastAsia="仿宋" w:cs="仿宋"/>
          <w:szCs w:val="24"/>
        </w:rPr>
      </w:pPr>
      <w:r>
        <w:rPr>
          <w:rFonts w:hint="eastAsia" w:ascii="仿宋" w:hAnsi="仿宋" w:eastAsia="仿宋" w:cs="仿宋"/>
          <w:szCs w:val="24"/>
        </w:rPr>
        <w:t>间接经济收益。通过建设延长线，可实现完善南昌市轨道交通网络，完善交通基础设施，缓解交通压力，促进城市加快发展。具有重要作用。</w:t>
      </w:r>
    </w:p>
    <w:p w14:paraId="20CBC06E">
      <w:pPr>
        <w:spacing w:line="400" w:lineRule="exact"/>
        <w:ind w:firstLine="480"/>
        <w:rPr>
          <w:rFonts w:hint="eastAsia" w:ascii="仿宋" w:hAnsi="仿宋" w:eastAsia="仿宋" w:cs="仿宋"/>
          <w:szCs w:val="24"/>
        </w:rPr>
      </w:pPr>
      <w:r>
        <w:rPr>
          <w:rFonts w:hint="eastAsia" w:ascii="仿宋" w:hAnsi="仿宋" w:eastAsia="仿宋" w:cs="仿宋"/>
          <w:szCs w:val="24"/>
        </w:rPr>
        <w:t>直接收益。本项目实施后，可产生收益，本息覆盖倍数达1.47倍，满足资金平衡需求。</w:t>
      </w:r>
    </w:p>
    <w:p w14:paraId="43A2029E">
      <w:pPr>
        <w:spacing w:line="400" w:lineRule="exact"/>
        <w:ind w:firstLine="480"/>
        <w:rPr>
          <w:rFonts w:hint="eastAsia" w:ascii="仿宋" w:hAnsi="仿宋" w:eastAsia="仿宋" w:cs="仿宋"/>
          <w:szCs w:val="24"/>
        </w:rPr>
      </w:pPr>
      <w:r>
        <w:rPr>
          <w:rFonts w:hint="eastAsia" w:ascii="仿宋" w:hAnsi="仿宋" w:eastAsia="仿宋" w:cs="仿宋"/>
          <w:szCs w:val="24"/>
        </w:rPr>
        <w:t>2、项目建设投资合规性与项目成熟度</w:t>
      </w:r>
    </w:p>
    <w:p w14:paraId="394B4C41">
      <w:pPr>
        <w:spacing w:line="400" w:lineRule="exact"/>
        <w:ind w:firstLine="480"/>
        <w:rPr>
          <w:rFonts w:hint="eastAsia" w:ascii="仿宋" w:hAnsi="仿宋" w:eastAsia="仿宋" w:cs="仿宋"/>
          <w:szCs w:val="24"/>
        </w:rPr>
      </w:pPr>
      <w:r>
        <w:rPr>
          <w:rFonts w:hint="eastAsia" w:ascii="仿宋" w:hAnsi="仿宋" w:eastAsia="仿宋" w:cs="仿宋"/>
          <w:szCs w:val="24"/>
        </w:rPr>
        <w:t>项目已获得江西省发改委《江西省发展改革委关于南昌市轨道交通1号线北延工程初步设计批复》（赣发改投资[2021]814号）。</w:t>
      </w:r>
    </w:p>
    <w:p w14:paraId="18B91FD3">
      <w:pPr>
        <w:spacing w:line="400" w:lineRule="exact"/>
        <w:ind w:firstLine="480"/>
        <w:rPr>
          <w:rFonts w:hint="eastAsia" w:ascii="仿宋" w:hAnsi="仿宋" w:eastAsia="仿宋" w:cs="仿宋"/>
          <w:szCs w:val="24"/>
        </w:rPr>
      </w:pPr>
      <w:r>
        <w:rPr>
          <w:rFonts w:hint="eastAsia" w:ascii="仿宋" w:hAnsi="仿宋" w:eastAsia="仿宋" w:cs="仿宋"/>
          <w:szCs w:val="24"/>
        </w:rPr>
        <w:t>项目建设有期充分的必要性，前期手续完善，项目资金为部分项目资本金，部分申请政府专项债券资金，部分其他方式融资。项目成熟度、可靠度较高。</w:t>
      </w:r>
    </w:p>
    <w:p w14:paraId="11069CB3">
      <w:pPr>
        <w:spacing w:line="400" w:lineRule="exact"/>
        <w:ind w:firstLine="480"/>
        <w:rPr>
          <w:rFonts w:hint="eastAsia" w:ascii="仿宋" w:hAnsi="仿宋" w:eastAsia="仿宋" w:cs="仿宋"/>
          <w:szCs w:val="24"/>
        </w:rPr>
      </w:pPr>
      <w:r>
        <w:rPr>
          <w:rFonts w:hint="eastAsia" w:ascii="仿宋" w:hAnsi="仿宋" w:eastAsia="仿宋" w:cs="仿宋"/>
          <w:szCs w:val="24"/>
        </w:rPr>
        <w:t>3、项目收入、成本、收益预测合理性</w:t>
      </w:r>
    </w:p>
    <w:p w14:paraId="45B63799">
      <w:pPr>
        <w:spacing w:line="400" w:lineRule="exact"/>
        <w:ind w:firstLine="480"/>
        <w:rPr>
          <w:rFonts w:hint="eastAsia" w:ascii="仿宋" w:hAnsi="仿宋" w:eastAsia="仿宋" w:cs="仿宋"/>
          <w:szCs w:val="24"/>
        </w:rPr>
      </w:pPr>
      <w:r>
        <w:rPr>
          <w:rFonts w:ascii="仿宋" w:hAnsi="仿宋" w:eastAsia="仿宋" w:cs="仿宋"/>
          <w:szCs w:val="24"/>
        </w:rPr>
        <w:t>根据项目可行性研究报告并结合实际情况进行测算</w:t>
      </w:r>
      <w:r>
        <w:rPr>
          <w:rFonts w:hint="eastAsia" w:ascii="仿宋" w:hAnsi="仿宋" w:eastAsia="仿宋" w:cs="仿宋"/>
          <w:szCs w:val="24"/>
        </w:rPr>
        <w:t>，预测合理性较高。</w:t>
      </w:r>
    </w:p>
    <w:p w14:paraId="7A7FC7BD">
      <w:pPr>
        <w:spacing w:line="400" w:lineRule="exact"/>
        <w:ind w:firstLine="480"/>
        <w:rPr>
          <w:rFonts w:hint="eastAsia" w:ascii="仿宋" w:hAnsi="仿宋" w:eastAsia="仿宋" w:cs="仿宋"/>
          <w:szCs w:val="24"/>
        </w:rPr>
      </w:pPr>
      <w:r>
        <w:rPr>
          <w:rFonts w:hint="eastAsia" w:ascii="仿宋" w:hAnsi="仿宋" w:eastAsia="仿宋" w:cs="仿宋"/>
          <w:szCs w:val="24"/>
        </w:rPr>
        <w:t>4、债券资金需求合理性</w:t>
      </w:r>
    </w:p>
    <w:p w14:paraId="131E91BA">
      <w:pPr>
        <w:pStyle w:val="23"/>
        <w:spacing w:before="0" w:beforeAutospacing="0" w:after="120" w:afterLines="50" w:afterAutospacing="0" w:line="400" w:lineRule="exact"/>
        <w:ind w:firstLine="440" w:firstLineChars="200"/>
        <w:contextualSpacing/>
        <w:jc w:val="both"/>
        <w:rPr>
          <w:rFonts w:hint="eastAsia" w:ascii="仿宋" w:hAnsi="仿宋" w:eastAsia="仿宋" w:cs="仿宋"/>
          <w:kern w:val="2"/>
        </w:rPr>
      </w:pPr>
      <w:r>
        <w:rPr>
          <w:rFonts w:hint="eastAsia" w:ascii="仿宋" w:hAnsi="仿宋" w:eastAsia="仿宋" w:cs="仿宋"/>
          <w:kern w:val="2"/>
        </w:rPr>
        <w:t>通过资金平衡测算分析，债务本息资金覆盖倍数可达到</w:t>
      </w:r>
      <w:r>
        <w:rPr>
          <w:rFonts w:ascii="仿宋" w:hAnsi="仿宋" w:eastAsia="仿宋" w:cs="仿宋"/>
          <w:kern w:val="2"/>
        </w:rPr>
        <w:t>1.47</w:t>
      </w:r>
      <w:r>
        <w:rPr>
          <w:rFonts w:hint="eastAsia" w:ascii="仿宋" w:hAnsi="仿宋" w:eastAsia="仿宋" w:cs="仿宋"/>
          <w:kern w:val="2"/>
        </w:rPr>
        <w:t>倍，基于上表压力测试，本项目分别在收入下降</w:t>
      </w:r>
      <w:r>
        <w:rPr>
          <w:rFonts w:ascii="仿宋" w:hAnsi="仿宋" w:eastAsia="仿宋" w:cs="仿宋"/>
          <w:kern w:val="2"/>
        </w:rPr>
        <w:t>5</w:t>
      </w:r>
      <w:r>
        <w:rPr>
          <w:rFonts w:hint="eastAsia" w:ascii="仿宋" w:hAnsi="仿宋" w:eastAsia="仿宋" w:cs="仿宋"/>
          <w:kern w:val="2"/>
        </w:rPr>
        <w:t>%、成本上浮</w:t>
      </w:r>
      <w:r>
        <w:rPr>
          <w:rFonts w:ascii="仿宋" w:hAnsi="仿宋" w:eastAsia="仿宋" w:cs="仿宋"/>
          <w:kern w:val="2"/>
        </w:rPr>
        <w:t>5</w:t>
      </w:r>
      <w:r>
        <w:rPr>
          <w:rFonts w:hint="eastAsia" w:ascii="仿宋" w:hAnsi="仿宋" w:eastAsia="仿宋" w:cs="仿宋"/>
          <w:kern w:val="2"/>
        </w:rPr>
        <w:t>%、利率上浮</w:t>
      </w:r>
      <w:r>
        <w:rPr>
          <w:rFonts w:ascii="仿宋" w:hAnsi="仿宋" w:eastAsia="仿宋" w:cs="仿宋"/>
          <w:kern w:val="2"/>
        </w:rPr>
        <w:t>5</w:t>
      </w:r>
      <w:r>
        <w:rPr>
          <w:rFonts w:hint="eastAsia" w:ascii="仿宋" w:hAnsi="仿宋" w:eastAsia="仿宋" w:cs="仿宋"/>
          <w:kern w:val="2"/>
        </w:rPr>
        <w:t>%的情况下，债券本息资金覆盖率仍大于1</w:t>
      </w:r>
      <w:r>
        <w:rPr>
          <w:rFonts w:ascii="仿宋" w:hAnsi="仿宋" w:eastAsia="仿宋" w:cs="仿宋"/>
          <w:kern w:val="2"/>
        </w:rPr>
        <w:t>.1</w:t>
      </w:r>
      <w:r>
        <w:rPr>
          <w:rFonts w:hint="eastAsia" w:ascii="仿宋" w:hAnsi="仿宋" w:eastAsia="仿宋" w:cs="仿宋"/>
          <w:kern w:val="2"/>
        </w:rPr>
        <w:t>，能通过压力测试，项目收益仍然可以覆盖债券还本付息，因而项目具备一定的抗风险能力。考虑项目收入变动、成本变动和债券利率变动因素，分析专项债券本金覆盖率和本息资金覆盖倍数，见下表：</w:t>
      </w:r>
    </w:p>
    <w:p w14:paraId="16C94DFC">
      <w:pPr>
        <w:pStyle w:val="23"/>
        <w:spacing w:before="0" w:beforeAutospacing="0" w:after="120" w:afterLines="50" w:afterAutospacing="0" w:line="400" w:lineRule="exact"/>
        <w:ind w:firstLine="420" w:firstLineChars="200"/>
        <w:contextualSpacing/>
        <w:jc w:val="center"/>
        <w:rPr>
          <w:rFonts w:hint="eastAsia"/>
          <w:b/>
          <w:color w:val="000000" w:themeColor="text1"/>
          <w:sz w:val="21"/>
          <w:szCs w:val="21"/>
        </w:rPr>
      </w:pPr>
      <w:r>
        <w:rPr>
          <w:rFonts w:hint="eastAsia"/>
          <w:b/>
          <w:color w:val="000000" w:themeColor="text1"/>
          <w:sz w:val="21"/>
          <w:szCs w:val="21"/>
        </w:rPr>
        <w:t>表4-</w:t>
      </w:r>
      <w:r>
        <w:rPr>
          <w:b/>
          <w:color w:val="000000" w:themeColor="text1"/>
          <w:sz w:val="21"/>
          <w:szCs w:val="21"/>
        </w:rPr>
        <w:t>1</w:t>
      </w:r>
      <w:r>
        <w:rPr>
          <w:rFonts w:hint="eastAsia"/>
          <w:b/>
          <w:color w:val="000000" w:themeColor="text1"/>
          <w:sz w:val="21"/>
          <w:szCs w:val="21"/>
        </w:rPr>
        <w:t xml:space="preserve">      单因素变动压力测试表</w:t>
      </w:r>
    </w:p>
    <w:p w14:paraId="43C185FA">
      <w:pPr>
        <w:pStyle w:val="23"/>
        <w:spacing w:before="0" w:beforeAutospacing="0" w:after="120" w:afterLines="50" w:afterAutospacing="0" w:line="400" w:lineRule="exact"/>
        <w:ind w:firstLine="360" w:firstLineChars="200"/>
        <w:contextualSpacing/>
        <w:jc w:val="right"/>
        <w:rPr>
          <w:rFonts w:hint="eastAsia"/>
          <w:color w:val="000000" w:themeColor="text1"/>
          <w:sz w:val="18"/>
          <w:szCs w:val="18"/>
        </w:rPr>
      </w:pPr>
      <w:r>
        <w:rPr>
          <w:rFonts w:hint="eastAsia"/>
          <w:color w:val="000000" w:themeColor="text1"/>
          <w:sz w:val="18"/>
          <w:szCs w:val="18"/>
        </w:rPr>
        <w:t>单位：万元</w:t>
      </w:r>
    </w:p>
    <w:tbl>
      <w:tblPr>
        <w:tblStyle w:val="28"/>
        <w:tblW w:w="5000" w:type="pct"/>
        <w:tblInd w:w="0" w:type="dxa"/>
        <w:shd w:val="clear" w:color="auto" w:fill="FFFFFF" w:themeFill="background1"/>
        <w:tblLayout w:type="fixed"/>
        <w:tblCellMar>
          <w:top w:w="0" w:type="dxa"/>
          <w:left w:w="108" w:type="dxa"/>
          <w:bottom w:w="0" w:type="dxa"/>
          <w:right w:w="108" w:type="dxa"/>
        </w:tblCellMar>
      </w:tblPr>
      <w:tblGrid>
        <w:gridCol w:w="3491"/>
        <w:gridCol w:w="1677"/>
        <w:gridCol w:w="1606"/>
        <w:gridCol w:w="1528"/>
      </w:tblGrid>
      <w:tr w14:paraId="096079EE">
        <w:tblPrEx>
          <w:shd w:val="clear" w:color="auto" w:fill="FFFFFF" w:themeFill="background1"/>
          <w:tblCellMar>
            <w:top w:w="0" w:type="dxa"/>
            <w:left w:w="108" w:type="dxa"/>
            <w:bottom w:w="0" w:type="dxa"/>
            <w:right w:w="108" w:type="dxa"/>
          </w:tblCellMar>
        </w:tblPrEx>
        <w:trPr>
          <w:trHeight w:val="270" w:hRule="atLeast"/>
        </w:trPr>
        <w:tc>
          <w:tcPr>
            <w:tcW w:w="2101"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14:paraId="723DA1F5">
            <w:pPr>
              <w:widowControl/>
              <w:spacing w:line="240" w:lineRule="auto"/>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资金覆盖率-压力测试（单因素敏感性分析）</w:t>
            </w:r>
          </w:p>
        </w:tc>
        <w:tc>
          <w:tcPr>
            <w:tcW w:w="1010" w:type="pct"/>
            <w:tcBorders>
              <w:top w:val="single" w:color="auto" w:sz="4" w:space="0"/>
              <w:left w:val="nil"/>
              <w:bottom w:val="single" w:color="auto" w:sz="4" w:space="0"/>
              <w:right w:val="single" w:color="auto" w:sz="4" w:space="0"/>
            </w:tcBorders>
            <w:shd w:val="clear" w:color="auto" w:fill="FFFFFF" w:themeFill="background1"/>
            <w:noWrap/>
            <w:vAlign w:val="center"/>
          </w:tcPr>
          <w:p w14:paraId="417B218D">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-5%</w:t>
            </w:r>
          </w:p>
        </w:tc>
        <w:tc>
          <w:tcPr>
            <w:tcW w:w="967" w:type="pct"/>
            <w:tcBorders>
              <w:top w:val="single" w:color="auto" w:sz="4" w:space="0"/>
              <w:left w:val="nil"/>
              <w:bottom w:val="single" w:color="auto" w:sz="4" w:space="0"/>
              <w:right w:val="single" w:color="auto" w:sz="4" w:space="0"/>
            </w:tcBorders>
            <w:shd w:val="clear" w:color="auto" w:fill="FFFFFF" w:themeFill="background1"/>
            <w:noWrap/>
            <w:vAlign w:val="center"/>
          </w:tcPr>
          <w:p w14:paraId="2BC2E748">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0%</w:t>
            </w:r>
          </w:p>
        </w:tc>
        <w:tc>
          <w:tcPr>
            <w:tcW w:w="920" w:type="pct"/>
            <w:tcBorders>
              <w:top w:val="single" w:color="auto" w:sz="4" w:space="0"/>
              <w:left w:val="nil"/>
              <w:bottom w:val="single" w:color="auto" w:sz="4" w:space="0"/>
              <w:right w:val="single" w:color="auto" w:sz="4" w:space="0"/>
            </w:tcBorders>
            <w:shd w:val="clear" w:color="auto" w:fill="FFFFFF" w:themeFill="background1"/>
            <w:noWrap/>
            <w:vAlign w:val="center"/>
          </w:tcPr>
          <w:p w14:paraId="6F2F6C73">
            <w:pPr>
              <w:widowControl/>
              <w:spacing w:line="240" w:lineRule="auto"/>
              <w:ind w:firstLine="360"/>
              <w:jc w:val="center"/>
              <w:rPr>
                <w:rFonts w:hint="eastAsia" w:ascii="宋体" w:hAnsi="宋体" w:cs="宋体"/>
                <w:kern w:val="0"/>
                <w:sz w:val="18"/>
                <w:szCs w:val="18"/>
              </w:rPr>
            </w:pPr>
            <w:r>
              <w:rPr>
                <w:rFonts w:hint="eastAsia" w:ascii="宋体" w:hAnsi="宋体" w:cs="宋体"/>
                <w:kern w:val="0"/>
                <w:sz w:val="18"/>
                <w:szCs w:val="18"/>
              </w:rPr>
              <w:t>5%</w:t>
            </w:r>
          </w:p>
        </w:tc>
      </w:tr>
      <w:tr w14:paraId="0C64FF51">
        <w:tblPrEx>
          <w:shd w:val="clear" w:color="auto" w:fill="FFFFFF" w:themeFill="background1"/>
          <w:tblCellMar>
            <w:top w:w="0" w:type="dxa"/>
            <w:left w:w="108" w:type="dxa"/>
            <w:bottom w:w="0" w:type="dxa"/>
            <w:right w:w="108" w:type="dxa"/>
          </w:tblCellMar>
        </w:tblPrEx>
        <w:trPr>
          <w:trHeight w:val="114" w:hRule="atLeast"/>
        </w:trPr>
        <w:tc>
          <w:tcPr>
            <w:tcW w:w="2101" w:type="pct"/>
            <w:tcBorders>
              <w:top w:val="nil"/>
              <w:left w:val="single" w:color="auto" w:sz="4" w:space="0"/>
              <w:bottom w:val="single" w:color="auto" w:sz="4" w:space="0"/>
              <w:right w:val="single" w:color="auto" w:sz="4" w:space="0"/>
            </w:tcBorders>
            <w:shd w:val="clear" w:color="auto" w:fill="FFFFFF" w:themeFill="background1"/>
            <w:noWrap/>
            <w:vAlign w:val="center"/>
          </w:tcPr>
          <w:p w14:paraId="55326691">
            <w:pPr>
              <w:widowControl/>
              <w:spacing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业务活动现金流入变动后金额</w:t>
            </w:r>
          </w:p>
        </w:tc>
        <w:tc>
          <w:tcPr>
            <w:tcW w:w="1010" w:type="pct"/>
            <w:tcBorders>
              <w:top w:val="nil"/>
              <w:left w:val="nil"/>
              <w:bottom w:val="single" w:color="auto" w:sz="4" w:space="0"/>
              <w:right w:val="single" w:color="auto" w:sz="4" w:space="0"/>
            </w:tcBorders>
            <w:shd w:val="clear" w:color="auto" w:fill="FFFFFF" w:themeFill="background1"/>
            <w:noWrap/>
          </w:tcPr>
          <w:p w14:paraId="0995B0FB">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1,280,069.90 </w:t>
            </w:r>
          </w:p>
        </w:tc>
        <w:tc>
          <w:tcPr>
            <w:tcW w:w="967" w:type="pct"/>
            <w:tcBorders>
              <w:top w:val="nil"/>
              <w:left w:val="nil"/>
              <w:bottom w:val="single" w:color="auto" w:sz="4" w:space="0"/>
              <w:right w:val="single" w:color="auto" w:sz="4" w:space="0"/>
            </w:tcBorders>
            <w:shd w:val="clear" w:color="auto" w:fill="FFFFFF" w:themeFill="background1"/>
            <w:noWrap/>
          </w:tcPr>
          <w:p w14:paraId="4EB33AAA">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1,347,442.00 </w:t>
            </w:r>
          </w:p>
        </w:tc>
        <w:tc>
          <w:tcPr>
            <w:tcW w:w="920" w:type="pct"/>
            <w:tcBorders>
              <w:top w:val="nil"/>
              <w:left w:val="nil"/>
              <w:bottom w:val="single" w:color="auto" w:sz="4" w:space="0"/>
              <w:right w:val="single" w:color="auto" w:sz="4" w:space="0"/>
            </w:tcBorders>
            <w:shd w:val="clear" w:color="auto" w:fill="FFFFFF" w:themeFill="background1"/>
            <w:noWrap/>
          </w:tcPr>
          <w:p w14:paraId="4CDE6F69">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1,414,814.10 </w:t>
            </w:r>
          </w:p>
        </w:tc>
      </w:tr>
      <w:tr w14:paraId="1032986D">
        <w:tblPrEx>
          <w:tblCellMar>
            <w:top w:w="0" w:type="dxa"/>
            <w:left w:w="108" w:type="dxa"/>
            <w:bottom w:w="0" w:type="dxa"/>
            <w:right w:w="108" w:type="dxa"/>
          </w:tblCellMar>
        </w:tblPrEx>
        <w:trPr>
          <w:trHeight w:val="270" w:hRule="atLeast"/>
        </w:trPr>
        <w:tc>
          <w:tcPr>
            <w:tcW w:w="2101" w:type="pct"/>
            <w:tcBorders>
              <w:top w:val="nil"/>
              <w:left w:val="single" w:color="auto" w:sz="4" w:space="0"/>
              <w:bottom w:val="single" w:color="auto" w:sz="4" w:space="0"/>
              <w:right w:val="single" w:color="auto" w:sz="4" w:space="0"/>
            </w:tcBorders>
            <w:shd w:val="clear" w:color="auto" w:fill="FFFFFF" w:themeFill="background1"/>
            <w:noWrap/>
            <w:vAlign w:val="center"/>
          </w:tcPr>
          <w:p w14:paraId="19A376AF">
            <w:pPr>
              <w:widowControl/>
              <w:spacing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业务活动现金流出成本变动后金额</w:t>
            </w:r>
          </w:p>
        </w:tc>
        <w:tc>
          <w:tcPr>
            <w:tcW w:w="1010" w:type="pct"/>
            <w:tcBorders>
              <w:top w:val="nil"/>
              <w:left w:val="nil"/>
              <w:bottom w:val="single" w:color="auto" w:sz="4" w:space="0"/>
              <w:right w:val="single" w:color="auto" w:sz="4" w:space="0"/>
            </w:tcBorders>
            <w:shd w:val="clear" w:color="auto" w:fill="FFFFFF" w:themeFill="background1"/>
            <w:noWrap/>
          </w:tcPr>
          <w:p w14:paraId="2F0CCA27">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240,312.98 </w:t>
            </w:r>
          </w:p>
        </w:tc>
        <w:tc>
          <w:tcPr>
            <w:tcW w:w="967" w:type="pct"/>
            <w:tcBorders>
              <w:top w:val="nil"/>
              <w:left w:val="nil"/>
              <w:bottom w:val="single" w:color="auto" w:sz="4" w:space="0"/>
              <w:right w:val="single" w:color="auto" w:sz="4" w:space="0"/>
            </w:tcBorders>
            <w:shd w:val="clear" w:color="auto" w:fill="FFFFFF" w:themeFill="background1"/>
            <w:noWrap/>
          </w:tcPr>
          <w:p w14:paraId="18B404F3">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252,961.03 </w:t>
            </w:r>
          </w:p>
        </w:tc>
        <w:tc>
          <w:tcPr>
            <w:tcW w:w="920" w:type="pct"/>
            <w:tcBorders>
              <w:top w:val="nil"/>
              <w:left w:val="nil"/>
              <w:bottom w:val="single" w:color="auto" w:sz="4" w:space="0"/>
              <w:right w:val="single" w:color="auto" w:sz="4" w:space="0"/>
            </w:tcBorders>
            <w:shd w:val="clear" w:color="auto" w:fill="FFFFFF" w:themeFill="background1"/>
            <w:noWrap/>
          </w:tcPr>
          <w:p w14:paraId="4D2E9C64">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265,609.08 </w:t>
            </w:r>
          </w:p>
        </w:tc>
      </w:tr>
      <w:tr w14:paraId="589ED27D">
        <w:tblPrEx>
          <w:tblCellMar>
            <w:top w:w="0" w:type="dxa"/>
            <w:left w:w="108" w:type="dxa"/>
            <w:bottom w:w="0" w:type="dxa"/>
            <w:right w:w="108" w:type="dxa"/>
          </w:tblCellMar>
        </w:tblPrEx>
        <w:trPr>
          <w:trHeight w:val="270" w:hRule="atLeast"/>
        </w:trPr>
        <w:tc>
          <w:tcPr>
            <w:tcW w:w="2101" w:type="pct"/>
            <w:tcBorders>
              <w:top w:val="nil"/>
              <w:left w:val="single" w:color="auto" w:sz="4" w:space="0"/>
              <w:bottom w:val="single" w:color="auto" w:sz="4" w:space="0"/>
              <w:right w:val="single" w:color="auto" w:sz="4" w:space="0"/>
            </w:tcBorders>
            <w:shd w:val="clear" w:color="auto" w:fill="FFFFFF" w:themeFill="background1"/>
            <w:noWrap/>
            <w:vAlign w:val="center"/>
          </w:tcPr>
          <w:p w14:paraId="000E36E3">
            <w:pPr>
              <w:widowControl/>
              <w:spacing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利率变动</w:t>
            </w:r>
          </w:p>
        </w:tc>
        <w:tc>
          <w:tcPr>
            <w:tcW w:w="1010" w:type="pct"/>
            <w:tcBorders>
              <w:top w:val="nil"/>
              <w:left w:val="nil"/>
              <w:bottom w:val="single" w:color="auto" w:sz="4" w:space="0"/>
              <w:right w:val="single" w:color="auto" w:sz="4" w:space="0"/>
            </w:tcBorders>
            <w:shd w:val="clear" w:color="auto" w:fill="FFFFFF" w:themeFill="background1"/>
            <w:noWrap/>
          </w:tcPr>
          <w:p w14:paraId="3C5C592A">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4.09%</w:t>
            </w:r>
          </w:p>
        </w:tc>
        <w:tc>
          <w:tcPr>
            <w:tcW w:w="967" w:type="pct"/>
            <w:tcBorders>
              <w:top w:val="nil"/>
              <w:left w:val="nil"/>
              <w:bottom w:val="single" w:color="auto" w:sz="4" w:space="0"/>
              <w:right w:val="single" w:color="auto" w:sz="4" w:space="0"/>
            </w:tcBorders>
            <w:shd w:val="clear" w:color="auto" w:fill="FFFFFF" w:themeFill="background1"/>
            <w:noWrap/>
          </w:tcPr>
          <w:p w14:paraId="3DD56AAA">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4.30%</w:t>
            </w:r>
          </w:p>
        </w:tc>
        <w:tc>
          <w:tcPr>
            <w:tcW w:w="920" w:type="pct"/>
            <w:tcBorders>
              <w:top w:val="nil"/>
              <w:left w:val="nil"/>
              <w:bottom w:val="single" w:color="auto" w:sz="4" w:space="0"/>
              <w:right w:val="single" w:color="auto" w:sz="4" w:space="0"/>
            </w:tcBorders>
            <w:shd w:val="clear" w:color="auto" w:fill="FFFFFF" w:themeFill="background1"/>
            <w:noWrap/>
          </w:tcPr>
          <w:p w14:paraId="3F69CB08">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4.52%</w:t>
            </w:r>
          </w:p>
        </w:tc>
      </w:tr>
      <w:tr w14:paraId="74C45E68">
        <w:tblPrEx>
          <w:tblCellMar>
            <w:top w:w="0" w:type="dxa"/>
            <w:left w:w="108" w:type="dxa"/>
            <w:bottom w:w="0" w:type="dxa"/>
            <w:right w:w="108" w:type="dxa"/>
          </w:tblCellMar>
        </w:tblPrEx>
        <w:trPr>
          <w:trHeight w:val="270" w:hRule="atLeast"/>
        </w:trPr>
        <w:tc>
          <w:tcPr>
            <w:tcW w:w="2101" w:type="pct"/>
            <w:tcBorders>
              <w:top w:val="nil"/>
              <w:left w:val="single" w:color="auto" w:sz="4" w:space="0"/>
              <w:bottom w:val="single" w:color="auto" w:sz="4" w:space="0"/>
              <w:right w:val="single" w:color="auto" w:sz="4" w:space="0"/>
            </w:tcBorders>
            <w:shd w:val="clear" w:color="auto" w:fill="FFFFFF" w:themeFill="background1"/>
            <w:noWrap/>
            <w:vAlign w:val="center"/>
          </w:tcPr>
          <w:p w14:paraId="5FFDE46B">
            <w:pPr>
              <w:widowControl/>
              <w:spacing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利率变动债券利息</w:t>
            </w:r>
          </w:p>
        </w:tc>
        <w:tc>
          <w:tcPr>
            <w:tcW w:w="1010" w:type="pct"/>
            <w:tcBorders>
              <w:top w:val="nil"/>
              <w:left w:val="nil"/>
              <w:bottom w:val="single" w:color="auto" w:sz="4" w:space="0"/>
              <w:right w:val="single" w:color="auto" w:sz="4" w:space="0"/>
            </w:tcBorders>
            <w:shd w:val="clear" w:color="auto" w:fill="FFFFFF" w:themeFill="background1"/>
            <w:noWrap/>
          </w:tcPr>
          <w:p w14:paraId="2A30C300">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76,296.95 </w:t>
            </w:r>
          </w:p>
        </w:tc>
        <w:tc>
          <w:tcPr>
            <w:tcW w:w="967" w:type="pct"/>
            <w:tcBorders>
              <w:top w:val="nil"/>
              <w:left w:val="nil"/>
              <w:bottom w:val="single" w:color="auto" w:sz="4" w:space="0"/>
              <w:right w:val="single" w:color="auto" w:sz="4" w:space="0"/>
            </w:tcBorders>
            <w:shd w:val="clear" w:color="auto" w:fill="FFFFFF" w:themeFill="background1"/>
            <w:noWrap/>
          </w:tcPr>
          <w:p w14:paraId="2BB5A095">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80,312.58 </w:t>
            </w:r>
          </w:p>
        </w:tc>
        <w:tc>
          <w:tcPr>
            <w:tcW w:w="920" w:type="pct"/>
            <w:tcBorders>
              <w:top w:val="nil"/>
              <w:left w:val="nil"/>
              <w:bottom w:val="single" w:color="auto" w:sz="4" w:space="0"/>
              <w:right w:val="single" w:color="auto" w:sz="4" w:space="0"/>
            </w:tcBorders>
            <w:shd w:val="clear" w:color="auto" w:fill="FFFFFF" w:themeFill="background1"/>
            <w:noWrap/>
          </w:tcPr>
          <w:p w14:paraId="71DE35D7">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84,328.21 </w:t>
            </w:r>
          </w:p>
        </w:tc>
      </w:tr>
      <w:tr w14:paraId="3EF283AC">
        <w:tblPrEx>
          <w:shd w:val="clear" w:color="auto" w:fill="FFFFFF" w:themeFill="background1"/>
          <w:tblCellMar>
            <w:top w:w="0" w:type="dxa"/>
            <w:left w:w="108" w:type="dxa"/>
            <w:bottom w:w="0" w:type="dxa"/>
            <w:right w:w="108" w:type="dxa"/>
          </w:tblCellMar>
        </w:tblPrEx>
        <w:trPr>
          <w:trHeight w:val="270" w:hRule="atLeast"/>
        </w:trPr>
        <w:tc>
          <w:tcPr>
            <w:tcW w:w="2101" w:type="pct"/>
            <w:tcBorders>
              <w:top w:val="nil"/>
              <w:left w:val="single" w:color="auto" w:sz="4" w:space="0"/>
              <w:bottom w:val="single" w:color="auto" w:sz="4" w:space="0"/>
              <w:right w:val="single" w:color="auto" w:sz="4" w:space="0"/>
            </w:tcBorders>
            <w:shd w:val="clear" w:color="auto" w:fill="FFFFFF" w:themeFill="background1"/>
            <w:noWrap/>
            <w:vAlign w:val="center"/>
          </w:tcPr>
          <w:p w14:paraId="2C66ABCD">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1.收入变动敏感性分析</w:t>
            </w:r>
          </w:p>
        </w:tc>
        <w:tc>
          <w:tcPr>
            <w:tcW w:w="1010" w:type="pct"/>
            <w:tcBorders>
              <w:top w:val="nil"/>
              <w:left w:val="nil"/>
              <w:bottom w:val="single" w:color="auto" w:sz="4" w:space="0"/>
              <w:right w:val="single" w:color="auto" w:sz="4" w:space="0"/>
            </w:tcBorders>
            <w:shd w:val="clear" w:color="auto" w:fill="FFFFFF" w:themeFill="background1"/>
            <w:noWrap/>
          </w:tcPr>
          <w:p w14:paraId="79D9A03A">
            <w:pPr>
              <w:widowControl/>
              <w:spacing w:line="240" w:lineRule="auto"/>
              <w:ind w:firstLine="360"/>
              <w:jc w:val="center"/>
              <w:rPr>
                <w:rFonts w:hint="eastAsia" w:ascii="宋体" w:hAnsi="宋体" w:cs="宋体"/>
                <w:color w:val="000000"/>
                <w:kern w:val="0"/>
                <w:sz w:val="18"/>
                <w:szCs w:val="18"/>
              </w:rPr>
            </w:pPr>
          </w:p>
        </w:tc>
        <w:tc>
          <w:tcPr>
            <w:tcW w:w="967" w:type="pct"/>
            <w:tcBorders>
              <w:top w:val="nil"/>
              <w:left w:val="nil"/>
              <w:bottom w:val="single" w:color="auto" w:sz="4" w:space="0"/>
              <w:right w:val="single" w:color="auto" w:sz="4" w:space="0"/>
            </w:tcBorders>
            <w:shd w:val="clear" w:color="auto" w:fill="FFFFFF" w:themeFill="background1"/>
            <w:noWrap/>
          </w:tcPr>
          <w:p w14:paraId="2CE4B939">
            <w:pPr>
              <w:widowControl/>
              <w:spacing w:line="240" w:lineRule="auto"/>
              <w:ind w:firstLine="360"/>
              <w:jc w:val="center"/>
              <w:rPr>
                <w:rFonts w:hint="eastAsia" w:ascii="宋体" w:hAnsi="宋体" w:cs="宋体"/>
                <w:color w:val="000000"/>
                <w:kern w:val="0"/>
                <w:sz w:val="18"/>
                <w:szCs w:val="18"/>
              </w:rPr>
            </w:pPr>
          </w:p>
        </w:tc>
        <w:tc>
          <w:tcPr>
            <w:tcW w:w="920" w:type="pct"/>
            <w:tcBorders>
              <w:top w:val="nil"/>
              <w:left w:val="nil"/>
              <w:bottom w:val="single" w:color="auto" w:sz="4" w:space="0"/>
              <w:right w:val="single" w:color="auto" w:sz="4" w:space="0"/>
            </w:tcBorders>
            <w:shd w:val="clear" w:color="auto" w:fill="FFFFFF" w:themeFill="background1"/>
            <w:noWrap/>
          </w:tcPr>
          <w:p w14:paraId="5DA285C3">
            <w:pPr>
              <w:widowControl/>
              <w:spacing w:line="240" w:lineRule="auto"/>
              <w:ind w:firstLine="360"/>
              <w:jc w:val="center"/>
              <w:rPr>
                <w:rFonts w:hint="eastAsia" w:ascii="宋体" w:hAnsi="宋体" w:cs="宋体"/>
                <w:color w:val="000000"/>
                <w:kern w:val="0"/>
                <w:sz w:val="18"/>
                <w:szCs w:val="18"/>
              </w:rPr>
            </w:pPr>
          </w:p>
        </w:tc>
      </w:tr>
      <w:tr w14:paraId="55CB9E24">
        <w:tblPrEx>
          <w:tblCellMar>
            <w:top w:w="0" w:type="dxa"/>
            <w:left w:w="108" w:type="dxa"/>
            <w:bottom w:w="0" w:type="dxa"/>
            <w:right w:w="108" w:type="dxa"/>
          </w:tblCellMar>
        </w:tblPrEx>
        <w:trPr>
          <w:trHeight w:val="270" w:hRule="atLeast"/>
        </w:trPr>
        <w:tc>
          <w:tcPr>
            <w:tcW w:w="2101" w:type="pct"/>
            <w:tcBorders>
              <w:top w:val="nil"/>
              <w:left w:val="single" w:color="auto" w:sz="4" w:space="0"/>
              <w:bottom w:val="single" w:color="auto" w:sz="4" w:space="0"/>
              <w:right w:val="single" w:color="auto" w:sz="4" w:space="0"/>
            </w:tcBorders>
            <w:shd w:val="clear" w:color="auto" w:fill="FFFFFF" w:themeFill="background1"/>
            <w:noWrap/>
            <w:vAlign w:val="center"/>
          </w:tcPr>
          <w:p w14:paraId="78B244A8">
            <w:pPr>
              <w:widowControl/>
              <w:spacing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偿债资金覆盖倍数变化</w:t>
            </w:r>
          </w:p>
        </w:tc>
        <w:tc>
          <w:tcPr>
            <w:tcW w:w="1010" w:type="pct"/>
            <w:tcBorders>
              <w:top w:val="nil"/>
              <w:left w:val="nil"/>
              <w:bottom w:val="single" w:color="auto" w:sz="4" w:space="0"/>
              <w:right w:val="single" w:color="auto" w:sz="4" w:space="0"/>
            </w:tcBorders>
            <w:shd w:val="clear" w:color="auto" w:fill="FFFFFF" w:themeFill="background1"/>
            <w:noWrap/>
          </w:tcPr>
          <w:p w14:paraId="6A00E5CD">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1.38 </w:t>
            </w:r>
          </w:p>
        </w:tc>
        <w:tc>
          <w:tcPr>
            <w:tcW w:w="967" w:type="pct"/>
            <w:tcBorders>
              <w:top w:val="nil"/>
              <w:left w:val="nil"/>
              <w:bottom w:val="single" w:color="auto" w:sz="4" w:space="0"/>
              <w:right w:val="single" w:color="auto" w:sz="4" w:space="0"/>
            </w:tcBorders>
            <w:shd w:val="clear" w:color="auto" w:fill="FFFFFF" w:themeFill="background1"/>
            <w:noWrap/>
          </w:tcPr>
          <w:p w14:paraId="3F7CE495">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1.47 </w:t>
            </w:r>
          </w:p>
        </w:tc>
        <w:tc>
          <w:tcPr>
            <w:tcW w:w="920" w:type="pct"/>
            <w:tcBorders>
              <w:top w:val="nil"/>
              <w:left w:val="nil"/>
              <w:bottom w:val="single" w:color="auto" w:sz="4" w:space="0"/>
              <w:right w:val="single" w:color="auto" w:sz="4" w:space="0"/>
            </w:tcBorders>
            <w:shd w:val="clear" w:color="auto" w:fill="FFFFFF" w:themeFill="background1"/>
            <w:noWrap/>
          </w:tcPr>
          <w:p w14:paraId="3559EC51">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1.56 </w:t>
            </w:r>
          </w:p>
        </w:tc>
      </w:tr>
      <w:tr w14:paraId="24E836B8">
        <w:tblPrEx>
          <w:tblCellMar>
            <w:top w:w="0" w:type="dxa"/>
            <w:left w:w="108" w:type="dxa"/>
            <w:bottom w:w="0" w:type="dxa"/>
            <w:right w:w="108" w:type="dxa"/>
          </w:tblCellMar>
        </w:tblPrEx>
        <w:trPr>
          <w:trHeight w:val="270" w:hRule="atLeast"/>
        </w:trPr>
        <w:tc>
          <w:tcPr>
            <w:tcW w:w="2101" w:type="pct"/>
            <w:tcBorders>
              <w:top w:val="nil"/>
              <w:left w:val="single" w:color="auto" w:sz="4" w:space="0"/>
              <w:bottom w:val="single" w:color="auto" w:sz="4" w:space="0"/>
              <w:right w:val="single" w:color="auto" w:sz="4" w:space="0"/>
            </w:tcBorders>
            <w:shd w:val="clear" w:color="auto" w:fill="FFFFFF" w:themeFill="background1"/>
            <w:noWrap/>
            <w:vAlign w:val="center"/>
          </w:tcPr>
          <w:p w14:paraId="7F7EA630">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2.成本变动敏感性分析</w:t>
            </w:r>
          </w:p>
        </w:tc>
        <w:tc>
          <w:tcPr>
            <w:tcW w:w="1010" w:type="pct"/>
            <w:tcBorders>
              <w:top w:val="nil"/>
              <w:left w:val="nil"/>
              <w:bottom w:val="single" w:color="auto" w:sz="4" w:space="0"/>
              <w:right w:val="single" w:color="auto" w:sz="4" w:space="0"/>
            </w:tcBorders>
            <w:shd w:val="clear" w:color="auto" w:fill="FFFFFF" w:themeFill="background1"/>
            <w:noWrap/>
          </w:tcPr>
          <w:p w14:paraId="38BA7AD8">
            <w:pPr>
              <w:widowControl/>
              <w:spacing w:line="240" w:lineRule="auto"/>
              <w:ind w:firstLine="360"/>
              <w:jc w:val="center"/>
              <w:rPr>
                <w:rFonts w:hint="eastAsia" w:ascii="宋体" w:hAnsi="宋体" w:cs="宋体"/>
                <w:color w:val="000000"/>
                <w:kern w:val="0"/>
                <w:sz w:val="18"/>
                <w:szCs w:val="18"/>
              </w:rPr>
            </w:pPr>
          </w:p>
        </w:tc>
        <w:tc>
          <w:tcPr>
            <w:tcW w:w="967" w:type="pct"/>
            <w:tcBorders>
              <w:top w:val="nil"/>
              <w:left w:val="nil"/>
              <w:bottom w:val="single" w:color="auto" w:sz="4" w:space="0"/>
              <w:right w:val="single" w:color="auto" w:sz="4" w:space="0"/>
            </w:tcBorders>
            <w:shd w:val="clear" w:color="auto" w:fill="FFFFFF" w:themeFill="background1"/>
            <w:noWrap/>
          </w:tcPr>
          <w:p w14:paraId="6507909A">
            <w:pPr>
              <w:widowControl/>
              <w:spacing w:line="240" w:lineRule="auto"/>
              <w:ind w:firstLine="360"/>
              <w:jc w:val="center"/>
              <w:rPr>
                <w:rFonts w:hint="eastAsia" w:ascii="宋体" w:hAnsi="宋体" w:cs="宋体"/>
                <w:color w:val="000000"/>
                <w:kern w:val="0"/>
                <w:sz w:val="18"/>
                <w:szCs w:val="18"/>
              </w:rPr>
            </w:pPr>
          </w:p>
        </w:tc>
        <w:tc>
          <w:tcPr>
            <w:tcW w:w="920" w:type="pct"/>
            <w:tcBorders>
              <w:top w:val="nil"/>
              <w:left w:val="nil"/>
              <w:bottom w:val="single" w:color="auto" w:sz="4" w:space="0"/>
              <w:right w:val="single" w:color="auto" w:sz="4" w:space="0"/>
            </w:tcBorders>
            <w:shd w:val="clear" w:color="auto" w:fill="FFFFFF" w:themeFill="background1"/>
            <w:noWrap/>
          </w:tcPr>
          <w:p w14:paraId="6E433F81">
            <w:pPr>
              <w:widowControl/>
              <w:spacing w:line="240" w:lineRule="auto"/>
              <w:ind w:firstLine="360"/>
              <w:jc w:val="center"/>
              <w:rPr>
                <w:rFonts w:hint="eastAsia" w:ascii="宋体" w:hAnsi="宋体" w:cs="宋体"/>
                <w:color w:val="000000"/>
                <w:kern w:val="0"/>
                <w:sz w:val="18"/>
                <w:szCs w:val="18"/>
              </w:rPr>
            </w:pPr>
          </w:p>
        </w:tc>
      </w:tr>
      <w:tr w14:paraId="6D827BCB">
        <w:tblPrEx>
          <w:tblCellMar>
            <w:top w:w="0" w:type="dxa"/>
            <w:left w:w="108" w:type="dxa"/>
            <w:bottom w:w="0" w:type="dxa"/>
            <w:right w:w="108" w:type="dxa"/>
          </w:tblCellMar>
        </w:tblPrEx>
        <w:trPr>
          <w:trHeight w:val="270" w:hRule="atLeast"/>
        </w:trPr>
        <w:tc>
          <w:tcPr>
            <w:tcW w:w="2101" w:type="pct"/>
            <w:tcBorders>
              <w:top w:val="nil"/>
              <w:left w:val="single" w:color="auto" w:sz="4" w:space="0"/>
              <w:bottom w:val="single" w:color="auto" w:sz="4" w:space="0"/>
              <w:right w:val="single" w:color="auto" w:sz="4" w:space="0"/>
            </w:tcBorders>
            <w:shd w:val="clear" w:color="auto" w:fill="FFFFFF" w:themeFill="background1"/>
            <w:noWrap/>
            <w:vAlign w:val="center"/>
          </w:tcPr>
          <w:p w14:paraId="7B87F83F">
            <w:pPr>
              <w:widowControl/>
              <w:spacing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偿债资金覆盖倍数变化</w:t>
            </w:r>
          </w:p>
        </w:tc>
        <w:tc>
          <w:tcPr>
            <w:tcW w:w="1010" w:type="pct"/>
            <w:tcBorders>
              <w:top w:val="nil"/>
              <w:left w:val="nil"/>
              <w:bottom w:val="single" w:color="auto" w:sz="4" w:space="0"/>
              <w:right w:val="single" w:color="auto" w:sz="4" w:space="0"/>
            </w:tcBorders>
            <w:shd w:val="clear" w:color="auto" w:fill="FFFFFF" w:themeFill="background1"/>
            <w:noWrap/>
          </w:tcPr>
          <w:p w14:paraId="2A4B8D10">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1.48 </w:t>
            </w:r>
          </w:p>
        </w:tc>
        <w:tc>
          <w:tcPr>
            <w:tcW w:w="967" w:type="pct"/>
            <w:tcBorders>
              <w:top w:val="nil"/>
              <w:left w:val="nil"/>
              <w:bottom w:val="single" w:color="auto" w:sz="4" w:space="0"/>
              <w:right w:val="single" w:color="auto" w:sz="4" w:space="0"/>
            </w:tcBorders>
            <w:shd w:val="clear" w:color="auto" w:fill="FFFFFF" w:themeFill="background1"/>
            <w:noWrap/>
          </w:tcPr>
          <w:p w14:paraId="2F6F622D">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1.47 </w:t>
            </w:r>
          </w:p>
        </w:tc>
        <w:tc>
          <w:tcPr>
            <w:tcW w:w="920" w:type="pct"/>
            <w:tcBorders>
              <w:top w:val="nil"/>
              <w:left w:val="nil"/>
              <w:bottom w:val="single" w:color="auto" w:sz="4" w:space="0"/>
              <w:right w:val="single" w:color="auto" w:sz="4" w:space="0"/>
            </w:tcBorders>
            <w:shd w:val="clear" w:color="auto" w:fill="FFFFFF" w:themeFill="background1"/>
            <w:noWrap/>
          </w:tcPr>
          <w:p w14:paraId="5F161723">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1.45 </w:t>
            </w:r>
          </w:p>
        </w:tc>
      </w:tr>
      <w:tr w14:paraId="4077B6EA">
        <w:tblPrEx>
          <w:tblCellMar>
            <w:top w:w="0" w:type="dxa"/>
            <w:left w:w="108" w:type="dxa"/>
            <w:bottom w:w="0" w:type="dxa"/>
            <w:right w:w="108" w:type="dxa"/>
          </w:tblCellMar>
        </w:tblPrEx>
        <w:trPr>
          <w:trHeight w:val="270" w:hRule="atLeast"/>
        </w:trPr>
        <w:tc>
          <w:tcPr>
            <w:tcW w:w="2101" w:type="pct"/>
            <w:tcBorders>
              <w:top w:val="nil"/>
              <w:left w:val="single" w:color="auto" w:sz="4" w:space="0"/>
              <w:bottom w:val="single" w:color="auto" w:sz="4" w:space="0"/>
              <w:right w:val="single" w:color="auto" w:sz="4" w:space="0"/>
            </w:tcBorders>
            <w:shd w:val="clear" w:color="auto" w:fill="FFFFFF" w:themeFill="background1"/>
            <w:noWrap/>
            <w:vAlign w:val="center"/>
          </w:tcPr>
          <w:p w14:paraId="41D41208">
            <w:pPr>
              <w:widowControl/>
              <w:spacing w:line="240" w:lineRule="auto"/>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3.利率变动敏感性分析</w:t>
            </w:r>
          </w:p>
        </w:tc>
        <w:tc>
          <w:tcPr>
            <w:tcW w:w="1010" w:type="pct"/>
            <w:tcBorders>
              <w:top w:val="nil"/>
              <w:left w:val="nil"/>
              <w:bottom w:val="single" w:color="auto" w:sz="4" w:space="0"/>
              <w:right w:val="single" w:color="auto" w:sz="4" w:space="0"/>
            </w:tcBorders>
            <w:shd w:val="clear" w:color="auto" w:fill="FFFFFF" w:themeFill="background1"/>
            <w:noWrap/>
          </w:tcPr>
          <w:p w14:paraId="7FC49D56">
            <w:pPr>
              <w:widowControl/>
              <w:spacing w:line="240" w:lineRule="auto"/>
              <w:ind w:firstLine="360"/>
              <w:jc w:val="center"/>
              <w:rPr>
                <w:rFonts w:hint="eastAsia" w:ascii="宋体" w:hAnsi="宋体" w:cs="宋体"/>
                <w:color w:val="000000"/>
                <w:kern w:val="0"/>
                <w:sz w:val="18"/>
                <w:szCs w:val="18"/>
              </w:rPr>
            </w:pPr>
          </w:p>
        </w:tc>
        <w:tc>
          <w:tcPr>
            <w:tcW w:w="967" w:type="pct"/>
            <w:tcBorders>
              <w:top w:val="nil"/>
              <w:left w:val="nil"/>
              <w:bottom w:val="single" w:color="auto" w:sz="4" w:space="0"/>
              <w:right w:val="single" w:color="auto" w:sz="4" w:space="0"/>
            </w:tcBorders>
            <w:shd w:val="clear" w:color="auto" w:fill="FFFFFF" w:themeFill="background1"/>
            <w:noWrap/>
          </w:tcPr>
          <w:p w14:paraId="34D4E3AE">
            <w:pPr>
              <w:widowControl/>
              <w:spacing w:line="240" w:lineRule="auto"/>
              <w:ind w:firstLine="360"/>
              <w:jc w:val="center"/>
              <w:rPr>
                <w:rFonts w:hint="eastAsia" w:ascii="宋体" w:hAnsi="宋体" w:cs="宋体"/>
                <w:color w:val="000000"/>
                <w:kern w:val="0"/>
                <w:sz w:val="18"/>
                <w:szCs w:val="18"/>
              </w:rPr>
            </w:pPr>
          </w:p>
        </w:tc>
        <w:tc>
          <w:tcPr>
            <w:tcW w:w="920" w:type="pct"/>
            <w:tcBorders>
              <w:top w:val="nil"/>
              <w:left w:val="nil"/>
              <w:bottom w:val="single" w:color="auto" w:sz="4" w:space="0"/>
              <w:right w:val="single" w:color="auto" w:sz="4" w:space="0"/>
            </w:tcBorders>
            <w:shd w:val="clear" w:color="auto" w:fill="FFFFFF" w:themeFill="background1"/>
            <w:noWrap/>
          </w:tcPr>
          <w:p w14:paraId="662F525D">
            <w:pPr>
              <w:widowControl/>
              <w:spacing w:line="240" w:lineRule="auto"/>
              <w:ind w:firstLine="360"/>
              <w:jc w:val="center"/>
              <w:rPr>
                <w:rFonts w:hint="eastAsia" w:ascii="宋体" w:hAnsi="宋体" w:cs="宋体"/>
                <w:color w:val="000000"/>
                <w:kern w:val="0"/>
                <w:sz w:val="18"/>
                <w:szCs w:val="18"/>
              </w:rPr>
            </w:pPr>
          </w:p>
        </w:tc>
      </w:tr>
      <w:tr w14:paraId="075E3911">
        <w:tblPrEx>
          <w:tblCellMar>
            <w:top w:w="0" w:type="dxa"/>
            <w:left w:w="108" w:type="dxa"/>
            <w:bottom w:w="0" w:type="dxa"/>
            <w:right w:w="108" w:type="dxa"/>
          </w:tblCellMar>
        </w:tblPrEx>
        <w:trPr>
          <w:trHeight w:val="270" w:hRule="atLeast"/>
        </w:trPr>
        <w:tc>
          <w:tcPr>
            <w:tcW w:w="2101" w:type="pct"/>
            <w:tcBorders>
              <w:top w:val="nil"/>
              <w:left w:val="single" w:color="auto" w:sz="4" w:space="0"/>
              <w:bottom w:val="single" w:color="auto" w:sz="4" w:space="0"/>
              <w:right w:val="single" w:color="auto" w:sz="4" w:space="0"/>
            </w:tcBorders>
            <w:shd w:val="clear" w:color="auto" w:fill="FFFFFF" w:themeFill="background1"/>
            <w:noWrap/>
            <w:vAlign w:val="center"/>
          </w:tcPr>
          <w:p w14:paraId="4BB115E2">
            <w:pPr>
              <w:widowControl/>
              <w:spacing w:line="240" w:lineRule="auto"/>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利率变动偿债资金本息覆盖率</w:t>
            </w:r>
          </w:p>
        </w:tc>
        <w:tc>
          <w:tcPr>
            <w:tcW w:w="1010" w:type="pct"/>
            <w:tcBorders>
              <w:top w:val="nil"/>
              <w:left w:val="nil"/>
              <w:bottom w:val="single" w:color="auto" w:sz="4" w:space="0"/>
              <w:right w:val="single" w:color="auto" w:sz="4" w:space="0"/>
            </w:tcBorders>
            <w:shd w:val="clear" w:color="auto" w:fill="FFFFFF" w:themeFill="background1"/>
            <w:noWrap/>
          </w:tcPr>
          <w:p w14:paraId="63A16800">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1.47 </w:t>
            </w:r>
          </w:p>
        </w:tc>
        <w:tc>
          <w:tcPr>
            <w:tcW w:w="967" w:type="pct"/>
            <w:tcBorders>
              <w:top w:val="nil"/>
              <w:left w:val="nil"/>
              <w:bottom w:val="single" w:color="auto" w:sz="4" w:space="0"/>
              <w:right w:val="single" w:color="auto" w:sz="4" w:space="0"/>
            </w:tcBorders>
            <w:shd w:val="clear" w:color="auto" w:fill="FFFFFF" w:themeFill="background1"/>
            <w:noWrap/>
          </w:tcPr>
          <w:p w14:paraId="421FAD3A">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1.47 </w:t>
            </w:r>
          </w:p>
        </w:tc>
        <w:tc>
          <w:tcPr>
            <w:tcW w:w="920" w:type="pct"/>
            <w:tcBorders>
              <w:top w:val="nil"/>
              <w:left w:val="nil"/>
              <w:bottom w:val="single" w:color="auto" w:sz="4" w:space="0"/>
              <w:right w:val="single" w:color="auto" w:sz="4" w:space="0"/>
            </w:tcBorders>
            <w:shd w:val="clear" w:color="auto" w:fill="FFFFFF" w:themeFill="background1"/>
            <w:noWrap/>
          </w:tcPr>
          <w:p w14:paraId="5445731E">
            <w:pPr>
              <w:widowControl/>
              <w:spacing w:line="240" w:lineRule="auto"/>
              <w:ind w:firstLine="360"/>
              <w:jc w:val="center"/>
              <w:rPr>
                <w:rFonts w:hint="eastAsia" w:ascii="宋体" w:hAnsi="宋体" w:cs="宋体"/>
                <w:color w:val="000000"/>
                <w:kern w:val="0"/>
                <w:sz w:val="18"/>
                <w:szCs w:val="18"/>
              </w:rPr>
            </w:pPr>
            <w:r>
              <w:rPr>
                <w:rFonts w:ascii="宋体" w:hAnsi="宋体" w:cs="宋体"/>
                <w:color w:val="000000"/>
                <w:kern w:val="0"/>
                <w:sz w:val="18"/>
                <w:szCs w:val="18"/>
              </w:rPr>
              <w:t xml:space="preserve"> 1.46 </w:t>
            </w:r>
          </w:p>
        </w:tc>
      </w:tr>
    </w:tbl>
    <w:p w14:paraId="44BFFB9F">
      <w:pPr>
        <w:spacing w:line="400" w:lineRule="exact"/>
        <w:ind w:firstLine="480"/>
        <w:rPr>
          <w:rFonts w:hint="eastAsia" w:ascii="仿宋" w:hAnsi="仿宋" w:eastAsia="仿宋" w:cs="仿宋"/>
          <w:szCs w:val="24"/>
        </w:rPr>
      </w:pPr>
      <w:r>
        <w:rPr>
          <w:rFonts w:hint="eastAsia" w:ascii="仿宋" w:hAnsi="仿宋" w:eastAsia="仿宋" w:cs="仿宋"/>
          <w:szCs w:val="24"/>
        </w:rPr>
        <w:t>5、绩效目标合理性</w:t>
      </w:r>
    </w:p>
    <w:p w14:paraId="1424D051">
      <w:pPr>
        <w:spacing w:line="400" w:lineRule="exact"/>
        <w:ind w:firstLine="480"/>
        <w:rPr>
          <w:rFonts w:hint="eastAsia" w:ascii="仿宋" w:hAnsi="仿宋" w:eastAsia="仿宋" w:cs="仿宋"/>
          <w:szCs w:val="24"/>
        </w:rPr>
      </w:pPr>
      <w:r>
        <w:rPr>
          <w:rFonts w:hint="eastAsia" w:ascii="仿宋" w:hAnsi="仿宋" w:eastAsia="仿宋" w:cs="仿宋"/>
          <w:szCs w:val="24"/>
        </w:rPr>
        <w:t>本次事前绩效评估根据财预〔2020〕10号事前绩效评估管理办法相关原则，并结合本项目特点，按照“注重规范</w:t>
      </w:r>
      <w:r>
        <w:rPr>
          <w:rFonts w:ascii="仿宋" w:hAnsi="仿宋" w:eastAsia="仿宋" w:cs="仿宋"/>
          <w:szCs w:val="24"/>
        </w:rPr>
        <w:t>、突出效果</w:t>
      </w:r>
      <w:r>
        <w:rPr>
          <w:rFonts w:hint="eastAsia" w:ascii="仿宋" w:hAnsi="仿宋" w:eastAsia="仿宋" w:cs="仿宋"/>
          <w:szCs w:val="24"/>
        </w:rPr>
        <w:t>”的原则设计本项目个性评价指标，确保绩效目标可评、可量、可用于指导项目实施阶段绩效评价。</w:t>
      </w:r>
    </w:p>
    <w:p w14:paraId="635866D3">
      <w:pPr>
        <w:spacing w:line="400" w:lineRule="exact"/>
        <w:ind w:firstLine="482"/>
        <w:rPr>
          <w:rFonts w:hint="eastAsia" w:ascii="仿宋" w:hAnsi="仿宋" w:eastAsia="仿宋" w:cs="仿宋"/>
          <w:b/>
          <w:bCs/>
          <w:szCs w:val="24"/>
        </w:rPr>
      </w:pPr>
      <w:r>
        <w:rPr>
          <w:rFonts w:hint="eastAsia" w:ascii="仿宋" w:hAnsi="仿宋" w:eastAsia="仿宋" w:cs="仿宋"/>
          <w:b/>
          <w:bCs/>
          <w:szCs w:val="24"/>
        </w:rPr>
        <w:br w:type="page"/>
      </w:r>
    </w:p>
    <w:p w14:paraId="516D9DB8">
      <w:pPr>
        <w:spacing w:line="400" w:lineRule="exact"/>
        <w:ind w:firstLine="482"/>
        <w:rPr>
          <w:rFonts w:hint="eastAsia" w:ascii="仿宋" w:hAnsi="仿宋" w:eastAsia="仿宋" w:cs="仿宋"/>
          <w:b/>
          <w:bCs/>
          <w:szCs w:val="24"/>
        </w:rPr>
      </w:pPr>
      <w:r>
        <w:rPr>
          <w:rFonts w:hint="eastAsia" w:ascii="仿宋" w:hAnsi="仿宋" w:eastAsia="仿宋" w:cs="仿宋"/>
          <w:b/>
          <w:bCs/>
          <w:szCs w:val="24"/>
        </w:rPr>
        <w:t>五、项目风险分析</w:t>
      </w:r>
      <w:bookmarkEnd w:id="23"/>
    </w:p>
    <w:p w14:paraId="7548795A">
      <w:pPr>
        <w:widowControl/>
        <w:spacing w:line="400" w:lineRule="exact"/>
        <w:ind w:firstLine="480"/>
        <w:jc w:val="left"/>
        <w:rPr>
          <w:rFonts w:hint="eastAsia" w:ascii="仿宋" w:hAnsi="仿宋" w:eastAsia="仿宋" w:cs="仿宋"/>
          <w:color w:val="000000"/>
          <w:kern w:val="0"/>
          <w:szCs w:val="24"/>
        </w:rPr>
      </w:pPr>
      <w:bookmarkStart w:id="24" w:name="_Toc67918960"/>
      <w:r>
        <w:rPr>
          <w:rFonts w:hint="eastAsia" w:ascii="仿宋" w:hAnsi="仿宋" w:eastAsia="仿宋" w:cs="仿宋"/>
          <w:color w:val="000000"/>
          <w:kern w:val="0"/>
          <w:szCs w:val="24"/>
        </w:rPr>
        <w:t>1、投资估算风险</w:t>
      </w:r>
      <w:bookmarkEnd w:id="24"/>
    </w:p>
    <w:p w14:paraId="786465E8">
      <w:pPr>
        <w:widowControl/>
        <w:spacing w:line="400" w:lineRule="exact"/>
        <w:ind w:firstLine="480"/>
        <w:jc w:val="left"/>
        <w:rPr>
          <w:rFonts w:hint="eastAsia" w:ascii="仿宋" w:hAnsi="仿宋" w:eastAsia="仿宋" w:cs="仿宋"/>
          <w:color w:val="000000"/>
          <w:kern w:val="0"/>
          <w:szCs w:val="24"/>
        </w:rPr>
      </w:pPr>
      <w:r>
        <w:rPr>
          <w:rFonts w:hint="eastAsia" w:ascii="仿宋" w:hAnsi="仿宋" w:eastAsia="仿宋" w:cs="仿宋"/>
          <w:color w:val="000000"/>
          <w:kern w:val="0"/>
          <w:szCs w:val="24"/>
        </w:rPr>
        <w:t>诸多项目尚处于规划与可行性研究阶段，项目预算尚不太准确，部分收入或支出可能还未列入，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3EA66AFE">
      <w:pPr>
        <w:widowControl/>
        <w:spacing w:line="400" w:lineRule="exact"/>
        <w:ind w:firstLine="480"/>
        <w:jc w:val="left"/>
        <w:rPr>
          <w:rFonts w:hint="eastAsia" w:ascii="仿宋" w:hAnsi="仿宋" w:eastAsia="仿宋" w:cs="仿宋"/>
          <w:color w:val="000000"/>
          <w:kern w:val="0"/>
          <w:szCs w:val="24"/>
        </w:rPr>
      </w:pPr>
      <w:bookmarkStart w:id="25" w:name="_Toc67918961"/>
      <w:r>
        <w:rPr>
          <w:rFonts w:hint="eastAsia" w:ascii="仿宋" w:hAnsi="仿宋" w:eastAsia="仿宋" w:cs="仿宋"/>
          <w:color w:val="000000"/>
          <w:kern w:val="0"/>
          <w:szCs w:val="24"/>
        </w:rPr>
        <w:t>2、工程风险</w:t>
      </w:r>
      <w:bookmarkEnd w:id="25"/>
    </w:p>
    <w:p w14:paraId="116379E7">
      <w:pPr>
        <w:widowControl/>
        <w:spacing w:line="400" w:lineRule="exact"/>
        <w:ind w:firstLine="480"/>
        <w:jc w:val="left"/>
        <w:rPr>
          <w:rFonts w:hint="eastAsia" w:ascii="仿宋" w:hAnsi="仿宋" w:eastAsia="仿宋" w:cs="仿宋"/>
          <w:color w:val="000000"/>
          <w:kern w:val="0"/>
          <w:szCs w:val="24"/>
        </w:rPr>
      </w:pPr>
      <w:r>
        <w:rPr>
          <w:rFonts w:hint="eastAsia" w:ascii="仿宋" w:hAnsi="仿宋" w:eastAsia="仿宋" w:cs="仿宋"/>
          <w:color w:val="000000"/>
          <w:kern w:val="0"/>
          <w:szCs w:val="24"/>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30484E6A">
      <w:pPr>
        <w:widowControl/>
        <w:spacing w:line="400" w:lineRule="exact"/>
        <w:ind w:firstLine="480"/>
        <w:jc w:val="left"/>
        <w:rPr>
          <w:rFonts w:hint="eastAsia" w:ascii="仿宋" w:hAnsi="仿宋" w:eastAsia="仿宋" w:cs="仿宋"/>
          <w:color w:val="000000"/>
          <w:kern w:val="0"/>
          <w:szCs w:val="24"/>
        </w:rPr>
      </w:pPr>
      <w:bookmarkStart w:id="26" w:name="_Toc67918962"/>
      <w:r>
        <w:rPr>
          <w:rFonts w:hint="eastAsia" w:ascii="仿宋" w:hAnsi="仿宋" w:eastAsia="仿宋" w:cs="仿宋"/>
          <w:color w:val="000000"/>
          <w:kern w:val="0"/>
          <w:szCs w:val="24"/>
        </w:rPr>
        <w:t>3、融资风险</w:t>
      </w:r>
      <w:bookmarkEnd w:id="26"/>
    </w:p>
    <w:p w14:paraId="60F4F486">
      <w:pPr>
        <w:widowControl/>
        <w:spacing w:line="400" w:lineRule="exact"/>
        <w:ind w:firstLine="480"/>
        <w:jc w:val="left"/>
        <w:rPr>
          <w:rFonts w:hint="eastAsia" w:ascii="仿宋" w:hAnsi="仿宋" w:eastAsia="仿宋" w:cs="仿宋"/>
          <w:color w:val="000000"/>
          <w:kern w:val="0"/>
          <w:szCs w:val="24"/>
        </w:rPr>
      </w:pPr>
      <w:r>
        <w:rPr>
          <w:rFonts w:hint="eastAsia" w:ascii="仿宋" w:hAnsi="仿宋" w:eastAsia="仿宋" w:cs="仿宋"/>
          <w:color w:val="000000"/>
          <w:kern w:val="0"/>
          <w:szCs w:val="24"/>
        </w:rPr>
        <w:t>资金供应不畅是影响一个项目建设及以后经营的重要风险。本次申请债券项目一旦遇到资金供应不畅，将直接影响到项目的建设。因此要积极争取各方的支持，做好期限配比、还款计划和准备，加快资金周转，适当增大流动比率，充分盘活资金，在条件许可的情况下要多渠道进行融资，落实资金来源，为项目整体的建设和经营提供良好的资金保障。</w:t>
      </w:r>
    </w:p>
    <w:p w14:paraId="3055A57A">
      <w:pPr>
        <w:widowControl/>
        <w:spacing w:line="400" w:lineRule="exact"/>
        <w:ind w:firstLine="480"/>
        <w:jc w:val="left"/>
        <w:rPr>
          <w:rFonts w:hint="eastAsia" w:ascii="仿宋" w:hAnsi="仿宋" w:eastAsia="仿宋" w:cs="仿宋"/>
          <w:color w:val="000000"/>
          <w:kern w:val="0"/>
          <w:szCs w:val="24"/>
        </w:rPr>
      </w:pPr>
      <w:bookmarkStart w:id="27" w:name="_Toc67918963"/>
      <w:r>
        <w:rPr>
          <w:rFonts w:hint="eastAsia" w:ascii="仿宋" w:hAnsi="仿宋" w:eastAsia="仿宋" w:cs="仿宋"/>
          <w:color w:val="000000"/>
          <w:kern w:val="0"/>
          <w:szCs w:val="24"/>
        </w:rPr>
        <w:t>4、财务风险</w:t>
      </w:r>
      <w:bookmarkEnd w:id="27"/>
    </w:p>
    <w:p w14:paraId="60BA0944">
      <w:pPr>
        <w:widowControl/>
        <w:spacing w:line="400" w:lineRule="exact"/>
        <w:ind w:firstLine="480"/>
        <w:jc w:val="left"/>
        <w:rPr>
          <w:rFonts w:hint="eastAsia" w:ascii="仿宋" w:hAnsi="仿宋" w:eastAsia="仿宋" w:cs="仿宋"/>
          <w:color w:val="000000"/>
          <w:kern w:val="0"/>
          <w:szCs w:val="24"/>
        </w:rPr>
      </w:pPr>
      <w:r>
        <w:rPr>
          <w:rFonts w:hint="eastAsia" w:ascii="仿宋" w:hAnsi="仿宋" w:eastAsia="仿宋" w:cs="仿宋"/>
          <w:color w:val="000000"/>
          <w:kern w:val="0"/>
          <w:szCs w:val="24"/>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规范项目资金管理，按照项目进度合理合规使用债券资金，并使资金收益最大化。根据项目建设进度合理规划资金使用，建立报备报批制度，确保债券资金合规使用。债券资金及项目对应收入不得用于项目之外的其他投资。同时，在确保资金安全的前提下，应做好财务规划，提高资金收益，减轻还本付息压力。</w:t>
      </w:r>
    </w:p>
    <w:p w14:paraId="5C026EA3">
      <w:pPr>
        <w:widowControl/>
        <w:spacing w:line="400" w:lineRule="exact"/>
        <w:ind w:firstLine="480"/>
        <w:jc w:val="left"/>
        <w:rPr>
          <w:rFonts w:hint="eastAsia" w:ascii="仿宋" w:hAnsi="仿宋" w:eastAsia="仿宋" w:cs="仿宋"/>
          <w:color w:val="000000"/>
          <w:kern w:val="0"/>
          <w:szCs w:val="24"/>
        </w:rPr>
      </w:pPr>
      <w:bookmarkStart w:id="28" w:name="_Toc67918964"/>
      <w:r>
        <w:rPr>
          <w:rFonts w:hint="eastAsia" w:ascii="仿宋" w:hAnsi="仿宋" w:eastAsia="仿宋" w:cs="仿宋"/>
          <w:color w:val="000000"/>
          <w:kern w:val="0"/>
          <w:szCs w:val="24"/>
        </w:rPr>
        <w:t>5、自然风险</w:t>
      </w:r>
      <w:bookmarkEnd w:id="28"/>
    </w:p>
    <w:p w14:paraId="645B437F">
      <w:pPr>
        <w:widowControl/>
        <w:spacing w:line="400" w:lineRule="exact"/>
        <w:ind w:firstLine="480"/>
        <w:jc w:val="left"/>
        <w:rPr>
          <w:rFonts w:hint="eastAsia" w:ascii="仿宋" w:hAnsi="仿宋" w:eastAsia="仿宋" w:cs="仿宋"/>
          <w:color w:val="000000"/>
          <w:kern w:val="0"/>
          <w:szCs w:val="24"/>
        </w:rPr>
      </w:pPr>
      <w:r>
        <w:rPr>
          <w:rFonts w:hint="eastAsia" w:ascii="仿宋" w:hAnsi="仿宋" w:eastAsia="仿宋" w:cs="仿宋"/>
          <w:color w:val="000000"/>
          <w:kern w:val="0"/>
          <w:szCs w:val="24"/>
        </w:rPr>
        <w:t>本项目在经营期间遇到人力不可抗拒的自然灾害是完全可能的，为了降低此间风险，要根据项目的特点制定的相应的措施，以便使不可抗拒自然灾害的风险降到最低。</w:t>
      </w:r>
    </w:p>
    <w:p w14:paraId="1C3948A3">
      <w:pPr>
        <w:spacing w:line="400" w:lineRule="exact"/>
        <w:ind w:firstLine="482"/>
        <w:rPr>
          <w:rFonts w:hint="eastAsia" w:ascii="仿宋" w:hAnsi="仿宋" w:eastAsia="仿宋" w:cs="仿宋"/>
          <w:b/>
          <w:bCs/>
          <w:szCs w:val="24"/>
        </w:rPr>
      </w:pPr>
      <w:bookmarkStart w:id="29" w:name="_Toc19488_WPSOffice_Level1"/>
      <w:r>
        <w:rPr>
          <w:rFonts w:hint="eastAsia" w:ascii="仿宋" w:hAnsi="仿宋" w:eastAsia="仿宋" w:cs="仿宋"/>
          <w:b/>
          <w:bCs/>
          <w:szCs w:val="24"/>
        </w:rPr>
        <w:t>六、专项债发行方案</w:t>
      </w:r>
      <w:bookmarkEnd w:id="29"/>
    </w:p>
    <w:p w14:paraId="5CA46576">
      <w:pPr>
        <w:widowControl/>
        <w:spacing w:line="400" w:lineRule="exact"/>
        <w:ind w:firstLine="480"/>
        <w:jc w:val="left"/>
        <w:rPr>
          <w:rFonts w:hint="eastAsia" w:ascii="仿宋" w:hAnsi="仿宋" w:eastAsia="仿宋" w:cs="仿宋"/>
          <w:color w:val="000000"/>
          <w:kern w:val="0"/>
          <w:szCs w:val="24"/>
        </w:rPr>
      </w:pPr>
      <w:r>
        <w:rPr>
          <w:rFonts w:ascii="仿宋" w:hAnsi="仿宋" w:eastAsia="仿宋" w:cs="仿宋"/>
          <w:color w:val="000000"/>
          <w:kern w:val="0"/>
          <w:szCs w:val="24"/>
        </w:rPr>
        <w:t>1、发行主体资格:根据</w:t>
      </w:r>
      <w:r>
        <w:rPr>
          <w:rFonts w:hint="eastAsia" w:ascii="仿宋" w:hAnsi="仿宋" w:eastAsia="仿宋" w:cs="仿宋"/>
          <w:color w:val="000000"/>
          <w:kern w:val="0"/>
          <w:szCs w:val="24"/>
        </w:rPr>
        <w:t>《关于试点发展项目收益与融资自求平衡的地方政府专项债券品种的通知》</w:t>
      </w:r>
      <w:r>
        <w:rPr>
          <w:rFonts w:ascii="仿宋" w:hAnsi="仿宋" w:eastAsia="仿宋" w:cs="仿宋"/>
          <w:color w:val="000000"/>
          <w:kern w:val="0"/>
          <w:szCs w:val="24"/>
        </w:rPr>
        <w:t>（财预[2017]89号）之规定，地方政府专项债券需由</w:t>
      </w:r>
      <w:r>
        <w:rPr>
          <w:rFonts w:hint="eastAsia" w:ascii="仿宋" w:hAnsi="仿宋" w:eastAsia="仿宋" w:cs="仿宋"/>
          <w:color w:val="000000"/>
          <w:kern w:val="0"/>
          <w:szCs w:val="24"/>
        </w:rPr>
        <w:t>江西</w:t>
      </w:r>
      <w:r>
        <w:rPr>
          <w:rFonts w:ascii="仿宋" w:hAnsi="仿宋" w:eastAsia="仿宋" w:cs="仿宋"/>
          <w:color w:val="000000"/>
          <w:kern w:val="0"/>
          <w:szCs w:val="24"/>
        </w:rPr>
        <w:t>省人民政府作为发行主体。本项目的实施机构</w:t>
      </w:r>
      <w:r>
        <w:rPr>
          <w:rFonts w:hint="eastAsia" w:ascii="仿宋" w:hAnsi="仿宋" w:eastAsia="仿宋" w:cs="仿宋"/>
          <w:color w:val="000000"/>
          <w:kern w:val="0"/>
          <w:szCs w:val="24"/>
        </w:rPr>
        <w:t>为南昌市交通运输局，是依法批准设立的机关单位，具备机关单位法人资格，具有相应的民事权利能力和民事行为能力；</w:t>
      </w:r>
      <w:r>
        <w:rPr>
          <w:rFonts w:ascii="仿宋" w:hAnsi="仿宋" w:eastAsia="仿宋" w:cs="仿宋"/>
          <w:color w:val="000000"/>
          <w:kern w:val="0"/>
          <w:szCs w:val="24"/>
        </w:rPr>
        <w:t>项目业主</w:t>
      </w:r>
      <w:r>
        <w:rPr>
          <w:rFonts w:hint="eastAsia" w:ascii="仿宋" w:hAnsi="仿宋" w:eastAsia="仿宋" w:cs="仿宋"/>
          <w:color w:val="000000"/>
          <w:kern w:val="0"/>
          <w:szCs w:val="24"/>
        </w:rPr>
        <w:t>为南昌轨道交通集团有限公司,</w:t>
      </w:r>
      <w:r>
        <w:rPr>
          <w:rFonts w:ascii="仿宋" w:hAnsi="仿宋" w:eastAsia="仿宋" w:cs="仿宋"/>
          <w:color w:val="000000"/>
          <w:kern w:val="0"/>
          <w:szCs w:val="24"/>
        </w:rPr>
        <w:t>是依法批准设立的</w:t>
      </w:r>
      <w:r>
        <w:rPr>
          <w:rFonts w:hint="eastAsia" w:ascii="仿宋" w:hAnsi="仿宋" w:eastAsia="仿宋" w:cs="仿宋"/>
          <w:color w:val="000000"/>
          <w:kern w:val="0"/>
          <w:szCs w:val="24"/>
        </w:rPr>
        <w:t>企业法人</w:t>
      </w:r>
      <w:r>
        <w:rPr>
          <w:rFonts w:ascii="仿宋" w:hAnsi="仿宋" w:eastAsia="仿宋" w:cs="仿宋"/>
          <w:color w:val="000000"/>
          <w:kern w:val="0"/>
          <w:szCs w:val="24"/>
        </w:rPr>
        <w:t>，具备</w:t>
      </w:r>
      <w:r>
        <w:rPr>
          <w:rFonts w:hint="eastAsia" w:ascii="仿宋" w:hAnsi="仿宋" w:eastAsia="仿宋" w:cs="仿宋"/>
          <w:color w:val="000000"/>
          <w:kern w:val="0"/>
          <w:szCs w:val="24"/>
        </w:rPr>
        <w:t>作为项目业主的资格。</w:t>
      </w:r>
    </w:p>
    <w:p w14:paraId="29D54E50">
      <w:pPr>
        <w:widowControl/>
        <w:spacing w:line="400" w:lineRule="exact"/>
        <w:ind w:firstLine="480"/>
        <w:jc w:val="left"/>
        <w:rPr>
          <w:rFonts w:hint="eastAsia" w:ascii="仿宋" w:hAnsi="仿宋" w:eastAsia="仿宋" w:cs="仿宋"/>
          <w:color w:val="000000"/>
          <w:kern w:val="0"/>
          <w:szCs w:val="24"/>
        </w:rPr>
      </w:pPr>
      <w:r>
        <w:rPr>
          <w:rFonts w:hint="eastAsia" w:ascii="仿宋" w:hAnsi="仿宋" w:eastAsia="仿宋" w:cs="仿宋"/>
          <w:color w:val="000000"/>
          <w:kern w:val="0"/>
          <w:szCs w:val="24"/>
        </w:rPr>
        <w:t>2、</w:t>
      </w:r>
      <w:r>
        <w:rPr>
          <w:rFonts w:ascii="仿宋" w:hAnsi="仿宋" w:eastAsia="仿宋" w:cs="仿宋"/>
          <w:color w:val="000000"/>
          <w:kern w:val="0"/>
          <w:szCs w:val="24"/>
        </w:rPr>
        <w:t>发行计划:</w:t>
      </w:r>
      <w:r>
        <w:rPr>
          <w:rFonts w:hint="eastAsia" w:ascii="仿宋" w:hAnsi="仿宋" w:eastAsia="仿宋" w:cs="仿宋"/>
          <w:color w:val="000000"/>
          <w:kern w:val="0"/>
          <w:szCs w:val="24"/>
        </w:rPr>
        <w:t xml:space="preserve"> 南昌市轨道交通</w:t>
      </w:r>
      <w:r>
        <w:rPr>
          <w:rFonts w:ascii="仿宋" w:hAnsi="仿宋" w:eastAsia="仿宋" w:cs="仿宋"/>
          <w:color w:val="000000"/>
          <w:kern w:val="0"/>
          <w:szCs w:val="24"/>
        </w:rPr>
        <w:t>1</w:t>
      </w:r>
      <w:r>
        <w:rPr>
          <w:rFonts w:hint="eastAsia" w:ascii="仿宋" w:hAnsi="仿宋" w:eastAsia="仿宋" w:cs="仿宋"/>
          <w:color w:val="000000"/>
          <w:kern w:val="0"/>
          <w:szCs w:val="24"/>
        </w:rPr>
        <w:t>号线北延工程目本期</w:t>
      </w:r>
      <w:r>
        <w:rPr>
          <w:rFonts w:ascii="仿宋" w:hAnsi="仿宋" w:eastAsia="仿宋" w:cs="仿宋"/>
          <w:color w:val="000000"/>
          <w:kern w:val="0"/>
          <w:szCs w:val="24"/>
        </w:rPr>
        <w:t>申请发行</w:t>
      </w:r>
      <w:r>
        <w:rPr>
          <w:rFonts w:hint="eastAsia" w:ascii="仿宋" w:hAnsi="仿宋" w:eastAsia="仿宋" w:cs="仿宋"/>
          <w:color w:val="000000"/>
          <w:kern w:val="0"/>
          <w:szCs w:val="24"/>
        </w:rPr>
        <w:t>地方政府</w:t>
      </w:r>
      <w:r>
        <w:rPr>
          <w:rFonts w:ascii="仿宋" w:hAnsi="仿宋" w:eastAsia="仿宋" w:cs="仿宋"/>
          <w:color w:val="000000"/>
          <w:kern w:val="0"/>
          <w:szCs w:val="24"/>
        </w:rPr>
        <w:t>专项债券</w:t>
      </w:r>
      <w:r>
        <w:rPr>
          <w:rFonts w:hint="eastAsia" w:ascii="仿宋" w:hAnsi="仿宋" w:eastAsia="仿宋" w:cs="仿宋"/>
          <w:color w:val="000000"/>
          <w:kern w:val="0"/>
          <w:szCs w:val="24"/>
        </w:rPr>
        <w:t>4</w:t>
      </w:r>
      <w:r>
        <w:rPr>
          <w:rFonts w:ascii="仿宋" w:hAnsi="仿宋" w:eastAsia="仿宋" w:cs="仿宋"/>
          <w:color w:val="000000"/>
          <w:kern w:val="0"/>
          <w:szCs w:val="24"/>
        </w:rPr>
        <w:t>亿元，</w:t>
      </w:r>
      <w:r>
        <w:rPr>
          <w:rFonts w:hint="eastAsia" w:ascii="仿宋" w:hAnsi="仿宋" w:eastAsia="仿宋" w:cs="仿宋"/>
          <w:color w:val="000000"/>
          <w:kern w:val="0"/>
          <w:szCs w:val="24"/>
        </w:rPr>
        <w:t>期限</w:t>
      </w:r>
      <w:r>
        <w:rPr>
          <w:rFonts w:ascii="仿宋" w:hAnsi="仿宋" w:eastAsia="仿宋" w:cs="仿宋"/>
          <w:color w:val="000000"/>
          <w:kern w:val="0"/>
          <w:szCs w:val="24"/>
        </w:rPr>
        <w:t>15年</w:t>
      </w:r>
      <w:r>
        <w:rPr>
          <w:rFonts w:hint="eastAsia" w:ascii="仿宋" w:hAnsi="仿宋" w:eastAsia="仿宋" w:cs="仿宋"/>
          <w:color w:val="000000"/>
          <w:kern w:val="0"/>
          <w:szCs w:val="24"/>
        </w:rPr>
        <w:t>，</w:t>
      </w:r>
      <w:r>
        <w:rPr>
          <w:rFonts w:ascii="仿宋" w:hAnsi="仿宋" w:eastAsia="仿宋" w:cs="仿宋"/>
          <w:color w:val="000000"/>
          <w:kern w:val="0"/>
          <w:szCs w:val="24"/>
        </w:rPr>
        <w:t>专项债券融资成本按</w:t>
      </w:r>
      <w:r>
        <w:rPr>
          <w:rFonts w:hint="eastAsia" w:ascii="仿宋" w:hAnsi="仿宋" w:eastAsia="仿宋" w:cs="仿宋"/>
          <w:color w:val="000000"/>
          <w:kern w:val="0"/>
          <w:szCs w:val="24"/>
        </w:rPr>
        <w:t>4.</w:t>
      </w:r>
      <w:r>
        <w:rPr>
          <w:rFonts w:ascii="仿宋" w:hAnsi="仿宋" w:eastAsia="仿宋" w:cs="仿宋"/>
          <w:color w:val="000000"/>
          <w:kern w:val="0"/>
          <w:szCs w:val="24"/>
        </w:rPr>
        <w:t>3%估算</w:t>
      </w:r>
      <w:r>
        <w:rPr>
          <w:rFonts w:hint="eastAsia" w:ascii="仿宋" w:hAnsi="仿宋" w:eastAsia="仿宋" w:cs="仿宋"/>
          <w:color w:val="000000"/>
          <w:kern w:val="0"/>
          <w:szCs w:val="24"/>
        </w:rPr>
        <w:t>。</w:t>
      </w:r>
    </w:p>
    <w:p w14:paraId="772A22DC">
      <w:pPr>
        <w:widowControl/>
        <w:spacing w:line="400" w:lineRule="exact"/>
        <w:ind w:firstLine="480"/>
        <w:jc w:val="left"/>
        <w:rPr>
          <w:rFonts w:hint="eastAsia" w:ascii="仿宋" w:hAnsi="仿宋" w:eastAsia="仿宋" w:cs="仿宋"/>
          <w:color w:val="000000"/>
          <w:kern w:val="0"/>
          <w:szCs w:val="24"/>
        </w:rPr>
      </w:pPr>
      <w:r>
        <w:rPr>
          <w:rFonts w:hint="eastAsia" w:ascii="仿宋" w:hAnsi="仿宋" w:eastAsia="仿宋" w:cs="仿宋"/>
          <w:color w:val="000000"/>
          <w:kern w:val="0"/>
          <w:szCs w:val="24"/>
        </w:rPr>
        <w:t>3、</w:t>
      </w:r>
      <w:r>
        <w:rPr>
          <w:rFonts w:ascii="仿宋" w:hAnsi="仿宋" w:eastAsia="仿宋" w:cs="仿宋"/>
          <w:color w:val="000000"/>
          <w:kern w:val="0"/>
          <w:szCs w:val="24"/>
        </w:rPr>
        <w:t>发行场所:通过全国银行间债券市场、证券交易所债券市场发行。将来条件具备时也可在银行柜台债券市场发行。</w:t>
      </w:r>
    </w:p>
    <w:p w14:paraId="26883CEC">
      <w:pPr>
        <w:widowControl/>
        <w:spacing w:line="400" w:lineRule="exact"/>
        <w:ind w:firstLine="480"/>
        <w:jc w:val="left"/>
        <w:rPr>
          <w:rFonts w:hint="eastAsia" w:ascii="仿宋" w:hAnsi="仿宋" w:eastAsia="仿宋" w:cs="仿宋"/>
          <w:color w:val="000000"/>
          <w:kern w:val="0"/>
          <w:szCs w:val="24"/>
        </w:rPr>
      </w:pPr>
      <w:r>
        <w:rPr>
          <w:rFonts w:hint="eastAsia" w:ascii="仿宋" w:hAnsi="仿宋" w:eastAsia="仿宋" w:cs="仿宋"/>
          <w:color w:val="000000"/>
          <w:kern w:val="0"/>
          <w:szCs w:val="24"/>
        </w:rPr>
        <w:t>4、信息披露：在专项债发行日前5个工作日通过</w:t>
      </w:r>
      <w:r>
        <w:rPr>
          <w:rFonts w:ascii="仿宋" w:hAnsi="仿宋" w:eastAsia="仿宋" w:cs="仿宋"/>
          <w:color w:val="000000"/>
          <w:kern w:val="0"/>
          <w:szCs w:val="24"/>
        </w:rPr>
        <w:fldChar w:fldCharType="begin"/>
      </w:r>
      <w:r>
        <w:rPr>
          <w:rFonts w:ascii="仿宋" w:hAnsi="仿宋" w:eastAsia="仿宋" w:cs="仿宋"/>
          <w:color w:val="000000"/>
          <w:kern w:val="0"/>
          <w:szCs w:val="24"/>
        </w:rPr>
        <w:instrText xml:space="preserve"> HYPERLINK "https://www.sogou.com/link?url=DSOYnZeCC_pzE53eXNhcqFoov_MuMQYQreaVHN88tHY." \t "https://www.sogou.com/_blank" </w:instrText>
      </w:r>
      <w:r>
        <w:rPr>
          <w:rFonts w:ascii="仿宋" w:hAnsi="仿宋" w:eastAsia="仿宋" w:cs="仿宋"/>
          <w:color w:val="000000"/>
          <w:kern w:val="0"/>
          <w:szCs w:val="24"/>
        </w:rPr>
        <w:fldChar w:fldCharType="separate"/>
      </w:r>
      <w:r>
        <w:rPr>
          <w:rFonts w:ascii="仿宋" w:hAnsi="仿宋" w:eastAsia="仿宋" w:cs="仿宋"/>
          <w:color w:val="000000"/>
          <w:kern w:val="0"/>
          <w:szCs w:val="24"/>
        </w:rPr>
        <w:t>中国地方政府债券信息公开平台</w:t>
      </w:r>
      <w:r>
        <w:rPr>
          <w:rFonts w:ascii="仿宋" w:hAnsi="仿宋" w:eastAsia="仿宋" w:cs="仿宋"/>
          <w:color w:val="000000"/>
          <w:kern w:val="0"/>
          <w:szCs w:val="24"/>
        </w:rPr>
        <w:fldChar w:fldCharType="end"/>
      </w:r>
      <w:r>
        <w:rPr>
          <w:rFonts w:hint="eastAsia" w:ascii="仿宋" w:hAnsi="仿宋" w:eastAsia="仿宋" w:cs="仿宋"/>
          <w:color w:val="000000"/>
          <w:kern w:val="0"/>
          <w:szCs w:val="24"/>
        </w:rPr>
        <w:t>、</w:t>
      </w:r>
      <w:r>
        <w:rPr>
          <w:rFonts w:ascii="仿宋" w:hAnsi="仿宋" w:eastAsia="仿宋" w:cs="仿宋"/>
          <w:color w:val="000000"/>
          <w:kern w:val="0"/>
          <w:szCs w:val="24"/>
        </w:rPr>
        <w:t>江西</w:t>
      </w:r>
      <w:r>
        <w:rPr>
          <w:rFonts w:hint="eastAsia" w:ascii="仿宋" w:hAnsi="仿宋" w:eastAsia="仿宋" w:cs="仿宋"/>
          <w:color w:val="000000"/>
          <w:kern w:val="0"/>
          <w:szCs w:val="24"/>
        </w:rPr>
        <w:t>省财政厅官方网站和</w:t>
      </w:r>
      <w:r>
        <w:rPr>
          <w:rFonts w:ascii="仿宋" w:hAnsi="仿宋" w:eastAsia="仿宋" w:cs="仿宋"/>
          <w:color w:val="000000"/>
          <w:kern w:val="0"/>
          <w:szCs w:val="24"/>
        </w:rPr>
        <w:t>中国债券信息网-中央结算公司官方网站</w:t>
      </w:r>
      <w:r>
        <w:rPr>
          <w:rFonts w:hint="eastAsia" w:ascii="仿宋" w:hAnsi="仿宋" w:eastAsia="仿宋" w:cs="仿宋"/>
          <w:color w:val="000000"/>
          <w:kern w:val="0"/>
          <w:szCs w:val="24"/>
        </w:rPr>
        <w:t>披露</w:t>
      </w:r>
      <w:r>
        <w:rPr>
          <w:rFonts w:ascii="仿宋" w:hAnsi="仿宋" w:eastAsia="仿宋" w:cs="仿宋"/>
          <w:color w:val="000000"/>
          <w:kern w:val="0"/>
          <w:szCs w:val="24"/>
        </w:rPr>
        <w:t>（http：//www.chinabond.com.cn/）详细披露</w:t>
      </w:r>
      <w:r>
        <w:rPr>
          <w:rFonts w:hint="eastAsia" w:ascii="仿宋" w:hAnsi="仿宋" w:eastAsia="仿宋" w:cs="仿宋"/>
          <w:color w:val="000000"/>
          <w:kern w:val="0"/>
          <w:szCs w:val="24"/>
        </w:rPr>
        <w:t>债券发行全套信息披露文件。</w:t>
      </w:r>
    </w:p>
    <w:p w14:paraId="5395EBE5">
      <w:pPr>
        <w:widowControl/>
        <w:spacing w:line="400" w:lineRule="exact"/>
        <w:ind w:firstLine="480"/>
        <w:jc w:val="left"/>
        <w:rPr>
          <w:rFonts w:hint="eastAsia" w:ascii="仿宋" w:hAnsi="仿宋" w:eastAsia="仿宋" w:cs="仿宋"/>
          <w:color w:val="000000"/>
          <w:kern w:val="0"/>
          <w:szCs w:val="24"/>
        </w:rPr>
      </w:pPr>
      <w:r>
        <w:rPr>
          <w:rFonts w:hint="eastAsia" w:ascii="仿宋" w:hAnsi="仿宋" w:eastAsia="仿宋" w:cs="仿宋"/>
          <w:color w:val="000000"/>
          <w:kern w:val="0"/>
          <w:szCs w:val="24"/>
        </w:rPr>
        <w:t>总体而言，南昌市轨道交通</w:t>
      </w:r>
      <w:r>
        <w:rPr>
          <w:rFonts w:ascii="仿宋" w:hAnsi="仿宋" w:eastAsia="仿宋" w:cs="仿宋"/>
          <w:color w:val="000000"/>
          <w:kern w:val="0"/>
          <w:szCs w:val="24"/>
        </w:rPr>
        <w:t>1</w:t>
      </w:r>
      <w:r>
        <w:rPr>
          <w:rFonts w:hint="eastAsia" w:ascii="仿宋" w:hAnsi="仿宋" w:eastAsia="仿宋" w:cs="仿宋"/>
          <w:color w:val="000000"/>
          <w:kern w:val="0"/>
          <w:szCs w:val="24"/>
        </w:rPr>
        <w:t>号线北延工程通过发行专项债可以降低项目融资成本，是现阶段解决建设资金问题的推荐方案。且基于财政部对地方政府发行项目收益与融资自求平衡专项债券的要求，并根据项目重大建设意义，南昌市轨道交通</w:t>
      </w:r>
      <w:r>
        <w:rPr>
          <w:rFonts w:ascii="仿宋" w:hAnsi="仿宋" w:eastAsia="仿宋" w:cs="仿宋"/>
          <w:color w:val="000000"/>
          <w:kern w:val="0"/>
          <w:szCs w:val="24"/>
        </w:rPr>
        <w:t>1</w:t>
      </w:r>
      <w:r>
        <w:rPr>
          <w:rFonts w:hint="eastAsia" w:ascii="仿宋" w:hAnsi="仿宋" w:eastAsia="仿宋" w:cs="仿宋"/>
          <w:color w:val="000000"/>
          <w:kern w:val="0"/>
          <w:szCs w:val="24"/>
        </w:rPr>
        <w:t>号线北延工程可以通过申请专项债券的方式进行融资以完成资金筹措。</w:t>
      </w:r>
    </w:p>
    <w:p w14:paraId="398798F1">
      <w:pPr>
        <w:spacing w:line="400" w:lineRule="exact"/>
        <w:ind w:firstLine="480"/>
        <w:rPr>
          <w:rFonts w:hint="eastAsia" w:ascii="宋体" w:hAnsi="宋体" w:eastAsia="宋体" w:cs="宋体"/>
          <w:szCs w:val="24"/>
        </w:rPr>
      </w:pPr>
    </w:p>
    <w:p w14:paraId="22032CD8">
      <w:pPr>
        <w:rPr>
          <w:rFonts w:hint="eastAsia" w:ascii="仿宋" w:hAnsi="仿宋" w:eastAsia="仿宋" w:cs="仿宋"/>
          <w:sz w:val="24"/>
          <w:szCs w:val="24"/>
        </w:rPr>
      </w:pPr>
      <w:r>
        <w:rPr>
          <w:rFonts w:hint="eastAsia" w:ascii="仿宋" w:hAnsi="仿宋" w:eastAsia="仿宋" w:cs="仿宋"/>
          <w:sz w:val="24"/>
          <w:szCs w:val="24"/>
        </w:rPr>
        <w:br w:type="page"/>
      </w:r>
    </w:p>
    <w:p w14:paraId="592A2935">
      <w:pPr>
        <w:jc w:val="center"/>
        <w:rPr>
          <w:rFonts w:ascii="楷体" w:hAnsi="楷体" w:eastAsia="楷体"/>
          <w:b/>
          <w:color w:val="auto"/>
          <w:sz w:val="44"/>
          <w:szCs w:val="44"/>
        </w:rPr>
      </w:pPr>
    </w:p>
    <w:p w14:paraId="5A9736FB">
      <w:pPr>
        <w:jc w:val="center"/>
        <w:rPr>
          <w:rFonts w:ascii="楷体" w:hAnsi="楷体" w:eastAsia="楷体"/>
          <w:b/>
          <w:color w:val="auto"/>
          <w:sz w:val="44"/>
          <w:szCs w:val="44"/>
        </w:rPr>
      </w:pPr>
    </w:p>
    <w:p w14:paraId="620BD107">
      <w:pPr>
        <w:spacing w:line="360" w:lineRule="auto"/>
        <w:jc w:val="center"/>
        <w:outlineLvl w:val="0"/>
        <w:rPr>
          <w:rFonts w:hint="eastAsia" w:ascii="仿宋" w:hAnsi="仿宋" w:eastAsia="楷体"/>
          <w:b/>
          <w:sz w:val="44"/>
          <w:szCs w:val="44"/>
          <w:lang w:eastAsia="zh-CN"/>
        </w:rPr>
      </w:pPr>
      <w:r>
        <w:rPr>
          <w:rFonts w:hint="eastAsia" w:ascii="楷体" w:hAnsi="楷体" w:eastAsia="楷体"/>
          <w:b/>
          <w:color w:val="auto"/>
          <w:sz w:val="44"/>
          <w:szCs w:val="44"/>
        </w:rPr>
        <w:t>南昌市轨道交通2号线东延工程</w:t>
      </w:r>
      <w:r>
        <w:rPr>
          <w:rFonts w:hint="eastAsia" w:ascii="仿宋" w:hAnsi="仿宋" w:eastAsia="楷体"/>
          <w:b/>
          <w:sz w:val="44"/>
          <w:szCs w:val="44"/>
          <w:lang w:eastAsia="zh-CN"/>
        </w:rPr>
        <w:t>实施方案</w:t>
      </w:r>
    </w:p>
    <w:p w14:paraId="779A2813">
      <w:pPr>
        <w:spacing w:line="360" w:lineRule="auto"/>
        <w:jc w:val="center"/>
        <w:outlineLvl w:val="0"/>
        <w:rPr>
          <w:rFonts w:hint="eastAsia" w:ascii="仿宋" w:hAnsi="仿宋" w:eastAsia="楷体"/>
          <w:b/>
          <w:sz w:val="44"/>
          <w:szCs w:val="44"/>
          <w:lang w:eastAsia="zh-CN"/>
        </w:rPr>
      </w:pPr>
    </w:p>
    <w:p w14:paraId="69E4BB1E">
      <w:pPr>
        <w:ind w:left="-140" w:leftChars="-67" w:right="-98" w:rightChars="-47" w:firstLine="439" w:firstLineChars="157"/>
        <w:jc w:val="center"/>
        <w:rPr>
          <w:rFonts w:ascii="宋体" w:hAnsi="宋体" w:eastAsia="宋体"/>
          <w:color w:val="auto"/>
          <w:sz w:val="28"/>
          <w:szCs w:val="28"/>
        </w:rPr>
      </w:pPr>
    </w:p>
    <w:p w14:paraId="78897797">
      <w:pPr>
        <w:ind w:left="-140" w:leftChars="-67" w:right="-98" w:rightChars="-47" w:firstLine="439" w:firstLineChars="157"/>
        <w:rPr>
          <w:rFonts w:ascii="宋体" w:hAnsi="宋体" w:eastAsia="宋体"/>
          <w:color w:val="auto"/>
          <w:sz w:val="28"/>
          <w:szCs w:val="28"/>
        </w:rPr>
      </w:pPr>
    </w:p>
    <w:p w14:paraId="4B1E8F1D">
      <w:pPr>
        <w:ind w:left="-140" w:leftChars="-67" w:right="-98" w:rightChars="-47" w:firstLine="439" w:firstLineChars="157"/>
        <w:rPr>
          <w:rFonts w:ascii="宋体" w:hAnsi="宋体" w:eastAsia="宋体"/>
          <w:color w:val="auto"/>
          <w:sz w:val="28"/>
          <w:szCs w:val="28"/>
        </w:rPr>
      </w:pPr>
    </w:p>
    <w:p w14:paraId="29F78895">
      <w:pPr>
        <w:ind w:right="-98" w:rightChars="-47"/>
        <w:rPr>
          <w:rFonts w:ascii="宋体" w:hAnsi="宋体" w:eastAsia="宋体"/>
          <w:color w:val="auto"/>
          <w:sz w:val="28"/>
          <w:szCs w:val="28"/>
          <w:u w:val="single"/>
        </w:rPr>
      </w:pPr>
    </w:p>
    <w:p w14:paraId="3B402FFE">
      <w:pPr>
        <w:ind w:left="-140" w:leftChars="-67" w:right="-98" w:rightChars="-47" w:firstLine="502" w:firstLineChars="157"/>
        <w:rPr>
          <w:color w:val="auto"/>
          <w:sz w:val="32"/>
          <w:szCs w:val="32"/>
          <w:u w:val="single"/>
        </w:rPr>
      </w:pPr>
    </w:p>
    <w:p w14:paraId="505C8C99">
      <w:pPr>
        <w:ind w:left="-140" w:leftChars="-67" w:right="-98" w:rightChars="-47" w:firstLine="502" w:firstLineChars="157"/>
        <w:rPr>
          <w:color w:val="auto"/>
          <w:sz w:val="32"/>
          <w:szCs w:val="32"/>
          <w:u w:val="single"/>
        </w:rPr>
      </w:pPr>
    </w:p>
    <w:p w14:paraId="0ECBEC7F">
      <w:pPr>
        <w:ind w:left="-140" w:leftChars="-67" w:right="-98" w:rightChars="-47" w:firstLine="502" w:firstLineChars="157"/>
        <w:rPr>
          <w:color w:val="auto"/>
          <w:sz w:val="32"/>
          <w:szCs w:val="32"/>
          <w:u w:val="single"/>
        </w:rPr>
      </w:pPr>
    </w:p>
    <w:p w14:paraId="1C02366D">
      <w:pPr>
        <w:ind w:left="-140" w:leftChars="-67" w:right="-98" w:rightChars="-47" w:firstLine="502" w:firstLineChars="157"/>
        <w:rPr>
          <w:color w:val="auto"/>
          <w:sz w:val="32"/>
          <w:szCs w:val="32"/>
          <w:u w:val="single"/>
        </w:rPr>
      </w:pPr>
    </w:p>
    <w:p w14:paraId="241142F1">
      <w:pPr>
        <w:spacing w:line="360" w:lineRule="auto"/>
        <w:jc w:val="center"/>
        <w:rPr>
          <w:rFonts w:ascii="仿宋" w:hAnsi="仿宋" w:eastAsia="楷体"/>
          <w:b/>
          <w:color w:val="auto"/>
          <w:sz w:val="44"/>
          <w:szCs w:val="44"/>
        </w:rPr>
      </w:pPr>
    </w:p>
    <w:p w14:paraId="2091E0CF">
      <w:pPr>
        <w:spacing w:line="360" w:lineRule="auto"/>
        <w:jc w:val="center"/>
        <w:rPr>
          <w:rFonts w:ascii="仿宋" w:hAnsi="仿宋" w:eastAsia="楷体"/>
          <w:b/>
          <w:color w:val="auto"/>
          <w:sz w:val="44"/>
          <w:szCs w:val="44"/>
        </w:rPr>
      </w:pPr>
    </w:p>
    <w:p w14:paraId="668F9B6F">
      <w:pPr>
        <w:pStyle w:val="35"/>
        <w:rPr>
          <w:rFonts w:hint="eastAsia"/>
          <w:color w:val="auto"/>
        </w:rPr>
      </w:pPr>
    </w:p>
    <w:p w14:paraId="21BF5141">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南昌</w:t>
      </w:r>
      <w:r>
        <w:rPr>
          <w:rFonts w:hint="eastAsia" w:ascii="仿宋" w:hAnsi="仿宋" w:eastAsia="楷体"/>
          <w:b/>
          <w:color w:val="auto"/>
          <w:sz w:val="44"/>
          <w:szCs w:val="44"/>
          <w:lang w:val="en-US" w:eastAsia="zh-CN"/>
        </w:rPr>
        <w:t>市</w:t>
      </w:r>
      <w:r>
        <w:rPr>
          <w:rFonts w:hint="eastAsia" w:ascii="仿宋" w:hAnsi="仿宋" w:eastAsia="楷体"/>
          <w:b/>
          <w:color w:val="auto"/>
          <w:sz w:val="44"/>
          <w:szCs w:val="44"/>
        </w:rPr>
        <w:t>财政局</w:t>
      </w:r>
    </w:p>
    <w:p w14:paraId="00D7E72B">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二〇二</w:t>
      </w:r>
      <w:r>
        <w:rPr>
          <w:rFonts w:hint="eastAsia" w:ascii="仿宋" w:hAnsi="仿宋" w:eastAsia="楷体"/>
          <w:b/>
          <w:color w:val="auto"/>
          <w:sz w:val="44"/>
          <w:szCs w:val="44"/>
          <w:lang w:val="en-US" w:eastAsia="zh-CN"/>
        </w:rPr>
        <w:t>四</w:t>
      </w:r>
      <w:r>
        <w:rPr>
          <w:rFonts w:hint="eastAsia" w:ascii="仿宋" w:hAnsi="仿宋" w:eastAsia="楷体"/>
          <w:b/>
          <w:color w:val="auto"/>
          <w:sz w:val="44"/>
          <w:szCs w:val="44"/>
        </w:rPr>
        <w:t>年</w:t>
      </w:r>
      <w:r>
        <w:rPr>
          <w:rFonts w:hint="eastAsia" w:ascii="仿宋" w:hAnsi="仿宋" w:eastAsia="楷体"/>
          <w:b/>
          <w:color w:val="auto"/>
          <w:sz w:val="44"/>
          <w:szCs w:val="44"/>
          <w:lang w:val="en-US" w:eastAsia="zh-CN"/>
        </w:rPr>
        <w:t>九</w:t>
      </w:r>
      <w:r>
        <w:rPr>
          <w:rFonts w:hint="eastAsia" w:ascii="仿宋" w:hAnsi="仿宋" w:eastAsia="楷体"/>
          <w:b/>
          <w:color w:val="auto"/>
          <w:sz w:val="44"/>
          <w:szCs w:val="44"/>
        </w:rPr>
        <w:t>月</w:t>
      </w:r>
    </w:p>
    <w:p w14:paraId="46A6ABFD">
      <w:pPr>
        <w:rPr>
          <w:rFonts w:ascii="楷体" w:hAnsi="楷体" w:eastAsia="楷体"/>
          <w:b/>
          <w:color w:val="auto"/>
          <w:sz w:val="44"/>
          <w:szCs w:val="44"/>
        </w:rPr>
      </w:pPr>
      <w:r>
        <w:rPr>
          <w:rFonts w:ascii="楷体" w:hAnsi="楷体" w:eastAsia="楷体"/>
          <w:b/>
          <w:color w:val="auto"/>
          <w:sz w:val="44"/>
          <w:szCs w:val="44"/>
        </w:rPr>
        <w:br w:type="page"/>
      </w:r>
    </w:p>
    <w:p w14:paraId="1F09F553">
      <w:pPr>
        <w:spacing w:line="440" w:lineRule="exact"/>
        <w:ind w:firstLine="0" w:firstLineChars="0"/>
        <w:rPr>
          <w:rFonts w:hint="eastAsia" w:ascii="仿宋" w:hAnsi="仿宋" w:eastAsia="仿宋"/>
          <w:sz w:val="32"/>
          <w:szCs w:val="32"/>
        </w:rPr>
      </w:pPr>
    </w:p>
    <w:p w14:paraId="6A97AA6E">
      <w:pPr>
        <w:widowControl/>
        <w:spacing w:line="440" w:lineRule="exact"/>
        <w:ind w:firstLine="0" w:firstLineChars="0"/>
        <w:jc w:val="center"/>
        <w:rPr>
          <w:rFonts w:hint="eastAsia" w:ascii="楷体" w:hAnsi="楷体" w:eastAsia="楷体" w:cs="仿宋"/>
          <w:b/>
          <w:sz w:val="44"/>
          <w:szCs w:val="44"/>
        </w:rPr>
      </w:pPr>
      <w:r>
        <w:rPr>
          <w:rFonts w:hint="eastAsia" w:ascii="楷体" w:hAnsi="楷体" w:eastAsia="楷体" w:cs="仿宋"/>
          <w:b/>
          <w:sz w:val="44"/>
          <w:szCs w:val="44"/>
        </w:rPr>
        <w:t xml:space="preserve">前 </w:t>
      </w:r>
      <w:r>
        <w:rPr>
          <w:rFonts w:ascii="楷体" w:hAnsi="楷体" w:eastAsia="楷体" w:cs="仿宋"/>
          <w:b/>
          <w:sz w:val="44"/>
          <w:szCs w:val="44"/>
        </w:rPr>
        <w:t xml:space="preserve"> </w:t>
      </w:r>
      <w:r>
        <w:rPr>
          <w:rFonts w:hint="eastAsia" w:ascii="楷体" w:hAnsi="楷体" w:eastAsia="楷体" w:cs="仿宋"/>
          <w:b/>
          <w:sz w:val="44"/>
          <w:szCs w:val="44"/>
        </w:rPr>
        <w:t>言</w:t>
      </w:r>
    </w:p>
    <w:p w14:paraId="577239D1">
      <w:pPr>
        <w:widowControl/>
        <w:spacing w:line="440" w:lineRule="exact"/>
        <w:ind w:firstLine="480"/>
        <w:rPr>
          <w:rFonts w:hint="eastAsia" w:ascii="仿宋" w:hAnsi="仿宋" w:eastAsia="仿宋" w:cs="仿宋"/>
          <w:bCs/>
          <w:color w:val="000000" w:themeColor="text1"/>
          <w:szCs w:val="24"/>
        </w:rPr>
      </w:pPr>
      <w:r>
        <w:rPr>
          <w:rFonts w:hint="eastAsia" w:ascii="仿宋" w:hAnsi="仿宋" w:eastAsia="仿宋" w:cs="仿宋"/>
          <w:bCs/>
          <w:color w:val="000000" w:themeColor="text1"/>
          <w:szCs w:val="24"/>
          <w:lang w:val="en-GB"/>
        </w:rPr>
        <w:t>本次申请</w:t>
      </w:r>
      <w:r>
        <w:rPr>
          <w:rFonts w:hint="eastAsia" w:ascii="仿宋" w:hAnsi="仿宋" w:eastAsia="仿宋" w:cs="仿宋"/>
          <w:bCs/>
          <w:color w:val="000000" w:themeColor="text1"/>
          <w:szCs w:val="24"/>
        </w:rPr>
        <w:t>发行</w:t>
      </w:r>
      <w:r>
        <w:rPr>
          <w:rFonts w:hint="eastAsia" w:ascii="仿宋" w:hAnsi="仿宋" w:eastAsia="仿宋" w:cs="仿宋"/>
          <w:bCs/>
          <w:color w:val="000000" w:themeColor="text1"/>
          <w:szCs w:val="24"/>
          <w:lang w:val="en-GB"/>
        </w:rPr>
        <w:t>的项目，符合专项债券</w:t>
      </w:r>
      <w:r>
        <w:rPr>
          <w:rFonts w:hint="eastAsia" w:ascii="仿宋" w:hAnsi="仿宋" w:eastAsia="仿宋" w:cs="仿宋"/>
          <w:bCs/>
          <w:color w:val="000000" w:themeColor="text1"/>
          <w:szCs w:val="24"/>
        </w:rPr>
        <w:t>发行要求，为轨道交通领域项目</w:t>
      </w:r>
      <w:r>
        <w:rPr>
          <w:rFonts w:hint="eastAsia" w:ascii="仿宋" w:hAnsi="仿宋" w:eastAsia="仿宋" w:cs="仿宋"/>
          <w:bCs/>
          <w:color w:val="000000" w:themeColor="text1"/>
          <w:szCs w:val="24"/>
          <w:lang w:val="en-GB"/>
        </w:rPr>
        <w:t>，是</w:t>
      </w:r>
      <w:r>
        <w:rPr>
          <w:rFonts w:hint="eastAsia" w:ascii="仿宋" w:hAnsi="仿宋" w:eastAsia="仿宋" w:cs="仿宋"/>
          <w:bCs/>
          <w:color w:val="000000" w:themeColor="text1"/>
          <w:szCs w:val="24"/>
        </w:rPr>
        <w:t>用</w:t>
      </w:r>
      <w:r>
        <w:rPr>
          <w:rFonts w:hint="eastAsia" w:ascii="仿宋" w:hAnsi="仿宋" w:eastAsia="仿宋" w:cs="仿宋"/>
          <w:bCs/>
          <w:color w:val="000000" w:themeColor="text1"/>
          <w:szCs w:val="24"/>
          <w:lang w:val="en-GB"/>
        </w:rPr>
        <w:t>纳入政府性基金收入及专项收入偿还的地方政府专项债券。在风险可控的前提下，按照依法依规适度举债，保障重点领域合理融资需求的原则。</w:t>
      </w:r>
      <w:r>
        <w:rPr>
          <w:rFonts w:hint="eastAsia" w:ascii="仿宋" w:hAnsi="仿宋" w:eastAsia="仿宋" w:cs="仿宋"/>
          <w:bCs/>
          <w:color w:val="000000" w:themeColor="text1"/>
          <w:szCs w:val="24"/>
        </w:rPr>
        <w:t>南昌市轨道交通2号线东延工程本期拟发行15年期专项债券10,000.00万元。</w:t>
      </w:r>
    </w:p>
    <w:p w14:paraId="5420EA6E">
      <w:pPr>
        <w:widowControl/>
        <w:spacing w:line="440" w:lineRule="exact"/>
        <w:ind w:firstLine="480"/>
        <w:rPr>
          <w:rFonts w:hint="eastAsia" w:ascii="仿宋" w:hAnsi="仿宋" w:eastAsia="仿宋" w:cs="仿宋"/>
          <w:bCs/>
          <w:color w:val="000000" w:themeColor="text1"/>
          <w:szCs w:val="24"/>
        </w:rPr>
      </w:pPr>
      <w:r>
        <w:rPr>
          <w:rFonts w:hint="eastAsia" w:ascii="仿宋" w:hAnsi="仿宋" w:eastAsia="仿宋" w:cs="仿宋"/>
          <w:bCs/>
          <w:color w:val="000000" w:themeColor="text1"/>
          <w:szCs w:val="24"/>
        </w:rPr>
        <w:t>城市轨道交通项目投资对地方经济提振作用显著，轨道交通项目投资可对社会带来许多间接受益，诸如拉动人口就业、减少地面土地占用与降低碳排放等。</w:t>
      </w:r>
    </w:p>
    <w:p w14:paraId="0DCE6032">
      <w:pPr>
        <w:widowControl/>
        <w:spacing w:line="440" w:lineRule="exact"/>
        <w:ind w:firstLine="480"/>
        <w:rPr>
          <w:rFonts w:hint="eastAsia" w:ascii="仿宋" w:hAnsi="仿宋" w:eastAsia="仿宋" w:cs="仿宋"/>
          <w:bCs/>
          <w:color w:val="000000" w:themeColor="text1"/>
          <w:szCs w:val="24"/>
        </w:rPr>
      </w:pPr>
      <w:r>
        <w:rPr>
          <w:rFonts w:hint="eastAsia" w:ascii="仿宋" w:hAnsi="仿宋" w:eastAsia="仿宋" w:cs="仿宋"/>
          <w:bCs/>
          <w:color w:val="000000" w:themeColor="text1"/>
          <w:szCs w:val="24"/>
        </w:rPr>
        <w:t>项目实施过程中，将按照市场规则向投资者进行详细的项目信息披露，保障投资者权益，更好地发挥专项债券对地方稳增长、促改革、调结构、惠民生、防风险的支持作用。</w:t>
      </w:r>
      <w:r>
        <w:rPr>
          <w:rFonts w:hint="eastAsia" w:ascii="仿宋" w:hAnsi="仿宋" w:eastAsia="仿宋" w:cs="仿宋"/>
          <w:bCs/>
          <w:color w:val="000000" w:themeColor="text1"/>
          <w:szCs w:val="24"/>
        </w:rPr>
        <w:br w:type="page"/>
      </w:r>
    </w:p>
    <w:p w14:paraId="414D16A9">
      <w:pPr>
        <w:pStyle w:val="2"/>
        <w:numPr>
          <w:ilvl w:val="0"/>
          <w:numId w:val="2"/>
        </w:numPr>
        <w:spacing w:line="440" w:lineRule="exact"/>
        <w:ind w:firstLineChars="0"/>
        <w:rPr>
          <w:rFonts w:hint="eastAsia" w:ascii="仿宋" w:hAnsi="仿宋" w:eastAsia="仿宋" w:cs="仿宋"/>
          <w:b/>
          <w:bCs/>
          <w:sz w:val="24"/>
          <w:szCs w:val="24"/>
        </w:rPr>
      </w:pPr>
      <w:r>
        <w:rPr>
          <w:rFonts w:hint="eastAsia" w:ascii="仿宋" w:hAnsi="仿宋" w:eastAsia="仿宋" w:cs="仿宋"/>
          <w:b/>
          <w:bCs/>
          <w:sz w:val="24"/>
          <w:szCs w:val="24"/>
        </w:rPr>
        <w:t>项目概况</w:t>
      </w:r>
    </w:p>
    <w:p w14:paraId="456B2996">
      <w:pPr>
        <w:pStyle w:val="3"/>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项目所在地基本情况</w:t>
      </w:r>
    </w:p>
    <w:p w14:paraId="3B273151">
      <w:pPr>
        <w:pStyle w:val="3"/>
        <w:spacing w:line="440" w:lineRule="exact"/>
        <w:ind w:firstLine="480"/>
        <w:rPr>
          <w:rFonts w:hint="eastAsia" w:ascii="仿宋" w:hAnsi="仿宋" w:eastAsia="仿宋" w:cs="仿宋"/>
          <w:b w:val="0"/>
          <w:bCs/>
          <w:sz w:val="24"/>
          <w:szCs w:val="24"/>
        </w:rPr>
      </w:pPr>
      <w:r>
        <w:rPr>
          <w:rFonts w:hint="eastAsia" w:ascii="仿宋" w:hAnsi="仿宋" w:eastAsia="仿宋" w:cs="仿宋"/>
          <w:b w:val="0"/>
          <w:bCs/>
          <w:sz w:val="24"/>
          <w:szCs w:val="24"/>
        </w:rPr>
        <w:t>1、所在地基本情况</w:t>
      </w:r>
    </w:p>
    <w:p w14:paraId="699BB163">
      <w:pPr>
        <w:pStyle w:val="3"/>
        <w:spacing w:line="440" w:lineRule="exact"/>
        <w:ind w:firstLine="480"/>
        <w:rPr>
          <w:rFonts w:hint="eastAsia" w:ascii="仿宋" w:hAnsi="仿宋" w:eastAsia="仿宋" w:cs="仿宋"/>
          <w:b w:val="0"/>
          <w:bCs/>
          <w:sz w:val="24"/>
          <w:szCs w:val="24"/>
        </w:rPr>
      </w:pPr>
      <w:r>
        <w:rPr>
          <w:rFonts w:hint="eastAsia" w:ascii="仿宋" w:hAnsi="仿宋" w:eastAsia="仿宋" w:cs="仿宋"/>
          <w:b w:val="0"/>
          <w:bCs/>
          <w:sz w:val="24"/>
          <w:szCs w:val="24"/>
        </w:rPr>
        <w:t>南昌市是江西省省会城市，下辖 6 市辖区（东湖区、西湖区、青云谱区、青山湖区、红谷滩区、新建区）、 3 县（南昌县、进贤县、安义县）、 1 国家级新区（赣江新区）。南昌市位于东经115°27′～116°35′，北纬28°09′～29°11′，地处江西省中部偏北，赣江、抚河下游、鄱阳湖之滨；水资源丰富。</w:t>
      </w:r>
    </w:p>
    <w:p w14:paraId="14F10F50">
      <w:pPr>
        <w:pStyle w:val="3"/>
        <w:spacing w:line="440" w:lineRule="exact"/>
        <w:ind w:firstLine="480"/>
        <w:rPr>
          <w:rFonts w:hint="eastAsia" w:ascii="仿宋" w:hAnsi="仿宋" w:eastAsia="仿宋" w:cs="仿宋"/>
          <w:b w:val="0"/>
          <w:bCs/>
          <w:sz w:val="24"/>
          <w:szCs w:val="24"/>
        </w:rPr>
      </w:pPr>
      <w:r>
        <w:rPr>
          <w:rFonts w:hint="eastAsia" w:ascii="仿宋" w:hAnsi="仿宋" w:eastAsia="仿宋" w:cs="仿宋"/>
          <w:b w:val="0"/>
          <w:bCs/>
          <w:sz w:val="24"/>
          <w:szCs w:val="24"/>
        </w:rPr>
        <w:t>南昌市是新中国航空工业的发源地，世界重要的光伏、光电和 VR 产业基地。为深入实施新型工业化核心战略，促进南昌工业总量扩张、结构优化、方式转变、效益提升，全面迈向中高端，强力支撑经济大发展，南昌市政府致力于构建“ 4+4+X”新型产业体系，即四大战略性新兴支柱产业（汽车及新能源汽车、电子信息、生物医药、航空装备）、四大特色优势传统产业（食品、纺织服装、材料制造、机电制造）及若干生产性服务业</w:t>
      </w:r>
    </w:p>
    <w:p w14:paraId="7EE53C90">
      <w:pPr>
        <w:pStyle w:val="3"/>
        <w:spacing w:line="440" w:lineRule="exact"/>
        <w:ind w:firstLine="480"/>
        <w:rPr>
          <w:rFonts w:hint="eastAsia" w:ascii="宋体" w:hAnsi="宋体" w:eastAsia="宋体"/>
          <w:b w:val="0"/>
          <w:bCs/>
          <w:sz w:val="24"/>
          <w:szCs w:val="24"/>
        </w:rPr>
      </w:pPr>
      <w:r>
        <w:rPr>
          <w:rFonts w:hint="eastAsia" w:ascii="宋体" w:hAnsi="宋体" w:eastAsia="宋体"/>
          <w:b w:val="0"/>
          <w:bCs/>
          <w:sz w:val="24"/>
          <w:szCs w:val="24"/>
        </w:rPr>
        <w:t>2、</w:t>
      </w:r>
      <w:r>
        <w:rPr>
          <w:rFonts w:hint="eastAsia" w:ascii="仿宋" w:hAnsi="仿宋" w:eastAsia="仿宋" w:cs="仿宋"/>
          <w:b w:val="0"/>
          <w:bCs/>
          <w:sz w:val="24"/>
          <w:szCs w:val="24"/>
        </w:rPr>
        <w:t>所在地经济、财政情况</w:t>
      </w:r>
    </w:p>
    <w:p w14:paraId="3B514B9C">
      <w:pPr>
        <w:pStyle w:val="3"/>
        <w:spacing w:line="440" w:lineRule="exact"/>
        <w:ind w:firstLine="480"/>
        <w:rPr>
          <w:rFonts w:hint="eastAsia" w:ascii="仿宋" w:hAnsi="仿宋" w:eastAsia="仿宋" w:cs="仿宋"/>
          <w:b w:val="0"/>
          <w:bCs/>
          <w:sz w:val="24"/>
          <w:szCs w:val="24"/>
        </w:rPr>
      </w:pPr>
      <w:r>
        <w:rPr>
          <w:rFonts w:hint="eastAsia" w:ascii="仿宋" w:hAnsi="仿宋" w:eastAsia="仿宋" w:cs="仿宋"/>
          <w:b w:val="0"/>
          <w:bCs/>
          <w:sz w:val="24"/>
          <w:szCs w:val="24"/>
        </w:rPr>
        <w:t>2023年,南昌全市地区生产总值(GDP)7303.46亿元,按不变价格计算,比上年增长0.39%。2023年暂未公布三大产业增加值数据。2022年，全市第一产业增加值248.60亿元,增长3.6%;第二产业增加3484.61亿元,增长4.6%;第三产业增加值3470.29亿元,增长3.7%。 </w:t>
      </w:r>
    </w:p>
    <w:p w14:paraId="38CE7DB5">
      <w:pPr>
        <w:pStyle w:val="23"/>
        <w:spacing w:before="0" w:beforeAutospacing="0" w:after="0" w:afterAutospacing="0" w:line="440" w:lineRule="exact"/>
        <w:ind w:left="482"/>
        <w:jc w:val="center"/>
        <w:rPr>
          <w:rFonts w:hint="eastAsia" w:ascii="楷体" w:hAnsi="楷体" w:eastAsia="楷体" w:cs="楷体"/>
          <w:bCs/>
          <w:kern w:val="2"/>
        </w:rPr>
      </w:pPr>
      <w:r>
        <w:rPr>
          <w:rFonts w:hint="eastAsia" w:ascii="楷体" w:hAnsi="楷体" w:eastAsia="楷体" w:cs="楷体"/>
          <w:bCs/>
          <w:kern w:val="2"/>
        </w:rPr>
        <w:t>南昌市财政收支状况</w:t>
      </w:r>
    </w:p>
    <w:tbl>
      <w:tblPr>
        <w:tblStyle w:val="28"/>
        <w:tblW w:w="8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2"/>
        <w:gridCol w:w="1520"/>
        <w:gridCol w:w="1840"/>
        <w:gridCol w:w="1840"/>
      </w:tblGrid>
      <w:tr w14:paraId="4627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2" w:type="dxa"/>
            <w:tcBorders>
              <w:top w:val="single" w:color="auto" w:sz="4" w:space="0"/>
              <w:left w:val="single" w:color="auto" w:sz="4" w:space="0"/>
              <w:bottom w:val="single" w:color="auto" w:sz="4" w:space="0"/>
              <w:right w:val="single" w:color="auto" w:sz="4" w:space="0"/>
            </w:tcBorders>
            <w:shd w:val="clear" w:color="auto" w:fill="B8CCE4"/>
          </w:tcPr>
          <w:p w14:paraId="64B96104">
            <w:pPr>
              <w:spacing w:line="440" w:lineRule="exact"/>
              <w:ind w:firstLine="420"/>
              <w:jc w:val="center"/>
              <w:rPr>
                <w:rFonts w:hint="eastAsia" w:ascii="楷体" w:hAnsi="楷体" w:eastAsia="楷体" w:cs="楷体"/>
                <w:bCs/>
                <w:sz w:val="21"/>
                <w:szCs w:val="21"/>
              </w:rPr>
            </w:pPr>
            <w:r>
              <w:rPr>
                <w:rFonts w:hint="eastAsia" w:ascii="楷体" w:hAnsi="楷体" w:eastAsia="楷体" w:cs="楷体"/>
                <w:bCs/>
                <w:sz w:val="21"/>
                <w:szCs w:val="21"/>
              </w:rPr>
              <w:t>年份/项目</w:t>
            </w:r>
          </w:p>
        </w:tc>
        <w:tc>
          <w:tcPr>
            <w:tcW w:w="1520" w:type="dxa"/>
            <w:tcBorders>
              <w:top w:val="single" w:color="auto" w:sz="4" w:space="0"/>
              <w:left w:val="single" w:color="auto" w:sz="4" w:space="0"/>
              <w:bottom w:val="single" w:color="auto" w:sz="4" w:space="0"/>
              <w:right w:val="single" w:color="auto" w:sz="4" w:space="0"/>
            </w:tcBorders>
            <w:shd w:val="clear" w:color="auto" w:fill="B8CCE4"/>
          </w:tcPr>
          <w:p w14:paraId="36CBD59B">
            <w:pPr>
              <w:spacing w:line="440" w:lineRule="exact"/>
              <w:ind w:firstLine="174" w:firstLineChars="83"/>
              <w:rPr>
                <w:rFonts w:hint="eastAsia" w:ascii="楷体" w:hAnsi="楷体" w:eastAsia="楷体" w:cs="楷体"/>
                <w:bCs/>
                <w:sz w:val="21"/>
                <w:szCs w:val="21"/>
              </w:rPr>
            </w:pPr>
            <w:r>
              <w:rPr>
                <w:rFonts w:hint="eastAsia" w:ascii="楷体" w:hAnsi="楷体" w:eastAsia="楷体" w:cs="楷体"/>
                <w:bCs/>
                <w:sz w:val="21"/>
                <w:szCs w:val="21"/>
              </w:rPr>
              <w:t>2021年</w:t>
            </w:r>
          </w:p>
        </w:tc>
        <w:tc>
          <w:tcPr>
            <w:tcW w:w="1840" w:type="dxa"/>
            <w:tcBorders>
              <w:top w:val="single" w:color="auto" w:sz="4" w:space="0"/>
              <w:left w:val="single" w:color="auto" w:sz="4" w:space="0"/>
              <w:bottom w:val="single" w:color="auto" w:sz="4" w:space="0"/>
              <w:right w:val="single" w:color="auto" w:sz="4" w:space="0"/>
            </w:tcBorders>
            <w:shd w:val="clear" w:color="auto" w:fill="B8CCE4"/>
          </w:tcPr>
          <w:p w14:paraId="44CE7E84">
            <w:pPr>
              <w:spacing w:line="440" w:lineRule="exact"/>
              <w:ind w:firstLine="0" w:firstLineChars="0"/>
              <w:jc w:val="center"/>
              <w:rPr>
                <w:rFonts w:hint="eastAsia" w:ascii="楷体" w:hAnsi="楷体" w:eastAsia="楷体" w:cs="楷体"/>
                <w:bCs/>
                <w:sz w:val="21"/>
                <w:szCs w:val="21"/>
              </w:rPr>
            </w:pPr>
            <w:r>
              <w:rPr>
                <w:rFonts w:hint="eastAsia" w:ascii="楷体" w:hAnsi="楷体" w:eastAsia="楷体" w:cs="楷体"/>
                <w:bCs/>
                <w:sz w:val="21"/>
                <w:szCs w:val="21"/>
              </w:rPr>
              <w:t>2022年</w:t>
            </w:r>
          </w:p>
        </w:tc>
        <w:tc>
          <w:tcPr>
            <w:tcW w:w="1840" w:type="dxa"/>
            <w:tcBorders>
              <w:top w:val="single" w:color="auto" w:sz="4" w:space="0"/>
              <w:left w:val="single" w:color="auto" w:sz="4" w:space="0"/>
              <w:bottom w:val="single" w:color="auto" w:sz="4" w:space="0"/>
              <w:right w:val="single" w:color="auto" w:sz="4" w:space="0"/>
            </w:tcBorders>
            <w:shd w:val="clear" w:color="auto" w:fill="B8CCE4"/>
          </w:tcPr>
          <w:p w14:paraId="40D85450">
            <w:pPr>
              <w:spacing w:line="440" w:lineRule="exact"/>
              <w:ind w:firstLine="0" w:firstLineChars="0"/>
              <w:jc w:val="center"/>
              <w:rPr>
                <w:rFonts w:hint="eastAsia" w:ascii="楷体" w:hAnsi="楷体" w:eastAsia="楷体" w:cs="楷体"/>
                <w:bCs/>
                <w:sz w:val="21"/>
                <w:szCs w:val="21"/>
              </w:rPr>
            </w:pPr>
            <w:r>
              <w:rPr>
                <w:rFonts w:hint="eastAsia" w:ascii="楷体" w:hAnsi="楷体" w:eastAsia="楷体" w:cs="楷体"/>
                <w:bCs/>
                <w:sz w:val="21"/>
                <w:szCs w:val="21"/>
              </w:rPr>
              <w:t>2023年</w:t>
            </w:r>
          </w:p>
        </w:tc>
      </w:tr>
      <w:tr w14:paraId="04AD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3492" w:type="dxa"/>
            <w:tcBorders>
              <w:top w:val="single" w:color="auto" w:sz="4" w:space="0"/>
              <w:left w:val="single" w:color="auto" w:sz="4" w:space="0"/>
              <w:bottom w:val="single" w:color="auto" w:sz="4" w:space="0"/>
              <w:right w:val="single" w:color="auto" w:sz="4" w:space="0"/>
            </w:tcBorders>
          </w:tcPr>
          <w:p w14:paraId="6C505EB0">
            <w:pPr>
              <w:spacing w:line="440" w:lineRule="exact"/>
              <w:ind w:firstLine="420"/>
              <w:rPr>
                <w:rFonts w:hint="eastAsia" w:ascii="楷体" w:hAnsi="楷体" w:eastAsia="楷体" w:cs="楷体"/>
                <w:bCs/>
                <w:sz w:val="21"/>
                <w:szCs w:val="21"/>
              </w:rPr>
            </w:pPr>
            <w:r>
              <w:rPr>
                <w:rFonts w:hint="eastAsia" w:ascii="楷体" w:hAnsi="楷体" w:eastAsia="楷体" w:cs="楷体"/>
                <w:bCs/>
                <w:sz w:val="21"/>
                <w:szCs w:val="21"/>
              </w:rPr>
              <w:t>一般公共预算收入（亿元）</w:t>
            </w:r>
          </w:p>
        </w:tc>
        <w:tc>
          <w:tcPr>
            <w:tcW w:w="1520" w:type="dxa"/>
            <w:tcBorders>
              <w:top w:val="single" w:color="auto" w:sz="4" w:space="0"/>
              <w:left w:val="single" w:color="auto" w:sz="4" w:space="0"/>
              <w:bottom w:val="single" w:color="auto" w:sz="4" w:space="0"/>
              <w:right w:val="single" w:color="auto" w:sz="4" w:space="0"/>
            </w:tcBorders>
          </w:tcPr>
          <w:p w14:paraId="624D65D8">
            <w:pPr>
              <w:spacing w:line="440" w:lineRule="exact"/>
              <w:ind w:firstLine="174" w:firstLineChars="83"/>
              <w:rPr>
                <w:rFonts w:hint="eastAsia" w:ascii="楷体" w:hAnsi="楷体" w:eastAsia="楷体" w:cs="楷体"/>
                <w:bCs/>
                <w:sz w:val="21"/>
                <w:szCs w:val="21"/>
              </w:rPr>
            </w:pPr>
            <w:r>
              <w:rPr>
                <w:rFonts w:hint="eastAsia" w:ascii="楷体" w:hAnsi="楷体" w:eastAsia="楷体" w:cs="楷体"/>
                <w:bCs/>
                <w:sz w:val="21"/>
                <w:szCs w:val="21"/>
              </w:rPr>
              <w:t>484.84</w:t>
            </w:r>
          </w:p>
        </w:tc>
        <w:tc>
          <w:tcPr>
            <w:tcW w:w="1840" w:type="dxa"/>
            <w:tcBorders>
              <w:top w:val="single" w:color="auto" w:sz="4" w:space="0"/>
              <w:left w:val="single" w:color="auto" w:sz="4" w:space="0"/>
              <w:bottom w:val="single" w:color="auto" w:sz="4" w:space="0"/>
              <w:right w:val="single" w:color="auto" w:sz="4" w:space="0"/>
            </w:tcBorders>
          </w:tcPr>
          <w:p w14:paraId="4E48FC7D">
            <w:pPr>
              <w:spacing w:line="440" w:lineRule="exact"/>
              <w:ind w:firstLine="384" w:firstLineChars="183"/>
              <w:rPr>
                <w:rFonts w:hint="eastAsia" w:ascii="楷体" w:hAnsi="楷体" w:eastAsia="楷体" w:cs="楷体"/>
                <w:bCs/>
                <w:sz w:val="21"/>
                <w:szCs w:val="21"/>
              </w:rPr>
            </w:pPr>
            <w:r>
              <w:rPr>
                <w:rFonts w:ascii="楷体" w:hAnsi="楷体" w:eastAsia="楷体" w:cs="楷体"/>
                <w:bCs/>
                <w:sz w:val="21"/>
                <w:szCs w:val="21"/>
              </w:rPr>
              <w:t>457.68</w:t>
            </w:r>
          </w:p>
        </w:tc>
        <w:tc>
          <w:tcPr>
            <w:tcW w:w="1840" w:type="dxa"/>
            <w:tcBorders>
              <w:top w:val="single" w:color="auto" w:sz="4" w:space="0"/>
              <w:left w:val="single" w:color="auto" w:sz="4" w:space="0"/>
              <w:bottom w:val="single" w:color="auto" w:sz="4" w:space="0"/>
              <w:right w:val="single" w:color="auto" w:sz="4" w:space="0"/>
            </w:tcBorders>
          </w:tcPr>
          <w:p w14:paraId="610B2C43">
            <w:pPr>
              <w:spacing w:line="440" w:lineRule="exact"/>
              <w:ind w:firstLine="384" w:firstLineChars="183"/>
              <w:rPr>
                <w:rFonts w:hint="eastAsia" w:ascii="楷体" w:hAnsi="楷体" w:eastAsia="楷体" w:cs="楷体"/>
                <w:bCs/>
                <w:sz w:val="21"/>
                <w:szCs w:val="21"/>
              </w:rPr>
            </w:pPr>
            <w:r>
              <w:rPr>
                <w:rFonts w:hint="eastAsia" w:ascii="楷体" w:hAnsi="楷体" w:eastAsia="楷体" w:cs="楷体"/>
                <w:bCs/>
                <w:sz w:val="21"/>
                <w:szCs w:val="21"/>
              </w:rPr>
              <w:t>500.2</w:t>
            </w:r>
          </w:p>
        </w:tc>
      </w:tr>
      <w:tr w14:paraId="24179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3492" w:type="dxa"/>
            <w:tcBorders>
              <w:top w:val="single" w:color="auto" w:sz="4" w:space="0"/>
              <w:left w:val="single" w:color="auto" w:sz="4" w:space="0"/>
              <w:bottom w:val="single" w:color="auto" w:sz="4" w:space="0"/>
              <w:right w:val="single" w:color="auto" w:sz="4" w:space="0"/>
            </w:tcBorders>
          </w:tcPr>
          <w:p w14:paraId="204CB60E">
            <w:pPr>
              <w:spacing w:line="440" w:lineRule="exact"/>
              <w:ind w:firstLine="420"/>
              <w:rPr>
                <w:rFonts w:hint="eastAsia" w:ascii="楷体" w:hAnsi="楷体" w:eastAsia="楷体" w:cs="楷体"/>
                <w:bCs/>
                <w:sz w:val="21"/>
                <w:szCs w:val="21"/>
              </w:rPr>
            </w:pPr>
            <w:r>
              <w:rPr>
                <w:rFonts w:hint="eastAsia" w:ascii="楷体" w:hAnsi="楷体" w:eastAsia="楷体" w:cs="楷体"/>
                <w:bCs/>
                <w:sz w:val="21"/>
                <w:szCs w:val="21"/>
              </w:rPr>
              <w:t>一般公共预算支出（亿元）</w:t>
            </w:r>
          </w:p>
        </w:tc>
        <w:tc>
          <w:tcPr>
            <w:tcW w:w="1520" w:type="dxa"/>
            <w:tcBorders>
              <w:top w:val="single" w:color="auto" w:sz="4" w:space="0"/>
              <w:left w:val="single" w:color="auto" w:sz="4" w:space="0"/>
              <w:bottom w:val="single" w:color="auto" w:sz="4" w:space="0"/>
              <w:right w:val="single" w:color="auto" w:sz="4" w:space="0"/>
            </w:tcBorders>
          </w:tcPr>
          <w:p w14:paraId="39F0EFA8">
            <w:pPr>
              <w:spacing w:line="440" w:lineRule="exact"/>
              <w:ind w:firstLine="174" w:firstLineChars="83"/>
              <w:rPr>
                <w:rFonts w:hint="eastAsia" w:ascii="楷体" w:hAnsi="楷体" w:eastAsia="楷体" w:cs="楷体"/>
                <w:bCs/>
                <w:sz w:val="21"/>
                <w:szCs w:val="21"/>
              </w:rPr>
            </w:pPr>
            <w:r>
              <w:rPr>
                <w:rFonts w:hint="eastAsia" w:ascii="楷体" w:hAnsi="楷体" w:eastAsia="楷体" w:cs="楷体"/>
                <w:bCs/>
                <w:sz w:val="21"/>
                <w:szCs w:val="21"/>
              </w:rPr>
              <w:t>870.01</w:t>
            </w:r>
          </w:p>
        </w:tc>
        <w:tc>
          <w:tcPr>
            <w:tcW w:w="1840" w:type="dxa"/>
            <w:tcBorders>
              <w:top w:val="single" w:color="auto" w:sz="4" w:space="0"/>
              <w:left w:val="single" w:color="auto" w:sz="4" w:space="0"/>
              <w:bottom w:val="single" w:color="auto" w:sz="4" w:space="0"/>
              <w:right w:val="single" w:color="auto" w:sz="4" w:space="0"/>
            </w:tcBorders>
          </w:tcPr>
          <w:p w14:paraId="6B26DF30">
            <w:pPr>
              <w:spacing w:line="440" w:lineRule="exact"/>
              <w:ind w:firstLine="420"/>
              <w:rPr>
                <w:rFonts w:hint="eastAsia" w:ascii="楷体" w:hAnsi="楷体" w:eastAsia="楷体" w:cs="楷体"/>
                <w:bCs/>
                <w:sz w:val="21"/>
                <w:szCs w:val="21"/>
              </w:rPr>
            </w:pPr>
            <w:r>
              <w:rPr>
                <w:rFonts w:ascii="楷体" w:hAnsi="楷体" w:eastAsia="楷体" w:cs="楷体"/>
                <w:bCs/>
                <w:sz w:val="21"/>
                <w:szCs w:val="21"/>
              </w:rPr>
              <w:t>938.81</w:t>
            </w:r>
          </w:p>
        </w:tc>
        <w:tc>
          <w:tcPr>
            <w:tcW w:w="1840" w:type="dxa"/>
            <w:tcBorders>
              <w:top w:val="single" w:color="auto" w:sz="4" w:space="0"/>
              <w:left w:val="single" w:color="auto" w:sz="4" w:space="0"/>
              <w:bottom w:val="single" w:color="auto" w:sz="4" w:space="0"/>
              <w:right w:val="single" w:color="auto" w:sz="4" w:space="0"/>
            </w:tcBorders>
          </w:tcPr>
          <w:p w14:paraId="4D4D2880">
            <w:pPr>
              <w:spacing w:line="440" w:lineRule="exact"/>
              <w:ind w:firstLine="420"/>
              <w:rPr>
                <w:rFonts w:hint="eastAsia" w:ascii="楷体" w:hAnsi="楷体" w:eastAsia="楷体" w:cs="楷体"/>
                <w:bCs/>
                <w:sz w:val="21"/>
                <w:szCs w:val="21"/>
              </w:rPr>
            </w:pPr>
            <w:r>
              <w:rPr>
                <w:rFonts w:hint="eastAsia" w:ascii="楷体" w:hAnsi="楷体" w:eastAsia="楷体" w:cs="楷体"/>
                <w:bCs/>
                <w:sz w:val="21"/>
                <w:szCs w:val="21"/>
              </w:rPr>
              <w:t>925.6</w:t>
            </w:r>
          </w:p>
        </w:tc>
      </w:tr>
    </w:tbl>
    <w:p w14:paraId="391FD339">
      <w:pPr>
        <w:pStyle w:val="3"/>
        <w:spacing w:line="440" w:lineRule="exact"/>
        <w:ind w:firstLine="480"/>
        <w:rPr>
          <w:rFonts w:hint="eastAsia" w:ascii="仿宋" w:hAnsi="仿宋" w:eastAsia="仿宋" w:cs="仿宋"/>
          <w:b w:val="0"/>
          <w:bCs/>
          <w:sz w:val="24"/>
          <w:szCs w:val="24"/>
        </w:rPr>
      </w:pPr>
      <w:r>
        <w:rPr>
          <w:rFonts w:hint="eastAsia" w:ascii="仿宋" w:hAnsi="仿宋" w:eastAsia="仿宋" w:cs="仿宋"/>
          <w:b w:val="0"/>
          <w:bCs/>
          <w:sz w:val="24"/>
          <w:szCs w:val="24"/>
        </w:rPr>
        <w:t>2023年,全市地方一般公共预算收入500.2亿元,同比增长9.3%,其中税收收入330.13亿元,占一般公共预算收入的比重66%。1-12月，全市一般公共预算支出完成925.6亿元，其中社会保障和就业支出、农林水支出、教育支出分别增长12.2%、11.3%、9.6%。</w:t>
      </w:r>
    </w:p>
    <w:p w14:paraId="14F70BD9">
      <w:pPr>
        <w:pStyle w:val="3"/>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项目实施背景</w:t>
      </w:r>
    </w:p>
    <w:p w14:paraId="648E4B03">
      <w:pPr>
        <w:pStyle w:val="4"/>
        <w:spacing w:line="440" w:lineRule="exact"/>
        <w:ind w:firstLine="480"/>
        <w:rPr>
          <w:rFonts w:hint="eastAsia" w:ascii="仿宋" w:hAnsi="仿宋" w:eastAsia="仿宋" w:cs="仿宋"/>
          <w:bCs/>
          <w:sz w:val="24"/>
          <w:szCs w:val="24"/>
        </w:rPr>
      </w:pPr>
      <w:r>
        <w:rPr>
          <w:rFonts w:hint="eastAsia" w:ascii="仿宋" w:hAnsi="仿宋" w:eastAsia="仿宋" w:cs="仿宋"/>
          <w:bCs/>
          <w:sz w:val="24"/>
          <w:szCs w:val="24"/>
        </w:rPr>
        <w:t>1、项目背景</w:t>
      </w:r>
    </w:p>
    <w:p w14:paraId="41E0A15C">
      <w:pPr>
        <w:pStyle w:val="4"/>
        <w:spacing w:line="440" w:lineRule="exact"/>
        <w:ind w:firstLine="480"/>
        <w:rPr>
          <w:rFonts w:hint="eastAsia" w:ascii="仿宋" w:hAnsi="仿宋" w:eastAsia="仿宋" w:cs="仿宋"/>
          <w:bCs/>
          <w:sz w:val="24"/>
          <w:szCs w:val="24"/>
        </w:rPr>
      </w:pPr>
      <w:r>
        <w:rPr>
          <w:rFonts w:hint="eastAsia" w:ascii="仿宋" w:hAnsi="仿宋" w:eastAsia="仿宋" w:cs="仿宋"/>
          <w:bCs/>
          <w:sz w:val="24"/>
          <w:szCs w:val="24"/>
        </w:rPr>
        <w:t>2015 年12 月，南昌轨道交通1 号线开通试运营，南昌也成为江西首个开通地铁的城市。2 号线首通段（含2 号线一期工程&lt;西站南广场站～地铁大厦站&gt;和2 号线南延线）已于2017年8 月18 日开通试运营，标志着南昌地铁进入线网换乘时代，2 号线后通段（地铁大厦站&lt;不含&gt;～辛家庵站）已于2019 年6 月30 日开通试运营，线网单日最大客流为2019 年12 月31 日的94.10 万人次。截至2019 年12 底，1、2 号线总客运量达到5.08 亿人次，2019 年全年的线网日均客运量达47.95 万人次，其中1 号线日均客运量为34.50 万人次，2 号线日均客运量为13.45 万人次。轨道交通建设规划对近期轨道交通建设发挥了重要的指导作用，已建成运营的轨道交通线路，对带动沿线开发，促进经济和社会发展起到了显著的作用。</w:t>
      </w:r>
    </w:p>
    <w:p w14:paraId="619B1625">
      <w:pPr>
        <w:pStyle w:val="3"/>
        <w:numPr>
          <w:ilvl w:val="0"/>
          <w:numId w:val="3"/>
        </w:numPr>
        <w:spacing w:line="440" w:lineRule="exact"/>
        <w:ind w:firstLineChars="0"/>
        <w:rPr>
          <w:rFonts w:hint="eastAsia" w:ascii="仿宋" w:hAnsi="仿宋" w:eastAsia="仿宋" w:cs="仿宋"/>
          <w:sz w:val="24"/>
          <w:szCs w:val="24"/>
        </w:rPr>
      </w:pPr>
      <w:r>
        <w:rPr>
          <w:rFonts w:hint="eastAsia" w:ascii="仿宋" w:hAnsi="仿宋" w:eastAsia="仿宋" w:cs="仿宋"/>
          <w:sz w:val="24"/>
          <w:szCs w:val="24"/>
        </w:rPr>
        <w:t>项目基本情况</w:t>
      </w:r>
    </w:p>
    <w:p w14:paraId="15AD6D79">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1、项目名称：</w:t>
      </w:r>
    </w:p>
    <w:p w14:paraId="394D813E">
      <w:pPr>
        <w:pStyle w:val="4"/>
        <w:spacing w:line="440" w:lineRule="exact"/>
        <w:ind w:firstLine="480"/>
        <w:rPr>
          <w:rFonts w:hint="eastAsia" w:ascii="仿宋" w:hAnsi="仿宋" w:eastAsia="仿宋" w:cs="仿宋"/>
          <w:bCs/>
          <w:sz w:val="24"/>
          <w:szCs w:val="24"/>
        </w:rPr>
      </w:pPr>
      <w:r>
        <w:rPr>
          <w:rFonts w:ascii="仿宋" w:hAnsi="仿宋" w:eastAsia="仿宋" w:cs="仿宋"/>
          <w:bCs/>
          <w:sz w:val="24"/>
          <w:szCs w:val="24"/>
        </w:rPr>
        <w:t>南昌市轨道交通2号线东延</w:t>
      </w:r>
      <w:r>
        <w:rPr>
          <w:rFonts w:hint="eastAsia" w:ascii="仿宋" w:hAnsi="仿宋" w:eastAsia="仿宋" w:cs="仿宋"/>
          <w:bCs/>
          <w:sz w:val="24"/>
          <w:szCs w:val="24"/>
        </w:rPr>
        <w:t>工程</w:t>
      </w:r>
    </w:p>
    <w:p w14:paraId="6D63E988">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2、项目立项单位：</w:t>
      </w:r>
    </w:p>
    <w:p w14:paraId="2D030796">
      <w:pPr>
        <w:pStyle w:val="4"/>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南昌轨道交通集团有限公司</w:t>
      </w:r>
    </w:p>
    <w:p w14:paraId="6846BEA9">
      <w:pPr>
        <w:pStyle w:val="4"/>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3、项目建设单位</w:t>
      </w:r>
    </w:p>
    <w:p w14:paraId="7D0D49EF">
      <w:pPr>
        <w:pStyle w:val="4"/>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南昌轨道交通集团有限公司</w:t>
      </w:r>
    </w:p>
    <w:p w14:paraId="01DA4F49">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4、项目建设地址：</w:t>
      </w:r>
    </w:p>
    <w:p w14:paraId="2F2067EE">
      <w:pPr>
        <w:pStyle w:val="4"/>
        <w:spacing w:line="440" w:lineRule="exact"/>
        <w:ind w:firstLine="48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本段线路主要位于青云谱区、青山湖区。</w:t>
      </w:r>
    </w:p>
    <w:p w14:paraId="093FE916">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5、项目建设内容</w:t>
      </w:r>
    </w:p>
    <w:p w14:paraId="73DDB061">
      <w:pPr>
        <w:spacing w:line="440" w:lineRule="exact"/>
        <w:ind w:firstLine="480"/>
        <w:rPr>
          <w:rFonts w:hint="eastAsia" w:ascii="仿宋" w:hAnsi="仿宋" w:eastAsia="仿宋" w:cs="仿宋"/>
          <w:bCs/>
          <w:color w:val="000000" w:themeColor="text1"/>
          <w:szCs w:val="24"/>
        </w:rPr>
      </w:pPr>
      <w:r>
        <w:rPr>
          <w:rFonts w:hint="eastAsia" w:ascii="仿宋" w:hAnsi="仿宋" w:eastAsia="仿宋" w:cs="仿宋"/>
          <w:bCs/>
          <w:color w:val="000000" w:themeColor="text1"/>
          <w:szCs w:val="24"/>
        </w:rPr>
        <w:t>2 号线东延工程起自辛家庵站（一期终点站，不含该站），终止于南昌东站，线路全长为10.52km，设站9 座，均为地下车站，平均站间距为1.16km。线路主要走向为：辛家庵站→上海南路→解放西路→解放东路→创新大道→广州路→南昌东站，本工程与2 号线（一期及南延线）贯通运营。本工程设昌东停车场和主变电站各1 座，其中停车场用地面积为20ha，位于规划新溪桥路以南、规划创新大道以西、广州路以北、谢埠路以东的地块内；主变电站设于高新大道与解放东路交叉口以南约450m 路口西南侧地块。根据线网规划，全线网在地铁大厦站附近设置1 座控制中心，实现资源共享。</w:t>
      </w:r>
    </w:p>
    <w:p w14:paraId="1AC46CB5">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6、项目总投资</w:t>
      </w:r>
    </w:p>
    <w:p w14:paraId="7C8B0BC8">
      <w:pPr>
        <w:autoSpaceDE w:val="0"/>
        <w:autoSpaceDN w:val="0"/>
        <w:adjustRightInd w:val="0"/>
        <w:spacing w:after="0" w:line="440" w:lineRule="exact"/>
        <w:ind w:firstLine="480"/>
        <w:rPr>
          <w:rFonts w:hint="eastAsia" w:ascii="仿宋" w:hAnsi="仿宋" w:eastAsia="仿宋"/>
          <w:kern w:val="0"/>
          <w:szCs w:val="24"/>
          <w:lang w:val="zh-CN"/>
        </w:rPr>
      </w:pPr>
      <w:r>
        <w:rPr>
          <w:rFonts w:hint="eastAsia" w:ascii="仿宋" w:hAnsi="仿宋" w:eastAsia="仿宋"/>
          <w:color w:val="000000" w:themeColor="text1"/>
          <w:szCs w:val="24"/>
        </w:rPr>
        <w:t>202</w:t>
      </w:r>
      <w:r>
        <w:rPr>
          <w:rFonts w:ascii="仿宋" w:hAnsi="仿宋" w:eastAsia="仿宋"/>
          <w:color w:val="000000" w:themeColor="text1"/>
          <w:szCs w:val="24"/>
        </w:rPr>
        <w:t>4</w:t>
      </w:r>
      <w:r>
        <w:rPr>
          <w:rFonts w:hint="eastAsia" w:ascii="仿宋" w:hAnsi="仿宋" w:eastAsia="仿宋"/>
          <w:color w:val="000000" w:themeColor="text1"/>
          <w:szCs w:val="24"/>
        </w:rPr>
        <w:t>年江西省南昌市轨道交通</w:t>
      </w:r>
      <w:r>
        <w:rPr>
          <w:rFonts w:ascii="仿宋" w:hAnsi="仿宋" w:eastAsia="仿宋"/>
          <w:color w:val="000000" w:themeColor="text1"/>
          <w:szCs w:val="24"/>
        </w:rPr>
        <w:t>2</w:t>
      </w:r>
      <w:r>
        <w:rPr>
          <w:rFonts w:hint="eastAsia" w:ascii="仿宋" w:hAnsi="仿宋" w:eastAsia="仿宋"/>
          <w:color w:val="000000" w:themeColor="text1"/>
          <w:szCs w:val="24"/>
        </w:rPr>
        <w:t>号线东延工程项目为新建项目，根据江西省发展和改革委员会《江西省发展和改革委员会关于南昌市轨道交通</w:t>
      </w:r>
      <w:r>
        <w:rPr>
          <w:rFonts w:ascii="仿宋" w:hAnsi="仿宋" w:eastAsia="仿宋"/>
          <w:color w:val="000000" w:themeColor="text1"/>
          <w:szCs w:val="24"/>
        </w:rPr>
        <w:t>2</w:t>
      </w:r>
      <w:r>
        <w:rPr>
          <w:rFonts w:hint="eastAsia" w:ascii="仿宋" w:hAnsi="仿宋" w:eastAsia="仿宋"/>
          <w:color w:val="000000" w:themeColor="text1"/>
          <w:szCs w:val="24"/>
        </w:rPr>
        <w:t>号线东延工程初步设计变更的批复》（赣发改投资[202</w:t>
      </w:r>
      <w:r>
        <w:rPr>
          <w:rFonts w:ascii="仿宋" w:hAnsi="仿宋" w:eastAsia="仿宋"/>
          <w:color w:val="000000" w:themeColor="text1"/>
          <w:szCs w:val="24"/>
        </w:rPr>
        <w:t>2</w:t>
      </w:r>
      <w:r>
        <w:rPr>
          <w:rFonts w:hint="eastAsia" w:ascii="仿宋" w:hAnsi="仿宋" w:eastAsia="仿宋"/>
          <w:color w:val="000000" w:themeColor="text1"/>
          <w:szCs w:val="24"/>
        </w:rPr>
        <w:t>]</w:t>
      </w:r>
      <w:r>
        <w:rPr>
          <w:rFonts w:ascii="仿宋" w:hAnsi="仿宋" w:eastAsia="仿宋"/>
          <w:color w:val="000000" w:themeColor="text1"/>
          <w:szCs w:val="24"/>
        </w:rPr>
        <w:t>1043</w:t>
      </w:r>
      <w:r>
        <w:rPr>
          <w:rFonts w:hint="eastAsia" w:ascii="仿宋" w:hAnsi="仿宋" w:eastAsia="仿宋"/>
          <w:color w:val="000000" w:themeColor="text1"/>
          <w:szCs w:val="24"/>
        </w:rPr>
        <w:t>号），批复总投资额</w:t>
      </w:r>
      <w:r>
        <w:rPr>
          <w:rFonts w:ascii="仿宋" w:hAnsi="仿宋" w:eastAsia="仿宋"/>
          <w:color w:val="000000" w:themeColor="text1"/>
          <w:szCs w:val="24"/>
        </w:rPr>
        <w:t>1,057,672.67</w:t>
      </w:r>
      <w:r>
        <w:rPr>
          <w:rFonts w:hint="eastAsia" w:ascii="仿宋" w:hAnsi="仿宋" w:eastAsia="仿宋"/>
          <w:color w:val="000000" w:themeColor="text1"/>
          <w:szCs w:val="24"/>
        </w:rPr>
        <w:t>万元。主要包括工程费用、工程建设其他费用及基本预备费等。</w:t>
      </w:r>
    </w:p>
    <w:p w14:paraId="7D4FE20D">
      <w:pPr>
        <w:pStyle w:val="23"/>
        <w:spacing w:before="0" w:beforeAutospacing="0" w:after="156" w:afterLines="50" w:afterAutospacing="0" w:line="440" w:lineRule="exact"/>
        <w:ind w:firstLine="440" w:firstLineChars="200"/>
        <w:jc w:val="both"/>
        <w:rPr>
          <w:rFonts w:hint="eastAsia" w:ascii="仿宋" w:hAnsi="仿宋" w:eastAsia="仿宋"/>
          <w:color w:val="000000" w:themeColor="text1"/>
        </w:rPr>
      </w:pPr>
      <w:r>
        <w:rPr>
          <w:rFonts w:hint="eastAsia" w:ascii="仿宋" w:hAnsi="仿宋" w:eastAsia="仿宋"/>
          <w:color w:val="000000" w:themeColor="text1"/>
        </w:rPr>
        <w:t>为了保障以上建设项目合理的融资需求，更好地发挥专项债券对</w:t>
      </w:r>
      <w:r>
        <w:rPr>
          <w:rFonts w:ascii="仿宋" w:hAnsi="仿宋" w:eastAsia="仿宋"/>
          <w:color w:val="000000" w:themeColor="text1"/>
          <w:kern w:val="2"/>
        </w:rPr>
        <w:t>南昌市轨道交通2号线东延工程项目</w:t>
      </w:r>
      <w:r>
        <w:rPr>
          <w:rFonts w:hint="eastAsia" w:ascii="仿宋" w:hAnsi="仿宋" w:eastAsia="仿宋"/>
          <w:color w:val="000000" w:themeColor="text1"/>
        </w:rPr>
        <w:t>支持作用，本次项目计划通过自筹资金及发行项目收益与融资自求平衡专项债券的方式完成项目建设。南昌轨道交通集团有限公司申请地方政府专项债券的明细情况见下表：（单位：万元）</w:t>
      </w:r>
    </w:p>
    <w:p w14:paraId="7CA00A39">
      <w:pPr>
        <w:pStyle w:val="23"/>
        <w:spacing w:before="0" w:beforeAutospacing="0" w:after="156" w:afterLines="50" w:afterAutospacing="0" w:line="440" w:lineRule="exact"/>
        <w:ind w:firstLine="440" w:firstLineChars="200"/>
        <w:jc w:val="both"/>
        <w:rPr>
          <w:rFonts w:hint="eastAsia" w:ascii="仿宋" w:hAnsi="仿宋" w:eastAsia="仿宋"/>
          <w:color w:val="000000" w:themeColor="text1"/>
        </w:rPr>
      </w:pPr>
    </w:p>
    <w:tbl>
      <w:tblPr>
        <w:tblStyle w:val="28"/>
        <w:tblW w:w="64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1135"/>
        <w:gridCol w:w="1250"/>
        <w:gridCol w:w="1011"/>
        <w:gridCol w:w="1086"/>
        <w:gridCol w:w="1398"/>
        <w:gridCol w:w="1167"/>
        <w:gridCol w:w="1328"/>
        <w:gridCol w:w="1082"/>
      </w:tblGrid>
      <w:tr w14:paraId="18A7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655" w:type="pct"/>
            <w:vMerge w:val="restart"/>
            <w:shd w:val="clear" w:color="auto" w:fill="auto"/>
            <w:noWrap/>
            <w:vAlign w:val="center"/>
          </w:tcPr>
          <w:p w14:paraId="22B53681">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521" w:type="pct"/>
            <w:vMerge w:val="restart"/>
            <w:shd w:val="clear" w:color="auto" w:fill="auto"/>
            <w:vAlign w:val="center"/>
          </w:tcPr>
          <w:p w14:paraId="1CF8A7D7">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其中：资本金</w:t>
            </w:r>
          </w:p>
        </w:tc>
        <w:tc>
          <w:tcPr>
            <w:tcW w:w="574" w:type="pct"/>
          </w:tcPr>
          <w:p w14:paraId="0A4BA6B2">
            <w:pPr>
              <w:widowControl/>
              <w:spacing w:after="0" w:line="240" w:lineRule="exact"/>
              <w:ind w:firstLine="361"/>
              <w:jc w:val="center"/>
              <w:rPr>
                <w:rFonts w:hint="eastAsia" w:ascii="宋体" w:hAnsi="宋体" w:cs="宋体"/>
                <w:b/>
                <w:bCs/>
                <w:color w:val="000000"/>
                <w:kern w:val="0"/>
                <w:sz w:val="18"/>
                <w:szCs w:val="18"/>
              </w:rPr>
            </w:pPr>
          </w:p>
        </w:tc>
        <w:tc>
          <w:tcPr>
            <w:tcW w:w="3248" w:type="pct"/>
            <w:gridSpan w:val="6"/>
            <w:vAlign w:val="center"/>
          </w:tcPr>
          <w:p w14:paraId="1346A800">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678C0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55" w:type="pct"/>
            <w:vMerge w:val="continue"/>
            <w:vAlign w:val="center"/>
          </w:tcPr>
          <w:p w14:paraId="7531F01A">
            <w:pPr>
              <w:widowControl/>
              <w:spacing w:after="0" w:line="240" w:lineRule="exact"/>
              <w:ind w:firstLine="361"/>
              <w:jc w:val="center"/>
              <w:rPr>
                <w:rFonts w:hint="eastAsia" w:ascii="宋体" w:hAnsi="宋体" w:cs="宋体"/>
                <w:b/>
                <w:bCs/>
                <w:color w:val="000000"/>
                <w:kern w:val="0"/>
                <w:sz w:val="18"/>
                <w:szCs w:val="18"/>
              </w:rPr>
            </w:pPr>
          </w:p>
        </w:tc>
        <w:tc>
          <w:tcPr>
            <w:tcW w:w="521" w:type="pct"/>
            <w:vMerge w:val="continue"/>
            <w:vAlign w:val="center"/>
          </w:tcPr>
          <w:p w14:paraId="17D511AE">
            <w:pPr>
              <w:widowControl/>
              <w:spacing w:after="0" w:line="240" w:lineRule="exact"/>
              <w:ind w:firstLine="361"/>
              <w:jc w:val="center"/>
              <w:rPr>
                <w:rFonts w:hint="eastAsia" w:ascii="宋体" w:hAnsi="宋体" w:cs="宋体"/>
                <w:b/>
                <w:bCs/>
                <w:color w:val="000000"/>
                <w:kern w:val="0"/>
                <w:sz w:val="18"/>
                <w:szCs w:val="18"/>
              </w:rPr>
            </w:pPr>
          </w:p>
        </w:tc>
        <w:tc>
          <w:tcPr>
            <w:tcW w:w="574" w:type="pct"/>
            <w:shd w:val="clear" w:color="auto" w:fill="auto"/>
            <w:vAlign w:val="center"/>
          </w:tcPr>
          <w:p w14:paraId="6413F9FB">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464" w:type="pct"/>
            <w:shd w:val="clear" w:color="auto" w:fill="auto"/>
            <w:noWrap/>
            <w:vAlign w:val="center"/>
          </w:tcPr>
          <w:p w14:paraId="6D69EDBE">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w:t>
            </w:r>
            <w:r>
              <w:rPr>
                <w:rFonts w:ascii="宋体" w:hAnsi="宋体" w:cs="宋体"/>
                <w:b/>
                <w:bCs/>
                <w:color w:val="000000"/>
                <w:kern w:val="0"/>
                <w:sz w:val="18"/>
                <w:szCs w:val="18"/>
              </w:rPr>
              <w:t>2</w:t>
            </w:r>
            <w:r>
              <w:rPr>
                <w:rFonts w:hint="eastAsia" w:ascii="宋体" w:hAnsi="宋体" w:cs="宋体"/>
                <w:b/>
                <w:bCs/>
                <w:color w:val="000000"/>
                <w:kern w:val="0"/>
                <w:sz w:val="18"/>
                <w:szCs w:val="18"/>
              </w:rPr>
              <w:t>年已发行</w:t>
            </w:r>
          </w:p>
        </w:tc>
        <w:tc>
          <w:tcPr>
            <w:tcW w:w="499" w:type="pct"/>
            <w:vAlign w:val="center"/>
          </w:tcPr>
          <w:p w14:paraId="13D290E1">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023</w:t>
            </w:r>
            <w:r>
              <w:rPr>
                <w:rFonts w:hint="eastAsia" w:ascii="宋体" w:hAnsi="宋体" w:cs="宋体"/>
                <w:b/>
                <w:bCs/>
                <w:color w:val="000000"/>
                <w:kern w:val="0"/>
                <w:sz w:val="18"/>
                <w:szCs w:val="18"/>
              </w:rPr>
              <w:t>年4月发行</w:t>
            </w:r>
          </w:p>
        </w:tc>
        <w:tc>
          <w:tcPr>
            <w:tcW w:w="642" w:type="pct"/>
            <w:vAlign w:val="center"/>
          </w:tcPr>
          <w:p w14:paraId="100CCF26">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023</w:t>
            </w:r>
            <w:r>
              <w:rPr>
                <w:rFonts w:hint="eastAsia" w:ascii="宋体" w:hAnsi="宋体" w:cs="宋体"/>
                <w:b/>
                <w:bCs/>
                <w:color w:val="000000"/>
                <w:kern w:val="0"/>
                <w:sz w:val="18"/>
                <w:szCs w:val="18"/>
              </w:rPr>
              <w:t>年调整发行</w:t>
            </w:r>
          </w:p>
        </w:tc>
        <w:tc>
          <w:tcPr>
            <w:tcW w:w="536" w:type="pct"/>
            <w:vAlign w:val="center"/>
          </w:tcPr>
          <w:p w14:paraId="56739C40">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年已发行</w:t>
            </w:r>
          </w:p>
        </w:tc>
        <w:tc>
          <w:tcPr>
            <w:tcW w:w="610" w:type="pct"/>
          </w:tcPr>
          <w:p w14:paraId="2C3E2CFA">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024</w:t>
            </w:r>
            <w:r>
              <w:rPr>
                <w:rFonts w:hint="eastAsia" w:ascii="宋体" w:hAnsi="宋体" w:cs="宋体"/>
                <w:b/>
                <w:bCs/>
                <w:color w:val="000000"/>
                <w:kern w:val="0"/>
                <w:sz w:val="18"/>
                <w:szCs w:val="18"/>
              </w:rPr>
              <w:t>年本期发行</w:t>
            </w:r>
          </w:p>
        </w:tc>
        <w:tc>
          <w:tcPr>
            <w:tcW w:w="494" w:type="pct"/>
            <w:vAlign w:val="center"/>
          </w:tcPr>
          <w:p w14:paraId="6850319C">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2025年发行</w:t>
            </w:r>
          </w:p>
        </w:tc>
      </w:tr>
      <w:tr w14:paraId="1F9C0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655" w:type="pct"/>
            <w:shd w:val="clear" w:color="auto" w:fill="auto"/>
            <w:noWrap/>
            <w:vAlign w:val="center"/>
          </w:tcPr>
          <w:p w14:paraId="0345300A">
            <w:pPr>
              <w:widowControl/>
              <w:spacing w:after="0"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1,057,672.67</w:t>
            </w:r>
          </w:p>
        </w:tc>
        <w:tc>
          <w:tcPr>
            <w:tcW w:w="521" w:type="pct"/>
            <w:shd w:val="clear" w:color="auto" w:fill="auto"/>
            <w:noWrap/>
            <w:vAlign w:val="center"/>
          </w:tcPr>
          <w:p w14:paraId="1050A9B5">
            <w:pPr>
              <w:widowControl/>
              <w:spacing w:after="0"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423,069.07</w:t>
            </w:r>
          </w:p>
        </w:tc>
        <w:tc>
          <w:tcPr>
            <w:tcW w:w="574" w:type="pct"/>
            <w:shd w:val="clear" w:color="auto" w:fill="auto"/>
            <w:vAlign w:val="center"/>
          </w:tcPr>
          <w:p w14:paraId="018B2F78">
            <w:pPr>
              <w:widowControl/>
              <w:spacing w:after="0"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210,000.00</w:t>
            </w:r>
          </w:p>
        </w:tc>
        <w:tc>
          <w:tcPr>
            <w:tcW w:w="464" w:type="pct"/>
            <w:shd w:val="clear" w:color="auto" w:fill="auto"/>
            <w:vAlign w:val="center"/>
          </w:tcPr>
          <w:p w14:paraId="53A8C73D">
            <w:pPr>
              <w:widowControl/>
              <w:spacing w:after="0"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91,384.00</w:t>
            </w:r>
          </w:p>
        </w:tc>
        <w:tc>
          <w:tcPr>
            <w:tcW w:w="499" w:type="pct"/>
            <w:vAlign w:val="center"/>
          </w:tcPr>
          <w:p w14:paraId="0CF0554B">
            <w:pPr>
              <w:widowControl/>
              <w:spacing w:after="0"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18,700.00</w:t>
            </w:r>
          </w:p>
        </w:tc>
        <w:tc>
          <w:tcPr>
            <w:tcW w:w="642" w:type="pct"/>
            <w:vAlign w:val="center"/>
          </w:tcPr>
          <w:p w14:paraId="7B04CCEC">
            <w:pPr>
              <w:widowControl/>
              <w:spacing w:after="0" w:line="240" w:lineRule="exact"/>
              <w:ind w:firstLine="360"/>
              <w:jc w:val="center"/>
              <w:rPr>
                <w:rFonts w:hint="eastAsia" w:ascii="宋体" w:hAnsi="宋体" w:cs="宋体"/>
                <w:color w:val="000000"/>
                <w:kern w:val="0"/>
                <w:sz w:val="18"/>
                <w:szCs w:val="18"/>
              </w:rPr>
            </w:pPr>
            <w:r>
              <w:rPr>
                <w:rFonts w:ascii="宋体" w:hAnsi="宋体" w:cs="宋体"/>
                <w:color w:val="000000"/>
                <w:kern w:val="0"/>
                <w:sz w:val="18"/>
                <w:szCs w:val="18"/>
              </w:rPr>
              <w:t>20,000.00</w:t>
            </w:r>
          </w:p>
        </w:tc>
        <w:tc>
          <w:tcPr>
            <w:tcW w:w="536" w:type="pct"/>
            <w:vAlign w:val="center"/>
          </w:tcPr>
          <w:p w14:paraId="02368029">
            <w:pPr>
              <w:widowControl/>
              <w:spacing w:after="0"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40,000.00</w:t>
            </w:r>
          </w:p>
        </w:tc>
        <w:tc>
          <w:tcPr>
            <w:tcW w:w="610" w:type="pct"/>
          </w:tcPr>
          <w:p w14:paraId="7FDF5346">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0,000.00</w:t>
            </w:r>
          </w:p>
        </w:tc>
        <w:tc>
          <w:tcPr>
            <w:tcW w:w="494" w:type="pct"/>
            <w:vAlign w:val="center"/>
          </w:tcPr>
          <w:p w14:paraId="358A8EFB">
            <w:pPr>
              <w:widowControl/>
              <w:spacing w:after="0"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29,916.00</w:t>
            </w:r>
          </w:p>
        </w:tc>
      </w:tr>
    </w:tbl>
    <w:p w14:paraId="401137D6">
      <w:pPr>
        <w:pStyle w:val="23"/>
        <w:spacing w:before="0" w:beforeAutospacing="0" w:after="156" w:afterLines="50" w:afterAutospacing="0" w:line="440" w:lineRule="exact"/>
        <w:ind w:firstLine="420" w:firstLineChars="200"/>
        <w:rPr>
          <w:rFonts w:ascii="Calibri" w:hAnsi="Calibri"/>
          <w:color w:val="000000" w:themeColor="text1"/>
          <w:kern w:val="2"/>
          <w:sz w:val="21"/>
          <w:szCs w:val="21"/>
        </w:rPr>
      </w:pPr>
      <w:r>
        <w:rPr>
          <w:rFonts w:hint="eastAsia" w:ascii="Calibri" w:hAnsi="Calibri"/>
          <w:color w:val="000000" w:themeColor="text1"/>
          <w:kern w:val="2"/>
          <w:sz w:val="21"/>
          <w:szCs w:val="21"/>
        </w:rPr>
        <w:t>续上表</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1"/>
        <w:gridCol w:w="1371"/>
        <w:gridCol w:w="1371"/>
        <w:gridCol w:w="1460"/>
        <w:gridCol w:w="1460"/>
        <w:gridCol w:w="1371"/>
      </w:tblGrid>
      <w:tr w14:paraId="303F4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8494" w:type="dxa"/>
            <w:gridSpan w:val="6"/>
            <w:vAlign w:val="center"/>
          </w:tcPr>
          <w:p w14:paraId="6F97DE7D">
            <w:pPr>
              <w:widowControl/>
              <w:spacing w:after="0" w:line="240" w:lineRule="exact"/>
              <w:ind w:firstLine="361"/>
              <w:jc w:val="center"/>
              <w:rPr>
                <w:rFonts w:ascii="Times New Roman" w:hAnsi="Times New Roman"/>
                <w:b/>
                <w:color w:val="000000" w:themeColor="text1"/>
                <w:szCs w:val="21"/>
              </w:rPr>
            </w:pPr>
            <w:r>
              <w:rPr>
                <w:rFonts w:hint="eastAsia" w:ascii="宋体" w:hAnsi="宋体" w:cs="宋体"/>
                <w:b/>
                <w:bCs/>
                <w:color w:val="000000"/>
                <w:kern w:val="0"/>
                <w:sz w:val="18"/>
                <w:szCs w:val="18"/>
              </w:rPr>
              <w:t>其中：其他融资金额</w:t>
            </w:r>
          </w:p>
        </w:tc>
      </w:tr>
      <w:tr w14:paraId="2AE60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1418" w:type="dxa"/>
            <w:vAlign w:val="center"/>
          </w:tcPr>
          <w:p w14:paraId="05CAECD3">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1416" w:type="dxa"/>
            <w:vAlign w:val="center"/>
          </w:tcPr>
          <w:p w14:paraId="54EC0E5A">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2021年</w:t>
            </w:r>
          </w:p>
        </w:tc>
        <w:tc>
          <w:tcPr>
            <w:tcW w:w="1415" w:type="dxa"/>
            <w:vAlign w:val="center"/>
          </w:tcPr>
          <w:p w14:paraId="7EEF7945">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2022年</w:t>
            </w:r>
          </w:p>
        </w:tc>
        <w:tc>
          <w:tcPr>
            <w:tcW w:w="1415" w:type="dxa"/>
            <w:vAlign w:val="center"/>
          </w:tcPr>
          <w:p w14:paraId="440C3F75">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1415" w:type="dxa"/>
            <w:vAlign w:val="center"/>
          </w:tcPr>
          <w:p w14:paraId="24EB3ADB">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1415" w:type="dxa"/>
            <w:vAlign w:val="center"/>
          </w:tcPr>
          <w:p w14:paraId="6F3DA4BE">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2025年</w:t>
            </w:r>
          </w:p>
        </w:tc>
      </w:tr>
      <w:tr w14:paraId="59D45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8" w:type="dxa"/>
            <w:vAlign w:val="center"/>
          </w:tcPr>
          <w:p w14:paraId="56BE7A01">
            <w:pPr>
              <w:widowControl/>
              <w:spacing w:after="0" w:line="240" w:lineRule="exact"/>
              <w:ind w:firstLine="360"/>
              <w:jc w:val="center"/>
              <w:rPr>
                <w:rFonts w:hint="eastAsia" w:ascii="宋体" w:hAnsi="宋体" w:cs="宋体"/>
                <w:color w:val="000000"/>
                <w:kern w:val="0"/>
                <w:sz w:val="18"/>
                <w:szCs w:val="18"/>
              </w:rPr>
            </w:pPr>
            <w:r>
              <w:rPr>
                <w:rFonts w:ascii="宋体" w:hAnsi="宋体" w:cs="宋体"/>
                <w:color w:val="000000"/>
                <w:kern w:val="0"/>
                <w:sz w:val="18"/>
                <w:szCs w:val="18"/>
              </w:rPr>
              <w:t>424,603.60</w:t>
            </w:r>
          </w:p>
        </w:tc>
        <w:tc>
          <w:tcPr>
            <w:tcW w:w="1416" w:type="dxa"/>
            <w:vAlign w:val="center"/>
          </w:tcPr>
          <w:p w14:paraId="645B6BC0">
            <w:pPr>
              <w:widowControl/>
              <w:spacing w:after="0" w:line="240" w:lineRule="exact"/>
              <w:ind w:firstLine="360"/>
              <w:jc w:val="center"/>
              <w:rPr>
                <w:rFonts w:hint="eastAsia" w:ascii="宋体" w:hAnsi="宋体" w:cs="宋体"/>
                <w:color w:val="000000"/>
                <w:kern w:val="0"/>
                <w:sz w:val="18"/>
                <w:szCs w:val="18"/>
              </w:rPr>
            </w:pPr>
            <w:r>
              <w:rPr>
                <w:rFonts w:ascii="宋体" w:hAnsi="宋体" w:cs="宋体"/>
                <w:color w:val="000000"/>
                <w:kern w:val="0"/>
                <w:sz w:val="18"/>
                <w:szCs w:val="18"/>
              </w:rPr>
              <w:t>52,010.00</w:t>
            </w:r>
          </w:p>
        </w:tc>
        <w:tc>
          <w:tcPr>
            <w:tcW w:w="1415" w:type="dxa"/>
            <w:vAlign w:val="center"/>
          </w:tcPr>
          <w:p w14:paraId="22419A77">
            <w:pPr>
              <w:widowControl/>
              <w:spacing w:after="0" w:line="240" w:lineRule="exact"/>
              <w:ind w:firstLine="360"/>
              <w:jc w:val="center"/>
              <w:rPr>
                <w:rFonts w:hint="eastAsia" w:ascii="宋体" w:hAnsi="宋体" w:cs="宋体"/>
                <w:color w:val="000000"/>
                <w:kern w:val="0"/>
                <w:sz w:val="18"/>
                <w:szCs w:val="18"/>
              </w:rPr>
            </w:pPr>
            <w:r>
              <w:rPr>
                <w:rFonts w:ascii="宋体" w:hAnsi="宋体" w:cs="宋体"/>
                <w:color w:val="000000"/>
                <w:kern w:val="0"/>
                <w:sz w:val="18"/>
                <w:szCs w:val="18"/>
              </w:rPr>
              <w:t>10,000.00</w:t>
            </w:r>
          </w:p>
        </w:tc>
        <w:tc>
          <w:tcPr>
            <w:tcW w:w="1415" w:type="dxa"/>
            <w:vAlign w:val="center"/>
          </w:tcPr>
          <w:p w14:paraId="49CF886B">
            <w:pPr>
              <w:widowControl/>
              <w:spacing w:after="0" w:line="240" w:lineRule="exact"/>
              <w:ind w:firstLine="360"/>
              <w:jc w:val="center"/>
              <w:rPr>
                <w:rFonts w:hint="eastAsia" w:ascii="宋体" w:hAnsi="宋体" w:cs="宋体"/>
                <w:color w:val="000000"/>
                <w:kern w:val="0"/>
                <w:sz w:val="18"/>
                <w:szCs w:val="18"/>
              </w:rPr>
            </w:pPr>
            <w:r>
              <w:rPr>
                <w:rFonts w:ascii="宋体" w:hAnsi="宋体" w:cs="宋体"/>
                <w:color w:val="000000"/>
                <w:kern w:val="0"/>
                <w:sz w:val="18"/>
                <w:szCs w:val="18"/>
              </w:rPr>
              <w:t>141,000.00</w:t>
            </w:r>
          </w:p>
        </w:tc>
        <w:tc>
          <w:tcPr>
            <w:tcW w:w="1415" w:type="dxa"/>
            <w:vAlign w:val="center"/>
          </w:tcPr>
          <w:p w14:paraId="39B14BC3">
            <w:pPr>
              <w:spacing w:line="240" w:lineRule="exact"/>
              <w:ind w:firstLine="360"/>
              <w:jc w:val="center"/>
              <w:rPr>
                <w:rFonts w:hint="eastAsia" w:ascii="宋体" w:hAnsi="宋体" w:cs="宋体"/>
                <w:color w:val="000000"/>
                <w:kern w:val="0"/>
                <w:sz w:val="18"/>
                <w:szCs w:val="18"/>
              </w:rPr>
            </w:pPr>
            <w:r>
              <w:rPr>
                <w:rFonts w:ascii="宋体" w:hAnsi="宋体" w:cs="宋体"/>
                <w:color w:val="000000"/>
                <w:kern w:val="0"/>
                <w:sz w:val="18"/>
                <w:szCs w:val="18"/>
              </w:rPr>
              <w:t>136,500.00</w:t>
            </w:r>
          </w:p>
        </w:tc>
        <w:tc>
          <w:tcPr>
            <w:tcW w:w="1415" w:type="dxa"/>
            <w:vAlign w:val="center"/>
          </w:tcPr>
          <w:p w14:paraId="61B437FA">
            <w:pPr>
              <w:spacing w:line="240" w:lineRule="exact"/>
              <w:ind w:firstLine="360"/>
              <w:jc w:val="center"/>
              <w:rPr>
                <w:rFonts w:hint="eastAsia" w:ascii="宋体" w:hAnsi="宋体" w:cs="宋体"/>
                <w:color w:val="000000"/>
                <w:kern w:val="0"/>
                <w:sz w:val="18"/>
                <w:szCs w:val="18"/>
              </w:rPr>
            </w:pPr>
            <w:r>
              <w:rPr>
                <w:rFonts w:ascii="宋体" w:hAnsi="宋体" w:cs="宋体"/>
                <w:color w:val="000000"/>
                <w:kern w:val="0"/>
                <w:sz w:val="18"/>
                <w:szCs w:val="18"/>
              </w:rPr>
              <w:t>85,093.60</w:t>
            </w:r>
          </w:p>
        </w:tc>
      </w:tr>
    </w:tbl>
    <w:p w14:paraId="433043FE">
      <w:pPr>
        <w:pStyle w:val="23"/>
        <w:spacing w:before="0" w:beforeAutospacing="0" w:after="156" w:afterLines="50" w:afterAutospacing="0" w:line="440" w:lineRule="exact"/>
        <w:ind w:firstLine="440" w:firstLineChars="200"/>
        <w:jc w:val="both"/>
        <w:rPr>
          <w:rFonts w:hint="eastAsia" w:ascii="仿宋" w:hAnsi="仿宋" w:eastAsia="仿宋" w:cs="仿宋"/>
        </w:rPr>
      </w:pPr>
      <w:r>
        <w:rPr>
          <w:rFonts w:hint="eastAsia" w:ascii="仿宋" w:hAnsi="仿宋" w:eastAsia="仿宋" w:cs="仿宋"/>
        </w:rPr>
        <w:t>项目建设期限</w:t>
      </w:r>
    </w:p>
    <w:p w14:paraId="2DAD4E73">
      <w:pPr>
        <w:pStyle w:val="2"/>
        <w:spacing w:line="440" w:lineRule="exact"/>
        <w:ind w:firstLine="480"/>
        <w:rPr>
          <w:rFonts w:hint="eastAsia" w:ascii="仿宋" w:hAnsi="仿宋" w:eastAsia="仿宋" w:cs="仿宋"/>
          <w:sz w:val="24"/>
          <w:szCs w:val="24"/>
        </w:rPr>
      </w:pPr>
      <w:r>
        <w:rPr>
          <w:rFonts w:hint="eastAsia" w:ascii="仿宋" w:hAnsi="仿宋" w:eastAsia="仿宋" w:cs="仿宋"/>
          <w:sz w:val="24"/>
          <w:szCs w:val="24"/>
        </w:rPr>
        <w:t>依据江西省发改委《江西省发展改革委关于南昌市轨道交通2号线东延工程初步设计的批复》（赣发改投资[2021]834号），批复建设期限为60个月。</w:t>
      </w:r>
    </w:p>
    <w:p w14:paraId="6CA7702F">
      <w:pPr>
        <w:spacing w:line="440" w:lineRule="exact"/>
        <w:ind w:firstLine="482"/>
        <w:rPr>
          <w:rFonts w:hint="eastAsia" w:ascii="仿宋" w:hAnsi="仿宋" w:eastAsia="仿宋" w:cs="仿宋"/>
          <w:b/>
          <w:bCs/>
          <w:szCs w:val="24"/>
        </w:rPr>
      </w:pPr>
      <w:r>
        <w:rPr>
          <w:rFonts w:hint="eastAsia" w:ascii="仿宋" w:hAnsi="仿宋" w:eastAsia="仿宋" w:cs="仿宋"/>
          <w:b/>
          <w:bCs/>
          <w:szCs w:val="24"/>
        </w:rPr>
        <w:t>二、项目投资估算及资金筹措方案</w:t>
      </w:r>
    </w:p>
    <w:p w14:paraId="6E87B62E">
      <w:pPr>
        <w:pStyle w:val="3"/>
        <w:spacing w:line="440" w:lineRule="exact"/>
        <w:ind w:firstLine="482"/>
        <w:rPr>
          <w:rFonts w:hint="eastAsia" w:ascii="仿宋" w:hAnsi="仿宋" w:eastAsia="仿宋" w:cs="仿宋"/>
          <w:sz w:val="24"/>
          <w:szCs w:val="24"/>
        </w:rPr>
      </w:pPr>
      <w:bookmarkStart w:id="30" w:name="_Toc67918943"/>
      <w:r>
        <w:rPr>
          <w:rFonts w:hint="eastAsia" w:ascii="仿宋" w:hAnsi="仿宋" w:eastAsia="仿宋" w:cs="仿宋"/>
          <w:sz w:val="24"/>
          <w:szCs w:val="24"/>
        </w:rPr>
        <w:t>（一）投资估算</w:t>
      </w:r>
      <w:bookmarkEnd w:id="30"/>
    </w:p>
    <w:p w14:paraId="6764ED55">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1、估算编制依据</w:t>
      </w:r>
    </w:p>
    <w:p w14:paraId="25F1C201">
      <w:pPr>
        <w:pStyle w:val="4"/>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①《市政工程投资估算编制办法》（建设部建标[2007]164 号）</w:t>
      </w:r>
    </w:p>
    <w:p w14:paraId="46AC57F6">
      <w:pPr>
        <w:pStyle w:val="4"/>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②《城市轨道交通工程设计概预算编制办法》（建设部建标[2006]279号）</w:t>
      </w:r>
    </w:p>
    <w:p w14:paraId="5CB749AA">
      <w:pPr>
        <w:pStyle w:val="4"/>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③国家及江西省、南昌市相关定额及有关文件和规定</w:t>
      </w:r>
    </w:p>
    <w:p w14:paraId="7E91DBAA">
      <w:pPr>
        <w:pStyle w:val="4"/>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④类似工程技术经济指标</w:t>
      </w:r>
    </w:p>
    <w:p w14:paraId="3CA511F4">
      <w:pPr>
        <w:pStyle w:val="4"/>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⑤南昌市2015年4季度建筑市场信息价</w:t>
      </w:r>
    </w:p>
    <w:p w14:paraId="23AE8799">
      <w:pPr>
        <w:pStyle w:val="4"/>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⑥本工程可行性研究方案和工程数量。</w:t>
      </w:r>
    </w:p>
    <w:p w14:paraId="7994B6C5">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2、费率及参数</w:t>
      </w:r>
    </w:p>
    <w:p w14:paraId="59349AA0">
      <w:pPr>
        <w:spacing w:line="440" w:lineRule="exact"/>
        <w:ind w:firstLine="480"/>
        <w:rPr>
          <w:rFonts w:hint="eastAsia" w:ascii="仿宋" w:hAnsi="仿宋" w:eastAsia="仿宋" w:cs="仿宋"/>
          <w:szCs w:val="24"/>
        </w:rPr>
      </w:pPr>
      <w:r>
        <w:rPr>
          <w:rFonts w:hint="eastAsia" w:ascii="仿宋" w:hAnsi="仿宋" w:eastAsia="仿宋" w:cs="仿宋"/>
          <w:szCs w:val="24"/>
        </w:rPr>
        <w:t>发行费0.</w:t>
      </w:r>
      <w:r>
        <w:rPr>
          <w:rFonts w:ascii="仿宋" w:hAnsi="仿宋" w:eastAsia="仿宋" w:cs="仿宋"/>
          <w:szCs w:val="24"/>
        </w:rPr>
        <w:t>10</w:t>
      </w:r>
      <w:r>
        <w:rPr>
          <w:rFonts w:hint="eastAsia" w:ascii="仿宋" w:hAnsi="仿宋" w:eastAsia="仿宋" w:cs="仿宋"/>
          <w:szCs w:val="24"/>
        </w:rPr>
        <w:t>%。</w:t>
      </w:r>
    </w:p>
    <w:p w14:paraId="521CDE17">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3、估算总额</w:t>
      </w:r>
    </w:p>
    <w:p w14:paraId="3880FCC3">
      <w:pPr>
        <w:widowControl/>
        <w:spacing w:line="440" w:lineRule="exact"/>
        <w:ind w:firstLine="480"/>
        <w:jc w:val="left"/>
        <w:rPr>
          <w:rFonts w:hint="eastAsia" w:ascii="仿宋" w:hAnsi="仿宋" w:eastAsia="仿宋" w:cs="仿宋"/>
          <w:color w:val="000000"/>
          <w:kern w:val="0"/>
          <w:szCs w:val="24"/>
        </w:rPr>
      </w:pPr>
      <w:r>
        <w:rPr>
          <w:rFonts w:hint="eastAsia" w:ascii="仿宋" w:hAnsi="仿宋" w:eastAsia="仿宋" w:cs="仿宋"/>
          <w:color w:val="000000"/>
          <w:kern w:val="0"/>
          <w:szCs w:val="24"/>
        </w:rPr>
        <w:t>根据可研报告及其批复，本项目投资估算详见表2-1；项目建设期内的年度资金计划表详见表2-2。</w:t>
      </w:r>
    </w:p>
    <w:p w14:paraId="476D879A">
      <w:pPr>
        <w:pStyle w:val="23"/>
        <w:spacing w:after="156" w:afterLines="50" w:line="440" w:lineRule="exact"/>
        <w:jc w:val="center"/>
        <w:rPr>
          <w:rFonts w:hint="eastAsia"/>
          <w:color w:val="000000" w:themeColor="text1"/>
          <w:sz w:val="21"/>
          <w:szCs w:val="21"/>
        </w:rPr>
      </w:pPr>
      <w:r>
        <w:rPr>
          <w:rFonts w:hint="eastAsia"/>
          <w:b/>
          <w:color w:val="000000" w:themeColor="text1"/>
          <w:sz w:val="21"/>
          <w:szCs w:val="21"/>
        </w:rPr>
        <w:t>表2-</w:t>
      </w:r>
      <w:r>
        <w:rPr>
          <w:b/>
          <w:color w:val="000000" w:themeColor="text1"/>
          <w:sz w:val="21"/>
          <w:szCs w:val="21"/>
        </w:rPr>
        <w:t xml:space="preserve">1  </w:t>
      </w:r>
      <w:r>
        <w:rPr>
          <w:rFonts w:hint="eastAsia"/>
          <w:b/>
          <w:color w:val="000000" w:themeColor="text1"/>
          <w:sz w:val="21"/>
          <w:szCs w:val="21"/>
        </w:rPr>
        <w:t>项目总投资估算表</w:t>
      </w:r>
    </w:p>
    <w:p w14:paraId="4FF7F2B7">
      <w:pPr>
        <w:widowControl/>
        <w:spacing w:before="100" w:beforeAutospacing="1" w:after="156" w:afterLines="50" w:afterAutospacing="1" w:line="440" w:lineRule="exact"/>
        <w:ind w:firstLine="360"/>
        <w:jc w:val="right"/>
        <w:rPr>
          <w:rFonts w:hint="eastAsia" w:ascii="宋体" w:hAnsi="宋体" w:eastAsia="宋体" w:cs="宋体"/>
          <w:color w:val="000000"/>
          <w:kern w:val="0"/>
          <w:sz w:val="21"/>
          <w:szCs w:val="21"/>
        </w:rPr>
      </w:pPr>
      <w:r>
        <w:rPr>
          <w:rFonts w:hint="eastAsia" w:ascii="宋体" w:hAnsi="宋体" w:eastAsia="宋体" w:cs="宋体"/>
          <w:color w:val="000000"/>
          <w:kern w:val="0"/>
          <w:sz w:val="18"/>
          <w:szCs w:val="18"/>
        </w:rPr>
        <w:t>单位：万元</w:t>
      </w:r>
    </w:p>
    <w:tbl>
      <w:tblPr>
        <w:tblStyle w:val="28"/>
        <w:tblW w:w="5000" w:type="pct"/>
        <w:tblInd w:w="0" w:type="dxa"/>
        <w:tblLayout w:type="autofit"/>
        <w:tblCellMar>
          <w:top w:w="0" w:type="dxa"/>
          <w:left w:w="108" w:type="dxa"/>
          <w:bottom w:w="0" w:type="dxa"/>
          <w:right w:w="108" w:type="dxa"/>
        </w:tblCellMar>
      </w:tblPr>
      <w:tblGrid>
        <w:gridCol w:w="2035"/>
        <w:gridCol w:w="3631"/>
        <w:gridCol w:w="2818"/>
      </w:tblGrid>
      <w:tr w14:paraId="6B9B24E8">
        <w:tblPrEx>
          <w:tblCellMar>
            <w:top w:w="0" w:type="dxa"/>
            <w:left w:w="108" w:type="dxa"/>
            <w:bottom w:w="0" w:type="dxa"/>
            <w:right w:w="108" w:type="dxa"/>
          </w:tblCellMar>
        </w:tblPrEx>
        <w:trPr>
          <w:trHeight w:val="285" w:hRule="atLeast"/>
        </w:trPr>
        <w:tc>
          <w:tcPr>
            <w:tcW w:w="1199" w:type="pct"/>
            <w:tcBorders>
              <w:top w:val="single" w:color="auto" w:sz="8" w:space="0"/>
              <w:left w:val="single" w:color="auto" w:sz="8" w:space="0"/>
              <w:bottom w:val="single" w:color="auto" w:sz="8" w:space="0"/>
              <w:right w:val="single" w:color="auto" w:sz="8" w:space="0"/>
            </w:tcBorders>
            <w:shd w:val="clear" w:color="auto" w:fill="auto"/>
            <w:noWrap/>
            <w:vAlign w:val="bottom"/>
          </w:tcPr>
          <w:p w14:paraId="7627332A">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序号 </w:t>
            </w:r>
          </w:p>
        </w:tc>
        <w:tc>
          <w:tcPr>
            <w:tcW w:w="2140" w:type="pct"/>
            <w:tcBorders>
              <w:top w:val="single" w:color="auto" w:sz="8" w:space="0"/>
              <w:left w:val="nil"/>
              <w:bottom w:val="single" w:color="auto" w:sz="8" w:space="0"/>
              <w:right w:val="single" w:color="auto" w:sz="8" w:space="0"/>
            </w:tcBorders>
            <w:shd w:val="clear" w:color="auto" w:fill="auto"/>
            <w:noWrap/>
            <w:vAlign w:val="bottom"/>
          </w:tcPr>
          <w:p w14:paraId="58E2C68C">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 项目名称 </w:t>
            </w:r>
          </w:p>
        </w:tc>
        <w:tc>
          <w:tcPr>
            <w:tcW w:w="1661" w:type="pct"/>
            <w:tcBorders>
              <w:top w:val="single" w:color="auto" w:sz="8" w:space="0"/>
              <w:left w:val="nil"/>
              <w:bottom w:val="single" w:color="auto" w:sz="8" w:space="0"/>
              <w:right w:val="single" w:color="auto" w:sz="8" w:space="0"/>
            </w:tcBorders>
            <w:shd w:val="clear" w:color="auto" w:fill="auto"/>
            <w:noWrap/>
            <w:vAlign w:val="bottom"/>
          </w:tcPr>
          <w:p w14:paraId="0EE7BF1B">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 合计 </w:t>
            </w:r>
          </w:p>
        </w:tc>
      </w:tr>
      <w:tr w14:paraId="00AA871B">
        <w:tblPrEx>
          <w:tblCellMar>
            <w:top w:w="0" w:type="dxa"/>
            <w:left w:w="108" w:type="dxa"/>
            <w:bottom w:w="0" w:type="dxa"/>
            <w:right w:w="108" w:type="dxa"/>
          </w:tblCellMar>
        </w:tblPrEx>
        <w:trPr>
          <w:trHeight w:val="300"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39E3B7AA">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40" w:type="pct"/>
            <w:tcBorders>
              <w:top w:val="nil"/>
              <w:left w:val="nil"/>
              <w:bottom w:val="single" w:color="auto" w:sz="8" w:space="0"/>
              <w:right w:val="single" w:color="auto" w:sz="8" w:space="0"/>
            </w:tcBorders>
            <w:shd w:val="clear" w:color="auto" w:fill="auto"/>
            <w:vAlign w:val="center"/>
          </w:tcPr>
          <w:p w14:paraId="7009D770">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工程费用</w:t>
            </w:r>
          </w:p>
        </w:tc>
        <w:tc>
          <w:tcPr>
            <w:tcW w:w="1661" w:type="pct"/>
            <w:tcBorders>
              <w:top w:val="nil"/>
              <w:left w:val="nil"/>
              <w:bottom w:val="single" w:color="auto" w:sz="8" w:space="0"/>
              <w:right w:val="single" w:color="auto" w:sz="8" w:space="0"/>
            </w:tcBorders>
            <w:shd w:val="clear" w:color="auto" w:fill="auto"/>
          </w:tcPr>
          <w:p w14:paraId="449AC5FE">
            <w:pPr>
              <w:widowControl/>
              <w:spacing w:after="0"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 xml:space="preserve"> 567,438.44 </w:t>
            </w:r>
          </w:p>
        </w:tc>
      </w:tr>
      <w:tr w14:paraId="136B5390">
        <w:tblPrEx>
          <w:tblCellMar>
            <w:top w:w="0" w:type="dxa"/>
            <w:left w:w="108" w:type="dxa"/>
            <w:bottom w:w="0" w:type="dxa"/>
            <w:right w:w="108" w:type="dxa"/>
          </w:tblCellMar>
        </w:tblPrEx>
        <w:trPr>
          <w:trHeight w:val="285"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290DC484">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40" w:type="pct"/>
            <w:tcBorders>
              <w:top w:val="nil"/>
              <w:left w:val="nil"/>
              <w:bottom w:val="single" w:color="auto" w:sz="8" w:space="0"/>
              <w:right w:val="single" w:color="auto" w:sz="8" w:space="0"/>
            </w:tcBorders>
            <w:shd w:val="clear" w:color="auto" w:fill="auto"/>
            <w:vAlign w:val="center"/>
          </w:tcPr>
          <w:p w14:paraId="1038CE27">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工程设其他费用</w:t>
            </w:r>
          </w:p>
        </w:tc>
        <w:tc>
          <w:tcPr>
            <w:tcW w:w="1661" w:type="pct"/>
            <w:tcBorders>
              <w:top w:val="nil"/>
              <w:left w:val="nil"/>
              <w:bottom w:val="single" w:color="auto" w:sz="8" w:space="0"/>
              <w:right w:val="single" w:color="auto" w:sz="8" w:space="0"/>
            </w:tcBorders>
            <w:shd w:val="clear" w:color="auto" w:fill="auto"/>
          </w:tcPr>
          <w:p w14:paraId="6E49771C">
            <w:pPr>
              <w:widowControl/>
              <w:spacing w:after="0"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 xml:space="preserve"> 288,980.42 </w:t>
            </w:r>
          </w:p>
        </w:tc>
      </w:tr>
      <w:tr w14:paraId="698ADFD5">
        <w:tblPrEx>
          <w:tblCellMar>
            <w:top w:w="0" w:type="dxa"/>
            <w:left w:w="108" w:type="dxa"/>
            <w:bottom w:w="0" w:type="dxa"/>
            <w:right w:w="108" w:type="dxa"/>
          </w:tblCellMar>
        </w:tblPrEx>
        <w:trPr>
          <w:trHeight w:val="312"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17718A37">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2140" w:type="pct"/>
            <w:tcBorders>
              <w:top w:val="nil"/>
              <w:left w:val="nil"/>
              <w:bottom w:val="single" w:color="auto" w:sz="8" w:space="0"/>
              <w:right w:val="single" w:color="auto" w:sz="8" w:space="0"/>
            </w:tcBorders>
            <w:shd w:val="clear" w:color="auto" w:fill="auto"/>
            <w:vAlign w:val="center"/>
          </w:tcPr>
          <w:p w14:paraId="79D01DB8">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预备费</w:t>
            </w:r>
          </w:p>
        </w:tc>
        <w:tc>
          <w:tcPr>
            <w:tcW w:w="1661" w:type="pct"/>
            <w:tcBorders>
              <w:top w:val="nil"/>
              <w:left w:val="nil"/>
              <w:bottom w:val="single" w:color="auto" w:sz="8" w:space="0"/>
              <w:right w:val="single" w:color="auto" w:sz="8" w:space="0"/>
            </w:tcBorders>
            <w:shd w:val="clear" w:color="auto" w:fill="auto"/>
          </w:tcPr>
          <w:p w14:paraId="40110F75">
            <w:pPr>
              <w:widowControl/>
              <w:spacing w:after="0"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 xml:space="preserve"> 42,820.94 </w:t>
            </w:r>
          </w:p>
        </w:tc>
      </w:tr>
      <w:tr w14:paraId="5D78AB33">
        <w:tblPrEx>
          <w:tblCellMar>
            <w:top w:w="0" w:type="dxa"/>
            <w:left w:w="108" w:type="dxa"/>
            <w:bottom w:w="0" w:type="dxa"/>
            <w:right w:w="108" w:type="dxa"/>
          </w:tblCellMar>
        </w:tblPrEx>
        <w:trPr>
          <w:trHeight w:val="312" w:hRule="atLeast"/>
        </w:trPr>
        <w:tc>
          <w:tcPr>
            <w:tcW w:w="1199" w:type="pct"/>
            <w:tcBorders>
              <w:top w:val="nil"/>
              <w:left w:val="single" w:color="auto" w:sz="8" w:space="0"/>
              <w:bottom w:val="single" w:color="auto" w:sz="8" w:space="0"/>
              <w:right w:val="single" w:color="auto" w:sz="8" w:space="0"/>
            </w:tcBorders>
            <w:shd w:val="clear" w:color="auto" w:fill="auto"/>
            <w:noWrap/>
            <w:vAlign w:val="bottom"/>
          </w:tcPr>
          <w:p w14:paraId="0FB9D08A">
            <w:pPr>
              <w:widowControl/>
              <w:spacing w:after="0"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4</w:t>
            </w:r>
          </w:p>
        </w:tc>
        <w:tc>
          <w:tcPr>
            <w:tcW w:w="2140" w:type="pct"/>
            <w:tcBorders>
              <w:top w:val="nil"/>
              <w:left w:val="nil"/>
              <w:bottom w:val="single" w:color="auto" w:sz="8" w:space="0"/>
              <w:right w:val="single" w:color="auto" w:sz="8" w:space="0"/>
            </w:tcBorders>
            <w:shd w:val="clear" w:color="auto" w:fill="auto"/>
            <w:vAlign w:val="center"/>
          </w:tcPr>
          <w:p w14:paraId="6681EFA9">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专项费用</w:t>
            </w:r>
          </w:p>
        </w:tc>
        <w:tc>
          <w:tcPr>
            <w:tcW w:w="1661" w:type="pct"/>
            <w:tcBorders>
              <w:top w:val="nil"/>
              <w:left w:val="nil"/>
              <w:bottom w:val="single" w:color="auto" w:sz="8" w:space="0"/>
              <w:right w:val="single" w:color="auto" w:sz="8" w:space="0"/>
            </w:tcBorders>
            <w:shd w:val="clear" w:color="auto" w:fill="auto"/>
          </w:tcPr>
          <w:p w14:paraId="21D402B5">
            <w:pPr>
              <w:widowControl/>
              <w:spacing w:after="0"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 xml:space="preserve"> 158,432.87 </w:t>
            </w:r>
          </w:p>
        </w:tc>
      </w:tr>
      <w:tr w14:paraId="2ABC66F0">
        <w:tblPrEx>
          <w:tblCellMar>
            <w:top w:w="0" w:type="dxa"/>
            <w:left w:w="108" w:type="dxa"/>
            <w:bottom w:w="0" w:type="dxa"/>
            <w:right w:w="108" w:type="dxa"/>
          </w:tblCellMar>
        </w:tblPrEx>
        <w:trPr>
          <w:trHeight w:val="285" w:hRule="atLeast"/>
        </w:trPr>
        <w:tc>
          <w:tcPr>
            <w:tcW w:w="3339" w:type="pct"/>
            <w:gridSpan w:val="2"/>
            <w:tcBorders>
              <w:top w:val="single" w:color="auto" w:sz="8" w:space="0"/>
              <w:left w:val="single" w:color="auto" w:sz="8" w:space="0"/>
              <w:bottom w:val="single" w:color="auto" w:sz="8" w:space="0"/>
              <w:right w:val="single" w:color="auto" w:sz="8" w:space="0"/>
            </w:tcBorders>
            <w:shd w:val="clear" w:color="auto" w:fill="auto"/>
            <w:noWrap/>
            <w:vAlign w:val="bottom"/>
          </w:tcPr>
          <w:p w14:paraId="794CAE5F">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 xml:space="preserve"> 项目总投资 </w:t>
            </w:r>
          </w:p>
        </w:tc>
        <w:tc>
          <w:tcPr>
            <w:tcW w:w="1661" w:type="pct"/>
            <w:tcBorders>
              <w:top w:val="nil"/>
              <w:left w:val="nil"/>
              <w:bottom w:val="single" w:color="auto" w:sz="8" w:space="0"/>
              <w:right w:val="single" w:color="auto" w:sz="8" w:space="0"/>
            </w:tcBorders>
            <w:shd w:val="clear" w:color="auto" w:fill="auto"/>
            <w:vAlign w:val="center"/>
          </w:tcPr>
          <w:p w14:paraId="0DCA7377">
            <w:pPr>
              <w:widowControl/>
              <w:spacing w:after="0"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1,057,672.67</w:t>
            </w:r>
          </w:p>
        </w:tc>
      </w:tr>
    </w:tbl>
    <w:p w14:paraId="18C5BC56">
      <w:pPr>
        <w:widowControl/>
        <w:spacing w:before="100" w:beforeAutospacing="1" w:after="156" w:afterLines="50" w:afterAutospacing="1" w:line="440" w:lineRule="exact"/>
        <w:ind w:firstLine="0" w:firstLineChars="0"/>
        <w:jc w:val="center"/>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表</w:t>
      </w:r>
      <w:r>
        <w:rPr>
          <w:rFonts w:ascii="宋体" w:hAnsi="宋体" w:eastAsia="宋体" w:cs="宋体"/>
          <w:b/>
          <w:color w:val="000000"/>
          <w:kern w:val="0"/>
          <w:sz w:val="21"/>
          <w:szCs w:val="21"/>
        </w:rPr>
        <w:t>2</w:t>
      </w:r>
      <w:r>
        <w:rPr>
          <w:rFonts w:hint="eastAsia" w:ascii="宋体" w:hAnsi="宋体" w:eastAsia="宋体" w:cs="宋体"/>
          <w:b/>
          <w:color w:val="000000"/>
          <w:kern w:val="0"/>
          <w:sz w:val="21"/>
          <w:szCs w:val="21"/>
        </w:rPr>
        <w:t>-2</w:t>
      </w:r>
      <w:r>
        <w:rPr>
          <w:rFonts w:ascii="宋体" w:hAnsi="宋体" w:eastAsia="宋体" w:cs="宋体"/>
          <w:b/>
          <w:color w:val="000000"/>
          <w:kern w:val="0"/>
          <w:sz w:val="21"/>
          <w:szCs w:val="21"/>
        </w:rPr>
        <w:t xml:space="preserve"> </w:t>
      </w:r>
      <w:r>
        <w:rPr>
          <w:rFonts w:hint="eastAsia" w:ascii="宋体" w:hAnsi="宋体" w:eastAsia="宋体" w:cs="宋体"/>
          <w:b/>
          <w:color w:val="000000"/>
          <w:kern w:val="0"/>
          <w:sz w:val="21"/>
          <w:szCs w:val="21"/>
        </w:rPr>
        <w:t xml:space="preserve"> 项目分年度支出计划表</w:t>
      </w:r>
    </w:p>
    <w:p w14:paraId="74D6FD17">
      <w:pPr>
        <w:spacing w:line="440" w:lineRule="exact"/>
        <w:ind w:firstLine="360"/>
        <w:jc w:val="right"/>
        <w:rPr>
          <w:rFonts w:hint="eastAsia" w:ascii="宋体" w:hAnsi="宋体" w:eastAsia="宋体" w:cs="仿宋"/>
          <w:b/>
          <w:bCs/>
          <w:color w:val="000000"/>
          <w:sz w:val="18"/>
          <w:szCs w:val="18"/>
        </w:rPr>
      </w:pPr>
      <w:r>
        <w:rPr>
          <w:rFonts w:hint="eastAsia" w:ascii="宋体" w:hAnsi="宋体" w:eastAsia="宋体" w:cs="Times New Roman"/>
          <w:color w:val="000000"/>
          <w:sz w:val="18"/>
          <w:szCs w:val="18"/>
        </w:rPr>
        <w:t>单位：万元</w:t>
      </w:r>
    </w:p>
    <w:tbl>
      <w:tblPr>
        <w:tblStyle w:val="28"/>
        <w:tblW w:w="5311" w:type="pct"/>
        <w:jc w:val="center"/>
        <w:tblLayout w:type="autofit"/>
        <w:tblCellMar>
          <w:top w:w="0" w:type="dxa"/>
          <w:left w:w="108" w:type="dxa"/>
          <w:bottom w:w="0" w:type="dxa"/>
          <w:right w:w="108" w:type="dxa"/>
        </w:tblCellMar>
      </w:tblPr>
      <w:tblGrid>
        <w:gridCol w:w="642"/>
        <w:gridCol w:w="1124"/>
        <w:gridCol w:w="1305"/>
        <w:gridCol w:w="1173"/>
        <w:gridCol w:w="1249"/>
        <w:gridCol w:w="1173"/>
        <w:gridCol w:w="1173"/>
        <w:gridCol w:w="1173"/>
      </w:tblGrid>
      <w:tr w14:paraId="70FD89DD">
        <w:tblPrEx>
          <w:tblCellMar>
            <w:top w:w="0" w:type="dxa"/>
            <w:left w:w="108" w:type="dxa"/>
            <w:bottom w:w="0" w:type="dxa"/>
            <w:right w:w="108" w:type="dxa"/>
          </w:tblCellMar>
        </w:tblPrEx>
        <w:trPr>
          <w:trHeight w:val="285" w:hRule="atLeast"/>
          <w:jc w:val="center"/>
        </w:trPr>
        <w:tc>
          <w:tcPr>
            <w:tcW w:w="357" w:type="pct"/>
            <w:tcBorders>
              <w:top w:val="single" w:color="auto" w:sz="8" w:space="0"/>
              <w:left w:val="single" w:color="auto" w:sz="8" w:space="0"/>
              <w:bottom w:val="single" w:color="auto" w:sz="8" w:space="0"/>
              <w:right w:val="single" w:color="auto" w:sz="8" w:space="0"/>
            </w:tcBorders>
            <w:shd w:val="clear" w:color="auto" w:fill="auto"/>
            <w:vAlign w:val="center"/>
          </w:tcPr>
          <w:p w14:paraId="76B850FD">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623" w:type="pct"/>
            <w:tcBorders>
              <w:top w:val="single" w:color="auto" w:sz="8" w:space="0"/>
              <w:left w:val="nil"/>
              <w:bottom w:val="single" w:color="auto" w:sz="8" w:space="0"/>
              <w:right w:val="single" w:color="auto" w:sz="8" w:space="0"/>
            </w:tcBorders>
            <w:shd w:val="clear" w:color="auto" w:fill="auto"/>
            <w:vAlign w:val="center"/>
          </w:tcPr>
          <w:p w14:paraId="18080102">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费用类型</w:t>
            </w:r>
          </w:p>
        </w:tc>
        <w:tc>
          <w:tcPr>
            <w:tcW w:w="723" w:type="pct"/>
            <w:tcBorders>
              <w:top w:val="single" w:color="auto" w:sz="8" w:space="0"/>
              <w:left w:val="nil"/>
              <w:bottom w:val="single" w:color="auto" w:sz="8" w:space="0"/>
              <w:right w:val="single" w:color="auto" w:sz="8" w:space="0"/>
            </w:tcBorders>
            <w:shd w:val="clear" w:color="auto" w:fill="auto"/>
            <w:vAlign w:val="center"/>
          </w:tcPr>
          <w:p w14:paraId="061B7063">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小计</w:t>
            </w:r>
          </w:p>
        </w:tc>
        <w:tc>
          <w:tcPr>
            <w:tcW w:w="650" w:type="pct"/>
            <w:tcBorders>
              <w:top w:val="single" w:color="auto" w:sz="8" w:space="0"/>
              <w:left w:val="nil"/>
              <w:bottom w:val="single" w:color="auto" w:sz="8" w:space="0"/>
              <w:right w:val="single" w:color="auto" w:sz="8" w:space="0"/>
            </w:tcBorders>
            <w:shd w:val="clear" w:color="auto" w:fill="auto"/>
            <w:vAlign w:val="center"/>
          </w:tcPr>
          <w:p w14:paraId="65B34474">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 2021年 </w:t>
            </w:r>
          </w:p>
        </w:tc>
        <w:tc>
          <w:tcPr>
            <w:tcW w:w="692" w:type="pct"/>
            <w:tcBorders>
              <w:top w:val="single" w:color="auto" w:sz="8" w:space="0"/>
              <w:left w:val="nil"/>
              <w:bottom w:val="single" w:color="auto" w:sz="8" w:space="0"/>
              <w:right w:val="single" w:color="auto" w:sz="8" w:space="0"/>
            </w:tcBorders>
            <w:shd w:val="clear" w:color="auto" w:fill="auto"/>
            <w:vAlign w:val="center"/>
          </w:tcPr>
          <w:p w14:paraId="295602B7">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 2022年 </w:t>
            </w:r>
          </w:p>
        </w:tc>
        <w:tc>
          <w:tcPr>
            <w:tcW w:w="650" w:type="pct"/>
            <w:tcBorders>
              <w:top w:val="single" w:color="auto" w:sz="8" w:space="0"/>
              <w:left w:val="nil"/>
              <w:bottom w:val="single" w:color="auto" w:sz="8" w:space="0"/>
              <w:right w:val="single" w:color="auto" w:sz="8" w:space="0"/>
            </w:tcBorders>
            <w:vAlign w:val="center"/>
          </w:tcPr>
          <w:p w14:paraId="63B2E186">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202</w:t>
            </w:r>
            <w:r>
              <w:rPr>
                <w:rFonts w:ascii="宋体" w:hAnsi="宋体" w:eastAsia="宋体" w:cs="宋体"/>
                <w:b/>
                <w:bCs/>
                <w:color w:val="000000"/>
                <w:kern w:val="0"/>
                <w:sz w:val="18"/>
                <w:szCs w:val="18"/>
              </w:rPr>
              <w:t>3</w:t>
            </w:r>
            <w:r>
              <w:rPr>
                <w:rFonts w:hint="eastAsia" w:ascii="宋体" w:hAnsi="宋体" w:eastAsia="宋体" w:cs="宋体"/>
                <w:b/>
                <w:bCs/>
                <w:color w:val="000000"/>
                <w:kern w:val="0"/>
                <w:sz w:val="18"/>
                <w:szCs w:val="18"/>
              </w:rPr>
              <w:t>年</w:t>
            </w:r>
          </w:p>
        </w:tc>
        <w:tc>
          <w:tcPr>
            <w:tcW w:w="650" w:type="pct"/>
            <w:tcBorders>
              <w:top w:val="single" w:color="auto" w:sz="8" w:space="0"/>
              <w:left w:val="nil"/>
              <w:bottom w:val="single" w:color="auto" w:sz="8" w:space="0"/>
              <w:right w:val="single" w:color="auto" w:sz="8" w:space="0"/>
            </w:tcBorders>
            <w:vAlign w:val="center"/>
          </w:tcPr>
          <w:p w14:paraId="6082B09D">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2</w:t>
            </w:r>
            <w:r>
              <w:rPr>
                <w:rFonts w:ascii="宋体" w:hAnsi="宋体" w:eastAsia="宋体" w:cs="宋体"/>
                <w:b/>
                <w:bCs/>
                <w:color w:val="000000"/>
                <w:kern w:val="0"/>
                <w:sz w:val="18"/>
                <w:szCs w:val="18"/>
              </w:rPr>
              <w:t>024</w:t>
            </w:r>
            <w:r>
              <w:rPr>
                <w:rFonts w:hint="eastAsia" w:ascii="宋体" w:hAnsi="宋体" w:eastAsia="宋体" w:cs="宋体"/>
                <w:b/>
                <w:bCs/>
                <w:color w:val="000000"/>
                <w:kern w:val="0"/>
                <w:sz w:val="18"/>
                <w:szCs w:val="18"/>
              </w:rPr>
              <w:t>年</w:t>
            </w:r>
          </w:p>
        </w:tc>
        <w:tc>
          <w:tcPr>
            <w:tcW w:w="650" w:type="pct"/>
            <w:tcBorders>
              <w:top w:val="single" w:color="auto" w:sz="8" w:space="0"/>
              <w:left w:val="nil"/>
              <w:bottom w:val="single" w:color="auto" w:sz="8" w:space="0"/>
              <w:right w:val="single" w:color="auto" w:sz="8" w:space="0"/>
            </w:tcBorders>
            <w:vAlign w:val="center"/>
          </w:tcPr>
          <w:p w14:paraId="10BE5633">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2</w:t>
            </w:r>
            <w:r>
              <w:rPr>
                <w:rFonts w:ascii="宋体" w:hAnsi="宋体" w:eastAsia="宋体" w:cs="宋体"/>
                <w:b/>
                <w:bCs/>
                <w:color w:val="000000"/>
                <w:kern w:val="0"/>
                <w:sz w:val="18"/>
                <w:szCs w:val="18"/>
              </w:rPr>
              <w:t>025</w:t>
            </w:r>
            <w:r>
              <w:rPr>
                <w:rFonts w:hint="eastAsia" w:ascii="宋体" w:hAnsi="宋体" w:eastAsia="宋体" w:cs="宋体"/>
                <w:b/>
                <w:bCs/>
                <w:color w:val="000000"/>
                <w:kern w:val="0"/>
                <w:sz w:val="18"/>
                <w:szCs w:val="18"/>
              </w:rPr>
              <w:t>年</w:t>
            </w:r>
          </w:p>
        </w:tc>
      </w:tr>
      <w:tr w14:paraId="76814BF5">
        <w:tblPrEx>
          <w:tblCellMar>
            <w:top w:w="0" w:type="dxa"/>
            <w:left w:w="108" w:type="dxa"/>
            <w:bottom w:w="0" w:type="dxa"/>
            <w:right w:w="108" w:type="dxa"/>
          </w:tblCellMar>
        </w:tblPrEx>
        <w:trPr>
          <w:trHeight w:val="285" w:hRule="atLeast"/>
          <w:jc w:val="center"/>
        </w:trPr>
        <w:tc>
          <w:tcPr>
            <w:tcW w:w="357" w:type="pct"/>
            <w:tcBorders>
              <w:top w:val="nil"/>
              <w:left w:val="single" w:color="auto" w:sz="8" w:space="0"/>
              <w:bottom w:val="single" w:color="auto" w:sz="8" w:space="0"/>
              <w:right w:val="single" w:color="auto" w:sz="8" w:space="0"/>
            </w:tcBorders>
            <w:shd w:val="clear" w:color="auto" w:fill="auto"/>
            <w:vAlign w:val="center"/>
          </w:tcPr>
          <w:p w14:paraId="499ECAFC">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1</w:t>
            </w:r>
          </w:p>
        </w:tc>
        <w:tc>
          <w:tcPr>
            <w:tcW w:w="623" w:type="pct"/>
            <w:tcBorders>
              <w:top w:val="nil"/>
              <w:left w:val="nil"/>
              <w:bottom w:val="single" w:color="auto" w:sz="8" w:space="0"/>
              <w:right w:val="single" w:color="auto" w:sz="8" w:space="0"/>
            </w:tcBorders>
            <w:shd w:val="clear" w:color="auto" w:fill="auto"/>
            <w:vAlign w:val="center"/>
          </w:tcPr>
          <w:p w14:paraId="6BDE0E5F">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工程费用</w:t>
            </w:r>
          </w:p>
        </w:tc>
        <w:tc>
          <w:tcPr>
            <w:tcW w:w="72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0DA30C6">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567,438.44</w:t>
            </w:r>
          </w:p>
        </w:tc>
        <w:tc>
          <w:tcPr>
            <w:tcW w:w="650" w:type="pct"/>
            <w:tcBorders>
              <w:top w:val="single" w:color="auto" w:sz="4" w:space="0"/>
              <w:left w:val="nil"/>
              <w:bottom w:val="single" w:color="auto" w:sz="4" w:space="0"/>
              <w:right w:val="single" w:color="auto" w:sz="4" w:space="0"/>
            </w:tcBorders>
            <w:shd w:val="clear" w:color="auto" w:fill="auto"/>
            <w:noWrap/>
            <w:vAlign w:val="center"/>
          </w:tcPr>
          <w:p w14:paraId="0D8DE2E4">
            <w:pPr>
              <w:widowControl/>
              <w:spacing w:after="0"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57,001.00</w:t>
            </w:r>
          </w:p>
        </w:tc>
        <w:tc>
          <w:tcPr>
            <w:tcW w:w="692" w:type="pct"/>
            <w:tcBorders>
              <w:top w:val="single" w:color="auto" w:sz="4" w:space="0"/>
              <w:left w:val="nil"/>
              <w:bottom w:val="single" w:color="auto" w:sz="4" w:space="0"/>
              <w:right w:val="single" w:color="auto" w:sz="4" w:space="0"/>
            </w:tcBorders>
            <w:shd w:val="clear" w:color="auto" w:fill="auto"/>
            <w:noWrap/>
            <w:vAlign w:val="center"/>
          </w:tcPr>
          <w:p w14:paraId="1745F8D5">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99,026.90</w:t>
            </w:r>
          </w:p>
        </w:tc>
        <w:tc>
          <w:tcPr>
            <w:tcW w:w="650" w:type="pct"/>
            <w:tcBorders>
              <w:top w:val="single" w:color="auto" w:sz="4" w:space="0"/>
              <w:left w:val="nil"/>
              <w:bottom w:val="single" w:color="auto" w:sz="4" w:space="0"/>
              <w:right w:val="single" w:color="auto" w:sz="4" w:space="0"/>
            </w:tcBorders>
            <w:vAlign w:val="center"/>
          </w:tcPr>
          <w:p w14:paraId="7267B91A">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141,145.70</w:t>
            </w:r>
          </w:p>
        </w:tc>
        <w:tc>
          <w:tcPr>
            <w:tcW w:w="650" w:type="pct"/>
            <w:tcBorders>
              <w:top w:val="single" w:color="auto" w:sz="4" w:space="0"/>
              <w:left w:val="nil"/>
              <w:bottom w:val="single" w:color="auto" w:sz="4" w:space="0"/>
              <w:right w:val="single" w:color="auto" w:sz="4" w:space="0"/>
            </w:tcBorders>
            <w:vAlign w:val="center"/>
          </w:tcPr>
          <w:p w14:paraId="1034FD5B">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162,694.80</w:t>
            </w:r>
          </w:p>
        </w:tc>
        <w:tc>
          <w:tcPr>
            <w:tcW w:w="650" w:type="pct"/>
            <w:tcBorders>
              <w:top w:val="single" w:color="auto" w:sz="4" w:space="0"/>
              <w:left w:val="nil"/>
              <w:bottom w:val="single" w:color="auto" w:sz="4" w:space="0"/>
              <w:right w:val="single" w:color="auto" w:sz="4" w:space="0"/>
            </w:tcBorders>
            <w:vAlign w:val="center"/>
          </w:tcPr>
          <w:p w14:paraId="5BE8368B">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107,570.04</w:t>
            </w:r>
          </w:p>
        </w:tc>
      </w:tr>
      <w:tr w14:paraId="1D22F99F">
        <w:tblPrEx>
          <w:tblCellMar>
            <w:top w:w="0" w:type="dxa"/>
            <w:left w:w="108" w:type="dxa"/>
            <w:bottom w:w="0" w:type="dxa"/>
            <w:right w:w="108" w:type="dxa"/>
          </w:tblCellMar>
        </w:tblPrEx>
        <w:trPr>
          <w:trHeight w:val="285" w:hRule="atLeast"/>
          <w:jc w:val="center"/>
        </w:trPr>
        <w:tc>
          <w:tcPr>
            <w:tcW w:w="357" w:type="pct"/>
            <w:tcBorders>
              <w:top w:val="nil"/>
              <w:left w:val="single" w:color="auto" w:sz="8" w:space="0"/>
              <w:bottom w:val="single" w:color="auto" w:sz="8" w:space="0"/>
              <w:right w:val="single" w:color="auto" w:sz="8" w:space="0"/>
            </w:tcBorders>
            <w:shd w:val="clear" w:color="auto" w:fill="auto"/>
            <w:vAlign w:val="center"/>
          </w:tcPr>
          <w:p w14:paraId="594BF18F">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2</w:t>
            </w:r>
          </w:p>
        </w:tc>
        <w:tc>
          <w:tcPr>
            <w:tcW w:w="623" w:type="pct"/>
            <w:tcBorders>
              <w:top w:val="nil"/>
              <w:left w:val="nil"/>
              <w:bottom w:val="single" w:color="auto" w:sz="8" w:space="0"/>
              <w:right w:val="single" w:color="auto" w:sz="8" w:space="0"/>
            </w:tcBorders>
            <w:shd w:val="clear" w:color="auto" w:fill="auto"/>
            <w:vAlign w:val="center"/>
          </w:tcPr>
          <w:p w14:paraId="517EE905">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工程建设其他费用</w:t>
            </w:r>
          </w:p>
        </w:tc>
        <w:tc>
          <w:tcPr>
            <w:tcW w:w="723" w:type="pct"/>
            <w:tcBorders>
              <w:top w:val="nil"/>
              <w:left w:val="single" w:color="auto" w:sz="4" w:space="0"/>
              <w:bottom w:val="single" w:color="auto" w:sz="4" w:space="0"/>
              <w:right w:val="single" w:color="auto" w:sz="4" w:space="0"/>
            </w:tcBorders>
            <w:shd w:val="clear" w:color="auto" w:fill="auto"/>
            <w:noWrap/>
            <w:vAlign w:val="center"/>
          </w:tcPr>
          <w:p w14:paraId="0CBE3824">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288,980.42</w:t>
            </w:r>
          </w:p>
        </w:tc>
        <w:tc>
          <w:tcPr>
            <w:tcW w:w="650" w:type="pct"/>
            <w:tcBorders>
              <w:top w:val="nil"/>
              <w:left w:val="nil"/>
              <w:bottom w:val="single" w:color="auto" w:sz="4" w:space="0"/>
              <w:right w:val="single" w:color="auto" w:sz="4" w:space="0"/>
            </w:tcBorders>
            <w:shd w:val="clear" w:color="auto" w:fill="auto"/>
            <w:noWrap/>
            <w:vAlign w:val="center"/>
          </w:tcPr>
          <w:p w14:paraId="787C6FF4">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16,286.00</w:t>
            </w:r>
          </w:p>
        </w:tc>
        <w:tc>
          <w:tcPr>
            <w:tcW w:w="692" w:type="pct"/>
            <w:tcBorders>
              <w:top w:val="nil"/>
              <w:left w:val="nil"/>
              <w:bottom w:val="single" w:color="auto" w:sz="4" w:space="0"/>
              <w:right w:val="single" w:color="auto" w:sz="4" w:space="0"/>
            </w:tcBorders>
            <w:shd w:val="clear" w:color="auto" w:fill="auto"/>
            <w:noWrap/>
            <w:vAlign w:val="center"/>
          </w:tcPr>
          <w:p w14:paraId="58DFCA4B">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28,293.40</w:t>
            </w:r>
          </w:p>
        </w:tc>
        <w:tc>
          <w:tcPr>
            <w:tcW w:w="650" w:type="pct"/>
            <w:tcBorders>
              <w:top w:val="nil"/>
              <w:left w:val="nil"/>
              <w:bottom w:val="single" w:color="auto" w:sz="4" w:space="0"/>
              <w:right w:val="single" w:color="auto" w:sz="4" w:space="0"/>
            </w:tcBorders>
            <w:vAlign w:val="center"/>
          </w:tcPr>
          <w:p w14:paraId="1C607365">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57,470.20</w:t>
            </w:r>
          </w:p>
        </w:tc>
        <w:tc>
          <w:tcPr>
            <w:tcW w:w="650" w:type="pct"/>
            <w:tcBorders>
              <w:top w:val="nil"/>
              <w:left w:val="nil"/>
              <w:bottom w:val="single" w:color="auto" w:sz="4" w:space="0"/>
              <w:right w:val="single" w:color="auto" w:sz="4" w:space="0"/>
            </w:tcBorders>
            <w:vAlign w:val="center"/>
          </w:tcPr>
          <w:p w14:paraId="3B379C7E">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57,912.80</w:t>
            </w:r>
          </w:p>
        </w:tc>
        <w:tc>
          <w:tcPr>
            <w:tcW w:w="650" w:type="pct"/>
            <w:tcBorders>
              <w:top w:val="nil"/>
              <w:left w:val="nil"/>
              <w:bottom w:val="single" w:color="auto" w:sz="4" w:space="0"/>
              <w:right w:val="single" w:color="auto" w:sz="4" w:space="0"/>
            </w:tcBorders>
            <w:vAlign w:val="center"/>
          </w:tcPr>
          <w:p w14:paraId="5F7B6D75">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129,018.02</w:t>
            </w:r>
          </w:p>
        </w:tc>
      </w:tr>
      <w:tr w14:paraId="5B77EFB5">
        <w:tblPrEx>
          <w:tblCellMar>
            <w:top w:w="0" w:type="dxa"/>
            <w:left w:w="108" w:type="dxa"/>
            <w:bottom w:w="0" w:type="dxa"/>
            <w:right w:w="108" w:type="dxa"/>
          </w:tblCellMar>
        </w:tblPrEx>
        <w:trPr>
          <w:trHeight w:val="285" w:hRule="atLeast"/>
          <w:jc w:val="center"/>
        </w:trPr>
        <w:tc>
          <w:tcPr>
            <w:tcW w:w="357" w:type="pct"/>
            <w:tcBorders>
              <w:top w:val="nil"/>
              <w:left w:val="single" w:color="auto" w:sz="8" w:space="0"/>
              <w:bottom w:val="single" w:color="auto" w:sz="8" w:space="0"/>
              <w:right w:val="single" w:color="auto" w:sz="8" w:space="0"/>
            </w:tcBorders>
            <w:shd w:val="clear" w:color="auto" w:fill="auto"/>
            <w:vAlign w:val="center"/>
          </w:tcPr>
          <w:p w14:paraId="61CF139D">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3</w:t>
            </w:r>
          </w:p>
        </w:tc>
        <w:tc>
          <w:tcPr>
            <w:tcW w:w="623" w:type="pct"/>
            <w:tcBorders>
              <w:top w:val="nil"/>
              <w:left w:val="nil"/>
              <w:bottom w:val="single" w:color="auto" w:sz="8" w:space="0"/>
              <w:right w:val="single" w:color="auto" w:sz="8" w:space="0"/>
            </w:tcBorders>
            <w:shd w:val="clear" w:color="auto" w:fill="auto"/>
            <w:vAlign w:val="center"/>
          </w:tcPr>
          <w:p w14:paraId="6030597B">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预备费</w:t>
            </w:r>
          </w:p>
        </w:tc>
        <w:tc>
          <w:tcPr>
            <w:tcW w:w="723" w:type="pct"/>
            <w:tcBorders>
              <w:top w:val="nil"/>
              <w:left w:val="single" w:color="auto" w:sz="4" w:space="0"/>
              <w:bottom w:val="single" w:color="auto" w:sz="4" w:space="0"/>
              <w:right w:val="single" w:color="auto" w:sz="4" w:space="0"/>
            </w:tcBorders>
            <w:shd w:val="clear" w:color="auto" w:fill="auto"/>
            <w:noWrap/>
            <w:vAlign w:val="center"/>
          </w:tcPr>
          <w:p w14:paraId="39E5AFA8">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42,820.94</w:t>
            </w:r>
          </w:p>
        </w:tc>
        <w:tc>
          <w:tcPr>
            <w:tcW w:w="650" w:type="pct"/>
            <w:tcBorders>
              <w:top w:val="single" w:color="auto" w:sz="4" w:space="0"/>
              <w:left w:val="nil"/>
              <w:bottom w:val="single" w:color="auto" w:sz="8" w:space="0"/>
              <w:right w:val="single" w:color="auto" w:sz="4" w:space="0"/>
            </w:tcBorders>
            <w:shd w:val="clear" w:color="auto" w:fill="auto"/>
            <w:noWrap/>
            <w:vAlign w:val="center"/>
          </w:tcPr>
          <w:p w14:paraId="3B90900E">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5,871.10</w:t>
            </w:r>
          </w:p>
        </w:tc>
        <w:tc>
          <w:tcPr>
            <w:tcW w:w="692" w:type="pct"/>
            <w:tcBorders>
              <w:top w:val="single" w:color="auto" w:sz="4" w:space="0"/>
              <w:left w:val="nil"/>
              <w:bottom w:val="single" w:color="auto" w:sz="8" w:space="0"/>
              <w:right w:val="single" w:color="auto" w:sz="4" w:space="0"/>
            </w:tcBorders>
            <w:shd w:val="clear" w:color="auto" w:fill="auto"/>
            <w:noWrap/>
            <w:vAlign w:val="center"/>
          </w:tcPr>
          <w:p w14:paraId="33F342A0">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10,669.88</w:t>
            </w:r>
          </w:p>
        </w:tc>
        <w:tc>
          <w:tcPr>
            <w:tcW w:w="650" w:type="pct"/>
            <w:tcBorders>
              <w:top w:val="single" w:color="auto" w:sz="4" w:space="0"/>
              <w:left w:val="nil"/>
              <w:bottom w:val="single" w:color="auto" w:sz="8" w:space="0"/>
              <w:right w:val="single" w:color="auto" w:sz="4" w:space="0"/>
            </w:tcBorders>
            <w:vAlign w:val="center"/>
          </w:tcPr>
          <w:p w14:paraId="164FD04A">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20,253.18</w:t>
            </w:r>
          </w:p>
        </w:tc>
        <w:tc>
          <w:tcPr>
            <w:tcW w:w="650" w:type="pct"/>
            <w:tcBorders>
              <w:top w:val="single" w:color="auto" w:sz="4" w:space="0"/>
              <w:left w:val="nil"/>
              <w:bottom w:val="single" w:color="auto" w:sz="8" w:space="0"/>
              <w:right w:val="single" w:color="auto" w:sz="4" w:space="0"/>
            </w:tcBorders>
            <w:vAlign w:val="center"/>
          </w:tcPr>
          <w:p w14:paraId="0EF66A66">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5,473.06</w:t>
            </w:r>
          </w:p>
        </w:tc>
        <w:tc>
          <w:tcPr>
            <w:tcW w:w="650" w:type="pct"/>
            <w:tcBorders>
              <w:top w:val="single" w:color="auto" w:sz="4" w:space="0"/>
              <w:left w:val="nil"/>
              <w:bottom w:val="single" w:color="auto" w:sz="8" w:space="0"/>
              <w:right w:val="single" w:color="auto" w:sz="4" w:space="0"/>
            </w:tcBorders>
            <w:vAlign w:val="center"/>
          </w:tcPr>
          <w:p w14:paraId="1E5C716C">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553.72</w:t>
            </w:r>
          </w:p>
        </w:tc>
      </w:tr>
      <w:tr w14:paraId="3341981E">
        <w:tblPrEx>
          <w:tblCellMar>
            <w:top w:w="0" w:type="dxa"/>
            <w:left w:w="108" w:type="dxa"/>
            <w:bottom w:w="0" w:type="dxa"/>
            <w:right w:w="108" w:type="dxa"/>
          </w:tblCellMar>
        </w:tblPrEx>
        <w:trPr>
          <w:trHeight w:val="285" w:hRule="atLeast"/>
          <w:jc w:val="center"/>
        </w:trPr>
        <w:tc>
          <w:tcPr>
            <w:tcW w:w="357" w:type="pct"/>
            <w:tcBorders>
              <w:top w:val="nil"/>
              <w:left w:val="single" w:color="auto" w:sz="8" w:space="0"/>
              <w:bottom w:val="single" w:color="auto" w:sz="8" w:space="0"/>
              <w:right w:val="single" w:color="auto" w:sz="8" w:space="0"/>
            </w:tcBorders>
            <w:shd w:val="clear" w:color="auto" w:fill="auto"/>
            <w:vAlign w:val="center"/>
          </w:tcPr>
          <w:p w14:paraId="2333EACB">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4</w:t>
            </w:r>
          </w:p>
        </w:tc>
        <w:tc>
          <w:tcPr>
            <w:tcW w:w="623" w:type="pct"/>
            <w:tcBorders>
              <w:top w:val="nil"/>
              <w:left w:val="nil"/>
              <w:bottom w:val="single" w:color="auto" w:sz="8" w:space="0"/>
              <w:right w:val="single" w:color="auto" w:sz="8" w:space="0"/>
            </w:tcBorders>
            <w:shd w:val="clear" w:color="auto" w:fill="auto"/>
            <w:vAlign w:val="center"/>
          </w:tcPr>
          <w:p w14:paraId="19C320C6">
            <w:pPr>
              <w:widowControl/>
              <w:spacing w:after="0" w:line="240" w:lineRule="exact"/>
              <w:ind w:firstLine="0" w:firstLineChars="0"/>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专项费用</w:t>
            </w:r>
          </w:p>
        </w:tc>
        <w:tc>
          <w:tcPr>
            <w:tcW w:w="723" w:type="pct"/>
            <w:tcBorders>
              <w:top w:val="nil"/>
              <w:left w:val="single" w:color="auto" w:sz="4" w:space="0"/>
              <w:bottom w:val="single" w:color="auto" w:sz="4" w:space="0"/>
              <w:right w:val="single" w:color="auto" w:sz="4" w:space="0"/>
            </w:tcBorders>
            <w:shd w:val="clear" w:color="auto" w:fill="auto"/>
            <w:noWrap/>
            <w:vAlign w:val="center"/>
          </w:tcPr>
          <w:p w14:paraId="6DCD1A27">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158,432.87</w:t>
            </w:r>
          </w:p>
        </w:tc>
        <w:tc>
          <w:tcPr>
            <w:tcW w:w="650" w:type="pct"/>
            <w:tcBorders>
              <w:top w:val="single" w:color="auto" w:sz="4" w:space="0"/>
              <w:left w:val="nil"/>
              <w:bottom w:val="single" w:color="auto" w:sz="8" w:space="0"/>
              <w:right w:val="single" w:color="auto" w:sz="4" w:space="0"/>
            </w:tcBorders>
            <w:shd w:val="clear" w:color="auto" w:fill="auto"/>
            <w:noWrap/>
            <w:vAlign w:val="center"/>
          </w:tcPr>
          <w:p w14:paraId="70713C48">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50,000.00</w:t>
            </w:r>
          </w:p>
        </w:tc>
        <w:tc>
          <w:tcPr>
            <w:tcW w:w="692" w:type="pct"/>
            <w:tcBorders>
              <w:top w:val="single" w:color="auto" w:sz="4" w:space="0"/>
              <w:left w:val="nil"/>
              <w:bottom w:val="single" w:color="auto" w:sz="8" w:space="0"/>
              <w:right w:val="single" w:color="auto" w:sz="4" w:space="0"/>
            </w:tcBorders>
            <w:shd w:val="clear" w:color="auto" w:fill="auto"/>
            <w:noWrap/>
            <w:vAlign w:val="center"/>
          </w:tcPr>
          <w:p w14:paraId="43228892">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30,000.00</w:t>
            </w:r>
          </w:p>
        </w:tc>
        <w:tc>
          <w:tcPr>
            <w:tcW w:w="650" w:type="pct"/>
            <w:tcBorders>
              <w:top w:val="single" w:color="auto" w:sz="4" w:space="0"/>
              <w:left w:val="nil"/>
              <w:bottom w:val="single" w:color="auto" w:sz="8" w:space="0"/>
              <w:right w:val="single" w:color="auto" w:sz="4" w:space="0"/>
            </w:tcBorders>
            <w:vAlign w:val="center"/>
          </w:tcPr>
          <w:p w14:paraId="1EDE30F8">
            <w:pPr>
              <w:spacing w:line="240" w:lineRule="exact"/>
              <w:ind w:firstLine="0" w:firstLineChars="0"/>
              <w:jc w:val="center"/>
              <w:rPr>
                <w:rFonts w:hint="eastAsia" w:ascii="宋体" w:hAnsi="宋体" w:eastAsia="宋体" w:cs="宋体"/>
                <w:color w:val="000000"/>
                <w:kern w:val="0"/>
                <w:sz w:val="18"/>
                <w:szCs w:val="18"/>
              </w:rPr>
            </w:pPr>
            <w:r>
              <w:rPr>
                <w:rFonts w:ascii="宋体" w:hAnsi="宋体" w:eastAsia="宋体" w:cs="宋体"/>
                <w:color w:val="000000"/>
                <w:kern w:val="0"/>
                <w:sz w:val="18"/>
                <w:szCs w:val="18"/>
              </w:rPr>
              <w:t>78,432.87</w:t>
            </w:r>
          </w:p>
        </w:tc>
        <w:tc>
          <w:tcPr>
            <w:tcW w:w="650" w:type="pct"/>
            <w:tcBorders>
              <w:top w:val="single" w:color="auto" w:sz="4" w:space="0"/>
              <w:left w:val="nil"/>
              <w:bottom w:val="single" w:color="auto" w:sz="8" w:space="0"/>
              <w:right w:val="single" w:color="auto" w:sz="4" w:space="0"/>
            </w:tcBorders>
            <w:vAlign w:val="center"/>
          </w:tcPr>
          <w:p w14:paraId="4D094B19">
            <w:pPr>
              <w:spacing w:line="240" w:lineRule="exact"/>
              <w:ind w:firstLine="0" w:firstLineChars="0"/>
              <w:jc w:val="center"/>
              <w:rPr>
                <w:rFonts w:hint="eastAsia" w:ascii="宋体" w:hAnsi="宋体" w:eastAsia="宋体" w:cs="宋体"/>
                <w:color w:val="000000"/>
                <w:kern w:val="0"/>
                <w:sz w:val="18"/>
                <w:szCs w:val="18"/>
              </w:rPr>
            </w:pPr>
          </w:p>
        </w:tc>
        <w:tc>
          <w:tcPr>
            <w:tcW w:w="650" w:type="pct"/>
            <w:tcBorders>
              <w:top w:val="single" w:color="auto" w:sz="4" w:space="0"/>
              <w:left w:val="nil"/>
              <w:bottom w:val="single" w:color="auto" w:sz="8" w:space="0"/>
              <w:right w:val="single" w:color="auto" w:sz="4" w:space="0"/>
            </w:tcBorders>
            <w:vAlign w:val="center"/>
          </w:tcPr>
          <w:p w14:paraId="7892CFFA">
            <w:pPr>
              <w:spacing w:line="240" w:lineRule="exact"/>
              <w:ind w:firstLine="0" w:firstLineChars="0"/>
              <w:jc w:val="center"/>
              <w:rPr>
                <w:rFonts w:hint="eastAsia" w:ascii="宋体" w:hAnsi="宋体" w:eastAsia="宋体" w:cs="宋体"/>
                <w:color w:val="000000"/>
                <w:kern w:val="0"/>
                <w:sz w:val="18"/>
                <w:szCs w:val="18"/>
              </w:rPr>
            </w:pPr>
          </w:p>
        </w:tc>
      </w:tr>
      <w:tr w14:paraId="408C5EBC">
        <w:tblPrEx>
          <w:tblCellMar>
            <w:top w:w="0" w:type="dxa"/>
            <w:left w:w="108" w:type="dxa"/>
            <w:bottom w:w="0" w:type="dxa"/>
            <w:right w:w="108" w:type="dxa"/>
          </w:tblCellMar>
        </w:tblPrEx>
        <w:trPr>
          <w:trHeight w:val="285" w:hRule="atLeast"/>
          <w:jc w:val="center"/>
        </w:trPr>
        <w:tc>
          <w:tcPr>
            <w:tcW w:w="981" w:type="pct"/>
            <w:gridSpan w:val="2"/>
            <w:tcBorders>
              <w:top w:val="single" w:color="auto" w:sz="8" w:space="0"/>
              <w:left w:val="single" w:color="auto" w:sz="8" w:space="0"/>
              <w:bottom w:val="single" w:color="auto" w:sz="8" w:space="0"/>
              <w:right w:val="single" w:color="auto" w:sz="8" w:space="0"/>
            </w:tcBorders>
            <w:shd w:val="clear" w:color="auto" w:fill="auto"/>
            <w:vAlign w:val="center"/>
          </w:tcPr>
          <w:p w14:paraId="767578C2">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本次建设项目支出总计</w:t>
            </w:r>
          </w:p>
        </w:tc>
        <w:tc>
          <w:tcPr>
            <w:tcW w:w="723" w:type="pct"/>
            <w:tcBorders>
              <w:top w:val="single" w:color="auto" w:sz="8" w:space="0"/>
              <w:left w:val="nil"/>
              <w:bottom w:val="single" w:color="auto" w:sz="8" w:space="0"/>
              <w:right w:val="single" w:color="auto" w:sz="8" w:space="0"/>
            </w:tcBorders>
            <w:shd w:val="clear" w:color="auto" w:fill="auto"/>
            <w:vAlign w:val="center"/>
          </w:tcPr>
          <w:p w14:paraId="13A69DB8">
            <w:pPr>
              <w:spacing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1,057,672.67</w:t>
            </w:r>
          </w:p>
        </w:tc>
        <w:tc>
          <w:tcPr>
            <w:tcW w:w="650" w:type="pct"/>
            <w:tcBorders>
              <w:top w:val="single" w:color="auto" w:sz="8" w:space="0"/>
              <w:left w:val="nil"/>
              <w:bottom w:val="single" w:color="auto" w:sz="8" w:space="0"/>
              <w:right w:val="single" w:color="auto" w:sz="8" w:space="0"/>
            </w:tcBorders>
            <w:shd w:val="clear" w:color="auto" w:fill="auto"/>
            <w:vAlign w:val="center"/>
          </w:tcPr>
          <w:p w14:paraId="79FD5D67">
            <w:pPr>
              <w:spacing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129,158.10</w:t>
            </w:r>
          </w:p>
        </w:tc>
        <w:tc>
          <w:tcPr>
            <w:tcW w:w="692" w:type="pct"/>
            <w:tcBorders>
              <w:top w:val="single" w:color="auto" w:sz="8" w:space="0"/>
              <w:left w:val="nil"/>
              <w:bottom w:val="single" w:color="auto" w:sz="8" w:space="0"/>
              <w:right w:val="single" w:color="auto" w:sz="8" w:space="0"/>
            </w:tcBorders>
            <w:shd w:val="clear" w:color="auto" w:fill="auto"/>
            <w:vAlign w:val="center"/>
          </w:tcPr>
          <w:p w14:paraId="07F53627">
            <w:pPr>
              <w:spacing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167,990.18</w:t>
            </w:r>
          </w:p>
        </w:tc>
        <w:tc>
          <w:tcPr>
            <w:tcW w:w="650" w:type="pct"/>
            <w:tcBorders>
              <w:top w:val="single" w:color="auto" w:sz="8" w:space="0"/>
              <w:left w:val="nil"/>
              <w:bottom w:val="single" w:color="auto" w:sz="8" w:space="0"/>
              <w:right w:val="single" w:color="auto" w:sz="8" w:space="0"/>
            </w:tcBorders>
            <w:vAlign w:val="center"/>
          </w:tcPr>
          <w:p w14:paraId="652B21D9">
            <w:pPr>
              <w:spacing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297,849.17</w:t>
            </w:r>
          </w:p>
        </w:tc>
        <w:tc>
          <w:tcPr>
            <w:tcW w:w="650" w:type="pct"/>
            <w:tcBorders>
              <w:top w:val="single" w:color="auto" w:sz="8" w:space="0"/>
              <w:left w:val="nil"/>
              <w:bottom w:val="single" w:color="auto" w:sz="8" w:space="0"/>
              <w:right w:val="single" w:color="auto" w:sz="8" w:space="0"/>
            </w:tcBorders>
            <w:vAlign w:val="center"/>
          </w:tcPr>
          <w:p w14:paraId="42BE7E10">
            <w:pPr>
              <w:spacing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227,080.66</w:t>
            </w:r>
          </w:p>
        </w:tc>
        <w:tc>
          <w:tcPr>
            <w:tcW w:w="650" w:type="pct"/>
            <w:tcBorders>
              <w:top w:val="single" w:color="auto" w:sz="8" w:space="0"/>
              <w:left w:val="nil"/>
              <w:bottom w:val="single" w:color="auto" w:sz="8" w:space="0"/>
              <w:right w:val="single" w:color="auto" w:sz="8" w:space="0"/>
            </w:tcBorders>
            <w:vAlign w:val="center"/>
          </w:tcPr>
          <w:p w14:paraId="20F70BCC">
            <w:pPr>
              <w:spacing w:line="240" w:lineRule="exact"/>
              <w:ind w:firstLine="0" w:firstLineChars="0"/>
              <w:jc w:val="center"/>
              <w:rPr>
                <w:rFonts w:hint="eastAsia" w:ascii="宋体" w:hAnsi="宋体" w:eastAsia="宋体" w:cs="宋体"/>
                <w:b/>
                <w:color w:val="000000"/>
                <w:kern w:val="0"/>
                <w:sz w:val="18"/>
                <w:szCs w:val="18"/>
              </w:rPr>
            </w:pPr>
            <w:r>
              <w:rPr>
                <w:rFonts w:ascii="宋体" w:hAnsi="宋体" w:eastAsia="宋体" w:cs="宋体"/>
                <w:b/>
                <w:color w:val="000000"/>
                <w:kern w:val="0"/>
                <w:sz w:val="18"/>
                <w:szCs w:val="18"/>
              </w:rPr>
              <w:t>245,513.52</w:t>
            </w:r>
          </w:p>
        </w:tc>
      </w:tr>
    </w:tbl>
    <w:p w14:paraId="641B3307">
      <w:pPr>
        <w:pStyle w:val="23"/>
        <w:spacing w:before="0" w:beforeAutospacing="0" w:after="156" w:afterLines="50" w:afterAutospacing="0" w:line="440" w:lineRule="exact"/>
        <w:ind w:firstLine="360" w:firstLineChars="200"/>
        <w:jc w:val="both"/>
        <w:rPr>
          <w:rFonts w:hint="eastAsia"/>
          <w:color w:val="000000" w:themeColor="text1"/>
          <w:sz w:val="18"/>
          <w:szCs w:val="18"/>
        </w:rPr>
      </w:pPr>
      <w:r>
        <w:rPr>
          <w:rFonts w:hint="eastAsia"/>
          <w:color w:val="000000" w:themeColor="text1"/>
          <w:sz w:val="18"/>
          <w:szCs w:val="18"/>
        </w:rPr>
        <w:t>注：项目建设周期为</w:t>
      </w:r>
      <w:r>
        <w:rPr>
          <w:color w:val="000000" w:themeColor="text1"/>
          <w:sz w:val="18"/>
          <w:szCs w:val="18"/>
        </w:rPr>
        <w:t>5</w:t>
      </w:r>
      <w:r>
        <w:rPr>
          <w:rFonts w:hint="eastAsia"/>
          <w:color w:val="000000" w:themeColor="text1"/>
          <w:sz w:val="18"/>
          <w:szCs w:val="18"/>
        </w:rPr>
        <w:t>年。</w:t>
      </w:r>
    </w:p>
    <w:p w14:paraId="0281807E">
      <w:pPr>
        <w:pStyle w:val="3"/>
        <w:spacing w:line="440" w:lineRule="exact"/>
        <w:ind w:firstLine="482"/>
        <w:rPr>
          <w:rFonts w:hint="eastAsia" w:ascii="仿宋" w:hAnsi="仿宋" w:eastAsia="仿宋" w:cs="仿宋"/>
          <w:sz w:val="24"/>
          <w:szCs w:val="24"/>
        </w:rPr>
      </w:pPr>
      <w:r>
        <w:rPr>
          <w:rFonts w:hint="eastAsia" w:ascii="仿宋" w:hAnsi="仿宋" w:eastAsia="仿宋" w:cs="仿宋"/>
          <w:sz w:val="24"/>
          <w:szCs w:val="24"/>
        </w:rPr>
        <w:t>（二）资金筹措方案</w:t>
      </w:r>
    </w:p>
    <w:p w14:paraId="3D2B194C">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1、资金筹措原则</w:t>
      </w:r>
    </w:p>
    <w:p w14:paraId="397642F1">
      <w:pPr>
        <w:spacing w:line="440" w:lineRule="exact"/>
        <w:ind w:firstLine="480"/>
        <w:rPr>
          <w:rFonts w:hint="eastAsia" w:ascii="仿宋" w:hAnsi="仿宋" w:eastAsia="仿宋" w:cs="仿宋"/>
          <w:szCs w:val="24"/>
        </w:rPr>
      </w:pPr>
      <w:r>
        <w:rPr>
          <w:rFonts w:hint="eastAsia" w:ascii="仿宋" w:hAnsi="仿宋" w:eastAsia="仿宋" w:cs="仿宋"/>
          <w:szCs w:val="24"/>
        </w:rPr>
        <w:t>本次资金筹措遵循以下原则：（1）项目投入一定资本金，保证项目顺利开工及后续融资的可能。（2）发行地方政府专项债券进行融资。（3）其他社会化融资。</w:t>
      </w:r>
    </w:p>
    <w:p w14:paraId="08F2E93A">
      <w:pPr>
        <w:pStyle w:val="4"/>
        <w:spacing w:line="440" w:lineRule="exact"/>
        <w:ind w:firstLine="480"/>
        <w:rPr>
          <w:rFonts w:hint="eastAsia" w:ascii="仿宋" w:hAnsi="仿宋" w:eastAsia="仿宋" w:cs="仿宋"/>
          <w:color w:val="auto"/>
          <w:sz w:val="24"/>
          <w:szCs w:val="24"/>
        </w:rPr>
      </w:pPr>
      <w:r>
        <w:rPr>
          <w:rFonts w:hint="eastAsia" w:ascii="仿宋" w:hAnsi="仿宋" w:eastAsia="仿宋" w:cs="仿宋"/>
          <w:color w:val="auto"/>
          <w:sz w:val="24"/>
          <w:szCs w:val="24"/>
        </w:rPr>
        <w:t>2、资金来源</w:t>
      </w:r>
    </w:p>
    <w:p w14:paraId="69EA0918">
      <w:pPr>
        <w:pStyle w:val="23"/>
        <w:spacing w:before="0" w:beforeAutospacing="0" w:after="156" w:afterLines="50" w:afterAutospacing="0" w:line="440" w:lineRule="exact"/>
        <w:ind w:firstLine="440" w:firstLineChars="200"/>
        <w:jc w:val="both"/>
        <w:rPr>
          <w:rFonts w:hint="eastAsia" w:ascii="仿宋" w:hAnsi="仿宋" w:eastAsia="仿宋" w:cs="仿宋"/>
          <w:kern w:val="2"/>
        </w:rPr>
      </w:pPr>
      <w:r>
        <w:rPr>
          <w:rFonts w:hint="eastAsia" w:ascii="仿宋" w:hAnsi="仿宋" w:eastAsia="仿宋" w:cs="仿宋"/>
          <w:kern w:val="2"/>
        </w:rPr>
        <w:t>按照发行方案及筹资计划，本次拟发行项目的总投资为1,057,672.67万元，通过资本金、申请专项债券、其他融资途径解决，其一，资本金423,069.07万元，其二，拟发行专项债券210,000.00万元。其中，2022年已发行91,384.00万元,期限30年；2023年4月发行18,700.00万，期限20年；2023年调整金额20,000.00万元是由2021年江西省高质量发展专项债券（四期）——2021年江西省政府专项债券（九期）调整至本项目，期限20年；2024年已发行40,000.00万元，期限15年；2024年本期发行10,000.00万元；2025年计划发行29,916.00，期限10年。其三，银行借款融资424,603.60万元，2021年借款52,010.00万元，；2022年借款10,000.00万元，；2023年借款141,000.00万元；2024年借款136,500.00万元；2025年借款85,093.60万元。</w:t>
      </w:r>
    </w:p>
    <w:p w14:paraId="526BD24E">
      <w:pPr>
        <w:pStyle w:val="2"/>
        <w:spacing w:line="440" w:lineRule="exact"/>
        <w:ind w:firstLine="482"/>
        <w:rPr>
          <w:rFonts w:hint="eastAsia" w:ascii="仿宋" w:hAnsi="仿宋" w:eastAsia="仿宋" w:cs="仿宋"/>
          <w:b/>
          <w:sz w:val="24"/>
          <w:szCs w:val="24"/>
        </w:rPr>
      </w:pPr>
      <w:r>
        <w:rPr>
          <w:rFonts w:hint="eastAsia" w:ascii="仿宋" w:hAnsi="仿宋" w:eastAsia="仿宋" w:cs="仿宋"/>
          <w:b/>
          <w:sz w:val="24"/>
          <w:szCs w:val="24"/>
        </w:rPr>
        <w:t>三、项目预期收益、成本及融资平衡情况</w:t>
      </w:r>
    </w:p>
    <w:p w14:paraId="0D6FEC75">
      <w:pPr>
        <w:keepNext/>
        <w:widowControl/>
        <w:spacing w:after="156" w:afterLines="50" w:line="440" w:lineRule="exact"/>
        <w:ind w:firstLine="210" w:firstLineChars="100"/>
        <w:outlineLvl w:val="1"/>
        <w:rPr>
          <w:rFonts w:hint="eastAsia" w:ascii="仿宋" w:hAnsi="仿宋" w:eastAsia="仿宋" w:cs="宋体"/>
          <w:b/>
          <w:color w:val="000000"/>
          <w:kern w:val="0"/>
          <w:szCs w:val="21"/>
        </w:rPr>
      </w:pPr>
      <w:bookmarkStart w:id="31" w:name="_Toc67918952"/>
      <w:r>
        <w:rPr>
          <w:rFonts w:hint="eastAsia" w:ascii="仿宋" w:hAnsi="仿宋" w:eastAsia="仿宋" w:cs="宋体"/>
          <w:b/>
          <w:color w:val="000000"/>
          <w:kern w:val="0"/>
          <w:szCs w:val="21"/>
        </w:rPr>
        <w:t>（一）资金稳定性</w:t>
      </w:r>
    </w:p>
    <w:p w14:paraId="19CEEA1F">
      <w:pPr>
        <w:pStyle w:val="23"/>
        <w:spacing w:before="0" w:beforeAutospacing="0" w:after="156" w:afterLines="50" w:afterAutospacing="0" w:line="440" w:lineRule="exact"/>
        <w:ind w:firstLine="440" w:firstLineChars="200"/>
        <w:jc w:val="both"/>
        <w:rPr>
          <w:rFonts w:hint="eastAsia" w:ascii="仿宋" w:hAnsi="仿宋" w:eastAsia="仿宋" w:cs="仿宋"/>
          <w:kern w:val="2"/>
        </w:rPr>
      </w:pPr>
      <w:r>
        <w:rPr>
          <w:rFonts w:hint="eastAsia" w:ascii="仿宋" w:hAnsi="仿宋" w:eastAsia="仿宋" w:cs="仿宋"/>
          <w:kern w:val="2"/>
        </w:rPr>
        <w:t>根据南昌市轨道交通2号线东延工程项目可研报告，对各项收入进行了合理预测。本次申请发行的2024年江西省南昌市轨道交通2号线东延工程专项债券项目，预计业务活动现金流入合计2,271,373.36万元。项目自运营期（2026年）开始至债券到期的项目收益年度分布情况如下：</w:t>
      </w:r>
    </w:p>
    <w:p w14:paraId="31F861C8">
      <w:pPr>
        <w:pStyle w:val="23"/>
        <w:keepNext/>
        <w:spacing w:before="0" w:beforeAutospacing="0" w:after="0" w:afterAutospacing="0" w:line="440" w:lineRule="exact"/>
        <w:ind w:firstLine="422"/>
        <w:jc w:val="center"/>
        <w:rPr>
          <w:rFonts w:hint="eastAsia"/>
          <w:b/>
          <w:color w:val="000000" w:themeColor="text1"/>
          <w:sz w:val="21"/>
          <w:szCs w:val="21"/>
        </w:rPr>
      </w:pPr>
      <w:r>
        <w:rPr>
          <w:rFonts w:hint="eastAsia"/>
          <w:b/>
          <w:color w:val="000000" w:themeColor="text1"/>
          <w:sz w:val="21"/>
          <w:szCs w:val="21"/>
        </w:rPr>
        <w:t>表3-</w:t>
      </w:r>
      <w:r>
        <w:rPr>
          <w:b/>
          <w:color w:val="000000" w:themeColor="text1"/>
          <w:sz w:val="21"/>
          <w:szCs w:val="21"/>
        </w:rPr>
        <w:t xml:space="preserve">1  </w:t>
      </w:r>
      <w:r>
        <w:rPr>
          <w:rFonts w:hint="eastAsia"/>
          <w:b/>
          <w:color w:val="000000" w:themeColor="text1"/>
          <w:sz w:val="21"/>
          <w:szCs w:val="21"/>
        </w:rPr>
        <w:t>项目收益年度分布情况分析</w:t>
      </w:r>
    </w:p>
    <w:p w14:paraId="20CC0A2D">
      <w:pPr>
        <w:keepNext/>
        <w:widowControl/>
        <w:spacing w:after="0" w:line="440" w:lineRule="exact"/>
        <w:ind w:right="54" w:rightChars="26" w:firstLine="360"/>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单位：万元</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2292"/>
        <w:gridCol w:w="1644"/>
        <w:gridCol w:w="1634"/>
        <w:gridCol w:w="1916"/>
      </w:tblGrid>
      <w:tr w14:paraId="4A9170AE">
        <w:tblPrEx>
          <w:tblCellMar>
            <w:top w:w="0" w:type="dxa"/>
            <w:left w:w="108" w:type="dxa"/>
            <w:bottom w:w="0" w:type="dxa"/>
            <w:right w:w="108" w:type="dxa"/>
          </w:tblCellMar>
        </w:tblPrEx>
        <w:trPr>
          <w:trHeight w:val="270" w:hRule="atLeast"/>
          <w:tblHeader/>
          <w:jc w:val="center"/>
        </w:trPr>
        <w:tc>
          <w:tcPr>
            <w:tcW w:w="593" w:type="pct"/>
            <w:shd w:val="clear" w:color="auto" w:fill="auto"/>
            <w:noWrap/>
            <w:vAlign w:val="center"/>
          </w:tcPr>
          <w:p w14:paraId="4EAF35FD">
            <w:pPr>
              <w:widowControl/>
              <w:spacing w:after="0" w:line="240" w:lineRule="exact"/>
              <w:ind w:firstLine="0" w:firstLineChars="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年份</w:t>
            </w:r>
          </w:p>
        </w:tc>
        <w:tc>
          <w:tcPr>
            <w:tcW w:w="1349" w:type="pct"/>
            <w:shd w:val="clear" w:color="auto" w:fill="auto"/>
            <w:noWrap/>
            <w:vAlign w:val="center"/>
          </w:tcPr>
          <w:p w14:paraId="32B71C5A">
            <w:pPr>
              <w:widowControl/>
              <w:spacing w:after="0" w:line="240" w:lineRule="exact"/>
              <w:ind w:firstLine="0" w:firstLineChars="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票价收入</w:t>
            </w:r>
          </w:p>
        </w:tc>
        <w:tc>
          <w:tcPr>
            <w:tcW w:w="968" w:type="pct"/>
            <w:shd w:val="clear" w:color="auto" w:fill="auto"/>
            <w:noWrap/>
            <w:vAlign w:val="center"/>
          </w:tcPr>
          <w:p w14:paraId="35C782AF">
            <w:pPr>
              <w:widowControl/>
              <w:spacing w:after="0" w:line="240" w:lineRule="exact"/>
              <w:ind w:firstLine="0" w:firstLineChars="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广告收入</w:t>
            </w:r>
          </w:p>
        </w:tc>
        <w:tc>
          <w:tcPr>
            <w:tcW w:w="962" w:type="pct"/>
            <w:shd w:val="clear" w:color="auto" w:fill="auto"/>
            <w:noWrap/>
            <w:vAlign w:val="center"/>
          </w:tcPr>
          <w:p w14:paraId="41ED532F">
            <w:pPr>
              <w:widowControl/>
              <w:spacing w:after="0" w:line="240" w:lineRule="exact"/>
              <w:ind w:firstLine="0" w:firstLineChars="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政府性基金收入</w:t>
            </w:r>
          </w:p>
        </w:tc>
        <w:tc>
          <w:tcPr>
            <w:tcW w:w="1128" w:type="pct"/>
            <w:shd w:val="clear" w:color="auto" w:fill="auto"/>
            <w:noWrap/>
            <w:vAlign w:val="center"/>
          </w:tcPr>
          <w:p w14:paraId="489D0339">
            <w:pPr>
              <w:widowControl/>
              <w:spacing w:after="0" w:line="240" w:lineRule="exact"/>
              <w:ind w:firstLine="0" w:firstLineChars="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合计</w:t>
            </w:r>
          </w:p>
        </w:tc>
      </w:tr>
      <w:tr w14:paraId="316AC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593" w:type="pct"/>
            <w:shd w:val="clear" w:color="auto" w:fill="auto"/>
            <w:noWrap/>
            <w:vAlign w:val="center"/>
          </w:tcPr>
          <w:p w14:paraId="489CAE49">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2026</w:t>
            </w:r>
          </w:p>
        </w:tc>
        <w:tc>
          <w:tcPr>
            <w:tcW w:w="1349" w:type="pct"/>
            <w:shd w:val="clear" w:color="auto" w:fill="auto"/>
            <w:noWrap/>
            <w:vAlign w:val="center"/>
          </w:tcPr>
          <w:p w14:paraId="3DD6EFA6">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19,319.00</w:t>
            </w:r>
          </w:p>
        </w:tc>
        <w:tc>
          <w:tcPr>
            <w:tcW w:w="968" w:type="pct"/>
            <w:shd w:val="clear" w:color="auto" w:fill="auto"/>
            <w:noWrap/>
            <w:vAlign w:val="center"/>
          </w:tcPr>
          <w:p w14:paraId="79B497EE">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2,704.66</w:t>
            </w:r>
          </w:p>
        </w:tc>
        <w:tc>
          <w:tcPr>
            <w:tcW w:w="962" w:type="pct"/>
            <w:shd w:val="clear" w:color="auto" w:fill="auto"/>
            <w:noWrap/>
            <w:vAlign w:val="center"/>
          </w:tcPr>
          <w:p w14:paraId="2035837E">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40024055">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82,023.66</w:t>
            </w:r>
          </w:p>
        </w:tc>
      </w:tr>
      <w:tr w14:paraId="3A2E9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67AB65D2">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2027</w:t>
            </w:r>
          </w:p>
        </w:tc>
        <w:tc>
          <w:tcPr>
            <w:tcW w:w="1349" w:type="pct"/>
            <w:shd w:val="clear" w:color="auto" w:fill="auto"/>
            <w:noWrap/>
            <w:vAlign w:val="center"/>
          </w:tcPr>
          <w:p w14:paraId="356E0F31">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19,898.00</w:t>
            </w:r>
          </w:p>
        </w:tc>
        <w:tc>
          <w:tcPr>
            <w:tcW w:w="968" w:type="pct"/>
            <w:shd w:val="clear" w:color="auto" w:fill="auto"/>
            <w:noWrap/>
            <w:vAlign w:val="center"/>
          </w:tcPr>
          <w:p w14:paraId="5A49A5D6">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2,785.72</w:t>
            </w:r>
          </w:p>
        </w:tc>
        <w:tc>
          <w:tcPr>
            <w:tcW w:w="962" w:type="pct"/>
            <w:shd w:val="clear" w:color="auto" w:fill="auto"/>
            <w:noWrap/>
            <w:vAlign w:val="center"/>
          </w:tcPr>
          <w:p w14:paraId="566BF72E">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06F683E5">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82,683.72</w:t>
            </w:r>
          </w:p>
        </w:tc>
      </w:tr>
      <w:tr w14:paraId="4D9D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283F2A7F">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2028</w:t>
            </w:r>
          </w:p>
        </w:tc>
        <w:tc>
          <w:tcPr>
            <w:tcW w:w="1349" w:type="pct"/>
            <w:shd w:val="clear" w:color="auto" w:fill="auto"/>
            <w:noWrap/>
            <w:vAlign w:val="center"/>
          </w:tcPr>
          <w:p w14:paraId="1A4DFF57">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20,477.00</w:t>
            </w:r>
          </w:p>
        </w:tc>
        <w:tc>
          <w:tcPr>
            <w:tcW w:w="968" w:type="pct"/>
            <w:shd w:val="clear" w:color="auto" w:fill="auto"/>
            <w:noWrap/>
            <w:vAlign w:val="center"/>
          </w:tcPr>
          <w:p w14:paraId="3D495EBC">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2,866.78</w:t>
            </w:r>
          </w:p>
        </w:tc>
        <w:tc>
          <w:tcPr>
            <w:tcW w:w="962" w:type="pct"/>
            <w:shd w:val="clear" w:color="auto" w:fill="auto"/>
            <w:noWrap/>
            <w:vAlign w:val="center"/>
          </w:tcPr>
          <w:p w14:paraId="42C419A1">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78180C54">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83,343.78</w:t>
            </w:r>
          </w:p>
        </w:tc>
      </w:tr>
      <w:tr w14:paraId="14FDD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3" w:type="pct"/>
            <w:shd w:val="clear" w:color="auto" w:fill="auto"/>
            <w:noWrap/>
            <w:vAlign w:val="center"/>
          </w:tcPr>
          <w:p w14:paraId="3CB50E5A">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2029</w:t>
            </w:r>
          </w:p>
        </w:tc>
        <w:tc>
          <w:tcPr>
            <w:tcW w:w="1349" w:type="pct"/>
            <w:shd w:val="clear" w:color="auto" w:fill="auto"/>
            <w:noWrap/>
            <w:vAlign w:val="center"/>
          </w:tcPr>
          <w:p w14:paraId="08F45FE0">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21,055.00</w:t>
            </w:r>
          </w:p>
        </w:tc>
        <w:tc>
          <w:tcPr>
            <w:tcW w:w="968" w:type="pct"/>
            <w:shd w:val="clear" w:color="auto" w:fill="auto"/>
            <w:noWrap/>
            <w:vAlign w:val="center"/>
          </w:tcPr>
          <w:p w14:paraId="220ECB4D">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2,947.70</w:t>
            </w:r>
          </w:p>
        </w:tc>
        <w:tc>
          <w:tcPr>
            <w:tcW w:w="962" w:type="pct"/>
            <w:shd w:val="clear" w:color="auto" w:fill="auto"/>
            <w:noWrap/>
            <w:vAlign w:val="center"/>
          </w:tcPr>
          <w:p w14:paraId="2C9A01EB">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2B487003">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84,002.70</w:t>
            </w:r>
          </w:p>
        </w:tc>
      </w:tr>
      <w:tr w14:paraId="79A2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69F4E0A5">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2030</w:t>
            </w:r>
          </w:p>
        </w:tc>
        <w:tc>
          <w:tcPr>
            <w:tcW w:w="1349" w:type="pct"/>
            <w:shd w:val="clear" w:color="auto" w:fill="auto"/>
            <w:noWrap/>
            <w:vAlign w:val="center"/>
          </w:tcPr>
          <w:p w14:paraId="725B1785">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21,634.00</w:t>
            </w:r>
          </w:p>
        </w:tc>
        <w:tc>
          <w:tcPr>
            <w:tcW w:w="968" w:type="pct"/>
            <w:shd w:val="clear" w:color="auto" w:fill="auto"/>
            <w:noWrap/>
            <w:vAlign w:val="center"/>
          </w:tcPr>
          <w:p w14:paraId="2BA233A4">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3,028.76</w:t>
            </w:r>
          </w:p>
        </w:tc>
        <w:tc>
          <w:tcPr>
            <w:tcW w:w="962" w:type="pct"/>
            <w:shd w:val="clear" w:color="auto" w:fill="auto"/>
            <w:noWrap/>
            <w:vAlign w:val="center"/>
          </w:tcPr>
          <w:p w14:paraId="08A3EAD4">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13748F1A">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84,662.76</w:t>
            </w:r>
          </w:p>
        </w:tc>
      </w:tr>
      <w:tr w14:paraId="7321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6A5D7FBC">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2031</w:t>
            </w:r>
          </w:p>
        </w:tc>
        <w:tc>
          <w:tcPr>
            <w:tcW w:w="1349" w:type="pct"/>
            <w:shd w:val="clear" w:color="auto" w:fill="auto"/>
            <w:noWrap/>
            <w:vAlign w:val="center"/>
          </w:tcPr>
          <w:p w14:paraId="1FFA37D3">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22,213.00</w:t>
            </w:r>
          </w:p>
        </w:tc>
        <w:tc>
          <w:tcPr>
            <w:tcW w:w="968" w:type="pct"/>
            <w:shd w:val="clear" w:color="auto" w:fill="auto"/>
            <w:noWrap/>
            <w:vAlign w:val="center"/>
          </w:tcPr>
          <w:p w14:paraId="5D3C5C0A">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3,109.82</w:t>
            </w:r>
          </w:p>
        </w:tc>
        <w:tc>
          <w:tcPr>
            <w:tcW w:w="962" w:type="pct"/>
            <w:shd w:val="clear" w:color="auto" w:fill="auto"/>
            <w:noWrap/>
            <w:vAlign w:val="center"/>
          </w:tcPr>
          <w:p w14:paraId="6FA3C2EC">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7879C906">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85,322.82</w:t>
            </w:r>
          </w:p>
        </w:tc>
      </w:tr>
      <w:tr w14:paraId="36B5F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593" w:type="pct"/>
            <w:shd w:val="clear" w:color="auto" w:fill="auto"/>
            <w:noWrap/>
            <w:vAlign w:val="center"/>
          </w:tcPr>
          <w:p w14:paraId="753EF824">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2032</w:t>
            </w:r>
          </w:p>
        </w:tc>
        <w:tc>
          <w:tcPr>
            <w:tcW w:w="1349" w:type="pct"/>
            <w:shd w:val="clear" w:color="auto" w:fill="auto"/>
            <w:noWrap/>
            <w:vAlign w:val="center"/>
          </w:tcPr>
          <w:p w14:paraId="0BC27AE3">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22,792.00</w:t>
            </w:r>
          </w:p>
        </w:tc>
        <w:tc>
          <w:tcPr>
            <w:tcW w:w="968" w:type="pct"/>
            <w:shd w:val="clear" w:color="auto" w:fill="auto"/>
            <w:noWrap/>
            <w:vAlign w:val="center"/>
          </w:tcPr>
          <w:p w14:paraId="3EF1090B">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3,190.88</w:t>
            </w:r>
          </w:p>
        </w:tc>
        <w:tc>
          <w:tcPr>
            <w:tcW w:w="962" w:type="pct"/>
            <w:shd w:val="clear" w:color="auto" w:fill="auto"/>
            <w:noWrap/>
            <w:vAlign w:val="center"/>
          </w:tcPr>
          <w:p w14:paraId="3FF4B5C6">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29EE5169">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85,982.88</w:t>
            </w:r>
          </w:p>
        </w:tc>
      </w:tr>
      <w:tr w14:paraId="6B1D5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93" w:type="pct"/>
            <w:shd w:val="clear" w:color="auto" w:fill="auto"/>
            <w:noWrap/>
            <w:vAlign w:val="center"/>
          </w:tcPr>
          <w:p w14:paraId="7D334B05">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2033</w:t>
            </w:r>
          </w:p>
        </w:tc>
        <w:tc>
          <w:tcPr>
            <w:tcW w:w="1349" w:type="pct"/>
            <w:shd w:val="clear" w:color="auto" w:fill="auto"/>
            <w:noWrap/>
            <w:vAlign w:val="center"/>
          </w:tcPr>
          <w:p w14:paraId="33D2023E">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23,370.00</w:t>
            </w:r>
          </w:p>
        </w:tc>
        <w:tc>
          <w:tcPr>
            <w:tcW w:w="968" w:type="pct"/>
            <w:shd w:val="clear" w:color="auto" w:fill="auto"/>
            <w:noWrap/>
            <w:vAlign w:val="center"/>
          </w:tcPr>
          <w:p w14:paraId="1AACCF14">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3,271.80</w:t>
            </w:r>
          </w:p>
        </w:tc>
        <w:tc>
          <w:tcPr>
            <w:tcW w:w="962" w:type="pct"/>
            <w:shd w:val="clear" w:color="auto" w:fill="auto"/>
            <w:noWrap/>
            <w:vAlign w:val="center"/>
          </w:tcPr>
          <w:p w14:paraId="729101D6">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40006B33">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86,641.80</w:t>
            </w:r>
          </w:p>
        </w:tc>
      </w:tr>
      <w:tr w14:paraId="25C7C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5EE48438">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2034</w:t>
            </w:r>
          </w:p>
        </w:tc>
        <w:tc>
          <w:tcPr>
            <w:tcW w:w="1349" w:type="pct"/>
            <w:shd w:val="clear" w:color="auto" w:fill="auto"/>
            <w:noWrap/>
            <w:vAlign w:val="center"/>
          </w:tcPr>
          <w:p w14:paraId="7FB13613">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23,949.00</w:t>
            </w:r>
          </w:p>
        </w:tc>
        <w:tc>
          <w:tcPr>
            <w:tcW w:w="968" w:type="pct"/>
            <w:shd w:val="clear" w:color="auto" w:fill="auto"/>
            <w:noWrap/>
            <w:vAlign w:val="center"/>
          </w:tcPr>
          <w:p w14:paraId="4C748005">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3,352.86</w:t>
            </w:r>
          </w:p>
        </w:tc>
        <w:tc>
          <w:tcPr>
            <w:tcW w:w="962" w:type="pct"/>
            <w:shd w:val="clear" w:color="auto" w:fill="auto"/>
            <w:noWrap/>
            <w:vAlign w:val="center"/>
          </w:tcPr>
          <w:p w14:paraId="2C60293E">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001AF8CF">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87,301.86</w:t>
            </w:r>
          </w:p>
        </w:tc>
      </w:tr>
      <w:tr w14:paraId="76F6F3D2">
        <w:tblPrEx>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7B92260E">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2035</w:t>
            </w:r>
          </w:p>
        </w:tc>
        <w:tc>
          <w:tcPr>
            <w:tcW w:w="1349" w:type="pct"/>
            <w:shd w:val="clear" w:color="auto" w:fill="auto"/>
            <w:noWrap/>
            <w:vAlign w:val="center"/>
          </w:tcPr>
          <w:p w14:paraId="30CAE3FE">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24,528.00</w:t>
            </w:r>
          </w:p>
        </w:tc>
        <w:tc>
          <w:tcPr>
            <w:tcW w:w="968" w:type="pct"/>
            <w:shd w:val="clear" w:color="auto" w:fill="auto"/>
            <w:noWrap/>
            <w:vAlign w:val="center"/>
          </w:tcPr>
          <w:p w14:paraId="72995951">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3,433.92</w:t>
            </w:r>
          </w:p>
        </w:tc>
        <w:tc>
          <w:tcPr>
            <w:tcW w:w="962" w:type="pct"/>
            <w:shd w:val="clear" w:color="auto" w:fill="auto"/>
            <w:noWrap/>
            <w:vAlign w:val="center"/>
          </w:tcPr>
          <w:p w14:paraId="000474A9">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45FC312A">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87,961.92</w:t>
            </w:r>
          </w:p>
        </w:tc>
      </w:tr>
      <w:tr w14:paraId="12F39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7AF4A5A3">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2036</w:t>
            </w:r>
          </w:p>
        </w:tc>
        <w:tc>
          <w:tcPr>
            <w:tcW w:w="1349" w:type="pct"/>
            <w:shd w:val="clear" w:color="auto" w:fill="auto"/>
            <w:noWrap/>
            <w:vAlign w:val="center"/>
          </w:tcPr>
          <w:p w14:paraId="16836337">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24,857.00</w:t>
            </w:r>
          </w:p>
        </w:tc>
        <w:tc>
          <w:tcPr>
            <w:tcW w:w="968" w:type="pct"/>
            <w:shd w:val="clear" w:color="auto" w:fill="auto"/>
            <w:noWrap/>
            <w:vAlign w:val="center"/>
          </w:tcPr>
          <w:p w14:paraId="4981F857">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3,479.98</w:t>
            </w:r>
          </w:p>
        </w:tc>
        <w:tc>
          <w:tcPr>
            <w:tcW w:w="962" w:type="pct"/>
            <w:shd w:val="clear" w:color="auto" w:fill="auto"/>
            <w:noWrap/>
            <w:vAlign w:val="center"/>
          </w:tcPr>
          <w:p w14:paraId="1A2106C3">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000D2290">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88,336.98</w:t>
            </w:r>
          </w:p>
        </w:tc>
      </w:tr>
      <w:tr w14:paraId="7C19B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263C8373">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2037</w:t>
            </w:r>
          </w:p>
        </w:tc>
        <w:tc>
          <w:tcPr>
            <w:tcW w:w="1349" w:type="pct"/>
            <w:shd w:val="clear" w:color="auto" w:fill="auto"/>
            <w:noWrap/>
            <w:vAlign w:val="center"/>
          </w:tcPr>
          <w:p w14:paraId="7A8B8B24">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25,185.00</w:t>
            </w:r>
          </w:p>
        </w:tc>
        <w:tc>
          <w:tcPr>
            <w:tcW w:w="968" w:type="pct"/>
            <w:shd w:val="clear" w:color="auto" w:fill="auto"/>
            <w:noWrap/>
            <w:vAlign w:val="center"/>
          </w:tcPr>
          <w:p w14:paraId="5665CCD4">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3,525.90</w:t>
            </w:r>
          </w:p>
        </w:tc>
        <w:tc>
          <w:tcPr>
            <w:tcW w:w="962" w:type="pct"/>
            <w:shd w:val="clear" w:color="auto" w:fill="auto"/>
            <w:noWrap/>
            <w:vAlign w:val="center"/>
          </w:tcPr>
          <w:p w14:paraId="1A6FB876">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4B04395E">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88,710.90</w:t>
            </w:r>
          </w:p>
        </w:tc>
      </w:tr>
      <w:tr w14:paraId="62BB2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014DF365">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2038</w:t>
            </w:r>
          </w:p>
        </w:tc>
        <w:tc>
          <w:tcPr>
            <w:tcW w:w="1349" w:type="pct"/>
            <w:shd w:val="clear" w:color="auto" w:fill="auto"/>
            <w:noWrap/>
            <w:vAlign w:val="center"/>
          </w:tcPr>
          <w:p w14:paraId="267F0CAF">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19,319.00</w:t>
            </w:r>
          </w:p>
        </w:tc>
        <w:tc>
          <w:tcPr>
            <w:tcW w:w="968" w:type="pct"/>
            <w:shd w:val="clear" w:color="auto" w:fill="auto"/>
            <w:noWrap/>
            <w:vAlign w:val="center"/>
          </w:tcPr>
          <w:p w14:paraId="731668BE">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2,704.66</w:t>
            </w:r>
          </w:p>
        </w:tc>
        <w:tc>
          <w:tcPr>
            <w:tcW w:w="962" w:type="pct"/>
            <w:shd w:val="clear" w:color="auto" w:fill="auto"/>
            <w:noWrap/>
            <w:vAlign w:val="center"/>
          </w:tcPr>
          <w:p w14:paraId="3DBD3E31">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2007B518">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82,023.66</w:t>
            </w:r>
          </w:p>
        </w:tc>
      </w:tr>
      <w:tr w14:paraId="7A28E278">
        <w:tblPrEx>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4079C05B">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2039</w:t>
            </w:r>
          </w:p>
        </w:tc>
        <w:tc>
          <w:tcPr>
            <w:tcW w:w="1349" w:type="pct"/>
            <w:shd w:val="clear" w:color="auto" w:fill="auto"/>
            <w:noWrap/>
            <w:vAlign w:val="center"/>
          </w:tcPr>
          <w:p w14:paraId="19D54AE9">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19,898.00</w:t>
            </w:r>
          </w:p>
        </w:tc>
        <w:tc>
          <w:tcPr>
            <w:tcW w:w="968" w:type="pct"/>
            <w:shd w:val="clear" w:color="auto" w:fill="auto"/>
            <w:noWrap/>
            <w:vAlign w:val="center"/>
          </w:tcPr>
          <w:p w14:paraId="26A79D0B">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2,785.72</w:t>
            </w:r>
          </w:p>
        </w:tc>
        <w:tc>
          <w:tcPr>
            <w:tcW w:w="962" w:type="pct"/>
            <w:shd w:val="clear" w:color="auto" w:fill="auto"/>
            <w:noWrap/>
            <w:vAlign w:val="center"/>
          </w:tcPr>
          <w:p w14:paraId="07408504">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513BB202">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82,683.72</w:t>
            </w:r>
          </w:p>
        </w:tc>
      </w:tr>
      <w:tr w14:paraId="199A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0D851D71">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2040</w:t>
            </w:r>
          </w:p>
        </w:tc>
        <w:tc>
          <w:tcPr>
            <w:tcW w:w="1349" w:type="pct"/>
            <w:shd w:val="clear" w:color="auto" w:fill="auto"/>
            <w:noWrap/>
            <w:vAlign w:val="center"/>
          </w:tcPr>
          <w:p w14:paraId="46C737AA">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20,477.00</w:t>
            </w:r>
          </w:p>
        </w:tc>
        <w:tc>
          <w:tcPr>
            <w:tcW w:w="968" w:type="pct"/>
            <w:shd w:val="clear" w:color="auto" w:fill="auto"/>
            <w:noWrap/>
            <w:vAlign w:val="center"/>
          </w:tcPr>
          <w:p w14:paraId="63AF56C3">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2,866.78</w:t>
            </w:r>
          </w:p>
        </w:tc>
        <w:tc>
          <w:tcPr>
            <w:tcW w:w="962" w:type="pct"/>
            <w:shd w:val="clear" w:color="auto" w:fill="auto"/>
            <w:noWrap/>
            <w:vAlign w:val="center"/>
          </w:tcPr>
          <w:p w14:paraId="58A06728">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1CA24E16">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83,343.78</w:t>
            </w:r>
          </w:p>
        </w:tc>
      </w:tr>
      <w:tr w14:paraId="76D8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552EBBD4">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2041</w:t>
            </w:r>
          </w:p>
        </w:tc>
        <w:tc>
          <w:tcPr>
            <w:tcW w:w="1349" w:type="pct"/>
            <w:shd w:val="clear" w:color="auto" w:fill="auto"/>
            <w:noWrap/>
            <w:vAlign w:val="center"/>
          </w:tcPr>
          <w:p w14:paraId="7CE89173">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21,055.00</w:t>
            </w:r>
          </w:p>
        </w:tc>
        <w:tc>
          <w:tcPr>
            <w:tcW w:w="968" w:type="pct"/>
            <w:shd w:val="clear" w:color="auto" w:fill="auto"/>
            <w:noWrap/>
            <w:vAlign w:val="center"/>
          </w:tcPr>
          <w:p w14:paraId="0120D607">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2,947.70</w:t>
            </w:r>
          </w:p>
        </w:tc>
        <w:tc>
          <w:tcPr>
            <w:tcW w:w="962" w:type="pct"/>
            <w:shd w:val="clear" w:color="auto" w:fill="auto"/>
            <w:noWrap/>
            <w:vAlign w:val="center"/>
          </w:tcPr>
          <w:p w14:paraId="63BF77B9">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4360E25A">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84,002.70</w:t>
            </w:r>
          </w:p>
        </w:tc>
      </w:tr>
      <w:tr w14:paraId="3E19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6A2B14E0">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2042</w:t>
            </w:r>
          </w:p>
        </w:tc>
        <w:tc>
          <w:tcPr>
            <w:tcW w:w="1349" w:type="pct"/>
            <w:shd w:val="clear" w:color="auto" w:fill="auto"/>
            <w:noWrap/>
            <w:vAlign w:val="center"/>
          </w:tcPr>
          <w:p w14:paraId="11CCD222">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21,634.00</w:t>
            </w:r>
          </w:p>
        </w:tc>
        <w:tc>
          <w:tcPr>
            <w:tcW w:w="968" w:type="pct"/>
            <w:shd w:val="clear" w:color="auto" w:fill="auto"/>
            <w:noWrap/>
            <w:vAlign w:val="center"/>
          </w:tcPr>
          <w:p w14:paraId="79A62662">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3,028.76</w:t>
            </w:r>
          </w:p>
        </w:tc>
        <w:tc>
          <w:tcPr>
            <w:tcW w:w="962" w:type="pct"/>
            <w:shd w:val="clear" w:color="auto" w:fill="auto"/>
            <w:noWrap/>
            <w:vAlign w:val="center"/>
          </w:tcPr>
          <w:p w14:paraId="761B7B1A">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174E9E3E">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84,662.76</w:t>
            </w:r>
          </w:p>
        </w:tc>
      </w:tr>
      <w:tr w14:paraId="72791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6F57A315">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2043</w:t>
            </w:r>
          </w:p>
        </w:tc>
        <w:tc>
          <w:tcPr>
            <w:tcW w:w="1349" w:type="pct"/>
            <w:shd w:val="clear" w:color="auto" w:fill="auto"/>
            <w:noWrap/>
            <w:vAlign w:val="center"/>
          </w:tcPr>
          <w:p w14:paraId="101856B1">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22,213.00</w:t>
            </w:r>
          </w:p>
        </w:tc>
        <w:tc>
          <w:tcPr>
            <w:tcW w:w="968" w:type="pct"/>
            <w:shd w:val="clear" w:color="auto" w:fill="auto"/>
            <w:noWrap/>
            <w:vAlign w:val="center"/>
          </w:tcPr>
          <w:p w14:paraId="10C273BC">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3,109.82</w:t>
            </w:r>
          </w:p>
        </w:tc>
        <w:tc>
          <w:tcPr>
            <w:tcW w:w="962" w:type="pct"/>
            <w:shd w:val="clear" w:color="auto" w:fill="auto"/>
            <w:noWrap/>
            <w:vAlign w:val="center"/>
          </w:tcPr>
          <w:p w14:paraId="0EDEA5F4">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0E912D07">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85,322.82</w:t>
            </w:r>
          </w:p>
        </w:tc>
      </w:tr>
      <w:tr w14:paraId="1441A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2BBBBB3D">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2044</w:t>
            </w:r>
          </w:p>
        </w:tc>
        <w:tc>
          <w:tcPr>
            <w:tcW w:w="1349" w:type="pct"/>
            <w:shd w:val="clear" w:color="auto" w:fill="auto"/>
            <w:noWrap/>
            <w:vAlign w:val="center"/>
          </w:tcPr>
          <w:p w14:paraId="5C0ADF5C">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22,792.00</w:t>
            </w:r>
          </w:p>
        </w:tc>
        <w:tc>
          <w:tcPr>
            <w:tcW w:w="968" w:type="pct"/>
            <w:shd w:val="clear" w:color="auto" w:fill="auto"/>
            <w:noWrap/>
            <w:vAlign w:val="center"/>
          </w:tcPr>
          <w:p w14:paraId="2827C236">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3,190.88</w:t>
            </w:r>
          </w:p>
        </w:tc>
        <w:tc>
          <w:tcPr>
            <w:tcW w:w="962" w:type="pct"/>
            <w:shd w:val="clear" w:color="auto" w:fill="auto"/>
            <w:noWrap/>
            <w:vAlign w:val="center"/>
          </w:tcPr>
          <w:p w14:paraId="185259C7">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2A4AD7B3">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85,982.88</w:t>
            </w:r>
          </w:p>
        </w:tc>
      </w:tr>
      <w:tr w14:paraId="55943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36D1CD09">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2045</w:t>
            </w:r>
          </w:p>
        </w:tc>
        <w:tc>
          <w:tcPr>
            <w:tcW w:w="1349" w:type="pct"/>
            <w:shd w:val="clear" w:color="auto" w:fill="auto"/>
            <w:noWrap/>
            <w:vAlign w:val="center"/>
          </w:tcPr>
          <w:p w14:paraId="29B39123">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23,370.00</w:t>
            </w:r>
          </w:p>
        </w:tc>
        <w:tc>
          <w:tcPr>
            <w:tcW w:w="968" w:type="pct"/>
            <w:shd w:val="clear" w:color="auto" w:fill="auto"/>
            <w:noWrap/>
            <w:vAlign w:val="center"/>
          </w:tcPr>
          <w:p w14:paraId="68D3AE66">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3,271.80</w:t>
            </w:r>
          </w:p>
        </w:tc>
        <w:tc>
          <w:tcPr>
            <w:tcW w:w="962" w:type="pct"/>
            <w:shd w:val="clear" w:color="auto" w:fill="auto"/>
            <w:noWrap/>
            <w:vAlign w:val="center"/>
          </w:tcPr>
          <w:p w14:paraId="1BD67239">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0CE8AF28">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86,641.80</w:t>
            </w:r>
          </w:p>
        </w:tc>
      </w:tr>
      <w:tr w14:paraId="181E4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3250C49C">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2046</w:t>
            </w:r>
          </w:p>
        </w:tc>
        <w:tc>
          <w:tcPr>
            <w:tcW w:w="1349" w:type="pct"/>
            <w:shd w:val="clear" w:color="auto" w:fill="auto"/>
            <w:noWrap/>
            <w:vAlign w:val="center"/>
          </w:tcPr>
          <w:p w14:paraId="5F935F60">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23,949.00</w:t>
            </w:r>
          </w:p>
        </w:tc>
        <w:tc>
          <w:tcPr>
            <w:tcW w:w="968" w:type="pct"/>
            <w:shd w:val="clear" w:color="auto" w:fill="auto"/>
            <w:noWrap/>
            <w:vAlign w:val="center"/>
          </w:tcPr>
          <w:p w14:paraId="33BEC363">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3,352.86</w:t>
            </w:r>
          </w:p>
        </w:tc>
        <w:tc>
          <w:tcPr>
            <w:tcW w:w="962" w:type="pct"/>
            <w:shd w:val="clear" w:color="auto" w:fill="auto"/>
            <w:noWrap/>
            <w:vAlign w:val="center"/>
          </w:tcPr>
          <w:p w14:paraId="385A7AD1">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02267334">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87,301.86</w:t>
            </w:r>
          </w:p>
        </w:tc>
      </w:tr>
      <w:tr w14:paraId="376E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5D5AAD2F">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2047</w:t>
            </w:r>
          </w:p>
        </w:tc>
        <w:tc>
          <w:tcPr>
            <w:tcW w:w="1349" w:type="pct"/>
            <w:shd w:val="clear" w:color="auto" w:fill="auto"/>
            <w:noWrap/>
            <w:vAlign w:val="center"/>
          </w:tcPr>
          <w:p w14:paraId="7AB2BAD7">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24,528.00</w:t>
            </w:r>
          </w:p>
        </w:tc>
        <w:tc>
          <w:tcPr>
            <w:tcW w:w="968" w:type="pct"/>
            <w:shd w:val="clear" w:color="auto" w:fill="auto"/>
            <w:noWrap/>
            <w:vAlign w:val="center"/>
          </w:tcPr>
          <w:p w14:paraId="35B6B0FC">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3,433.92</w:t>
            </w:r>
          </w:p>
        </w:tc>
        <w:tc>
          <w:tcPr>
            <w:tcW w:w="962" w:type="pct"/>
            <w:shd w:val="clear" w:color="auto" w:fill="auto"/>
            <w:noWrap/>
            <w:vAlign w:val="center"/>
          </w:tcPr>
          <w:p w14:paraId="3CB07629">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58B1C8BA">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87,961.92</w:t>
            </w:r>
          </w:p>
        </w:tc>
      </w:tr>
      <w:tr w14:paraId="344BF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224537AE">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2048</w:t>
            </w:r>
          </w:p>
        </w:tc>
        <w:tc>
          <w:tcPr>
            <w:tcW w:w="1349" w:type="pct"/>
            <w:shd w:val="clear" w:color="auto" w:fill="auto"/>
            <w:noWrap/>
            <w:vAlign w:val="center"/>
          </w:tcPr>
          <w:p w14:paraId="5475C522">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24,857.00</w:t>
            </w:r>
          </w:p>
        </w:tc>
        <w:tc>
          <w:tcPr>
            <w:tcW w:w="968" w:type="pct"/>
            <w:shd w:val="clear" w:color="auto" w:fill="auto"/>
            <w:noWrap/>
            <w:vAlign w:val="center"/>
          </w:tcPr>
          <w:p w14:paraId="451888A9">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3,479.98</w:t>
            </w:r>
          </w:p>
        </w:tc>
        <w:tc>
          <w:tcPr>
            <w:tcW w:w="962" w:type="pct"/>
            <w:shd w:val="clear" w:color="auto" w:fill="auto"/>
            <w:noWrap/>
            <w:vAlign w:val="center"/>
          </w:tcPr>
          <w:p w14:paraId="593F9708">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7791ED5D">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88,336.98</w:t>
            </w:r>
          </w:p>
        </w:tc>
      </w:tr>
      <w:tr w14:paraId="6BEA0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609D8AB6">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2049</w:t>
            </w:r>
          </w:p>
        </w:tc>
        <w:tc>
          <w:tcPr>
            <w:tcW w:w="1349" w:type="pct"/>
            <w:shd w:val="clear" w:color="auto" w:fill="auto"/>
            <w:noWrap/>
            <w:vAlign w:val="center"/>
          </w:tcPr>
          <w:p w14:paraId="16DF5969">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25,185.00</w:t>
            </w:r>
          </w:p>
        </w:tc>
        <w:tc>
          <w:tcPr>
            <w:tcW w:w="968" w:type="pct"/>
            <w:shd w:val="clear" w:color="auto" w:fill="auto"/>
            <w:noWrap/>
            <w:vAlign w:val="center"/>
          </w:tcPr>
          <w:p w14:paraId="1175DD33">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3,525.90</w:t>
            </w:r>
          </w:p>
        </w:tc>
        <w:tc>
          <w:tcPr>
            <w:tcW w:w="962" w:type="pct"/>
            <w:shd w:val="clear" w:color="auto" w:fill="auto"/>
            <w:noWrap/>
            <w:vAlign w:val="center"/>
          </w:tcPr>
          <w:p w14:paraId="71B3AF03">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154DFCDB">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88,710.90</w:t>
            </w:r>
          </w:p>
        </w:tc>
      </w:tr>
      <w:tr w14:paraId="5F257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0D0C9E69">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2050</w:t>
            </w:r>
          </w:p>
        </w:tc>
        <w:tc>
          <w:tcPr>
            <w:tcW w:w="1349" w:type="pct"/>
            <w:shd w:val="clear" w:color="auto" w:fill="auto"/>
            <w:noWrap/>
            <w:vAlign w:val="center"/>
          </w:tcPr>
          <w:p w14:paraId="3825E368">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25,185.00</w:t>
            </w:r>
          </w:p>
        </w:tc>
        <w:tc>
          <w:tcPr>
            <w:tcW w:w="968" w:type="pct"/>
            <w:shd w:val="clear" w:color="auto" w:fill="auto"/>
            <w:noWrap/>
            <w:vAlign w:val="center"/>
          </w:tcPr>
          <w:p w14:paraId="2091EEA4">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3,525.90</w:t>
            </w:r>
          </w:p>
        </w:tc>
        <w:tc>
          <w:tcPr>
            <w:tcW w:w="962" w:type="pct"/>
            <w:shd w:val="clear" w:color="auto" w:fill="auto"/>
            <w:noWrap/>
            <w:vAlign w:val="center"/>
          </w:tcPr>
          <w:p w14:paraId="197CC599">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60,000.00</w:t>
            </w:r>
          </w:p>
        </w:tc>
        <w:tc>
          <w:tcPr>
            <w:tcW w:w="1128" w:type="pct"/>
            <w:shd w:val="clear" w:color="auto" w:fill="auto"/>
            <w:noWrap/>
            <w:vAlign w:val="center"/>
          </w:tcPr>
          <w:p w14:paraId="62B54503">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88,710.90</w:t>
            </w:r>
          </w:p>
        </w:tc>
      </w:tr>
      <w:tr w14:paraId="7A3DC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3BD593FD">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2051</w:t>
            </w:r>
          </w:p>
        </w:tc>
        <w:tc>
          <w:tcPr>
            <w:tcW w:w="1349" w:type="pct"/>
            <w:shd w:val="clear" w:color="auto" w:fill="auto"/>
            <w:noWrap/>
            <w:vAlign w:val="center"/>
          </w:tcPr>
          <w:p w14:paraId="0B9B3132">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25,185.00</w:t>
            </w:r>
          </w:p>
        </w:tc>
        <w:tc>
          <w:tcPr>
            <w:tcW w:w="968" w:type="pct"/>
            <w:shd w:val="clear" w:color="auto" w:fill="auto"/>
            <w:noWrap/>
            <w:vAlign w:val="center"/>
          </w:tcPr>
          <w:p w14:paraId="5BBB0E4C">
            <w:pPr>
              <w:widowControl/>
              <w:spacing w:after="0"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3,525.90</w:t>
            </w:r>
          </w:p>
        </w:tc>
        <w:tc>
          <w:tcPr>
            <w:tcW w:w="962" w:type="pct"/>
            <w:shd w:val="clear" w:color="auto" w:fill="auto"/>
            <w:noWrap/>
            <w:vAlign w:val="center"/>
          </w:tcPr>
          <w:p w14:paraId="32207039">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100,000.00</w:t>
            </w:r>
          </w:p>
        </w:tc>
        <w:tc>
          <w:tcPr>
            <w:tcW w:w="1128" w:type="pct"/>
            <w:shd w:val="clear" w:color="auto" w:fill="auto"/>
            <w:noWrap/>
            <w:vAlign w:val="center"/>
          </w:tcPr>
          <w:p w14:paraId="217E02CA">
            <w:pPr>
              <w:spacing w:line="240" w:lineRule="exact"/>
              <w:ind w:firstLine="0" w:firstLineChars="0"/>
              <w:jc w:val="center"/>
              <w:rPr>
                <w:rFonts w:hint="eastAsia" w:ascii="宋体" w:hAnsi="宋体" w:eastAsia="宋体" w:cs="宋体"/>
                <w:bCs/>
                <w:kern w:val="0"/>
                <w:sz w:val="18"/>
                <w:szCs w:val="18"/>
              </w:rPr>
            </w:pPr>
            <w:r>
              <w:rPr>
                <w:rFonts w:ascii="宋体" w:hAnsi="宋体" w:eastAsia="宋体" w:cs="宋体"/>
                <w:bCs/>
                <w:kern w:val="0"/>
                <w:sz w:val="18"/>
                <w:szCs w:val="18"/>
              </w:rPr>
              <w:t>128,710.90</w:t>
            </w:r>
          </w:p>
        </w:tc>
      </w:tr>
      <w:tr w14:paraId="12A8C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93" w:type="pct"/>
            <w:shd w:val="clear" w:color="auto" w:fill="auto"/>
            <w:noWrap/>
            <w:vAlign w:val="center"/>
          </w:tcPr>
          <w:p w14:paraId="304202B6">
            <w:pPr>
              <w:widowControl/>
              <w:spacing w:after="0" w:line="240" w:lineRule="exact"/>
              <w:ind w:firstLine="0" w:firstLineChars="0"/>
              <w:jc w:val="center"/>
              <w:rPr>
                <w:rFonts w:hint="eastAsia" w:ascii="宋体" w:hAnsi="宋体" w:eastAsia="宋体" w:cs="宋体"/>
                <w:b/>
                <w:bCs/>
                <w:kern w:val="0"/>
                <w:sz w:val="18"/>
                <w:szCs w:val="18"/>
              </w:rPr>
            </w:pPr>
            <w:r>
              <w:rPr>
                <w:rFonts w:hint="eastAsia" w:ascii="宋体" w:hAnsi="宋体" w:eastAsia="宋体" w:cs="宋体"/>
                <w:b/>
                <w:bCs/>
                <w:kern w:val="0"/>
                <w:sz w:val="18"/>
                <w:szCs w:val="18"/>
              </w:rPr>
              <w:t>合计</w:t>
            </w:r>
          </w:p>
        </w:tc>
        <w:tc>
          <w:tcPr>
            <w:tcW w:w="1349" w:type="pct"/>
            <w:shd w:val="clear" w:color="auto" w:fill="auto"/>
            <w:noWrap/>
            <w:vAlign w:val="center"/>
          </w:tcPr>
          <w:p w14:paraId="6F6EC247">
            <w:pPr>
              <w:widowControl/>
              <w:spacing w:after="0" w:line="240" w:lineRule="exact"/>
              <w:ind w:firstLine="0" w:firstLineChars="0"/>
              <w:jc w:val="center"/>
              <w:rPr>
                <w:rFonts w:hint="eastAsia" w:ascii="宋体" w:hAnsi="宋体" w:eastAsia="宋体" w:cs="宋体"/>
                <w:b/>
                <w:bCs/>
                <w:kern w:val="0"/>
                <w:sz w:val="18"/>
                <w:szCs w:val="18"/>
              </w:rPr>
            </w:pPr>
            <w:r>
              <w:rPr>
                <w:rFonts w:ascii="宋体" w:hAnsi="宋体" w:eastAsia="宋体" w:cs="宋体"/>
                <w:b/>
                <w:bCs/>
                <w:kern w:val="0"/>
                <w:sz w:val="18"/>
                <w:szCs w:val="18"/>
              </w:rPr>
              <w:t>588,924.00</w:t>
            </w:r>
          </w:p>
        </w:tc>
        <w:tc>
          <w:tcPr>
            <w:tcW w:w="968" w:type="pct"/>
            <w:shd w:val="clear" w:color="auto" w:fill="auto"/>
            <w:noWrap/>
            <w:vAlign w:val="center"/>
          </w:tcPr>
          <w:p w14:paraId="0720068C">
            <w:pPr>
              <w:widowControl/>
              <w:spacing w:after="0" w:line="240" w:lineRule="exact"/>
              <w:ind w:firstLine="0" w:firstLineChars="0"/>
              <w:jc w:val="center"/>
              <w:rPr>
                <w:rFonts w:hint="eastAsia" w:ascii="宋体" w:hAnsi="宋体" w:eastAsia="宋体" w:cs="宋体"/>
                <w:b/>
                <w:bCs/>
                <w:kern w:val="0"/>
                <w:sz w:val="18"/>
                <w:szCs w:val="18"/>
              </w:rPr>
            </w:pPr>
            <w:r>
              <w:rPr>
                <w:rFonts w:ascii="宋体" w:hAnsi="宋体" w:eastAsia="宋体" w:cs="宋体"/>
                <w:b/>
                <w:bCs/>
                <w:kern w:val="0"/>
                <w:sz w:val="18"/>
                <w:szCs w:val="18"/>
              </w:rPr>
              <w:t>82,449.36</w:t>
            </w:r>
          </w:p>
        </w:tc>
        <w:tc>
          <w:tcPr>
            <w:tcW w:w="962" w:type="pct"/>
            <w:shd w:val="clear" w:color="auto" w:fill="auto"/>
            <w:noWrap/>
            <w:vAlign w:val="center"/>
          </w:tcPr>
          <w:p w14:paraId="72A7D9EF">
            <w:pPr>
              <w:widowControl/>
              <w:spacing w:after="0" w:line="240" w:lineRule="exact"/>
              <w:ind w:firstLine="0" w:firstLineChars="0"/>
              <w:jc w:val="center"/>
              <w:rPr>
                <w:rFonts w:hint="eastAsia" w:ascii="宋体" w:hAnsi="宋体" w:eastAsia="宋体" w:cs="宋体"/>
                <w:b/>
                <w:bCs/>
                <w:kern w:val="0"/>
                <w:sz w:val="18"/>
                <w:szCs w:val="18"/>
              </w:rPr>
            </w:pPr>
            <w:r>
              <w:rPr>
                <w:rFonts w:ascii="宋体" w:hAnsi="宋体" w:eastAsia="宋体" w:cs="宋体"/>
                <w:b/>
                <w:bCs/>
                <w:kern w:val="0"/>
                <w:sz w:val="18"/>
                <w:szCs w:val="18"/>
              </w:rPr>
              <w:t>1,600,000.00</w:t>
            </w:r>
          </w:p>
        </w:tc>
        <w:tc>
          <w:tcPr>
            <w:tcW w:w="1128" w:type="pct"/>
            <w:shd w:val="clear" w:color="auto" w:fill="auto"/>
            <w:noWrap/>
            <w:vAlign w:val="center"/>
          </w:tcPr>
          <w:p w14:paraId="2C60A50E">
            <w:pPr>
              <w:widowControl/>
              <w:spacing w:after="0" w:line="240" w:lineRule="exact"/>
              <w:ind w:firstLine="0" w:firstLineChars="0"/>
              <w:jc w:val="center"/>
              <w:rPr>
                <w:rFonts w:hint="eastAsia" w:ascii="宋体" w:hAnsi="宋体" w:eastAsia="宋体" w:cs="宋体"/>
                <w:b/>
                <w:bCs/>
                <w:kern w:val="0"/>
                <w:sz w:val="18"/>
                <w:szCs w:val="18"/>
              </w:rPr>
            </w:pPr>
            <w:r>
              <w:rPr>
                <w:rFonts w:ascii="宋体" w:hAnsi="宋体" w:eastAsia="宋体" w:cs="宋体"/>
                <w:b/>
                <w:bCs/>
                <w:kern w:val="0"/>
                <w:sz w:val="18"/>
                <w:szCs w:val="18"/>
              </w:rPr>
              <w:t>2,271,373.36</w:t>
            </w:r>
          </w:p>
        </w:tc>
      </w:tr>
    </w:tbl>
    <w:p w14:paraId="70F57288">
      <w:pPr>
        <w:pStyle w:val="23"/>
        <w:spacing w:before="0" w:beforeAutospacing="0" w:after="156" w:afterLines="50" w:afterAutospacing="0" w:line="440" w:lineRule="exact"/>
        <w:ind w:firstLine="360" w:firstLineChars="200"/>
        <w:rPr>
          <w:rFonts w:hint="eastAsia"/>
          <w:color w:val="000000" w:themeColor="text1"/>
          <w:sz w:val="18"/>
          <w:szCs w:val="18"/>
        </w:rPr>
      </w:pPr>
      <w:r>
        <w:rPr>
          <w:rFonts w:hint="eastAsia"/>
          <w:color w:val="000000" w:themeColor="text1"/>
          <w:sz w:val="18"/>
          <w:szCs w:val="18"/>
        </w:rPr>
        <w:t>注：2</w:t>
      </w:r>
      <w:r>
        <w:rPr>
          <w:color w:val="000000" w:themeColor="text1"/>
          <w:sz w:val="18"/>
          <w:szCs w:val="18"/>
        </w:rPr>
        <w:t>022</w:t>
      </w:r>
      <w:r>
        <w:rPr>
          <w:rFonts w:hint="eastAsia"/>
          <w:color w:val="000000" w:themeColor="text1"/>
          <w:sz w:val="18"/>
          <w:szCs w:val="18"/>
        </w:rPr>
        <w:t>年、2</w:t>
      </w:r>
      <w:r>
        <w:rPr>
          <w:color w:val="000000" w:themeColor="text1"/>
          <w:sz w:val="18"/>
          <w:szCs w:val="18"/>
        </w:rPr>
        <w:t>023</w:t>
      </w:r>
      <w:r>
        <w:rPr>
          <w:rFonts w:hint="eastAsia"/>
          <w:color w:val="000000" w:themeColor="text1"/>
          <w:sz w:val="18"/>
          <w:szCs w:val="18"/>
        </w:rPr>
        <w:t>年、2</w:t>
      </w:r>
      <w:r>
        <w:rPr>
          <w:color w:val="000000" w:themeColor="text1"/>
          <w:sz w:val="18"/>
          <w:szCs w:val="18"/>
        </w:rPr>
        <w:t>024</w:t>
      </w:r>
      <w:r>
        <w:rPr>
          <w:rFonts w:hint="eastAsia"/>
          <w:color w:val="000000" w:themeColor="text1"/>
          <w:sz w:val="18"/>
          <w:szCs w:val="18"/>
        </w:rPr>
        <w:t>年、2</w:t>
      </w:r>
      <w:r>
        <w:rPr>
          <w:color w:val="000000" w:themeColor="text1"/>
          <w:sz w:val="18"/>
          <w:szCs w:val="18"/>
        </w:rPr>
        <w:t>025</w:t>
      </w:r>
      <w:r>
        <w:rPr>
          <w:rFonts w:hint="eastAsia"/>
          <w:color w:val="000000" w:themeColor="text1"/>
          <w:sz w:val="18"/>
          <w:szCs w:val="18"/>
        </w:rPr>
        <w:t>年发行债券，最后一期债券到期年份为2</w:t>
      </w:r>
      <w:r>
        <w:rPr>
          <w:color w:val="000000" w:themeColor="text1"/>
          <w:sz w:val="18"/>
          <w:szCs w:val="18"/>
        </w:rPr>
        <w:t>05</w:t>
      </w:r>
      <w:r>
        <w:rPr>
          <w:rFonts w:hint="eastAsia"/>
          <w:color w:val="000000" w:themeColor="text1"/>
          <w:sz w:val="18"/>
          <w:szCs w:val="18"/>
        </w:rPr>
        <w:t>2</w:t>
      </w:r>
      <w:r>
        <w:rPr>
          <w:color w:val="000000" w:themeColor="text1"/>
          <w:sz w:val="18"/>
          <w:szCs w:val="18"/>
        </w:rPr>
        <w:t>年</w:t>
      </w:r>
      <w:r>
        <w:rPr>
          <w:rFonts w:hint="eastAsia"/>
          <w:color w:val="000000" w:themeColor="text1"/>
          <w:sz w:val="18"/>
          <w:szCs w:val="18"/>
        </w:rPr>
        <w:t>，保守起见，2</w:t>
      </w:r>
      <w:r>
        <w:rPr>
          <w:color w:val="000000" w:themeColor="text1"/>
          <w:sz w:val="18"/>
          <w:szCs w:val="18"/>
        </w:rPr>
        <w:t>052</w:t>
      </w:r>
      <w:r>
        <w:rPr>
          <w:rFonts w:hint="eastAsia"/>
          <w:color w:val="000000" w:themeColor="text1"/>
          <w:sz w:val="18"/>
          <w:szCs w:val="18"/>
        </w:rPr>
        <w:t>年的收入成本暂忽略不计，故上表中仅列示从运营期（202</w:t>
      </w:r>
      <w:r>
        <w:rPr>
          <w:color w:val="000000" w:themeColor="text1"/>
          <w:sz w:val="18"/>
          <w:szCs w:val="18"/>
        </w:rPr>
        <w:t>6</w:t>
      </w:r>
      <w:r>
        <w:rPr>
          <w:rFonts w:hint="eastAsia"/>
          <w:color w:val="000000" w:themeColor="text1"/>
          <w:sz w:val="18"/>
          <w:szCs w:val="18"/>
        </w:rPr>
        <w:t>年）开始至2</w:t>
      </w:r>
      <w:r>
        <w:rPr>
          <w:color w:val="000000" w:themeColor="text1"/>
          <w:sz w:val="18"/>
          <w:szCs w:val="18"/>
        </w:rPr>
        <w:t>051年12</w:t>
      </w:r>
      <w:r>
        <w:rPr>
          <w:rFonts w:hint="eastAsia"/>
          <w:color w:val="000000" w:themeColor="text1"/>
          <w:sz w:val="18"/>
          <w:szCs w:val="18"/>
        </w:rPr>
        <w:t>月的收入数据；后续每年实际情况可能会结合实际需求有一定调整。</w:t>
      </w:r>
    </w:p>
    <w:p w14:paraId="1337B2E3">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本项目经营收入的估算依据如下：</w:t>
      </w:r>
    </w:p>
    <w:p w14:paraId="5AD65C18">
      <w:pPr>
        <w:widowControl/>
        <w:spacing w:before="100" w:beforeAutospacing="1"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（1）票价收入</w:t>
      </w:r>
    </w:p>
    <w:p w14:paraId="6C97F64F">
      <w:pPr>
        <w:pStyle w:val="23"/>
        <w:spacing w:before="0" w:beforeAutospacing="0" w:after="156" w:afterLines="50" w:afterAutospacing="0" w:line="440" w:lineRule="exact"/>
        <w:ind w:firstLine="440" w:firstLineChars="200"/>
        <w:jc w:val="both"/>
        <w:rPr>
          <w:rFonts w:hint="eastAsia" w:ascii="仿宋" w:hAnsi="仿宋" w:eastAsia="仿宋"/>
          <w:color w:val="000000"/>
          <w:szCs w:val="21"/>
        </w:rPr>
      </w:pPr>
      <w:r>
        <w:rPr>
          <w:rFonts w:hint="eastAsia" w:ascii="仿宋" w:hAnsi="仿宋" w:eastAsia="仿宋"/>
          <w:color w:val="000000"/>
          <w:szCs w:val="21"/>
        </w:rPr>
        <w:t>运营票价收入=客运票价×客运量。根据上海市隧道工程轨道交通设计研究院、南昌轨道交通设计研究院有限公司编制的《南昌市轨道交通2号线东延一期工程可行性研究报告》。参照南昌市已建地铁2号线的票价标准计算：采用计程票价按里程分段计算，平均运距初、近、远期分别为8.3公里、8公里、8公里，折算票价率分别为0.361元/公里、0.375元/公里、0.375元/公里，人次票价初、近、远期均按3.0元/人次计算。</w:t>
      </w:r>
    </w:p>
    <w:p w14:paraId="1CD11CA1">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（2）广告收入</w:t>
      </w:r>
    </w:p>
    <w:p w14:paraId="1D43FD92">
      <w:pPr>
        <w:pStyle w:val="23"/>
        <w:spacing w:before="0" w:beforeAutospacing="0" w:after="156" w:afterLines="50" w:afterAutospacing="0" w:line="440" w:lineRule="exact"/>
        <w:ind w:firstLine="440" w:firstLineChars="200"/>
        <w:jc w:val="both"/>
        <w:rPr>
          <w:rFonts w:hint="eastAsia" w:ascii="仿宋" w:hAnsi="仿宋" w:eastAsia="仿宋"/>
          <w:color w:val="000000"/>
          <w:szCs w:val="21"/>
        </w:rPr>
      </w:pPr>
      <w:r>
        <w:rPr>
          <w:rFonts w:hint="eastAsia" w:ascii="仿宋" w:hAnsi="仿宋" w:eastAsia="仿宋"/>
          <w:color w:val="000000"/>
          <w:szCs w:val="21"/>
        </w:rPr>
        <w:t>本项目按票价收入得14%估算。</w:t>
      </w:r>
    </w:p>
    <w:p w14:paraId="54637C8A">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（3）政府性基金收入</w:t>
      </w:r>
    </w:p>
    <w:p w14:paraId="07ADA44F">
      <w:pPr>
        <w:pStyle w:val="23"/>
        <w:spacing w:before="0" w:beforeAutospacing="0" w:after="156" w:afterLines="50" w:afterAutospacing="0" w:line="440" w:lineRule="exact"/>
        <w:ind w:firstLine="440" w:firstLineChars="200"/>
        <w:jc w:val="both"/>
        <w:rPr>
          <w:rFonts w:hint="eastAsia" w:ascii="仿宋" w:hAnsi="仿宋" w:eastAsia="仿宋"/>
          <w:color w:val="000000"/>
          <w:szCs w:val="21"/>
        </w:rPr>
      </w:pPr>
      <w:r>
        <w:rPr>
          <w:rFonts w:hint="eastAsia" w:ascii="仿宋" w:hAnsi="仿宋" w:eastAsia="仿宋"/>
          <w:color w:val="000000"/>
          <w:szCs w:val="21"/>
        </w:rPr>
        <w:t>本项目为民生基建项目，项目社会公益性意义较强，盈利能力有限，为保障项目顺利进行，资金不足部分拟通过政府性基金收入弥补。</w:t>
      </w:r>
    </w:p>
    <w:p w14:paraId="2B852CF0">
      <w:pPr>
        <w:pStyle w:val="23"/>
        <w:spacing w:before="0" w:beforeAutospacing="0" w:after="156" w:afterLines="50" w:afterAutospacing="0" w:line="440" w:lineRule="exact"/>
        <w:ind w:firstLine="440" w:firstLineChars="200"/>
        <w:jc w:val="both"/>
        <w:rPr>
          <w:rFonts w:hint="eastAsia" w:ascii="仿宋" w:hAnsi="仿宋" w:eastAsia="仿宋"/>
          <w:color w:val="000000"/>
          <w:szCs w:val="21"/>
        </w:rPr>
      </w:pPr>
      <w:r>
        <w:rPr>
          <w:rFonts w:hint="eastAsia" w:ascii="仿宋" w:hAnsi="仿宋" w:eastAsia="仿宋"/>
          <w:color w:val="000000"/>
          <w:szCs w:val="21"/>
        </w:rPr>
        <w:t>南昌轨道交通集团有限公司在以往年度收支基础上综合考虑适度增长因素，合理预测了2026-2051年的收入、支出，各年现金流入及现金流出均保持了稳定的增长，且保持了各年现金结余的总体增长。</w:t>
      </w:r>
    </w:p>
    <w:p w14:paraId="2F19BC8B">
      <w:pPr>
        <w:widowControl/>
        <w:spacing w:after="156" w:afterLines="50" w:line="440" w:lineRule="exact"/>
        <w:ind w:firstLine="210" w:firstLineChars="100"/>
        <w:outlineLvl w:val="1"/>
        <w:rPr>
          <w:rFonts w:hint="eastAsia" w:ascii="仿宋" w:hAnsi="仿宋" w:eastAsia="仿宋" w:cs="宋体"/>
          <w:b/>
          <w:color w:val="000000"/>
          <w:kern w:val="0"/>
          <w:szCs w:val="21"/>
        </w:rPr>
      </w:pPr>
      <w:r>
        <w:rPr>
          <w:rFonts w:hint="eastAsia" w:ascii="仿宋" w:hAnsi="仿宋" w:eastAsia="仿宋" w:cs="宋体"/>
          <w:b/>
          <w:color w:val="000000"/>
          <w:kern w:val="0"/>
          <w:szCs w:val="21"/>
        </w:rPr>
        <w:t>（二）资金充足性</w:t>
      </w:r>
    </w:p>
    <w:p w14:paraId="0962F3AC">
      <w:pPr>
        <w:widowControl/>
        <w:spacing w:after="156" w:afterLines="50" w:line="440" w:lineRule="exact"/>
        <w:ind w:firstLine="480"/>
        <w:rPr>
          <w:rFonts w:hint="eastAsia" w:ascii="仿宋" w:hAnsi="仿宋" w:eastAsia="仿宋" w:cs="宋体"/>
          <w:color w:val="000000"/>
          <w:kern w:val="0"/>
          <w:szCs w:val="21"/>
        </w:rPr>
      </w:pPr>
      <w:r>
        <w:rPr>
          <w:rFonts w:hint="eastAsia" w:ascii="仿宋" w:hAnsi="仿宋" w:eastAsia="仿宋" w:cs="宋体"/>
          <w:color w:val="000000"/>
          <w:kern w:val="0"/>
          <w:szCs w:val="21"/>
        </w:rPr>
        <w:t>资金充足性分析情况表从项目开工年份开始编制，至债券存续期最后一年结束。</w:t>
      </w:r>
    </w:p>
    <w:p w14:paraId="342AB26D">
      <w:pPr>
        <w:widowControl/>
        <w:spacing w:after="156" w:afterLines="50" w:line="440" w:lineRule="exact"/>
        <w:ind w:firstLine="482"/>
        <w:rPr>
          <w:rFonts w:hint="eastAsia" w:ascii="仿宋" w:hAnsi="仿宋" w:eastAsia="仿宋" w:cs="Times New Roman"/>
          <w:b/>
          <w:bCs/>
          <w:color w:val="000000"/>
          <w:szCs w:val="21"/>
        </w:rPr>
      </w:pPr>
      <w:r>
        <w:rPr>
          <w:rFonts w:hint="eastAsia" w:ascii="仿宋" w:hAnsi="仿宋" w:eastAsia="仿宋" w:cs="Times New Roman"/>
          <w:b/>
          <w:bCs/>
          <w:color w:val="000000"/>
          <w:szCs w:val="21"/>
        </w:rPr>
        <w:t>1.债券还本付息分析</w:t>
      </w:r>
    </w:p>
    <w:p w14:paraId="650BC820">
      <w:pPr>
        <w:pStyle w:val="23"/>
        <w:spacing w:before="0" w:beforeAutospacing="0" w:after="156" w:afterLines="50" w:afterAutospacing="0" w:line="440" w:lineRule="exact"/>
        <w:ind w:firstLine="440" w:firstLineChars="200"/>
        <w:jc w:val="both"/>
        <w:rPr>
          <w:rFonts w:hint="eastAsia" w:ascii="仿宋" w:hAnsi="仿宋" w:eastAsia="仿宋"/>
          <w:color w:val="000000"/>
          <w:szCs w:val="21"/>
        </w:rPr>
      </w:pPr>
      <w:r>
        <w:rPr>
          <w:rFonts w:hint="eastAsia" w:ascii="仿宋" w:hAnsi="仿宋" w:eastAsia="仿宋"/>
          <w:color w:val="000000"/>
          <w:szCs w:val="21"/>
        </w:rPr>
        <w:t>本次南昌轨道交通集团有限公司组织申报发行南昌市轨道交通 1号线东延工程专项债券项目的总投资额1,057,672.67万元。计划发行专项债券金额210,000.00万元，其中，2022年已发行91,384.00万元,期限30年，实际利率3.42%；2023年4月发行18,700.00万，期限20年，实际利率3.14%；2023年调整金额20,000.00万元是由2021年江西省高质量发展专项债券（四期）——2021年江西省政府专项债券（九期）调整至本项目，期限20年，实际利率3.85%；2024年已发行40,000.00万元，实际利率2.27%，期限15年；2024年本期发行10,000.00万元，2025年计划发行39,916.00万元，期限10年，期限10年。根据目前15年期国债利率3.2307%,从客观、谨慎角度出发，2024年债券年利率取4.30%,发行费率暂按照0.10%测算，据此预计专项债券利息合计为151,699.11万元，预计发行费用为210.00万元。</w:t>
      </w:r>
    </w:p>
    <w:p w14:paraId="10096D3D">
      <w:pPr>
        <w:widowControl/>
        <w:spacing w:after="156" w:afterLines="50" w:line="440" w:lineRule="exact"/>
        <w:ind w:firstLine="480"/>
        <w:rPr>
          <w:rFonts w:hint="eastAsia" w:ascii="仿宋" w:hAnsi="仿宋" w:eastAsia="仿宋" w:cs="宋体"/>
          <w:color w:val="000000"/>
          <w:kern w:val="0"/>
          <w:szCs w:val="21"/>
        </w:rPr>
      </w:pPr>
      <w:r>
        <w:rPr>
          <w:rFonts w:hint="eastAsia" w:ascii="仿宋" w:hAnsi="仿宋" w:eastAsia="仿宋" w:cs="宋体"/>
          <w:color w:val="000000"/>
          <w:kern w:val="0"/>
          <w:szCs w:val="21"/>
        </w:rPr>
        <w:t>按照该项目专项债券发行计划，预计每年利息支出，每半年支付一次利息，到期一次还本，本项目专项债券还本付息情况如下表所示：</w:t>
      </w:r>
    </w:p>
    <w:p w14:paraId="54B06911">
      <w:pPr>
        <w:spacing w:line="440" w:lineRule="exact"/>
        <w:ind w:firstLine="0" w:firstLineChars="0"/>
        <w:jc w:val="center"/>
        <w:rPr>
          <w:rFonts w:hint="eastAsia" w:ascii="宋体" w:hAnsi="宋体" w:eastAsia="宋体" w:cs="仿宋"/>
          <w:b/>
          <w:color w:val="000000"/>
          <w:sz w:val="21"/>
          <w:szCs w:val="24"/>
        </w:rPr>
      </w:pPr>
      <w:r>
        <w:rPr>
          <w:rFonts w:hint="eastAsia" w:ascii="宋体" w:hAnsi="宋体" w:eastAsia="宋体" w:cs="仿宋"/>
          <w:b/>
          <w:color w:val="000000"/>
          <w:sz w:val="21"/>
          <w:szCs w:val="24"/>
        </w:rPr>
        <w:t>表3</w:t>
      </w:r>
      <w:r>
        <w:rPr>
          <w:rFonts w:hint="eastAsia" w:ascii="宋体" w:hAnsi="宋体" w:eastAsia="宋体" w:cs="Times New Roman"/>
          <w:b/>
          <w:color w:val="000000"/>
          <w:sz w:val="21"/>
          <w:szCs w:val="24"/>
        </w:rPr>
        <w:t>-</w:t>
      </w:r>
      <w:r>
        <w:rPr>
          <w:rFonts w:ascii="宋体" w:hAnsi="宋体" w:eastAsia="宋体" w:cs="Times New Roman"/>
          <w:b/>
          <w:color w:val="000000"/>
          <w:sz w:val="21"/>
          <w:szCs w:val="24"/>
        </w:rPr>
        <w:t>2</w:t>
      </w:r>
      <w:r>
        <w:rPr>
          <w:rFonts w:hint="eastAsia" w:ascii="宋体" w:hAnsi="宋体" w:eastAsia="宋体" w:cs="Times New Roman"/>
          <w:b/>
          <w:color w:val="000000"/>
          <w:sz w:val="21"/>
          <w:szCs w:val="24"/>
        </w:rPr>
        <w:t xml:space="preserve"> </w:t>
      </w:r>
      <w:r>
        <w:rPr>
          <w:rFonts w:ascii="宋体" w:hAnsi="宋体" w:eastAsia="宋体" w:cs="Times New Roman"/>
          <w:b/>
          <w:color w:val="000000"/>
          <w:sz w:val="21"/>
          <w:szCs w:val="24"/>
        </w:rPr>
        <w:t xml:space="preserve"> </w:t>
      </w:r>
      <w:r>
        <w:rPr>
          <w:rFonts w:hint="eastAsia" w:ascii="宋体" w:hAnsi="宋体" w:eastAsia="宋体" w:cs="仿宋"/>
          <w:b/>
          <w:color w:val="000000"/>
          <w:sz w:val="21"/>
          <w:szCs w:val="24"/>
        </w:rPr>
        <w:t>专项债券还本付息情况预测表</w:t>
      </w:r>
    </w:p>
    <w:p w14:paraId="0EBB9BF4">
      <w:pPr>
        <w:spacing w:line="440" w:lineRule="exact"/>
        <w:ind w:firstLine="0" w:firstLineChars="0"/>
        <w:jc w:val="right"/>
        <w:rPr>
          <w:rFonts w:hint="eastAsia" w:ascii="宋体" w:hAnsi="宋体" w:eastAsia="宋体" w:cs="仿宋"/>
          <w:color w:val="000000"/>
          <w:sz w:val="18"/>
          <w:szCs w:val="18"/>
        </w:rPr>
      </w:pPr>
      <w:r>
        <w:rPr>
          <w:rFonts w:hint="eastAsia" w:ascii="宋体" w:hAnsi="宋体" w:eastAsia="宋体" w:cs="仿宋"/>
          <w:color w:val="000000"/>
          <w:sz w:val="18"/>
          <w:szCs w:val="18"/>
        </w:rPr>
        <w:t>单位：万元</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301"/>
        <w:gridCol w:w="1116"/>
        <w:gridCol w:w="939"/>
        <w:gridCol w:w="1116"/>
        <w:gridCol w:w="1116"/>
        <w:gridCol w:w="1301"/>
      </w:tblGrid>
      <w:tr w14:paraId="36339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0" w:type="auto"/>
            <w:shd w:val="clear" w:color="auto" w:fill="auto"/>
          </w:tcPr>
          <w:p w14:paraId="4E5A8CE6">
            <w:pPr>
              <w:widowControl/>
              <w:spacing w:after="0" w:line="240" w:lineRule="exact"/>
              <w:ind w:firstLine="0" w:firstLineChars="0"/>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年 份</w:t>
            </w:r>
          </w:p>
        </w:tc>
        <w:tc>
          <w:tcPr>
            <w:tcW w:w="0" w:type="auto"/>
            <w:shd w:val="clear" w:color="auto" w:fill="auto"/>
          </w:tcPr>
          <w:p w14:paraId="02DC224F">
            <w:pPr>
              <w:widowControl/>
              <w:spacing w:after="0" w:line="240" w:lineRule="exact"/>
              <w:ind w:firstLine="0" w:firstLineChars="0"/>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期初债券余额</w:t>
            </w:r>
          </w:p>
        </w:tc>
        <w:tc>
          <w:tcPr>
            <w:tcW w:w="0" w:type="auto"/>
            <w:shd w:val="clear" w:color="auto" w:fill="auto"/>
          </w:tcPr>
          <w:p w14:paraId="521CE081">
            <w:pPr>
              <w:widowControl/>
              <w:spacing w:after="0" w:line="240" w:lineRule="exact"/>
              <w:ind w:firstLine="0" w:firstLineChars="0"/>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本期发行</w:t>
            </w:r>
          </w:p>
        </w:tc>
        <w:tc>
          <w:tcPr>
            <w:tcW w:w="0" w:type="auto"/>
            <w:shd w:val="clear" w:color="auto" w:fill="auto"/>
          </w:tcPr>
          <w:p w14:paraId="38DD8A5C">
            <w:pPr>
              <w:widowControl/>
              <w:spacing w:after="0" w:line="240" w:lineRule="exact"/>
              <w:ind w:firstLine="0" w:firstLineChars="0"/>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发行费用</w:t>
            </w:r>
          </w:p>
        </w:tc>
        <w:tc>
          <w:tcPr>
            <w:tcW w:w="0" w:type="auto"/>
            <w:shd w:val="clear" w:color="auto" w:fill="auto"/>
          </w:tcPr>
          <w:p w14:paraId="2611BF91">
            <w:pPr>
              <w:widowControl/>
              <w:spacing w:after="0" w:line="240" w:lineRule="exact"/>
              <w:ind w:firstLine="0" w:firstLineChars="0"/>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本期付息</w:t>
            </w:r>
          </w:p>
        </w:tc>
        <w:tc>
          <w:tcPr>
            <w:tcW w:w="0" w:type="auto"/>
            <w:shd w:val="clear" w:color="auto" w:fill="auto"/>
          </w:tcPr>
          <w:p w14:paraId="11EEF6D8">
            <w:pPr>
              <w:widowControl/>
              <w:spacing w:after="0" w:line="240" w:lineRule="exact"/>
              <w:ind w:firstLine="0" w:firstLineChars="0"/>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本期还本</w:t>
            </w:r>
          </w:p>
        </w:tc>
        <w:tc>
          <w:tcPr>
            <w:tcW w:w="0" w:type="auto"/>
            <w:shd w:val="clear" w:color="auto" w:fill="auto"/>
          </w:tcPr>
          <w:p w14:paraId="178075CB">
            <w:pPr>
              <w:widowControl/>
              <w:spacing w:after="0" w:line="240" w:lineRule="exact"/>
              <w:ind w:firstLine="0" w:firstLineChars="0"/>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期末债券余额</w:t>
            </w:r>
          </w:p>
        </w:tc>
      </w:tr>
      <w:tr w14:paraId="0EF7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75545F5A">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2022年</w:t>
            </w:r>
          </w:p>
        </w:tc>
        <w:tc>
          <w:tcPr>
            <w:tcW w:w="0" w:type="auto"/>
            <w:shd w:val="clear" w:color="auto" w:fill="auto"/>
          </w:tcPr>
          <w:p w14:paraId="40DAEB25">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w:t>
            </w:r>
          </w:p>
        </w:tc>
        <w:tc>
          <w:tcPr>
            <w:tcW w:w="0" w:type="auto"/>
            <w:shd w:val="clear" w:color="auto" w:fill="auto"/>
          </w:tcPr>
          <w:p w14:paraId="297BB034">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0923727E">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w:t>
            </w:r>
          </w:p>
        </w:tc>
        <w:tc>
          <w:tcPr>
            <w:tcW w:w="0" w:type="auto"/>
            <w:shd w:val="clear" w:color="auto" w:fill="auto"/>
          </w:tcPr>
          <w:p w14:paraId="2FEBF6B5">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1,562.67</w:t>
            </w:r>
          </w:p>
        </w:tc>
        <w:tc>
          <w:tcPr>
            <w:tcW w:w="0" w:type="auto"/>
            <w:shd w:val="clear" w:color="auto" w:fill="auto"/>
          </w:tcPr>
          <w:p w14:paraId="0A645AAB">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6F70E97">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r>
      <w:tr w14:paraId="5069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0" w:type="auto"/>
            <w:shd w:val="clear" w:color="auto" w:fill="auto"/>
          </w:tcPr>
          <w:p w14:paraId="481289E2">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w:t>
            </w:r>
            <w:r>
              <w:rPr>
                <w:rFonts w:ascii="宋体" w:hAnsi="宋体" w:cs="宋体"/>
                <w:bCs/>
                <w:color w:val="000000"/>
                <w:kern w:val="0"/>
                <w:sz w:val="18"/>
                <w:szCs w:val="18"/>
              </w:rPr>
              <w:t>023</w:t>
            </w:r>
            <w:r>
              <w:rPr>
                <w:rFonts w:hint="eastAsia" w:ascii="宋体" w:hAnsi="宋体" w:cs="宋体"/>
                <w:bCs/>
                <w:color w:val="000000"/>
                <w:kern w:val="0"/>
                <w:sz w:val="18"/>
                <w:szCs w:val="18"/>
              </w:rPr>
              <w:t>年调整</w:t>
            </w:r>
          </w:p>
        </w:tc>
        <w:tc>
          <w:tcPr>
            <w:tcW w:w="0" w:type="auto"/>
            <w:shd w:val="clear" w:color="auto" w:fill="auto"/>
          </w:tcPr>
          <w:p w14:paraId="0A4077ED">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664563E3">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20,000.00</w:t>
            </w:r>
          </w:p>
        </w:tc>
        <w:tc>
          <w:tcPr>
            <w:tcW w:w="0" w:type="auto"/>
            <w:shd w:val="clear" w:color="auto" w:fill="auto"/>
          </w:tcPr>
          <w:p w14:paraId="0F15DC6D">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20.00</w:t>
            </w:r>
          </w:p>
        </w:tc>
        <w:tc>
          <w:tcPr>
            <w:tcW w:w="0" w:type="auto"/>
            <w:shd w:val="clear" w:color="auto" w:fill="auto"/>
          </w:tcPr>
          <w:p w14:paraId="54B5F6B9">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385.00</w:t>
            </w:r>
          </w:p>
        </w:tc>
        <w:tc>
          <w:tcPr>
            <w:tcW w:w="0" w:type="auto"/>
            <w:shd w:val="clear" w:color="auto" w:fill="auto"/>
          </w:tcPr>
          <w:p w14:paraId="63C6E8B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60DB1962">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111,384.00</w:t>
            </w:r>
          </w:p>
        </w:tc>
      </w:tr>
      <w:tr w14:paraId="422D5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042E8A55">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2023年</w:t>
            </w:r>
          </w:p>
        </w:tc>
        <w:tc>
          <w:tcPr>
            <w:tcW w:w="0" w:type="auto"/>
            <w:shd w:val="clear" w:color="auto" w:fill="auto"/>
          </w:tcPr>
          <w:p w14:paraId="087D8B8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111,384.00</w:t>
            </w:r>
          </w:p>
        </w:tc>
        <w:tc>
          <w:tcPr>
            <w:tcW w:w="0" w:type="auto"/>
            <w:shd w:val="clear" w:color="auto" w:fill="auto"/>
          </w:tcPr>
          <w:p w14:paraId="535EEA80">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18,700.00</w:t>
            </w:r>
          </w:p>
        </w:tc>
        <w:tc>
          <w:tcPr>
            <w:tcW w:w="0" w:type="auto"/>
            <w:shd w:val="clear" w:color="auto" w:fill="auto"/>
          </w:tcPr>
          <w:p w14:paraId="7B570145">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18.70</w:t>
            </w:r>
          </w:p>
        </w:tc>
        <w:tc>
          <w:tcPr>
            <w:tcW w:w="0" w:type="auto"/>
            <w:shd w:val="clear" w:color="auto" w:fill="auto"/>
          </w:tcPr>
          <w:p w14:paraId="53D8ACED">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3,418.92</w:t>
            </w:r>
          </w:p>
        </w:tc>
        <w:tc>
          <w:tcPr>
            <w:tcW w:w="0" w:type="auto"/>
            <w:shd w:val="clear" w:color="auto" w:fill="auto"/>
          </w:tcPr>
          <w:p w14:paraId="3A6ED97D">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99A5EA3">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130,084.00</w:t>
            </w:r>
          </w:p>
        </w:tc>
      </w:tr>
      <w:tr w14:paraId="18484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61A11C12">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2024年</w:t>
            </w:r>
          </w:p>
        </w:tc>
        <w:tc>
          <w:tcPr>
            <w:tcW w:w="0" w:type="auto"/>
            <w:shd w:val="clear" w:color="auto" w:fill="auto"/>
          </w:tcPr>
          <w:p w14:paraId="7CBEBF6B">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130,084.00</w:t>
            </w:r>
          </w:p>
        </w:tc>
        <w:tc>
          <w:tcPr>
            <w:tcW w:w="0" w:type="auto"/>
            <w:shd w:val="clear" w:color="auto" w:fill="auto"/>
          </w:tcPr>
          <w:p w14:paraId="3CC266C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50,000.00</w:t>
            </w:r>
          </w:p>
        </w:tc>
        <w:tc>
          <w:tcPr>
            <w:tcW w:w="0" w:type="auto"/>
            <w:shd w:val="clear" w:color="auto" w:fill="auto"/>
          </w:tcPr>
          <w:p w14:paraId="08ECCFC3">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50.00</w:t>
            </w:r>
          </w:p>
        </w:tc>
        <w:tc>
          <w:tcPr>
            <w:tcW w:w="0" w:type="auto"/>
            <w:shd w:val="clear" w:color="auto" w:fill="auto"/>
          </w:tcPr>
          <w:p w14:paraId="7FEB108D">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5,151.51</w:t>
            </w:r>
          </w:p>
        </w:tc>
        <w:tc>
          <w:tcPr>
            <w:tcW w:w="0" w:type="auto"/>
            <w:shd w:val="clear" w:color="auto" w:fill="auto"/>
          </w:tcPr>
          <w:p w14:paraId="77E6F192">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71CE7415">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180,084.00</w:t>
            </w:r>
          </w:p>
        </w:tc>
      </w:tr>
      <w:tr w14:paraId="5AEDE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280604F9">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2025年</w:t>
            </w:r>
          </w:p>
        </w:tc>
        <w:tc>
          <w:tcPr>
            <w:tcW w:w="0" w:type="auto"/>
            <w:shd w:val="clear" w:color="auto" w:fill="auto"/>
          </w:tcPr>
          <w:p w14:paraId="09F98C64">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180,084.00</w:t>
            </w:r>
          </w:p>
        </w:tc>
        <w:tc>
          <w:tcPr>
            <w:tcW w:w="0" w:type="auto"/>
            <w:shd w:val="clear" w:color="auto" w:fill="auto"/>
          </w:tcPr>
          <w:p w14:paraId="458B9A3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29,916.00</w:t>
            </w:r>
          </w:p>
        </w:tc>
        <w:tc>
          <w:tcPr>
            <w:tcW w:w="0" w:type="auto"/>
            <w:shd w:val="clear" w:color="auto" w:fill="auto"/>
          </w:tcPr>
          <w:p w14:paraId="17A716AE">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29.92</w:t>
            </w:r>
          </w:p>
        </w:tc>
        <w:tc>
          <w:tcPr>
            <w:tcW w:w="0" w:type="auto"/>
            <w:shd w:val="clear" w:color="auto" w:fill="auto"/>
          </w:tcPr>
          <w:p w14:paraId="001DD2A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6,433.79</w:t>
            </w:r>
          </w:p>
        </w:tc>
        <w:tc>
          <w:tcPr>
            <w:tcW w:w="0" w:type="auto"/>
            <w:shd w:val="clear" w:color="auto" w:fill="auto"/>
          </w:tcPr>
          <w:p w14:paraId="13260D8F">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5E2DAB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r>
      <w:tr w14:paraId="61779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73C85C3C">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2026年</w:t>
            </w:r>
          </w:p>
        </w:tc>
        <w:tc>
          <w:tcPr>
            <w:tcW w:w="0" w:type="auto"/>
            <w:shd w:val="clear" w:color="auto" w:fill="auto"/>
          </w:tcPr>
          <w:p w14:paraId="6887710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2F088797">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75468877">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DEE2A8D">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7,047.07</w:t>
            </w:r>
          </w:p>
        </w:tc>
        <w:tc>
          <w:tcPr>
            <w:tcW w:w="0" w:type="auto"/>
            <w:shd w:val="clear" w:color="auto" w:fill="auto"/>
          </w:tcPr>
          <w:p w14:paraId="24E33DA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CC15F73">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r>
      <w:tr w14:paraId="1BEB2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44E46E89">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2027年</w:t>
            </w:r>
          </w:p>
        </w:tc>
        <w:tc>
          <w:tcPr>
            <w:tcW w:w="0" w:type="auto"/>
            <w:shd w:val="clear" w:color="auto" w:fill="auto"/>
          </w:tcPr>
          <w:p w14:paraId="0A7153B7">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38A55412">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997000B">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70E9871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7,047.07</w:t>
            </w:r>
          </w:p>
        </w:tc>
        <w:tc>
          <w:tcPr>
            <w:tcW w:w="0" w:type="auto"/>
            <w:shd w:val="clear" w:color="auto" w:fill="auto"/>
          </w:tcPr>
          <w:p w14:paraId="49F0D9DF">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7E3095E">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r>
      <w:tr w14:paraId="0855A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285CCB18">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2028年</w:t>
            </w:r>
          </w:p>
        </w:tc>
        <w:tc>
          <w:tcPr>
            <w:tcW w:w="0" w:type="auto"/>
            <w:shd w:val="clear" w:color="auto" w:fill="auto"/>
          </w:tcPr>
          <w:p w14:paraId="0AE8204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062A0A80">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15E17C69">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66E8C8F">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7,047.07</w:t>
            </w:r>
          </w:p>
        </w:tc>
        <w:tc>
          <w:tcPr>
            <w:tcW w:w="0" w:type="auto"/>
            <w:shd w:val="clear" w:color="auto" w:fill="auto"/>
          </w:tcPr>
          <w:p w14:paraId="5A12F734">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4A27B0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r>
      <w:tr w14:paraId="030DD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59A255E6">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2029年</w:t>
            </w:r>
          </w:p>
        </w:tc>
        <w:tc>
          <w:tcPr>
            <w:tcW w:w="0" w:type="auto"/>
            <w:shd w:val="clear" w:color="auto" w:fill="auto"/>
          </w:tcPr>
          <w:p w14:paraId="43C63C0F">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26FAEDAF">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37D0B13">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6F1E89B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7,047.07</w:t>
            </w:r>
          </w:p>
        </w:tc>
        <w:tc>
          <w:tcPr>
            <w:tcW w:w="0" w:type="auto"/>
            <w:shd w:val="clear" w:color="auto" w:fill="auto"/>
          </w:tcPr>
          <w:p w14:paraId="01969CC2">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A087F7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r>
      <w:tr w14:paraId="6F43E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4525A946">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2030年</w:t>
            </w:r>
          </w:p>
        </w:tc>
        <w:tc>
          <w:tcPr>
            <w:tcW w:w="0" w:type="auto"/>
            <w:shd w:val="clear" w:color="auto" w:fill="auto"/>
          </w:tcPr>
          <w:p w14:paraId="50DBB604">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17E28681">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684ECE8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2566F82">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7,047.07</w:t>
            </w:r>
          </w:p>
        </w:tc>
        <w:tc>
          <w:tcPr>
            <w:tcW w:w="0" w:type="auto"/>
            <w:shd w:val="clear" w:color="auto" w:fill="auto"/>
          </w:tcPr>
          <w:p w14:paraId="39008CDE">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6528F4C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r>
      <w:tr w14:paraId="6476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1B4B1255">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2031年</w:t>
            </w:r>
          </w:p>
        </w:tc>
        <w:tc>
          <w:tcPr>
            <w:tcW w:w="0" w:type="auto"/>
            <w:shd w:val="clear" w:color="auto" w:fill="auto"/>
          </w:tcPr>
          <w:p w14:paraId="2A0AF8B5">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01F40994">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A2033BB">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106D52EC">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7,047.07</w:t>
            </w:r>
          </w:p>
        </w:tc>
        <w:tc>
          <w:tcPr>
            <w:tcW w:w="0" w:type="auto"/>
            <w:shd w:val="clear" w:color="auto" w:fill="auto"/>
          </w:tcPr>
          <w:p w14:paraId="4D12E4DE">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68E2EBA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r>
      <w:tr w14:paraId="25C9E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2F21F117">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2032年</w:t>
            </w:r>
          </w:p>
        </w:tc>
        <w:tc>
          <w:tcPr>
            <w:tcW w:w="0" w:type="auto"/>
            <w:shd w:val="clear" w:color="auto" w:fill="auto"/>
          </w:tcPr>
          <w:p w14:paraId="442AC08B">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37296F63">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BA2E91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3D576DE">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7,047.07</w:t>
            </w:r>
          </w:p>
        </w:tc>
        <w:tc>
          <w:tcPr>
            <w:tcW w:w="0" w:type="auto"/>
            <w:shd w:val="clear" w:color="auto" w:fill="auto"/>
          </w:tcPr>
          <w:p w14:paraId="6F3DF61E">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717C413">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r>
      <w:tr w14:paraId="2D42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4E5810AD">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2033年</w:t>
            </w:r>
          </w:p>
        </w:tc>
        <w:tc>
          <w:tcPr>
            <w:tcW w:w="0" w:type="auto"/>
            <w:shd w:val="clear" w:color="auto" w:fill="auto"/>
          </w:tcPr>
          <w:p w14:paraId="2384A347">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327899E2">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57B44AB1">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AA24F1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7,047.07</w:t>
            </w:r>
          </w:p>
        </w:tc>
        <w:tc>
          <w:tcPr>
            <w:tcW w:w="0" w:type="auto"/>
            <w:shd w:val="clear" w:color="auto" w:fill="auto"/>
          </w:tcPr>
          <w:p w14:paraId="7FC17A5F">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C809E3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r>
      <w:tr w14:paraId="6F981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78A014AA">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2034年</w:t>
            </w:r>
          </w:p>
        </w:tc>
        <w:tc>
          <w:tcPr>
            <w:tcW w:w="0" w:type="auto"/>
            <w:shd w:val="clear" w:color="auto" w:fill="auto"/>
          </w:tcPr>
          <w:p w14:paraId="3045AAEE">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7BBB38F6">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588520A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642F7CC">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7,047.07</w:t>
            </w:r>
          </w:p>
        </w:tc>
        <w:tc>
          <w:tcPr>
            <w:tcW w:w="0" w:type="auto"/>
            <w:shd w:val="clear" w:color="auto" w:fill="auto"/>
          </w:tcPr>
          <w:p w14:paraId="5228FF03">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9CBEEE2">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r>
      <w:tr w14:paraId="51F15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37CEDA46">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2035年</w:t>
            </w:r>
          </w:p>
        </w:tc>
        <w:tc>
          <w:tcPr>
            <w:tcW w:w="0" w:type="auto"/>
            <w:shd w:val="clear" w:color="auto" w:fill="auto"/>
          </w:tcPr>
          <w:p w14:paraId="1598787D">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15530AB6">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DCE9D8B">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6A7EA487">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6,433.79</w:t>
            </w:r>
          </w:p>
        </w:tc>
        <w:tc>
          <w:tcPr>
            <w:tcW w:w="0" w:type="auto"/>
            <w:shd w:val="clear" w:color="auto" w:fill="auto"/>
          </w:tcPr>
          <w:p w14:paraId="177AB06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29,916.00</w:t>
            </w:r>
          </w:p>
        </w:tc>
        <w:tc>
          <w:tcPr>
            <w:tcW w:w="0" w:type="auto"/>
            <w:shd w:val="clear" w:color="auto" w:fill="auto"/>
          </w:tcPr>
          <w:p w14:paraId="58CD2AD7">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180,084.00</w:t>
            </w:r>
          </w:p>
        </w:tc>
      </w:tr>
      <w:tr w14:paraId="1DC18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33986C4B">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2036年</w:t>
            </w:r>
          </w:p>
        </w:tc>
        <w:tc>
          <w:tcPr>
            <w:tcW w:w="0" w:type="auto"/>
            <w:shd w:val="clear" w:color="auto" w:fill="auto"/>
          </w:tcPr>
          <w:p w14:paraId="797F3E1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180,084.00</w:t>
            </w:r>
          </w:p>
        </w:tc>
        <w:tc>
          <w:tcPr>
            <w:tcW w:w="0" w:type="auto"/>
            <w:shd w:val="clear" w:color="auto" w:fill="auto"/>
          </w:tcPr>
          <w:p w14:paraId="217E68E1">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98A35E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16431200">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5,820.51</w:t>
            </w:r>
          </w:p>
        </w:tc>
        <w:tc>
          <w:tcPr>
            <w:tcW w:w="0" w:type="auto"/>
            <w:shd w:val="clear" w:color="auto" w:fill="auto"/>
          </w:tcPr>
          <w:p w14:paraId="26164220">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EF37AF9">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180,084.00</w:t>
            </w:r>
          </w:p>
        </w:tc>
      </w:tr>
      <w:tr w14:paraId="2989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24AD2B8E">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2037年</w:t>
            </w:r>
          </w:p>
        </w:tc>
        <w:tc>
          <w:tcPr>
            <w:tcW w:w="0" w:type="auto"/>
            <w:shd w:val="clear" w:color="auto" w:fill="auto"/>
          </w:tcPr>
          <w:p w14:paraId="226CBE2E">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180,084.00</w:t>
            </w:r>
          </w:p>
        </w:tc>
        <w:tc>
          <w:tcPr>
            <w:tcW w:w="0" w:type="auto"/>
            <w:shd w:val="clear" w:color="auto" w:fill="auto"/>
          </w:tcPr>
          <w:p w14:paraId="40C8AB26">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6D5AB2BC">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B87BFA5">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5,820.51</w:t>
            </w:r>
          </w:p>
        </w:tc>
        <w:tc>
          <w:tcPr>
            <w:tcW w:w="0" w:type="auto"/>
            <w:shd w:val="clear" w:color="auto" w:fill="auto"/>
          </w:tcPr>
          <w:p w14:paraId="31D005C4">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147A0E77">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180,084.00</w:t>
            </w:r>
          </w:p>
        </w:tc>
      </w:tr>
      <w:tr w14:paraId="510C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227FF610">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2038年</w:t>
            </w:r>
          </w:p>
        </w:tc>
        <w:tc>
          <w:tcPr>
            <w:tcW w:w="0" w:type="auto"/>
            <w:shd w:val="clear" w:color="auto" w:fill="auto"/>
          </w:tcPr>
          <w:p w14:paraId="220F81C8">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180,084.00</w:t>
            </w:r>
          </w:p>
        </w:tc>
        <w:tc>
          <w:tcPr>
            <w:tcW w:w="0" w:type="auto"/>
            <w:shd w:val="clear" w:color="auto" w:fill="auto"/>
          </w:tcPr>
          <w:p w14:paraId="47F29173">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FC2C0AB">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D663C6F">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5,820.51</w:t>
            </w:r>
          </w:p>
        </w:tc>
        <w:tc>
          <w:tcPr>
            <w:tcW w:w="0" w:type="auto"/>
            <w:shd w:val="clear" w:color="auto" w:fill="auto"/>
          </w:tcPr>
          <w:p w14:paraId="46293FC5">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780536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180,084.00</w:t>
            </w:r>
          </w:p>
        </w:tc>
      </w:tr>
      <w:tr w14:paraId="53F1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76975DB5">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2039年</w:t>
            </w:r>
          </w:p>
        </w:tc>
        <w:tc>
          <w:tcPr>
            <w:tcW w:w="0" w:type="auto"/>
            <w:shd w:val="clear" w:color="auto" w:fill="auto"/>
          </w:tcPr>
          <w:p w14:paraId="27F2E5A9">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180,084.00</w:t>
            </w:r>
          </w:p>
        </w:tc>
        <w:tc>
          <w:tcPr>
            <w:tcW w:w="0" w:type="auto"/>
            <w:shd w:val="clear" w:color="auto" w:fill="auto"/>
          </w:tcPr>
          <w:p w14:paraId="2C615671">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D3E02EC">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F02D15B">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5,151.51</w:t>
            </w:r>
          </w:p>
        </w:tc>
        <w:tc>
          <w:tcPr>
            <w:tcW w:w="0" w:type="auto"/>
            <w:shd w:val="clear" w:color="auto" w:fill="auto"/>
          </w:tcPr>
          <w:p w14:paraId="6A265DAF">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50,000.00</w:t>
            </w:r>
          </w:p>
        </w:tc>
        <w:tc>
          <w:tcPr>
            <w:tcW w:w="0" w:type="auto"/>
            <w:shd w:val="clear" w:color="auto" w:fill="auto"/>
          </w:tcPr>
          <w:p w14:paraId="5CE4E34E">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130,084.00</w:t>
            </w:r>
          </w:p>
        </w:tc>
      </w:tr>
      <w:tr w14:paraId="31C86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62A3EC0A">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2040年</w:t>
            </w:r>
          </w:p>
        </w:tc>
        <w:tc>
          <w:tcPr>
            <w:tcW w:w="0" w:type="auto"/>
            <w:shd w:val="clear" w:color="auto" w:fill="auto"/>
          </w:tcPr>
          <w:p w14:paraId="45A32C53">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130,084.00</w:t>
            </w:r>
          </w:p>
        </w:tc>
        <w:tc>
          <w:tcPr>
            <w:tcW w:w="0" w:type="auto"/>
            <w:shd w:val="clear" w:color="auto" w:fill="auto"/>
          </w:tcPr>
          <w:p w14:paraId="1FE84D30">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DE5E688">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67C9BCCE">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4,482.51</w:t>
            </w:r>
          </w:p>
        </w:tc>
        <w:tc>
          <w:tcPr>
            <w:tcW w:w="0" w:type="auto"/>
            <w:shd w:val="clear" w:color="auto" w:fill="auto"/>
          </w:tcPr>
          <w:p w14:paraId="415D1D07">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C2F687D">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130,084.00</w:t>
            </w:r>
          </w:p>
        </w:tc>
      </w:tr>
      <w:tr w14:paraId="33C34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6F1E4CE0">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2041年</w:t>
            </w:r>
          </w:p>
        </w:tc>
        <w:tc>
          <w:tcPr>
            <w:tcW w:w="0" w:type="auto"/>
            <w:shd w:val="clear" w:color="auto" w:fill="auto"/>
          </w:tcPr>
          <w:p w14:paraId="787825DB">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130,084.00</w:t>
            </w:r>
          </w:p>
        </w:tc>
        <w:tc>
          <w:tcPr>
            <w:tcW w:w="0" w:type="auto"/>
            <w:shd w:val="clear" w:color="auto" w:fill="auto"/>
          </w:tcPr>
          <w:p w14:paraId="345145C2">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CEDFF6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16C5A7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4,097.51</w:t>
            </w:r>
          </w:p>
        </w:tc>
        <w:tc>
          <w:tcPr>
            <w:tcW w:w="0" w:type="auto"/>
            <w:shd w:val="clear" w:color="auto" w:fill="auto"/>
          </w:tcPr>
          <w:p w14:paraId="74D7D368">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20,000.00</w:t>
            </w:r>
          </w:p>
        </w:tc>
        <w:tc>
          <w:tcPr>
            <w:tcW w:w="0" w:type="auto"/>
            <w:shd w:val="clear" w:color="auto" w:fill="auto"/>
          </w:tcPr>
          <w:p w14:paraId="16D63BDD">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110,084.00</w:t>
            </w:r>
          </w:p>
        </w:tc>
      </w:tr>
      <w:tr w14:paraId="66E2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64F4465F">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2042年</w:t>
            </w:r>
          </w:p>
        </w:tc>
        <w:tc>
          <w:tcPr>
            <w:tcW w:w="0" w:type="auto"/>
            <w:shd w:val="clear" w:color="auto" w:fill="auto"/>
          </w:tcPr>
          <w:p w14:paraId="0A3C997C">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110,084.00</w:t>
            </w:r>
          </w:p>
        </w:tc>
        <w:tc>
          <w:tcPr>
            <w:tcW w:w="0" w:type="auto"/>
            <w:shd w:val="clear" w:color="auto" w:fill="auto"/>
          </w:tcPr>
          <w:p w14:paraId="51D8DDE6">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7C58EB5">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1007A8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3,712.51</w:t>
            </w:r>
          </w:p>
        </w:tc>
        <w:tc>
          <w:tcPr>
            <w:tcW w:w="0" w:type="auto"/>
            <w:shd w:val="clear" w:color="auto" w:fill="auto"/>
          </w:tcPr>
          <w:p w14:paraId="4A69D03B">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586647F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110,084.00</w:t>
            </w:r>
          </w:p>
        </w:tc>
      </w:tr>
      <w:tr w14:paraId="5EB9D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24034B1B">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2043年</w:t>
            </w:r>
          </w:p>
        </w:tc>
        <w:tc>
          <w:tcPr>
            <w:tcW w:w="0" w:type="auto"/>
            <w:shd w:val="clear" w:color="auto" w:fill="auto"/>
          </w:tcPr>
          <w:p w14:paraId="2D651404">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110,084.00</w:t>
            </w:r>
          </w:p>
        </w:tc>
        <w:tc>
          <w:tcPr>
            <w:tcW w:w="0" w:type="auto"/>
            <w:shd w:val="clear" w:color="auto" w:fill="auto"/>
          </w:tcPr>
          <w:p w14:paraId="19BDA2B1">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1B170D7C">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5E6D15D4">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3,418.92</w:t>
            </w:r>
          </w:p>
        </w:tc>
        <w:tc>
          <w:tcPr>
            <w:tcW w:w="0" w:type="auto"/>
            <w:shd w:val="clear" w:color="auto" w:fill="auto"/>
          </w:tcPr>
          <w:p w14:paraId="19EB404F">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18,700.00</w:t>
            </w:r>
          </w:p>
        </w:tc>
        <w:tc>
          <w:tcPr>
            <w:tcW w:w="0" w:type="auto"/>
            <w:shd w:val="clear" w:color="auto" w:fill="auto"/>
          </w:tcPr>
          <w:p w14:paraId="710EC574">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r>
      <w:tr w14:paraId="674F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1AF3742C">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2044年</w:t>
            </w:r>
          </w:p>
        </w:tc>
        <w:tc>
          <w:tcPr>
            <w:tcW w:w="0" w:type="auto"/>
            <w:shd w:val="clear" w:color="auto" w:fill="auto"/>
          </w:tcPr>
          <w:p w14:paraId="08BC7994">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4190E215">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6E3E05C2">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5C6FE447">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3,125.33</w:t>
            </w:r>
          </w:p>
        </w:tc>
        <w:tc>
          <w:tcPr>
            <w:tcW w:w="0" w:type="auto"/>
            <w:shd w:val="clear" w:color="auto" w:fill="auto"/>
          </w:tcPr>
          <w:p w14:paraId="4B955AEC">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BCDF57D">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r>
      <w:tr w14:paraId="131A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0" w:type="auto"/>
            <w:shd w:val="clear" w:color="auto" w:fill="auto"/>
          </w:tcPr>
          <w:p w14:paraId="715B3CE8">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2045年</w:t>
            </w:r>
          </w:p>
        </w:tc>
        <w:tc>
          <w:tcPr>
            <w:tcW w:w="0" w:type="auto"/>
            <w:shd w:val="clear" w:color="auto" w:fill="auto"/>
          </w:tcPr>
          <w:p w14:paraId="543C73B6">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2E2FE875">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7EF59416">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E3F0A0D">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3,125.33</w:t>
            </w:r>
          </w:p>
        </w:tc>
        <w:tc>
          <w:tcPr>
            <w:tcW w:w="0" w:type="auto"/>
            <w:shd w:val="clear" w:color="auto" w:fill="auto"/>
          </w:tcPr>
          <w:p w14:paraId="43716A84">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711022F7">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r>
      <w:tr w14:paraId="653C6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745BF989">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2046年</w:t>
            </w:r>
          </w:p>
        </w:tc>
        <w:tc>
          <w:tcPr>
            <w:tcW w:w="0" w:type="auto"/>
            <w:shd w:val="clear" w:color="auto" w:fill="auto"/>
          </w:tcPr>
          <w:p w14:paraId="0780F436">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79255D68">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97D5BE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93BE0AC">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3,125.33</w:t>
            </w:r>
          </w:p>
        </w:tc>
        <w:tc>
          <w:tcPr>
            <w:tcW w:w="0" w:type="auto"/>
            <w:shd w:val="clear" w:color="auto" w:fill="auto"/>
          </w:tcPr>
          <w:p w14:paraId="1926F6F6">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6DCF1FE">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r>
      <w:tr w14:paraId="1526C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5856EBE0">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2047年</w:t>
            </w:r>
          </w:p>
        </w:tc>
        <w:tc>
          <w:tcPr>
            <w:tcW w:w="0" w:type="auto"/>
            <w:shd w:val="clear" w:color="auto" w:fill="auto"/>
          </w:tcPr>
          <w:p w14:paraId="19A3CE56">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3C2F8A8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6E2AD0C">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11561D4">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3,125.33</w:t>
            </w:r>
          </w:p>
        </w:tc>
        <w:tc>
          <w:tcPr>
            <w:tcW w:w="0" w:type="auto"/>
            <w:shd w:val="clear" w:color="auto" w:fill="auto"/>
          </w:tcPr>
          <w:p w14:paraId="6C56CBE4">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58D8EDC7">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r>
      <w:tr w14:paraId="50A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0AA7C390">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2048年</w:t>
            </w:r>
          </w:p>
        </w:tc>
        <w:tc>
          <w:tcPr>
            <w:tcW w:w="0" w:type="auto"/>
            <w:shd w:val="clear" w:color="auto" w:fill="auto"/>
          </w:tcPr>
          <w:p w14:paraId="610621C9">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434AF7E2">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E14671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5FC42DA8">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3,125.33</w:t>
            </w:r>
          </w:p>
        </w:tc>
        <w:tc>
          <w:tcPr>
            <w:tcW w:w="0" w:type="auto"/>
            <w:shd w:val="clear" w:color="auto" w:fill="auto"/>
          </w:tcPr>
          <w:p w14:paraId="04185E60">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5E94245">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r>
      <w:tr w14:paraId="730B3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2C640EE7">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2049年</w:t>
            </w:r>
          </w:p>
        </w:tc>
        <w:tc>
          <w:tcPr>
            <w:tcW w:w="0" w:type="auto"/>
            <w:shd w:val="clear" w:color="auto" w:fill="auto"/>
          </w:tcPr>
          <w:p w14:paraId="159C796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2EE94054">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55591EF">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7ECC593C">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3,125.33</w:t>
            </w:r>
          </w:p>
        </w:tc>
        <w:tc>
          <w:tcPr>
            <w:tcW w:w="0" w:type="auto"/>
            <w:shd w:val="clear" w:color="auto" w:fill="auto"/>
          </w:tcPr>
          <w:p w14:paraId="008843B8">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69A9322">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r>
      <w:tr w14:paraId="710A8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102566A0">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2050年</w:t>
            </w:r>
          </w:p>
        </w:tc>
        <w:tc>
          <w:tcPr>
            <w:tcW w:w="0" w:type="auto"/>
            <w:shd w:val="clear" w:color="auto" w:fill="auto"/>
          </w:tcPr>
          <w:p w14:paraId="05DED0E2">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50002FE3">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323A03BD">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76AE2F3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3,125.33</w:t>
            </w:r>
          </w:p>
        </w:tc>
        <w:tc>
          <w:tcPr>
            <w:tcW w:w="0" w:type="auto"/>
            <w:shd w:val="clear" w:color="auto" w:fill="auto"/>
          </w:tcPr>
          <w:p w14:paraId="13555A39">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C72F414">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r>
      <w:tr w14:paraId="70D8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3BC45717">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2051年</w:t>
            </w:r>
          </w:p>
        </w:tc>
        <w:tc>
          <w:tcPr>
            <w:tcW w:w="0" w:type="auto"/>
            <w:shd w:val="clear" w:color="auto" w:fill="auto"/>
          </w:tcPr>
          <w:p w14:paraId="764DEF22">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26DBED21">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5E24D58A">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46210512">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3,125.33</w:t>
            </w:r>
          </w:p>
        </w:tc>
        <w:tc>
          <w:tcPr>
            <w:tcW w:w="0" w:type="auto"/>
            <w:shd w:val="clear" w:color="auto" w:fill="auto"/>
          </w:tcPr>
          <w:p w14:paraId="7BCC59A1">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69976A60">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r>
      <w:tr w14:paraId="638A2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tcPr>
          <w:p w14:paraId="482A2C5B">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2052年</w:t>
            </w:r>
          </w:p>
        </w:tc>
        <w:tc>
          <w:tcPr>
            <w:tcW w:w="0" w:type="auto"/>
            <w:shd w:val="clear" w:color="auto" w:fill="auto"/>
          </w:tcPr>
          <w:p w14:paraId="14F48198">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031C523B">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708B42C6">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298D9F9E">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1,562.67</w:t>
            </w:r>
          </w:p>
        </w:tc>
        <w:tc>
          <w:tcPr>
            <w:tcW w:w="0" w:type="auto"/>
            <w:shd w:val="clear" w:color="auto" w:fill="auto"/>
          </w:tcPr>
          <w:p w14:paraId="39313A5A">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91,384.00</w:t>
            </w:r>
          </w:p>
        </w:tc>
        <w:tc>
          <w:tcPr>
            <w:tcW w:w="0" w:type="auto"/>
            <w:shd w:val="clear" w:color="auto" w:fill="auto"/>
          </w:tcPr>
          <w:p w14:paraId="30987340">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w:t>
            </w:r>
          </w:p>
        </w:tc>
      </w:tr>
      <w:tr w14:paraId="6D43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0" w:type="auto"/>
            <w:shd w:val="clear" w:color="auto" w:fill="auto"/>
          </w:tcPr>
          <w:p w14:paraId="4737EBCE">
            <w:pPr>
              <w:spacing w:line="240" w:lineRule="exact"/>
              <w:ind w:firstLine="0" w:firstLineChars="0"/>
              <w:jc w:val="left"/>
              <w:rPr>
                <w:rFonts w:hint="eastAsia" w:ascii="宋体" w:hAnsi="宋体" w:cs="宋体"/>
                <w:bCs/>
                <w:color w:val="000000"/>
                <w:kern w:val="0"/>
                <w:sz w:val="18"/>
                <w:szCs w:val="18"/>
              </w:rPr>
            </w:pPr>
            <w:r>
              <w:rPr>
                <w:rFonts w:hint="eastAsia" w:ascii="宋体" w:hAnsi="宋体" w:cs="宋体"/>
                <w:bCs/>
                <w:color w:val="000000"/>
                <w:kern w:val="0"/>
                <w:sz w:val="18"/>
                <w:szCs w:val="18"/>
              </w:rPr>
              <w:t>合计</w:t>
            </w:r>
          </w:p>
        </w:tc>
        <w:tc>
          <w:tcPr>
            <w:tcW w:w="0" w:type="auto"/>
            <w:shd w:val="clear" w:color="auto" w:fill="auto"/>
          </w:tcPr>
          <w:p w14:paraId="475E1B45">
            <w:pPr>
              <w:spacing w:line="240" w:lineRule="exact"/>
              <w:ind w:firstLine="0" w:firstLineChars="0"/>
              <w:jc w:val="left"/>
              <w:rPr>
                <w:rFonts w:hint="eastAsia" w:ascii="宋体" w:hAnsi="宋体" w:cs="宋体"/>
                <w:bCs/>
                <w:color w:val="000000"/>
                <w:kern w:val="0"/>
                <w:sz w:val="18"/>
                <w:szCs w:val="18"/>
              </w:rPr>
            </w:pPr>
          </w:p>
        </w:tc>
        <w:tc>
          <w:tcPr>
            <w:tcW w:w="0" w:type="auto"/>
            <w:shd w:val="clear" w:color="auto" w:fill="auto"/>
          </w:tcPr>
          <w:p w14:paraId="00491351">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0E76B776">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w:t>
            </w:r>
          </w:p>
        </w:tc>
        <w:tc>
          <w:tcPr>
            <w:tcW w:w="0" w:type="auto"/>
            <w:shd w:val="clear" w:color="auto" w:fill="auto"/>
          </w:tcPr>
          <w:p w14:paraId="7B68E3B6">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151,699.11</w:t>
            </w:r>
          </w:p>
        </w:tc>
        <w:tc>
          <w:tcPr>
            <w:tcW w:w="0" w:type="auto"/>
            <w:shd w:val="clear" w:color="auto" w:fill="auto"/>
          </w:tcPr>
          <w:p w14:paraId="01F4AE05">
            <w:pPr>
              <w:spacing w:line="240" w:lineRule="exact"/>
              <w:ind w:firstLine="0" w:firstLineChars="0"/>
              <w:jc w:val="left"/>
              <w:rPr>
                <w:rFonts w:hint="eastAsia" w:ascii="宋体" w:hAnsi="宋体" w:cs="宋体"/>
                <w:bCs/>
                <w:color w:val="000000"/>
                <w:kern w:val="0"/>
                <w:sz w:val="18"/>
                <w:szCs w:val="18"/>
              </w:rPr>
            </w:pPr>
            <w:r>
              <w:rPr>
                <w:rFonts w:ascii="宋体" w:hAnsi="宋体" w:cs="宋体"/>
                <w:bCs/>
                <w:color w:val="000000"/>
                <w:kern w:val="0"/>
                <w:sz w:val="18"/>
                <w:szCs w:val="18"/>
              </w:rPr>
              <w:t>210,000.00</w:t>
            </w:r>
          </w:p>
        </w:tc>
        <w:tc>
          <w:tcPr>
            <w:tcW w:w="0" w:type="auto"/>
            <w:shd w:val="clear" w:color="auto" w:fill="auto"/>
          </w:tcPr>
          <w:p w14:paraId="22C4A6E6">
            <w:pPr>
              <w:spacing w:line="240" w:lineRule="exact"/>
              <w:ind w:firstLine="0" w:firstLineChars="0"/>
              <w:jc w:val="left"/>
              <w:rPr>
                <w:rFonts w:hint="eastAsia" w:ascii="宋体" w:hAnsi="宋体" w:cs="宋体"/>
                <w:bCs/>
                <w:color w:val="000000"/>
                <w:kern w:val="0"/>
                <w:sz w:val="18"/>
                <w:szCs w:val="18"/>
              </w:rPr>
            </w:pPr>
          </w:p>
        </w:tc>
      </w:tr>
    </w:tbl>
    <w:p w14:paraId="5061B243">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2.其他融资还本付息分析</w:t>
      </w:r>
    </w:p>
    <w:p w14:paraId="4F0093DF">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本次南昌轨道交通集团有限公司组织申报发行南昌市轨道交通</w:t>
      </w:r>
      <w:r>
        <w:rPr>
          <w:rFonts w:ascii="仿宋" w:hAnsi="仿宋" w:eastAsia="仿宋" w:cs="宋体"/>
          <w:color w:val="000000"/>
          <w:kern w:val="0"/>
          <w:szCs w:val="21"/>
        </w:rPr>
        <w:t>2</w:t>
      </w:r>
      <w:r>
        <w:rPr>
          <w:rFonts w:hint="eastAsia" w:ascii="仿宋" w:hAnsi="仿宋" w:eastAsia="仿宋" w:cs="宋体"/>
          <w:color w:val="000000"/>
          <w:kern w:val="0"/>
          <w:szCs w:val="21"/>
        </w:rPr>
        <w:t>号线东延工程专项债券项目的总投资额</w:t>
      </w:r>
      <w:r>
        <w:rPr>
          <w:rFonts w:ascii="仿宋" w:hAnsi="仿宋" w:eastAsia="仿宋" w:cs="宋体"/>
          <w:color w:val="000000"/>
          <w:kern w:val="0"/>
          <w:szCs w:val="21"/>
        </w:rPr>
        <w:t>1,057,672.67</w:t>
      </w:r>
      <w:r>
        <w:rPr>
          <w:rFonts w:hint="eastAsia" w:ascii="仿宋" w:hAnsi="仿宋" w:eastAsia="仿宋" w:cs="宋体"/>
          <w:color w:val="000000"/>
          <w:kern w:val="0"/>
          <w:szCs w:val="21"/>
        </w:rPr>
        <w:t>万元。计划其他融资</w:t>
      </w:r>
      <w:r>
        <w:rPr>
          <w:rFonts w:ascii="仿宋" w:hAnsi="仿宋" w:eastAsia="仿宋" w:cs="宋体"/>
          <w:color w:val="000000"/>
          <w:kern w:val="0"/>
          <w:szCs w:val="21"/>
        </w:rPr>
        <w:t>424,603.60</w:t>
      </w:r>
      <w:r>
        <w:rPr>
          <w:rFonts w:hint="eastAsia" w:ascii="仿宋" w:hAnsi="仿宋" w:eastAsia="仿宋" w:cs="宋体"/>
          <w:color w:val="000000"/>
          <w:kern w:val="0"/>
          <w:szCs w:val="21"/>
        </w:rPr>
        <w:t>万元。其中，2</w:t>
      </w:r>
      <w:r>
        <w:rPr>
          <w:rFonts w:ascii="仿宋" w:hAnsi="仿宋" w:eastAsia="仿宋" w:cs="宋体"/>
          <w:color w:val="000000"/>
          <w:kern w:val="0"/>
          <w:szCs w:val="21"/>
        </w:rPr>
        <w:t>021</w:t>
      </w:r>
      <w:r>
        <w:rPr>
          <w:rFonts w:hint="eastAsia" w:ascii="仿宋" w:hAnsi="仿宋" w:eastAsia="仿宋" w:cs="宋体"/>
          <w:color w:val="000000"/>
          <w:kern w:val="0"/>
          <w:szCs w:val="21"/>
        </w:rPr>
        <w:t>年借款</w:t>
      </w:r>
      <w:r>
        <w:rPr>
          <w:rFonts w:ascii="仿宋" w:hAnsi="仿宋" w:eastAsia="仿宋" w:cs="宋体"/>
          <w:color w:val="000000"/>
          <w:kern w:val="0"/>
          <w:szCs w:val="21"/>
        </w:rPr>
        <w:t>52,010.00</w:t>
      </w:r>
      <w:r>
        <w:rPr>
          <w:rFonts w:hint="eastAsia" w:ascii="仿宋" w:hAnsi="仿宋" w:eastAsia="仿宋" w:cs="宋体"/>
          <w:color w:val="000000"/>
          <w:kern w:val="0"/>
          <w:szCs w:val="21"/>
        </w:rPr>
        <w:t>万元；2</w:t>
      </w:r>
      <w:r>
        <w:rPr>
          <w:rFonts w:ascii="仿宋" w:hAnsi="仿宋" w:eastAsia="仿宋" w:cs="宋体"/>
          <w:color w:val="000000"/>
          <w:kern w:val="0"/>
          <w:szCs w:val="21"/>
        </w:rPr>
        <w:t>022</w:t>
      </w:r>
      <w:r>
        <w:rPr>
          <w:rFonts w:hint="eastAsia" w:ascii="仿宋" w:hAnsi="仿宋" w:eastAsia="仿宋" w:cs="宋体"/>
          <w:color w:val="000000"/>
          <w:kern w:val="0"/>
          <w:szCs w:val="21"/>
        </w:rPr>
        <w:t>年借款</w:t>
      </w:r>
      <w:r>
        <w:rPr>
          <w:rFonts w:ascii="仿宋" w:hAnsi="仿宋" w:eastAsia="仿宋" w:cs="宋体"/>
          <w:color w:val="000000"/>
          <w:kern w:val="0"/>
          <w:szCs w:val="21"/>
        </w:rPr>
        <w:t>10,000.00</w:t>
      </w:r>
      <w:r>
        <w:rPr>
          <w:rFonts w:hint="eastAsia" w:ascii="仿宋" w:hAnsi="仿宋" w:eastAsia="仿宋" w:cs="宋体"/>
          <w:color w:val="000000"/>
          <w:kern w:val="0"/>
          <w:szCs w:val="21"/>
        </w:rPr>
        <w:t>万元；2</w:t>
      </w:r>
      <w:r>
        <w:rPr>
          <w:rFonts w:ascii="仿宋" w:hAnsi="仿宋" w:eastAsia="仿宋" w:cs="宋体"/>
          <w:color w:val="000000"/>
          <w:kern w:val="0"/>
          <w:szCs w:val="21"/>
        </w:rPr>
        <w:t>023</w:t>
      </w:r>
      <w:r>
        <w:rPr>
          <w:rFonts w:hint="eastAsia" w:ascii="仿宋" w:hAnsi="仿宋" w:eastAsia="仿宋" w:cs="宋体"/>
          <w:color w:val="000000"/>
          <w:kern w:val="0"/>
          <w:szCs w:val="21"/>
        </w:rPr>
        <w:t>年借款</w:t>
      </w:r>
      <w:r>
        <w:rPr>
          <w:rFonts w:ascii="仿宋" w:hAnsi="仿宋" w:eastAsia="仿宋" w:cs="宋体"/>
          <w:color w:val="000000"/>
          <w:kern w:val="0"/>
          <w:szCs w:val="21"/>
        </w:rPr>
        <w:t>141,000.00</w:t>
      </w:r>
      <w:r>
        <w:rPr>
          <w:rFonts w:hint="eastAsia" w:ascii="仿宋" w:hAnsi="仿宋" w:eastAsia="仿宋" w:cs="宋体"/>
          <w:color w:val="000000"/>
          <w:kern w:val="0"/>
          <w:szCs w:val="21"/>
        </w:rPr>
        <w:t>万元；实际利率4</w:t>
      </w:r>
      <w:r>
        <w:rPr>
          <w:rFonts w:ascii="仿宋" w:hAnsi="仿宋" w:eastAsia="仿宋" w:cs="宋体"/>
          <w:color w:val="000000"/>
          <w:kern w:val="0"/>
          <w:szCs w:val="21"/>
        </w:rPr>
        <w:t>.2%</w:t>
      </w:r>
      <w:r>
        <w:rPr>
          <w:rFonts w:hint="eastAsia" w:ascii="仿宋" w:hAnsi="仿宋" w:eastAsia="仿宋" w:cs="宋体"/>
          <w:color w:val="000000"/>
          <w:kern w:val="0"/>
          <w:szCs w:val="21"/>
        </w:rPr>
        <w:t>。2</w:t>
      </w:r>
      <w:r>
        <w:rPr>
          <w:rFonts w:ascii="仿宋" w:hAnsi="仿宋" w:eastAsia="仿宋" w:cs="宋体"/>
          <w:color w:val="000000"/>
          <w:kern w:val="0"/>
          <w:szCs w:val="21"/>
        </w:rPr>
        <w:t>024</w:t>
      </w:r>
      <w:r>
        <w:rPr>
          <w:rFonts w:hint="eastAsia" w:ascii="仿宋" w:hAnsi="仿宋" w:eastAsia="仿宋" w:cs="宋体"/>
          <w:color w:val="000000"/>
          <w:kern w:val="0"/>
          <w:szCs w:val="21"/>
        </w:rPr>
        <w:t>年借款</w:t>
      </w:r>
      <w:r>
        <w:rPr>
          <w:rFonts w:ascii="仿宋" w:hAnsi="仿宋" w:eastAsia="仿宋" w:cs="宋体"/>
          <w:color w:val="000000"/>
          <w:kern w:val="0"/>
          <w:szCs w:val="21"/>
        </w:rPr>
        <w:t>136,500.00</w:t>
      </w:r>
      <w:r>
        <w:rPr>
          <w:rFonts w:hint="eastAsia" w:ascii="仿宋" w:hAnsi="仿宋" w:eastAsia="仿宋" w:cs="宋体"/>
          <w:color w:val="000000"/>
          <w:kern w:val="0"/>
          <w:szCs w:val="21"/>
        </w:rPr>
        <w:t>万元；2</w:t>
      </w:r>
      <w:r>
        <w:rPr>
          <w:rFonts w:ascii="仿宋" w:hAnsi="仿宋" w:eastAsia="仿宋" w:cs="宋体"/>
          <w:color w:val="000000"/>
          <w:kern w:val="0"/>
          <w:szCs w:val="21"/>
        </w:rPr>
        <w:t>025</w:t>
      </w:r>
      <w:r>
        <w:rPr>
          <w:rFonts w:hint="eastAsia" w:ascii="仿宋" w:hAnsi="仿宋" w:eastAsia="仿宋" w:cs="宋体"/>
          <w:color w:val="000000"/>
          <w:kern w:val="0"/>
          <w:szCs w:val="21"/>
        </w:rPr>
        <w:t>年借款</w:t>
      </w:r>
      <w:r>
        <w:rPr>
          <w:rFonts w:ascii="仿宋" w:hAnsi="仿宋" w:eastAsia="仿宋" w:cs="宋体"/>
          <w:color w:val="000000"/>
          <w:kern w:val="0"/>
          <w:szCs w:val="21"/>
        </w:rPr>
        <w:t>85,093.60</w:t>
      </w:r>
      <w:r>
        <w:rPr>
          <w:rFonts w:hint="eastAsia" w:ascii="仿宋" w:hAnsi="仿宋" w:eastAsia="仿宋" w:cs="宋体"/>
          <w:color w:val="000000"/>
          <w:kern w:val="0"/>
          <w:szCs w:val="21"/>
        </w:rPr>
        <w:t>万元。预计利率</w:t>
      </w:r>
      <w:r>
        <w:rPr>
          <w:rFonts w:ascii="仿宋" w:hAnsi="仿宋" w:eastAsia="仿宋" w:cs="宋体"/>
          <w:color w:val="000000"/>
          <w:kern w:val="0"/>
          <w:szCs w:val="21"/>
        </w:rPr>
        <w:t>3.5%</w:t>
      </w:r>
      <w:r>
        <w:rPr>
          <w:rFonts w:hint="eastAsia" w:ascii="仿宋" w:hAnsi="仿宋" w:eastAsia="仿宋" w:cs="宋体"/>
          <w:color w:val="000000"/>
          <w:kern w:val="0"/>
          <w:szCs w:val="21"/>
        </w:rPr>
        <w:t>，利率会随着LPR变动而变动，据此预计其他融资利息合计为</w:t>
      </w:r>
      <w:r>
        <w:rPr>
          <w:rFonts w:ascii="仿宋" w:hAnsi="仿宋" w:eastAsia="仿宋" w:cs="宋体"/>
          <w:color w:val="000000"/>
          <w:kern w:val="0"/>
          <w:szCs w:val="21"/>
        </w:rPr>
        <w:t>306,988.5</w:t>
      </w:r>
      <w:r>
        <w:rPr>
          <w:rFonts w:hint="eastAsia" w:ascii="仿宋" w:hAnsi="仿宋" w:eastAsia="仿宋" w:cs="宋体"/>
          <w:color w:val="000000"/>
          <w:kern w:val="0"/>
          <w:szCs w:val="21"/>
        </w:rPr>
        <w:t>4万元。</w:t>
      </w:r>
    </w:p>
    <w:p w14:paraId="6435C28D">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按照该</w:t>
      </w:r>
      <w:r>
        <w:rPr>
          <w:rFonts w:ascii="仿宋" w:hAnsi="仿宋" w:eastAsia="仿宋" w:cs="宋体"/>
          <w:color w:val="000000"/>
          <w:kern w:val="0"/>
          <w:szCs w:val="21"/>
        </w:rPr>
        <w:t>项目</w:t>
      </w:r>
      <w:r>
        <w:rPr>
          <w:rFonts w:hint="eastAsia" w:ascii="仿宋" w:hAnsi="仿宋" w:eastAsia="仿宋" w:cs="宋体"/>
          <w:color w:val="000000"/>
          <w:kern w:val="0"/>
          <w:szCs w:val="21"/>
        </w:rPr>
        <w:t>借款发行计划，预计</w:t>
      </w:r>
      <w:r>
        <w:rPr>
          <w:rFonts w:ascii="仿宋" w:hAnsi="仿宋" w:eastAsia="仿宋" w:cs="宋体"/>
          <w:color w:val="000000"/>
          <w:kern w:val="0"/>
          <w:szCs w:val="21"/>
        </w:rPr>
        <w:t>每年</w:t>
      </w:r>
      <w:r>
        <w:rPr>
          <w:rFonts w:hint="eastAsia" w:ascii="仿宋" w:hAnsi="仿宋" w:eastAsia="仿宋" w:cs="宋体"/>
          <w:color w:val="000000"/>
          <w:kern w:val="0"/>
          <w:szCs w:val="21"/>
        </w:rPr>
        <w:t>利息支出，每半年支付一次利息，本金逐年支付，本项目银行借款还本付息情况如下表所示：</w:t>
      </w:r>
    </w:p>
    <w:p w14:paraId="7D7594AE">
      <w:pPr>
        <w:spacing w:line="440" w:lineRule="exact"/>
        <w:ind w:firstLine="0" w:firstLineChars="0"/>
        <w:jc w:val="center"/>
        <w:rPr>
          <w:rFonts w:hint="eastAsia" w:ascii="宋体" w:hAnsi="宋体" w:eastAsia="宋体" w:cs="仿宋"/>
          <w:b/>
          <w:color w:val="000000"/>
          <w:sz w:val="21"/>
          <w:szCs w:val="24"/>
        </w:rPr>
      </w:pPr>
      <w:r>
        <w:rPr>
          <w:rFonts w:hint="eastAsia" w:ascii="宋体" w:hAnsi="宋体" w:eastAsia="宋体" w:cs="仿宋"/>
          <w:b/>
          <w:color w:val="000000"/>
          <w:sz w:val="21"/>
          <w:szCs w:val="24"/>
        </w:rPr>
        <w:t>表3</w:t>
      </w:r>
      <w:r>
        <w:rPr>
          <w:rFonts w:hint="eastAsia" w:ascii="宋体" w:hAnsi="宋体" w:eastAsia="宋体" w:cs="Times New Roman"/>
          <w:b/>
          <w:color w:val="000000"/>
          <w:sz w:val="21"/>
          <w:szCs w:val="24"/>
        </w:rPr>
        <w:t>-</w:t>
      </w:r>
      <w:r>
        <w:rPr>
          <w:rFonts w:ascii="宋体" w:hAnsi="宋体" w:eastAsia="宋体" w:cs="Times New Roman"/>
          <w:b/>
          <w:color w:val="000000"/>
          <w:sz w:val="21"/>
          <w:szCs w:val="24"/>
        </w:rPr>
        <w:t>3</w:t>
      </w:r>
      <w:r>
        <w:rPr>
          <w:rFonts w:hint="eastAsia" w:ascii="宋体" w:hAnsi="宋体" w:eastAsia="宋体" w:cs="Times New Roman"/>
          <w:b/>
          <w:color w:val="000000"/>
          <w:sz w:val="21"/>
          <w:szCs w:val="24"/>
        </w:rPr>
        <w:t xml:space="preserve"> </w:t>
      </w:r>
      <w:r>
        <w:rPr>
          <w:rFonts w:ascii="宋体" w:hAnsi="宋体" w:eastAsia="宋体" w:cs="Times New Roman"/>
          <w:b/>
          <w:color w:val="000000"/>
          <w:sz w:val="21"/>
          <w:szCs w:val="24"/>
        </w:rPr>
        <w:t xml:space="preserve"> </w:t>
      </w:r>
      <w:r>
        <w:rPr>
          <w:rFonts w:hint="eastAsia" w:ascii="宋体" w:hAnsi="宋体" w:eastAsia="宋体" w:cs="Times New Roman"/>
          <w:b/>
          <w:color w:val="000000"/>
          <w:sz w:val="21"/>
          <w:szCs w:val="24"/>
        </w:rPr>
        <w:t>202-2056年</w:t>
      </w:r>
      <w:r>
        <w:rPr>
          <w:rFonts w:hint="eastAsia" w:ascii="宋体" w:hAnsi="宋体" w:eastAsia="宋体" w:cs="仿宋"/>
          <w:b/>
          <w:color w:val="000000"/>
          <w:sz w:val="21"/>
          <w:szCs w:val="24"/>
        </w:rPr>
        <w:t>银行借款还本付息情况预测表</w:t>
      </w:r>
    </w:p>
    <w:p w14:paraId="22D5C1E9">
      <w:pPr>
        <w:spacing w:line="440" w:lineRule="exact"/>
        <w:ind w:firstLine="0" w:firstLineChars="0"/>
        <w:jc w:val="right"/>
        <w:rPr>
          <w:rFonts w:hint="eastAsia" w:ascii="宋体" w:hAnsi="宋体" w:eastAsia="宋体" w:cs="仿宋"/>
          <w:color w:val="000000"/>
          <w:sz w:val="18"/>
          <w:szCs w:val="18"/>
        </w:rPr>
      </w:pPr>
      <w:r>
        <w:rPr>
          <w:rFonts w:hint="eastAsia" w:ascii="宋体" w:hAnsi="宋体" w:eastAsia="宋体" w:cs="仿宋"/>
          <w:color w:val="000000"/>
          <w:sz w:val="18"/>
          <w:szCs w:val="18"/>
        </w:rPr>
        <w:t>单位：万元</w:t>
      </w:r>
    </w:p>
    <w:tbl>
      <w:tblPr>
        <w:tblStyle w:val="28"/>
        <w:tblW w:w="46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1498"/>
        <w:gridCol w:w="1181"/>
        <w:gridCol w:w="1184"/>
        <w:gridCol w:w="1649"/>
        <w:gridCol w:w="1386"/>
      </w:tblGrid>
      <w:tr w14:paraId="48A3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636" w:type="pct"/>
            <w:shd w:val="clear" w:color="auto" w:fill="auto"/>
            <w:vAlign w:val="center"/>
          </w:tcPr>
          <w:p w14:paraId="7D7CD44B">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年 份</w:t>
            </w:r>
          </w:p>
        </w:tc>
        <w:tc>
          <w:tcPr>
            <w:tcW w:w="948" w:type="pct"/>
            <w:shd w:val="clear" w:color="auto" w:fill="auto"/>
            <w:vAlign w:val="center"/>
          </w:tcPr>
          <w:p w14:paraId="38E93A7B">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期初借款余额</w:t>
            </w:r>
          </w:p>
        </w:tc>
        <w:tc>
          <w:tcPr>
            <w:tcW w:w="747" w:type="pct"/>
            <w:shd w:val="clear" w:color="auto" w:fill="auto"/>
            <w:vAlign w:val="center"/>
          </w:tcPr>
          <w:p w14:paraId="667556A0">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本期借款</w:t>
            </w:r>
          </w:p>
        </w:tc>
        <w:tc>
          <w:tcPr>
            <w:tcW w:w="749" w:type="pct"/>
            <w:shd w:val="clear" w:color="auto" w:fill="auto"/>
            <w:vAlign w:val="center"/>
          </w:tcPr>
          <w:p w14:paraId="3E891F14">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本期付息</w:t>
            </w:r>
          </w:p>
        </w:tc>
        <w:tc>
          <w:tcPr>
            <w:tcW w:w="1043" w:type="pct"/>
            <w:shd w:val="clear" w:color="auto" w:fill="auto"/>
            <w:vAlign w:val="center"/>
          </w:tcPr>
          <w:p w14:paraId="2D7A0BC6">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本期还本</w:t>
            </w:r>
          </w:p>
        </w:tc>
        <w:tc>
          <w:tcPr>
            <w:tcW w:w="877" w:type="pct"/>
            <w:shd w:val="clear" w:color="auto" w:fill="auto"/>
            <w:vAlign w:val="center"/>
          </w:tcPr>
          <w:p w14:paraId="3E2265AD">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期末借款余额</w:t>
            </w:r>
          </w:p>
        </w:tc>
      </w:tr>
      <w:tr w14:paraId="14F1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jc w:val="center"/>
        </w:trPr>
        <w:tc>
          <w:tcPr>
            <w:tcW w:w="636" w:type="pct"/>
            <w:shd w:val="clear" w:color="auto" w:fill="auto"/>
            <w:vAlign w:val="center"/>
          </w:tcPr>
          <w:p w14:paraId="3EC993ED">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w:t>
            </w:r>
            <w:r>
              <w:rPr>
                <w:rFonts w:ascii="宋体" w:hAnsi="宋体" w:eastAsia="宋体" w:cs="宋体"/>
                <w:bCs/>
                <w:color w:val="000000"/>
                <w:kern w:val="0"/>
                <w:sz w:val="18"/>
                <w:szCs w:val="18"/>
              </w:rPr>
              <w:t>021</w:t>
            </w:r>
            <w:r>
              <w:rPr>
                <w:rFonts w:hint="eastAsia" w:ascii="宋体" w:hAnsi="宋体" w:eastAsia="宋体" w:cs="宋体"/>
                <w:bCs/>
                <w:color w:val="000000"/>
                <w:kern w:val="0"/>
                <w:sz w:val="18"/>
                <w:szCs w:val="18"/>
              </w:rPr>
              <w:t>年</w:t>
            </w:r>
          </w:p>
        </w:tc>
        <w:tc>
          <w:tcPr>
            <w:tcW w:w="948" w:type="pct"/>
            <w:shd w:val="clear" w:color="auto" w:fill="auto"/>
            <w:vAlign w:val="center"/>
          </w:tcPr>
          <w:p w14:paraId="563CB74C">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7" w:type="pct"/>
            <w:shd w:val="clear" w:color="auto" w:fill="auto"/>
            <w:vAlign w:val="center"/>
          </w:tcPr>
          <w:p w14:paraId="7250D465">
            <w:pPr>
              <w:spacing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52,010.00</w:t>
            </w:r>
          </w:p>
        </w:tc>
        <w:tc>
          <w:tcPr>
            <w:tcW w:w="749" w:type="pct"/>
            <w:shd w:val="clear" w:color="auto" w:fill="auto"/>
            <w:vAlign w:val="center"/>
          </w:tcPr>
          <w:p w14:paraId="21F11536">
            <w:pPr>
              <w:spacing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1,092.21</w:t>
            </w:r>
          </w:p>
        </w:tc>
        <w:tc>
          <w:tcPr>
            <w:tcW w:w="1043" w:type="pct"/>
            <w:shd w:val="clear" w:color="auto" w:fill="auto"/>
            <w:vAlign w:val="center"/>
          </w:tcPr>
          <w:p w14:paraId="38C78F76">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877" w:type="pct"/>
            <w:shd w:val="clear" w:color="auto" w:fill="auto"/>
            <w:vAlign w:val="center"/>
          </w:tcPr>
          <w:p w14:paraId="5AD76959">
            <w:pPr>
              <w:spacing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52,010.00</w:t>
            </w:r>
          </w:p>
        </w:tc>
      </w:tr>
      <w:tr w14:paraId="6A3EA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0B00F7C7">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2022年</w:t>
            </w:r>
          </w:p>
        </w:tc>
        <w:tc>
          <w:tcPr>
            <w:tcW w:w="948" w:type="pct"/>
            <w:shd w:val="clear" w:color="auto" w:fill="auto"/>
            <w:vAlign w:val="center"/>
          </w:tcPr>
          <w:p w14:paraId="3F2E4C75">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52,010.00</w:t>
            </w:r>
          </w:p>
        </w:tc>
        <w:tc>
          <w:tcPr>
            <w:tcW w:w="747" w:type="pct"/>
            <w:shd w:val="clear" w:color="auto" w:fill="auto"/>
            <w:vAlign w:val="center"/>
          </w:tcPr>
          <w:p w14:paraId="6E380310">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10,000.00</w:t>
            </w:r>
          </w:p>
        </w:tc>
        <w:tc>
          <w:tcPr>
            <w:tcW w:w="749" w:type="pct"/>
            <w:shd w:val="clear" w:color="auto" w:fill="auto"/>
            <w:vAlign w:val="center"/>
          </w:tcPr>
          <w:p w14:paraId="75DA5F7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2,394.42</w:t>
            </w:r>
          </w:p>
        </w:tc>
        <w:tc>
          <w:tcPr>
            <w:tcW w:w="1043" w:type="pct"/>
            <w:shd w:val="clear" w:color="auto" w:fill="auto"/>
            <w:vAlign w:val="center"/>
          </w:tcPr>
          <w:p w14:paraId="558E4727">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877" w:type="pct"/>
            <w:shd w:val="clear" w:color="auto" w:fill="auto"/>
            <w:vAlign w:val="center"/>
          </w:tcPr>
          <w:p w14:paraId="4E4C900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62,010.00</w:t>
            </w:r>
          </w:p>
        </w:tc>
      </w:tr>
      <w:tr w14:paraId="0A00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00883DAD">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2023年</w:t>
            </w:r>
          </w:p>
        </w:tc>
        <w:tc>
          <w:tcPr>
            <w:tcW w:w="948" w:type="pct"/>
            <w:shd w:val="clear" w:color="auto" w:fill="auto"/>
            <w:vAlign w:val="center"/>
          </w:tcPr>
          <w:p w14:paraId="05B2D025">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62,010.00</w:t>
            </w:r>
          </w:p>
        </w:tc>
        <w:tc>
          <w:tcPr>
            <w:tcW w:w="747" w:type="pct"/>
            <w:shd w:val="clear" w:color="auto" w:fill="auto"/>
            <w:vAlign w:val="center"/>
          </w:tcPr>
          <w:p w14:paraId="37E7DB0F">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141,000.00</w:t>
            </w:r>
          </w:p>
        </w:tc>
        <w:tc>
          <w:tcPr>
            <w:tcW w:w="749" w:type="pct"/>
            <w:shd w:val="clear" w:color="auto" w:fill="auto"/>
            <w:vAlign w:val="center"/>
          </w:tcPr>
          <w:p w14:paraId="54CB9597">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5,565.42</w:t>
            </w:r>
          </w:p>
        </w:tc>
        <w:tc>
          <w:tcPr>
            <w:tcW w:w="1043" w:type="pct"/>
            <w:shd w:val="clear" w:color="auto" w:fill="auto"/>
            <w:vAlign w:val="center"/>
          </w:tcPr>
          <w:p w14:paraId="213692DB">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877" w:type="pct"/>
            <w:shd w:val="clear" w:color="auto" w:fill="auto"/>
            <w:vAlign w:val="center"/>
          </w:tcPr>
          <w:p w14:paraId="45AC9C99">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203,010.00</w:t>
            </w:r>
          </w:p>
        </w:tc>
      </w:tr>
      <w:tr w14:paraId="630FC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4C6A5E26">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2024年</w:t>
            </w:r>
          </w:p>
        </w:tc>
        <w:tc>
          <w:tcPr>
            <w:tcW w:w="948" w:type="pct"/>
            <w:shd w:val="clear" w:color="auto" w:fill="auto"/>
            <w:vAlign w:val="center"/>
          </w:tcPr>
          <w:p w14:paraId="27AAC37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203,010.00</w:t>
            </w:r>
          </w:p>
        </w:tc>
        <w:tc>
          <w:tcPr>
            <w:tcW w:w="747" w:type="pct"/>
            <w:shd w:val="clear" w:color="auto" w:fill="auto"/>
            <w:vAlign w:val="center"/>
          </w:tcPr>
          <w:p w14:paraId="5D19F9D5">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136,500.00</w:t>
            </w:r>
          </w:p>
        </w:tc>
        <w:tc>
          <w:tcPr>
            <w:tcW w:w="749" w:type="pct"/>
            <w:shd w:val="clear" w:color="auto" w:fill="auto"/>
            <w:vAlign w:val="center"/>
          </w:tcPr>
          <w:p w14:paraId="48924A67">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11,392.92</w:t>
            </w:r>
          </w:p>
        </w:tc>
        <w:tc>
          <w:tcPr>
            <w:tcW w:w="1043" w:type="pct"/>
            <w:shd w:val="clear" w:color="auto" w:fill="auto"/>
            <w:vAlign w:val="center"/>
          </w:tcPr>
          <w:p w14:paraId="2F3D2C15">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877" w:type="pct"/>
            <w:shd w:val="clear" w:color="auto" w:fill="auto"/>
            <w:vAlign w:val="center"/>
          </w:tcPr>
          <w:p w14:paraId="58D0F33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339,510.00</w:t>
            </w:r>
          </w:p>
        </w:tc>
      </w:tr>
      <w:tr w14:paraId="27B5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6FD8161E">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2025年</w:t>
            </w:r>
          </w:p>
        </w:tc>
        <w:tc>
          <w:tcPr>
            <w:tcW w:w="948" w:type="pct"/>
            <w:shd w:val="clear" w:color="auto" w:fill="auto"/>
            <w:vAlign w:val="center"/>
          </w:tcPr>
          <w:p w14:paraId="4FD56EA4">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339,510.00</w:t>
            </w:r>
          </w:p>
        </w:tc>
        <w:tc>
          <w:tcPr>
            <w:tcW w:w="747" w:type="pct"/>
            <w:shd w:val="clear" w:color="auto" w:fill="auto"/>
            <w:vAlign w:val="center"/>
          </w:tcPr>
          <w:p w14:paraId="4A02593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85,093.60</w:t>
            </w:r>
          </w:p>
        </w:tc>
        <w:tc>
          <w:tcPr>
            <w:tcW w:w="749" w:type="pct"/>
            <w:shd w:val="clear" w:color="auto" w:fill="auto"/>
            <w:vAlign w:val="center"/>
          </w:tcPr>
          <w:p w14:paraId="5725E321">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16,046.39</w:t>
            </w:r>
          </w:p>
        </w:tc>
        <w:tc>
          <w:tcPr>
            <w:tcW w:w="1043" w:type="pct"/>
            <w:shd w:val="clear" w:color="auto" w:fill="auto"/>
            <w:vAlign w:val="center"/>
          </w:tcPr>
          <w:p w14:paraId="638759C1">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877" w:type="pct"/>
            <w:shd w:val="clear" w:color="auto" w:fill="auto"/>
            <w:vAlign w:val="center"/>
          </w:tcPr>
          <w:p w14:paraId="5A8B291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424,603.60</w:t>
            </w:r>
          </w:p>
        </w:tc>
      </w:tr>
      <w:tr w14:paraId="25AE3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69FB07C9">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2026年</w:t>
            </w:r>
          </w:p>
        </w:tc>
        <w:tc>
          <w:tcPr>
            <w:tcW w:w="948" w:type="pct"/>
            <w:shd w:val="clear" w:color="auto" w:fill="auto"/>
            <w:vAlign w:val="center"/>
          </w:tcPr>
          <w:p w14:paraId="5E6698B0">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424,603.60</w:t>
            </w:r>
          </w:p>
        </w:tc>
        <w:tc>
          <w:tcPr>
            <w:tcW w:w="747" w:type="pct"/>
            <w:shd w:val="clear" w:color="auto" w:fill="auto"/>
            <w:vAlign w:val="center"/>
          </w:tcPr>
          <w:p w14:paraId="20FC7CA5">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11467E37">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17,539.35</w:t>
            </w:r>
          </w:p>
        </w:tc>
        <w:tc>
          <w:tcPr>
            <w:tcW w:w="1043" w:type="pct"/>
            <w:shd w:val="clear" w:color="auto" w:fill="auto"/>
            <w:vAlign w:val="center"/>
          </w:tcPr>
          <w:p w14:paraId="5864C744">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2D3D59E4">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410,603.60</w:t>
            </w:r>
          </w:p>
        </w:tc>
      </w:tr>
      <w:tr w14:paraId="3929E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28CD53AC">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2027年</w:t>
            </w:r>
          </w:p>
        </w:tc>
        <w:tc>
          <w:tcPr>
            <w:tcW w:w="948" w:type="pct"/>
            <w:shd w:val="clear" w:color="auto" w:fill="auto"/>
            <w:vAlign w:val="center"/>
          </w:tcPr>
          <w:p w14:paraId="680FAB13">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410,603.60</w:t>
            </w:r>
          </w:p>
        </w:tc>
        <w:tc>
          <w:tcPr>
            <w:tcW w:w="747" w:type="pct"/>
            <w:shd w:val="clear" w:color="auto" w:fill="auto"/>
            <w:vAlign w:val="center"/>
          </w:tcPr>
          <w:p w14:paraId="3C22DD95">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209B6344">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16,951.35</w:t>
            </w:r>
          </w:p>
        </w:tc>
        <w:tc>
          <w:tcPr>
            <w:tcW w:w="1043" w:type="pct"/>
            <w:shd w:val="clear" w:color="auto" w:fill="auto"/>
            <w:vAlign w:val="center"/>
          </w:tcPr>
          <w:p w14:paraId="043BDBC8">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076B445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396,603.60</w:t>
            </w:r>
          </w:p>
        </w:tc>
      </w:tr>
      <w:tr w14:paraId="73D40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17E0F520">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2028年</w:t>
            </w:r>
          </w:p>
        </w:tc>
        <w:tc>
          <w:tcPr>
            <w:tcW w:w="948" w:type="pct"/>
            <w:shd w:val="clear" w:color="auto" w:fill="auto"/>
            <w:vAlign w:val="center"/>
          </w:tcPr>
          <w:p w14:paraId="2C287C35">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396,603.60</w:t>
            </w:r>
          </w:p>
        </w:tc>
        <w:tc>
          <w:tcPr>
            <w:tcW w:w="747" w:type="pct"/>
            <w:shd w:val="clear" w:color="auto" w:fill="auto"/>
            <w:vAlign w:val="center"/>
          </w:tcPr>
          <w:p w14:paraId="2831BDD8">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174CD0F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16,363.35</w:t>
            </w:r>
          </w:p>
        </w:tc>
        <w:tc>
          <w:tcPr>
            <w:tcW w:w="1043" w:type="pct"/>
            <w:shd w:val="clear" w:color="auto" w:fill="auto"/>
            <w:vAlign w:val="center"/>
          </w:tcPr>
          <w:p w14:paraId="78F9C190">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20839AB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382,603.60</w:t>
            </w:r>
          </w:p>
        </w:tc>
      </w:tr>
      <w:tr w14:paraId="1F141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292A82A0">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2029年</w:t>
            </w:r>
          </w:p>
        </w:tc>
        <w:tc>
          <w:tcPr>
            <w:tcW w:w="948" w:type="pct"/>
            <w:shd w:val="clear" w:color="auto" w:fill="auto"/>
            <w:vAlign w:val="center"/>
          </w:tcPr>
          <w:p w14:paraId="5EE1FF94">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382,603.60</w:t>
            </w:r>
          </w:p>
        </w:tc>
        <w:tc>
          <w:tcPr>
            <w:tcW w:w="747" w:type="pct"/>
            <w:shd w:val="clear" w:color="auto" w:fill="auto"/>
            <w:vAlign w:val="center"/>
          </w:tcPr>
          <w:p w14:paraId="1F16A73C">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431A73C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15,775.35</w:t>
            </w:r>
          </w:p>
        </w:tc>
        <w:tc>
          <w:tcPr>
            <w:tcW w:w="1043" w:type="pct"/>
            <w:shd w:val="clear" w:color="auto" w:fill="auto"/>
            <w:vAlign w:val="center"/>
          </w:tcPr>
          <w:p w14:paraId="68D9527E">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743E8F80">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368,603.60</w:t>
            </w:r>
          </w:p>
        </w:tc>
      </w:tr>
      <w:tr w14:paraId="46C12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6101F7DC">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2030年</w:t>
            </w:r>
          </w:p>
        </w:tc>
        <w:tc>
          <w:tcPr>
            <w:tcW w:w="948" w:type="pct"/>
            <w:shd w:val="clear" w:color="auto" w:fill="auto"/>
            <w:vAlign w:val="center"/>
          </w:tcPr>
          <w:p w14:paraId="238E9A2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368,603.60</w:t>
            </w:r>
          </w:p>
        </w:tc>
        <w:tc>
          <w:tcPr>
            <w:tcW w:w="747" w:type="pct"/>
            <w:shd w:val="clear" w:color="auto" w:fill="auto"/>
            <w:vAlign w:val="center"/>
          </w:tcPr>
          <w:p w14:paraId="30BD6F5D">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6E661368">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15,187.35</w:t>
            </w:r>
          </w:p>
        </w:tc>
        <w:tc>
          <w:tcPr>
            <w:tcW w:w="1043" w:type="pct"/>
            <w:shd w:val="clear" w:color="auto" w:fill="auto"/>
            <w:vAlign w:val="center"/>
          </w:tcPr>
          <w:p w14:paraId="5D0367B4">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66AE4605">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354,603.60</w:t>
            </w:r>
          </w:p>
        </w:tc>
      </w:tr>
      <w:tr w14:paraId="3362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7A34FCD3">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2031年</w:t>
            </w:r>
          </w:p>
        </w:tc>
        <w:tc>
          <w:tcPr>
            <w:tcW w:w="948" w:type="pct"/>
            <w:shd w:val="clear" w:color="auto" w:fill="auto"/>
            <w:vAlign w:val="center"/>
          </w:tcPr>
          <w:p w14:paraId="5DD41FD7">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354,603.60</w:t>
            </w:r>
          </w:p>
        </w:tc>
        <w:tc>
          <w:tcPr>
            <w:tcW w:w="747" w:type="pct"/>
            <w:shd w:val="clear" w:color="auto" w:fill="auto"/>
            <w:vAlign w:val="center"/>
          </w:tcPr>
          <w:p w14:paraId="2DD6583E">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130413E6">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14,599.35</w:t>
            </w:r>
          </w:p>
        </w:tc>
        <w:tc>
          <w:tcPr>
            <w:tcW w:w="1043" w:type="pct"/>
            <w:shd w:val="clear" w:color="auto" w:fill="auto"/>
            <w:vAlign w:val="center"/>
          </w:tcPr>
          <w:p w14:paraId="1E7C1C13">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1A4DBD40">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340,603.60</w:t>
            </w:r>
          </w:p>
        </w:tc>
      </w:tr>
      <w:tr w14:paraId="14CCE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5339D0ED">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2032年</w:t>
            </w:r>
          </w:p>
        </w:tc>
        <w:tc>
          <w:tcPr>
            <w:tcW w:w="948" w:type="pct"/>
            <w:shd w:val="clear" w:color="auto" w:fill="auto"/>
            <w:vAlign w:val="center"/>
          </w:tcPr>
          <w:p w14:paraId="6C10FAAC">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340,603.60</w:t>
            </w:r>
          </w:p>
        </w:tc>
        <w:tc>
          <w:tcPr>
            <w:tcW w:w="747" w:type="pct"/>
            <w:shd w:val="clear" w:color="auto" w:fill="auto"/>
            <w:vAlign w:val="center"/>
          </w:tcPr>
          <w:p w14:paraId="626D8BDF">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1F9BDFB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14,011.35</w:t>
            </w:r>
          </w:p>
        </w:tc>
        <w:tc>
          <w:tcPr>
            <w:tcW w:w="1043" w:type="pct"/>
            <w:shd w:val="clear" w:color="auto" w:fill="auto"/>
            <w:vAlign w:val="center"/>
          </w:tcPr>
          <w:p w14:paraId="39E2A3C2">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46B1245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326,603.60</w:t>
            </w:r>
          </w:p>
        </w:tc>
      </w:tr>
      <w:tr w14:paraId="447EC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1444DEF2">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2033年</w:t>
            </w:r>
          </w:p>
        </w:tc>
        <w:tc>
          <w:tcPr>
            <w:tcW w:w="948" w:type="pct"/>
            <w:shd w:val="clear" w:color="auto" w:fill="auto"/>
            <w:vAlign w:val="center"/>
          </w:tcPr>
          <w:p w14:paraId="31299706">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326,603.60</w:t>
            </w:r>
          </w:p>
        </w:tc>
        <w:tc>
          <w:tcPr>
            <w:tcW w:w="747" w:type="pct"/>
            <w:shd w:val="clear" w:color="auto" w:fill="auto"/>
            <w:vAlign w:val="center"/>
          </w:tcPr>
          <w:p w14:paraId="239381FF">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6CEECBAE">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13,423.35</w:t>
            </w:r>
          </w:p>
        </w:tc>
        <w:tc>
          <w:tcPr>
            <w:tcW w:w="1043" w:type="pct"/>
            <w:shd w:val="clear" w:color="auto" w:fill="auto"/>
            <w:vAlign w:val="center"/>
          </w:tcPr>
          <w:p w14:paraId="2008CD52">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0CB9870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312,603.60</w:t>
            </w:r>
          </w:p>
        </w:tc>
      </w:tr>
      <w:tr w14:paraId="15649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4E1B43C6">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2034年</w:t>
            </w:r>
          </w:p>
        </w:tc>
        <w:tc>
          <w:tcPr>
            <w:tcW w:w="948" w:type="pct"/>
            <w:shd w:val="clear" w:color="auto" w:fill="auto"/>
            <w:vAlign w:val="center"/>
          </w:tcPr>
          <w:p w14:paraId="0703D85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312,603.60</w:t>
            </w:r>
          </w:p>
        </w:tc>
        <w:tc>
          <w:tcPr>
            <w:tcW w:w="747" w:type="pct"/>
            <w:shd w:val="clear" w:color="auto" w:fill="auto"/>
            <w:vAlign w:val="center"/>
          </w:tcPr>
          <w:p w14:paraId="398FAADF">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579AED00">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12,835.35</w:t>
            </w:r>
          </w:p>
        </w:tc>
        <w:tc>
          <w:tcPr>
            <w:tcW w:w="1043" w:type="pct"/>
            <w:shd w:val="clear" w:color="auto" w:fill="auto"/>
            <w:vAlign w:val="center"/>
          </w:tcPr>
          <w:p w14:paraId="6D82F77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545D2BC2">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298,603.60</w:t>
            </w:r>
          </w:p>
        </w:tc>
      </w:tr>
      <w:tr w14:paraId="05F7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4F245E5F">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2035年</w:t>
            </w:r>
          </w:p>
        </w:tc>
        <w:tc>
          <w:tcPr>
            <w:tcW w:w="948" w:type="pct"/>
            <w:shd w:val="clear" w:color="auto" w:fill="auto"/>
            <w:vAlign w:val="center"/>
          </w:tcPr>
          <w:p w14:paraId="41453A1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298,603.60</w:t>
            </w:r>
          </w:p>
        </w:tc>
        <w:tc>
          <w:tcPr>
            <w:tcW w:w="747" w:type="pct"/>
            <w:shd w:val="clear" w:color="auto" w:fill="auto"/>
            <w:vAlign w:val="center"/>
          </w:tcPr>
          <w:p w14:paraId="17D2DE40">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0FA4F8D2">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12,247.35</w:t>
            </w:r>
          </w:p>
        </w:tc>
        <w:tc>
          <w:tcPr>
            <w:tcW w:w="1043" w:type="pct"/>
            <w:shd w:val="clear" w:color="auto" w:fill="auto"/>
            <w:vAlign w:val="center"/>
          </w:tcPr>
          <w:p w14:paraId="46EA5346">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26898D1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284,603.60</w:t>
            </w:r>
          </w:p>
        </w:tc>
      </w:tr>
      <w:tr w14:paraId="2FB2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72F28866">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2036年</w:t>
            </w:r>
          </w:p>
        </w:tc>
        <w:tc>
          <w:tcPr>
            <w:tcW w:w="948" w:type="pct"/>
            <w:shd w:val="clear" w:color="auto" w:fill="auto"/>
            <w:vAlign w:val="center"/>
          </w:tcPr>
          <w:p w14:paraId="5D67A318">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284,603.60</w:t>
            </w:r>
          </w:p>
        </w:tc>
        <w:tc>
          <w:tcPr>
            <w:tcW w:w="747" w:type="pct"/>
            <w:shd w:val="clear" w:color="auto" w:fill="auto"/>
            <w:vAlign w:val="center"/>
          </w:tcPr>
          <w:p w14:paraId="6BE8BB3D">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5A640619">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11,659.35</w:t>
            </w:r>
          </w:p>
        </w:tc>
        <w:tc>
          <w:tcPr>
            <w:tcW w:w="1043" w:type="pct"/>
            <w:shd w:val="clear" w:color="auto" w:fill="auto"/>
            <w:vAlign w:val="center"/>
          </w:tcPr>
          <w:p w14:paraId="4A4ADF7F">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356CF2F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270,603.60</w:t>
            </w:r>
          </w:p>
        </w:tc>
      </w:tr>
      <w:tr w14:paraId="78AD3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735640B7">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2037年</w:t>
            </w:r>
          </w:p>
        </w:tc>
        <w:tc>
          <w:tcPr>
            <w:tcW w:w="948" w:type="pct"/>
            <w:shd w:val="clear" w:color="auto" w:fill="auto"/>
            <w:vAlign w:val="center"/>
          </w:tcPr>
          <w:p w14:paraId="4EFD9A66">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270,603.60</w:t>
            </w:r>
          </w:p>
        </w:tc>
        <w:tc>
          <w:tcPr>
            <w:tcW w:w="747" w:type="pct"/>
            <w:shd w:val="clear" w:color="auto" w:fill="auto"/>
            <w:vAlign w:val="center"/>
          </w:tcPr>
          <w:p w14:paraId="721926E0">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49F547D3">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11,071.35</w:t>
            </w:r>
          </w:p>
        </w:tc>
        <w:tc>
          <w:tcPr>
            <w:tcW w:w="1043" w:type="pct"/>
            <w:shd w:val="clear" w:color="auto" w:fill="auto"/>
            <w:vAlign w:val="center"/>
          </w:tcPr>
          <w:p w14:paraId="61D14B95">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354D7C7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256,603.60</w:t>
            </w:r>
          </w:p>
        </w:tc>
      </w:tr>
      <w:tr w14:paraId="6F0E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2909D2F6">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2038年</w:t>
            </w:r>
          </w:p>
        </w:tc>
        <w:tc>
          <w:tcPr>
            <w:tcW w:w="948" w:type="pct"/>
            <w:shd w:val="clear" w:color="auto" w:fill="auto"/>
            <w:vAlign w:val="center"/>
          </w:tcPr>
          <w:p w14:paraId="78EEF66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256,603.60</w:t>
            </w:r>
          </w:p>
        </w:tc>
        <w:tc>
          <w:tcPr>
            <w:tcW w:w="747" w:type="pct"/>
            <w:shd w:val="clear" w:color="auto" w:fill="auto"/>
            <w:vAlign w:val="center"/>
          </w:tcPr>
          <w:p w14:paraId="0270328E">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25501062">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10,483.35</w:t>
            </w:r>
          </w:p>
        </w:tc>
        <w:tc>
          <w:tcPr>
            <w:tcW w:w="1043" w:type="pct"/>
            <w:shd w:val="clear" w:color="auto" w:fill="auto"/>
            <w:vAlign w:val="center"/>
          </w:tcPr>
          <w:p w14:paraId="0B914C2F">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6024639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242,603.60</w:t>
            </w:r>
          </w:p>
        </w:tc>
      </w:tr>
      <w:tr w14:paraId="3AA7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18B4CB5B">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2039年</w:t>
            </w:r>
          </w:p>
        </w:tc>
        <w:tc>
          <w:tcPr>
            <w:tcW w:w="948" w:type="pct"/>
            <w:shd w:val="clear" w:color="auto" w:fill="auto"/>
            <w:vAlign w:val="center"/>
          </w:tcPr>
          <w:p w14:paraId="6AEA1109">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242,603.60</w:t>
            </w:r>
          </w:p>
        </w:tc>
        <w:tc>
          <w:tcPr>
            <w:tcW w:w="747" w:type="pct"/>
            <w:shd w:val="clear" w:color="auto" w:fill="auto"/>
            <w:vAlign w:val="center"/>
          </w:tcPr>
          <w:p w14:paraId="309C8234">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7F3BC926">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9,895.35</w:t>
            </w:r>
          </w:p>
        </w:tc>
        <w:tc>
          <w:tcPr>
            <w:tcW w:w="1043" w:type="pct"/>
            <w:shd w:val="clear" w:color="auto" w:fill="auto"/>
            <w:vAlign w:val="center"/>
          </w:tcPr>
          <w:p w14:paraId="33A0A2D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34945C57">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228,603.60</w:t>
            </w:r>
          </w:p>
        </w:tc>
      </w:tr>
      <w:tr w14:paraId="639AD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3B4CEBE1">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2040年</w:t>
            </w:r>
          </w:p>
        </w:tc>
        <w:tc>
          <w:tcPr>
            <w:tcW w:w="948" w:type="pct"/>
            <w:shd w:val="clear" w:color="auto" w:fill="auto"/>
            <w:vAlign w:val="center"/>
          </w:tcPr>
          <w:p w14:paraId="1101D77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228,603.60</w:t>
            </w:r>
          </w:p>
        </w:tc>
        <w:tc>
          <w:tcPr>
            <w:tcW w:w="747" w:type="pct"/>
            <w:shd w:val="clear" w:color="auto" w:fill="auto"/>
            <w:vAlign w:val="center"/>
          </w:tcPr>
          <w:p w14:paraId="0EB43AC4">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333F23B5">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9,307.35</w:t>
            </w:r>
          </w:p>
        </w:tc>
        <w:tc>
          <w:tcPr>
            <w:tcW w:w="1043" w:type="pct"/>
            <w:shd w:val="clear" w:color="auto" w:fill="auto"/>
            <w:vAlign w:val="center"/>
          </w:tcPr>
          <w:p w14:paraId="18499A91">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5ABB6EE9">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214,603.60</w:t>
            </w:r>
          </w:p>
        </w:tc>
      </w:tr>
      <w:tr w14:paraId="6B584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453852F5">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2041年</w:t>
            </w:r>
          </w:p>
        </w:tc>
        <w:tc>
          <w:tcPr>
            <w:tcW w:w="948" w:type="pct"/>
            <w:shd w:val="clear" w:color="auto" w:fill="auto"/>
            <w:vAlign w:val="center"/>
          </w:tcPr>
          <w:p w14:paraId="1CD34C4F">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214,603.60</w:t>
            </w:r>
          </w:p>
        </w:tc>
        <w:tc>
          <w:tcPr>
            <w:tcW w:w="747" w:type="pct"/>
            <w:shd w:val="clear" w:color="auto" w:fill="auto"/>
            <w:vAlign w:val="center"/>
          </w:tcPr>
          <w:p w14:paraId="71233B3A">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6FA419A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8,719.35</w:t>
            </w:r>
          </w:p>
        </w:tc>
        <w:tc>
          <w:tcPr>
            <w:tcW w:w="1043" w:type="pct"/>
            <w:shd w:val="clear" w:color="auto" w:fill="auto"/>
            <w:vAlign w:val="center"/>
          </w:tcPr>
          <w:p w14:paraId="0579FA90">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338E0B67">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200,603.60</w:t>
            </w:r>
          </w:p>
        </w:tc>
      </w:tr>
      <w:tr w14:paraId="1E65C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34578378">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2042年</w:t>
            </w:r>
          </w:p>
        </w:tc>
        <w:tc>
          <w:tcPr>
            <w:tcW w:w="948" w:type="pct"/>
            <w:shd w:val="clear" w:color="auto" w:fill="auto"/>
            <w:vAlign w:val="center"/>
          </w:tcPr>
          <w:p w14:paraId="1C5B65B1">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200,603.60</w:t>
            </w:r>
          </w:p>
        </w:tc>
        <w:tc>
          <w:tcPr>
            <w:tcW w:w="747" w:type="pct"/>
            <w:shd w:val="clear" w:color="auto" w:fill="auto"/>
            <w:vAlign w:val="center"/>
          </w:tcPr>
          <w:p w14:paraId="7958FBA2">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65BA68D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8,131.35</w:t>
            </w:r>
          </w:p>
        </w:tc>
        <w:tc>
          <w:tcPr>
            <w:tcW w:w="1043" w:type="pct"/>
            <w:shd w:val="clear" w:color="auto" w:fill="auto"/>
            <w:vAlign w:val="center"/>
          </w:tcPr>
          <w:p w14:paraId="3B55DF98">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686FA6F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186,603.60</w:t>
            </w:r>
          </w:p>
        </w:tc>
      </w:tr>
      <w:tr w14:paraId="5F0B9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40869163">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2043年</w:t>
            </w:r>
          </w:p>
        </w:tc>
        <w:tc>
          <w:tcPr>
            <w:tcW w:w="948" w:type="pct"/>
            <w:shd w:val="clear" w:color="auto" w:fill="auto"/>
            <w:vAlign w:val="center"/>
          </w:tcPr>
          <w:p w14:paraId="05845FCE">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186,603.60</w:t>
            </w:r>
          </w:p>
        </w:tc>
        <w:tc>
          <w:tcPr>
            <w:tcW w:w="747" w:type="pct"/>
            <w:shd w:val="clear" w:color="auto" w:fill="auto"/>
            <w:vAlign w:val="center"/>
          </w:tcPr>
          <w:p w14:paraId="425C1756">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61F80C3E">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7,543.35</w:t>
            </w:r>
          </w:p>
        </w:tc>
        <w:tc>
          <w:tcPr>
            <w:tcW w:w="1043" w:type="pct"/>
            <w:shd w:val="clear" w:color="auto" w:fill="auto"/>
            <w:vAlign w:val="center"/>
          </w:tcPr>
          <w:p w14:paraId="03FA83B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3C9C9BA3">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172,603.60</w:t>
            </w:r>
          </w:p>
        </w:tc>
      </w:tr>
      <w:tr w14:paraId="2808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5B6B7E8A">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2044年</w:t>
            </w:r>
          </w:p>
        </w:tc>
        <w:tc>
          <w:tcPr>
            <w:tcW w:w="948" w:type="pct"/>
            <w:shd w:val="clear" w:color="auto" w:fill="auto"/>
            <w:vAlign w:val="center"/>
          </w:tcPr>
          <w:p w14:paraId="45E2613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172,603.60</w:t>
            </w:r>
          </w:p>
        </w:tc>
        <w:tc>
          <w:tcPr>
            <w:tcW w:w="747" w:type="pct"/>
            <w:shd w:val="clear" w:color="auto" w:fill="auto"/>
            <w:vAlign w:val="center"/>
          </w:tcPr>
          <w:p w14:paraId="18B8D9E5">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068BE848">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6,955.35</w:t>
            </w:r>
          </w:p>
        </w:tc>
        <w:tc>
          <w:tcPr>
            <w:tcW w:w="1043" w:type="pct"/>
            <w:shd w:val="clear" w:color="auto" w:fill="auto"/>
            <w:vAlign w:val="center"/>
          </w:tcPr>
          <w:p w14:paraId="405ACD93">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768D5BD0">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158,603.60</w:t>
            </w:r>
          </w:p>
        </w:tc>
      </w:tr>
      <w:tr w14:paraId="1D594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5C78DD55">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2045年</w:t>
            </w:r>
          </w:p>
        </w:tc>
        <w:tc>
          <w:tcPr>
            <w:tcW w:w="948" w:type="pct"/>
            <w:shd w:val="clear" w:color="auto" w:fill="auto"/>
            <w:vAlign w:val="center"/>
          </w:tcPr>
          <w:p w14:paraId="23CFE2F1">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158,603.60</w:t>
            </w:r>
          </w:p>
        </w:tc>
        <w:tc>
          <w:tcPr>
            <w:tcW w:w="747" w:type="pct"/>
            <w:shd w:val="clear" w:color="auto" w:fill="auto"/>
            <w:vAlign w:val="center"/>
          </w:tcPr>
          <w:p w14:paraId="794201F4">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7451D5A3">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6,367.35</w:t>
            </w:r>
          </w:p>
        </w:tc>
        <w:tc>
          <w:tcPr>
            <w:tcW w:w="1043" w:type="pct"/>
            <w:shd w:val="clear" w:color="auto" w:fill="auto"/>
            <w:vAlign w:val="center"/>
          </w:tcPr>
          <w:p w14:paraId="027DD2E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301128DC">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144,603.60</w:t>
            </w:r>
          </w:p>
        </w:tc>
      </w:tr>
      <w:tr w14:paraId="33B7E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064028C1">
            <w:pPr>
              <w:widowControl/>
              <w:spacing w:after="0" w:line="240" w:lineRule="exact"/>
              <w:ind w:firstLine="0" w:firstLineChars="0"/>
              <w:jc w:val="center"/>
              <w:rPr>
                <w:rFonts w:hint="eastAsia" w:ascii="宋体" w:hAnsi="宋体" w:eastAsia="宋体" w:cs="宋体"/>
                <w:bCs/>
                <w:color w:val="000000"/>
                <w:kern w:val="0"/>
                <w:sz w:val="18"/>
                <w:szCs w:val="18"/>
              </w:rPr>
            </w:pPr>
            <w:r>
              <w:rPr>
                <w:rFonts w:hint="eastAsia" w:ascii="宋体" w:hAnsi="宋体" w:eastAsia="宋体" w:cs="宋体"/>
                <w:bCs/>
                <w:color w:val="000000"/>
                <w:kern w:val="0"/>
                <w:sz w:val="18"/>
                <w:szCs w:val="18"/>
              </w:rPr>
              <w:t>2046年</w:t>
            </w:r>
          </w:p>
        </w:tc>
        <w:tc>
          <w:tcPr>
            <w:tcW w:w="948" w:type="pct"/>
            <w:shd w:val="clear" w:color="auto" w:fill="auto"/>
            <w:vAlign w:val="center"/>
          </w:tcPr>
          <w:p w14:paraId="666823B1">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144,603.60</w:t>
            </w:r>
          </w:p>
        </w:tc>
        <w:tc>
          <w:tcPr>
            <w:tcW w:w="747" w:type="pct"/>
            <w:shd w:val="clear" w:color="auto" w:fill="auto"/>
            <w:vAlign w:val="center"/>
          </w:tcPr>
          <w:p w14:paraId="442E2441">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39319B1E">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5,779.35</w:t>
            </w:r>
          </w:p>
        </w:tc>
        <w:tc>
          <w:tcPr>
            <w:tcW w:w="1043" w:type="pct"/>
            <w:shd w:val="clear" w:color="auto" w:fill="auto"/>
            <w:vAlign w:val="center"/>
          </w:tcPr>
          <w:p w14:paraId="3F18AF02">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30FEA2C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130,603.60</w:t>
            </w:r>
          </w:p>
        </w:tc>
      </w:tr>
      <w:tr w14:paraId="4EE7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31658DF6">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2047</w:t>
            </w:r>
            <w:r>
              <w:rPr>
                <w:rFonts w:hint="eastAsia" w:ascii="宋体" w:hAnsi="宋体" w:eastAsia="宋体" w:cs="宋体"/>
                <w:bCs/>
                <w:color w:val="000000"/>
                <w:kern w:val="0"/>
                <w:sz w:val="18"/>
                <w:szCs w:val="18"/>
              </w:rPr>
              <w:t>年</w:t>
            </w:r>
          </w:p>
        </w:tc>
        <w:tc>
          <w:tcPr>
            <w:tcW w:w="948" w:type="pct"/>
            <w:shd w:val="clear" w:color="auto" w:fill="auto"/>
            <w:vAlign w:val="center"/>
          </w:tcPr>
          <w:p w14:paraId="2003E5C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130,603.60</w:t>
            </w:r>
          </w:p>
        </w:tc>
        <w:tc>
          <w:tcPr>
            <w:tcW w:w="747" w:type="pct"/>
            <w:shd w:val="clear" w:color="auto" w:fill="auto"/>
            <w:vAlign w:val="center"/>
          </w:tcPr>
          <w:p w14:paraId="509364E7">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4192C8AF">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5,191.35</w:t>
            </w:r>
          </w:p>
        </w:tc>
        <w:tc>
          <w:tcPr>
            <w:tcW w:w="1043" w:type="pct"/>
            <w:shd w:val="clear" w:color="auto" w:fill="auto"/>
            <w:vAlign w:val="center"/>
          </w:tcPr>
          <w:p w14:paraId="3729C874">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58FBCCA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116,603.60</w:t>
            </w:r>
          </w:p>
        </w:tc>
      </w:tr>
      <w:tr w14:paraId="7B3E8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32A537F4">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2048</w:t>
            </w:r>
            <w:r>
              <w:rPr>
                <w:rFonts w:hint="eastAsia" w:ascii="宋体" w:hAnsi="宋体" w:eastAsia="宋体" w:cs="宋体"/>
                <w:bCs/>
                <w:color w:val="000000"/>
                <w:kern w:val="0"/>
                <w:sz w:val="18"/>
                <w:szCs w:val="18"/>
              </w:rPr>
              <w:t>年</w:t>
            </w:r>
          </w:p>
        </w:tc>
        <w:tc>
          <w:tcPr>
            <w:tcW w:w="948" w:type="pct"/>
            <w:shd w:val="clear" w:color="auto" w:fill="auto"/>
            <w:vAlign w:val="center"/>
          </w:tcPr>
          <w:p w14:paraId="07605872">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116,603.60</w:t>
            </w:r>
          </w:p>
        </w:tc>
        <w:tc>
          <w:tcPr>
            <w:tcW w:w="747" w:type="pct"/>
            <w:shd w:val="clear" w:color="auto" w:fill="auto"/>
            <w:vAlign w:val="center"/>
          </w:tcPr>
          <w:p w14:paraId="162DC7DC">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75591078">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4,603.35</w:t>
            </w:r>
          </w:p>
        </w:tc>
        <w:tc>
          <w:tcPr>
            <w:tcW w:w="1043" w:type="pct"/>
            <w:shd w:val="clear" w:color="auto" w:fill="auto"/>
            <w:vAlign w:val="center"/>
          </w:tcPr>
          <w:p w14:paraId="74D9CBB8">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6269430F">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102,603.60</w:t>
            </w:r>
          </w:p>
        </w:tc>
      </w:tr>
      <w:tr w14:paraId="7CF62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280CFA09">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2049</w:t>
            </w:r>
            <w:r>
              <w:rPr>
                <w:rFonts w:hint="eastAsia" w:ascii="宋体" w:hAnsi="宋体" w:eastAsia="宋体" w:cs="宋体"/>
                <w:bCs/>
                <w:color w:val="000000"/>
                <w:kern w:val="0"/>
                <w:sz w:val="18"/>
                <w:szCs w:val="18"/>
              </w:rPr>
              <w:t>年</w:t>
            </w:r>
          </w:p>
        </w:tc>
        <w:tc>
          <w:tcPr>
            <w:tcW w:w="948" w:type="pct"/>
            <w:shd w:val="clear" w:color="auto" w:fill="auto"/>
            <w:vAlign w:val="center"/>
          </w:tcPr>
          <w:p w14:paraId="14E0F753">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102,603.60</w:t>
            </w:r>
          </w:p>
        </w:tc>
        <w:tc>
          <w:tcPr>
            <w:tcW w:w="747" w:type="pct"/>
            <w:shd w:val="clear" w:color="auto" w:fill="auto"/>
            <w:vAlign w:val="center"/>
          </w:tcPr>
          <w:p w14:paraId="157CECA5">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748F1FF9">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4,015.35</w:t>
            </w:r>
          </w:p>
        </w:tc>
        <w:tc>
          <w:tcPr>
            <w:tcW w:w="1043" w:type="pct"/>
            <w:shd w:val="clear" w:color="auto" w:fill="auto"/>
            <w:vAlign w:val="center"/>
          </w:tcPr>
          <w:p w14:paraId="31CA8FD7">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42FCF2A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88,603.60</w:t>
            </w:r>
          </w:p>
        </w:tc>
      </w:tr>
      <w:tr w14:paraId="215A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0A952B90">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2050</w:t>
            </w:r>
            <w:r>
              <w:rPr>
                <w:rFonts w:hint="eastAsia" w:ascii="宋体" w:hAnsi="宋体" w:eastAsia="宋体" w:cs="宋体"/>
                <w:bCs/>
                <w:color w:val="000000"/>
                <w:kern w:val="0"/>
                <w:sz w:val="18"/>
                <w:szCs w:val="18"/>
              </w:rPr>
              <w:t>年</w:t>
            </w:r>
          </w:p>
        </w:tc>
        <w:tc>
          <w:tcPr>
            <w:tcW w:w="948" w:type="pct"/>
            <w:shd w:val="clear" w:color="auto" w:fill="auto"/>
            <w:vAlign w:val="center"/>
          </w:tcPr>
          <w:p w14:paraId="17B4F2EE">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88,603.60</w:t>
            </w:r>
          </w:p>
        </w:tc>
        <w:tc>
          <w:tcPr>
            <w:tcW w:w="747" w:type="pct"/>
            <w:shd w:val="clear" w:color="auto" w:fill="auto"/>
            <w:vAlign w:val="center"/>
          </w:tcPr>
          <w:p w14:paraId="13D8501B">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6C85E5C3">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3,427.35</w:t>
            </w:r>
          </w:p>
        </w:tc>
        <w:tc>
          <w:tcPr>
            <w:tcW w:w="1043" w:type="pct"/>
            <w:shd w:val="clear" w:color="auto" w:fill="auto"/>
            <w:vAlign w:val="center"/>
          </w:tcPr>
          <w:p w14:paraId="67CC4E64">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23E8498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74,603.60</w:t>
            </w:r>
          </w:p>
        </w:tc>
      </w:tr>
      <w:tr w14:paraId="4685B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16A21EC7">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2051</w:t>
            </w:r>
            <w:r>
              <w:rPr>
                <w:rFonts w:hint="eastAsia" w:ascii="宋体" w:hAnsi="宋体" w:eastAsia="宋体" w:cs="宋体"/>
                <w:bCs/>
                <w:color w:val="000000"/>
                <w:kern w:val="0"/>
                <w:sz w:val="18"/>
                <w:szCs w:val="18"/>
              </w:rPr>
              <w:t>年</w:t>
            </w:r>
          </w:p>
        </w:tc>
        <w:tc>
          <w:tcPr>
            <w:tcW w:w="948" w:type="pct"/>
            <w:shd w:val="clear" w:color="auto" w:fill="auto"/>
            <w:vAlign w:val="center"/>
          </w:tcPr>
          <w:p w14:paraId="64837FEC">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74,603.60</w:t>
            </w:r>
          </w:p>
        </w:tc>
        <w:tc>
          <w:tcPr>
            <w:tcW w:w="747" w:type="pct"/>
            <w:shd w:val="clear" w:color="auto" w:fill="auto"/>
            <w:vAlign w:val="center"/>
          </w:tcPr>
          <w:p w14:paraId="23CF7374">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688CE023">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2,839.35</w:t>
            </w:r>
          </w:p>
        </w:tc>
        <w:tc>
          <w:tcPr>
            <w:tcW w:w="1043" w:type="pct"/>
            <w:shd w:val="clear" w:color="auto" w:fill="auto"/>
            <w:vAlign w:val="center"/>
          </w:tcPr>
          <w:p w14:paraId="7F7F84F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5A1DDBC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60,603.60</w:t>
            </w:r>
          </w:p>
        </w:tc>
      </w:tr>
      <w:tr w14:paraId="04578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125F8809">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2052</w:t>
            </w:r>
            <w:r>
              <w:rPr>
                <w:rFonts w:hint="eastAsia" w:ascii="宋体" w:hAnsi="宋体" w:eastAsia="宋体" w:cs="宋体"/>
                <w:bCs/>
                <w:color w:val="000000"/>
                <w:kern w:val="0"/>
                <w:sz w:val="18"/>
                <w:szCs w:val="18"/>
              </w:rPr>
              <w:t>年</w:t>
            </w:r>
          </w:p>
        </w:tc>
        <w:tc>
          <w:tcPr>
            <w:tcW w:w="948" w:type="pct"/>
            <w:shd w:val="clear" w:color="auto" w:fill="auto"/>
            <w:vAlign w:val="center"/>
          </w:tcPr>
          <w:p w14:paraId="75F283E1">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60,603.60</w:t>
            </w:r>
          </w:p>
        </w:tc>
        <w:tc>
          <w:tcPr>
            <w:tcW w:w="747" w:type="pct"/>
            <w:shd w:val="clear" w:color="auto" w:fill="auto"/>
            <w:vAlign w:val="center"/>
          </w:tcPr>
          <w:p w14:paraId="73BA3AEF">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4A73C7C1">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2,251.35</w:t>
            </w:r>
          </w:p>
        </w:tc>
        <w:tc>
          <w:tcPr>
            <w:tcW w:w="1043" w:type="pct"/>
            <w:shd w:val="clear" w:color="auto" w:fill="auto"/>
            <w:vAlign w:val="center"/>
          </w:tcPr>
          <w:p w14:paraId="56C3045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128B480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46,603.60</w:t>
            </w:r>
          </w:p>
        </w:tc>
      </w:tr>
      <w:tr w14:paraId="1AAC4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2C428E4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2053</w:t>
            </w:r>
            <w:r>
              <w:rPr>
                <w:rFonts w:hint="eastAsia" w:ascii="宋体" w:hAnsi="宋体" w:eastAsia="宋体" w:cs="宋体"/>
                <w:bCs/>
                <w:color w:val="000000"/>
                <w:kern w:val="0"/>
                <w:sz w:val="18"/>
                <w:szCs w:val="18"/>
              </w:rPr>
              <w:t>年</w:t>
            </w:r>
          </w:p>
        </w:tc>
        <w:tc>
          <w:tcPr>
            <w:tcW w:w="948" w:type="pct"/>
            <w:shd w:val="clear" w:color="auto" w:fill="auto"/>
            <w:vAlign w:val="center"/>
          </w:tcPr>
          <w:p w14:paraId="1059FBE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46,603.60</w:t>
            </w:r>
          </w:p>
        </w:tc>
        <w:tc>
          <w:tcPr>
            <w:tcW w:w="747" w:type="pct"/>
            <w:shd w:val="clear" w:color="auto" w:fill="auto"/>
            <w:vAlign w:val="center"/>
          </w:tcPr>
          <w:p w14:paraId="6721EE9C">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1BCBD621">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1,663.35</w:t>
            </w:r>
          </w:p>
        </w:tc>
        <w:tc>
          <w:tcPr>
            <w:tcW w:w="1043" w:type="pct"/>
            <w:shd w:val="clear" w:color="auto" w:fill="auto"/>
            <w:vAlign w:val="center"/>
          </w:tcPr>
          <w:p w14:paraId="75E26256">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08E37FD9">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32,603.60</w:t>
            </w:r>
          </w:p>
        </w:tc>
      </w:tr>
      <w:tr w14:paraId="3848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5EED51C1">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2054</w:t>
            </w:r>
            <w:r>
              <w:rPr>
                <w:rFonts w:hint="eastAsia" w:ascii="宋体" w:hAnsi="宋体" w:eastAsia="宋体" w:cs="宋体"/>
                <w:bCs/>
                <w:color w:val="000000"/>
                <w:kern w:val="0"/>
                <w:sz w:val="18"/>
                <w:szCs w:val="18"/>
              </w:rPr>
              <w:t>年</w:t>
            </w:r>
          </w:p>
        </w:tc>
        <w:tc>
          <w:tcPr>
            <w:tcW w:w="948" w:type="pct"/>
            <w:shd w:val="clear" w:color="auto" w:fill="auto"/>
            <w:vAlign w:val="center"/>
          </w:tcPr>
          <w:p w14:paraId="51662F35">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32,603.60</w:t>
            </w:r>
          </w:p>
        </w:tc>
        <w:tc>
          <w:tcPr>
            <w:tcW w:w="747" w:type="pct"/>
            <w:shd w:val="clear" w:color="auto" w:fill="auto"/>
            <w:vAlign w:val="center"/>
          </w:tcPr>
          <w:p w14:paraId="582DD2C7">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70FC03E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1,075.35</w:t>
            </w:r>
          </w:p>
        </w:tc>
        <w:tc>
          <w:tcPr>
            <w:tcW w:w="1043" w:type="pct"/>
            <w:shd w:val="clear" w:color="auto" w:fill="auto"/>
            <w:vAlign w:val="center"/>
          </w:tcPr>
          <w:p w14:paraId="0F2F303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205A039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18,603.60</w:t>
            </w:r>
          </w:p>
        </w:tc>
      </w:tr>
      <w:tr w14:paraId="31BB9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63778E21">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2055</w:t>
            </w:r>
            <w:r>
              <w:rPr>
                <w:rFonts w:hint="eastAsia" w:ascii="宋体" w:hAnsi="宋体" w:eastAsia="宋体" w:cs="宋体"/>
                <w:bCs/>
                <w:color w:val="000000"/>
                <w:kern w:val="0"/>
                <w:sz w:val="18"/>
                <w:szCs w:val="18"/>
              </w:rPr>
              <w:t>年</w:t>
            </w:r>
          </w:p>
        </w:tc>
        <w:tc>
          <w:tcPr>
            <w:tcW w:w="948" w:type="pct"/>
            <w:shd w:val="clear" w:color="auto" w:fill="auto"/>
            <w:vAlign w:val="center"/>
          </w:tcPr>
          <w:p w14:paraId="7C9481AB">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18,603.60</w:t>
            </w:r>
          </w:p>
        </w:tc>
        <w:tc>
          <w:tcPr>
            <w:tcW w:w="747" w:type="pct"/>
            <w:shd w:val="clear" w:color="auto" w:fill="auto"/>
            <w:vAlign w:val="center"/>
          </w:tcPr>
          <w:p w14:paraId="683F7CB9">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66A0ABEF">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487.35</w:t>
            </w:r>
          </w:p>
        </w:tc>
        <w:tc>
          <w:tcPr>
            <w:tcW w:w="1043" w:type="pct"/>
            <w:shd w:val="clear" w:color="auto" w:fill="auto"/>
            <w:vAlign w:val="center"/>
          </w:tcPr>
          <w:p w14:paraId="3CF0CAC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14,000.00</w:t>
            </w:r>
          </w:p>
        </w:tc>
        <w:tc>
          <w:tcPr>
            <w:tcW w:w="877" w:type="pct"/>
            <w:shd w:val="clear" w:color="auto" w:fill="auto"/>
            <w:vAlign w:val="center"/>
          </w:tcPr>
          <w:p w14:paraId="7CA06E7D">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4,603.60</w:t>
            </w:r>
          </w:p>
        </w:tc>
      </w:tr>
      <w:tr w14:paraId="451C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0504AEF7">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2056</w:t>
            </w:r>
            <w:r>
              <w:rPr>
                <w:rFonts w:hint="eastAsia" w:ascii="宋体" w:hAnsi="宋体" w:eastAsia="宋体" w:cs="宋体"/>
                <w:bCs/>
                <w:color w:val="000000"/>
                <w:kern w:val="0"/>
                <w:sz w:val="18"/>
                <w:szCs w:val="18"/>
              </w:rPr>
              <w:t>年</w:t>
            </w:r>
          </w:p>
        </w:tc>
        <w:tc>
          <w:tcPr>
            <w:tcW w:w="948" w:type="pct"/>
            <w:shd w:val="clear" w:color="auto" w:fill="auto"/>
            <w:vAlign w:val="center"/>
          </w:tcPr>
          <w:p w14:paraId="1FB8F706">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4,603.60</w:t>
            </w:r>
          </w:p>
        </w:tc>
        <w:tc>
          <w:tcPr>
            <w:tcW w:w="747" w:type="pct"/>
            <w:shd w:val="clear" w:color="auto" w:fill="auto"/>
            <w:vAlign w:val="center"/>
          </w:tcPr>
          <w:p w14:paraId="15E96AFD">
            <w:pPr>
              <w:widowControl/>
              <w:spacing w:after="0" w:line="240" w:lineRule="exact"/>
              <w:ind w:firstLine="0" w:firstLineChars="0"/>
              <w:jc w:val="center"/>
              <w:rPr>
                <w:rFonts w:hint="eastAsia" w:ascii="宋体" w:hAnsi="宋体" w:eastAsia="宋体" w:cs="宋体"/>
                <w:bCs/>
                <w:color w:val="000000"/>
                <w:kern w:val="0"/>
                <w:sz w:val="18"/>
                <w:szCs w:val="18"/>
              </w:rPr>
            </w:pPr>
          </w:p>
        </w:tc>
        <w:tc>
          <w:tcPr>
            <w:tcW w:w="749" w:type="pct"/>
            <w:shd w:val="clear" w:color="auto" w:fill="auto"/>
            <w:vAlign w:val="center"/>
          </w:tcPr>
          <w:p w14:paraId="36BA1C2A">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96.69</w:t>
            </w:r>
          </w:p>
        </w:tc>
        <w:tc>
          <w:tcPr>
            <w:tcW w:w="1043" w:type="pct"/>
            <w:shd w:val="clear" w:color="auto" w:fill="auto"/>
            <w:vAlign w:val="center"/>
          </w:tcPr>
          <w:p w14:paraId="1CD75033">
            <w:pPr>
              <w:widowControl/>
              <w:spacing w:after="0" w:line="240" w:lineRule="exact"/>
              <w:ind w:firstLine="0" w:firstLineChars="0"/>
              <w:jc w:val="center"/>
              <w:rPr>
                <w:rFonts w:hint="eastAsia" w:ascii="宋体" w:hAnsi="宋体" w:eastAsia="宋体" w:cs="宋体"/>
                <w:bCs/>
                <w:color w:val="000000"/>
                <w:kern w:val="0"/>
                <w:sz w:val="18"/>
                <w:szCs w:val="18"/>
              </w:rPr>
            </w:pPr>
            <w:r>
              <w:rPr>
                <w:rFonts w:ascii="宋体" w:hAnsi="宋体" w:eastAsia="宋体" w:cs="宋体"/>
                <w:bCs/>
                <w:color w:val="000000"/>
                <w:kern w:val="0"/>
                <w:sz w:val="18"/>
                <w:szCs w:val="18"/>
              </w:rPr>
              <w:t>4,603.60</w:t>
            </w:r>
          </w:p>
        </w:tc>
        <w:tc>
          <w:tcPr>
            <w:tcW w:w="877" w:type="pct"/>
            <w:shd w:val="clear" w:color="auto" w:fill="auto"/>
            <w:vAlign w:val="center"/>
          </w:tcPr>
          <w:p w14:paraId="0B2C7F4F">
            <w:pPr>
              <w:widowControl/>
              <w:spacing w:after="0" w:line="240" w:lineRule="exact"/>
              <w:ind w:firstLine="0" w:firstLineChars="0"/>
              <w:jc w:val="center"/>
              <w:rPr>
                <w:rFonts w:hint="eastAsia" w:ascii="宋体" w:hAnsi="宋体" w:eastAsia="宋体" w:cs="宋体"/>
                <w:bCs/>
                <w:color w:val="000000"/>
                <w:kern w:val="0"/>
                <w:sz w:val="18"/>
                <w:szCs w:val="18"/>
              </w:rPr>
            </w:pPr>
          </w:p>
        </w:tc>
      </w:tr>
      <w:tr w14:paraId="538E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636" w:type="pct"/>
            <w:shd w:val="clear" w:color="auto" w:fill="auto"/>
            <w:vAlign w:val="center"/>
          </w:tcPr>
          <w:p w14:paraId="79C496A7">
            <w:pPr>
              <w:widowControl/>
              <w:spacing w:after="0" w:line="240" w:lineRule="exact"/>
              <w:ind w:firstLine="0" w:firstLineChars="0"/>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合计</w:t>
            </w:r>
          </w:p>
        </w:tc>
        <w:tc>
          <w:tcPr>
            <w:tcW w:w="948" w:type="pct"/>
            <w:shd w:val="clear" w:color="auto" w:fill="auto"/>
            <w:vAlign w:val="center"/>
          </w:tcPr>
          <w:p w14:paraId="05D47AAF">
            <w:pPr>
              <w:widowControl/>
              <w:spacing w:after="0" w:line="240" w:lineRule="exact"/>
              <w:ind w:firstLine="0" w:firstLineChars="0"/>
              <w:jc w:val="right"/>
              <w:rPr>
                <w:rFonts w:hint="eastAsia" w:ascii="宋体" w:hAnsi="宋体" w:eastAsia="宋体" w:cs="宋体"/>
                <w:b/>
                <w:bCs/>
                <w:color w:val="000000"/>
                <w:kern w:val="0"/>
                <w:sz w:val="18"/>
                <w:szCs w:val="18"/>
              </w:rPr>
            </w:pPr>
          </w:p>
        </w:tc>
        <w:tc>
          <w:tcPr>
            <w:tcW w:w="747" w:type="pct"/>
            <w:shd w:val="clear" w:color="auto" w:fill="auto"/>
            <w:vAlign w:val="center"/>
          </w:tcPr>
          <w:p w14:paraId="43734259">
            <w:pPr>
              <w:widowControl/>
              <w:spacing w:after="0" w:line="240" w:lineRule="exact"/>
              <w:ind w:firstLine="0" w:firstLineChars="0"/>
              <w:jc w:val="center"/>
              <w:rPr>
                <w:rFonts w:hint="eastAsia" w:ascii="宋体" w:hAnsi="宋体" w:eastAsia="宋体" w:cs="宋体"/>
                <w:b/>
                <w:bCs/>
                <w:color w:val="000000"/>
                <w:kern w:val="0"/>
                <w:sz w:val="18"/>
                <w:szCs w:val="18"/>
              </w:rPr>
            </w:pPr>
            <w:r>
              <w:rPr>
                <w:rFonts w:ascii="宋体" w:hAnsi="宋体" w:eastAsia="宋体" w:cs="宋体"/>
                <w:b/>
                <w:bCs/>
                <w:color w:val="000000"/>
                <w:kern w:val="0"/>
                <w:sz w:val="18"/>
                <w:szCs w:val="18"/>
              </w:rPr>
              <w:t>424,603.60</w:t>
            </w:r>
          </w:p>
        </w:tc>
        <w:tc>
          <w:tcPr>
            <w:tcW w:w="749" w:type="pct"/>
            <w:shd w:val="clear" w:color="auto" w:fill="auto"/>
            <w:vAlign w:val="center"/>
          </w:tcPr>
          <w:p w14:paraId="37C521B4">
            <w:pPr>
              <w:widowControl/>
              <w:spacing w:after="0" w:line="240" w:lineRule="exact"/>
              <w:ind w:firstLine="0" w:firstLineChars="0"/>
              <w:jc w:val="center"/>
              <w:rPr>
                <w:rFonts w:hint="eastAsia" w:ascii="宋体" w:hAnsi="宋体" w:eastAsia="宋体" w:cs="宋体"/>
                <w:b/>
                <w:bCs/>
                <w:color w:val="000000"/>
                <w:kern w:val="0"/>
                <w:sz w:val="18"/>
                <w:szCs w:val="18"/>
              </w:rPr>
            </w:pPr>
            <w:r>
              <w:rPr>
                <w:rFonts w:ascii="宋体" w:hAnsi="宋体" w:eastAsia="宋体" w:cs="宋体"/>
                <w:b/>
                <w:bCs/>
                <w:color w:val="000000"/>
                <w:kern w:val="0"/>
                <w:sz w:val="18"/>
                <w:szCs w:val="18"/>
              </w:rPr>
              <w:t>306,988.54</w:t>
            </w:r>
          </w:p>
        </w:tc>
        <w:tc>
          <w:tcPr>
            <w:tcW w:w="1043" w:type="pct"/>
            <w:shd w:val="clear" w:color="auto" w:fill="auto"/>
            <w:vAlign w:val="center"/>
          </w:tcPr>
          <w:p w14:paraId="20AADA46">
            <w:pPr>
              <w:widowControl/>
              <w:spacing w:after="0" w:line="240" w:lineRule="exact"/>
              <w:ind w:firstLine="0" w:firstLineChars="0"/>
              <w:jc w:val="center"/>
              <w:rPr>
                <w:rFonts w:hint="eastAsia" w:ascii="宋体" w:hAnsi="宋体" w:eastAsia="宋体" w:cs="宋体"/>
                <w:b/>
                <w:bCs/>
                <w:color w:val="000000"/>
                <w:kern w:val="0"/>
                <w:sz w:val="18"/>
                <w:szCs w:val="18"/>
              </w:rPr>
            </w:pPr>
            <w:r>
              <w:rPr>
                <w:rFonts w:ascii="宋体" w:hAnsi="宋体" w:eastAsia="宋体" w:cs="宋体"/>
                <w:b/>
                <w:bCs/>
                <w:color w:val="000000"/>
                <w:kern w:val="0"/>
                <w:sz w:val="18"/>
                <w:szCs w:val="18"/>
              </w:rPr>
              <w:t>424,603.60</w:t>
            </w:r>
          </w:p>
        </w:tc>
        <w:tc>
          <w:tcPr>
            <w:tcW w:w="877" w:type="pct"/>
            <w:shd w:val="clear" w:color="auto" w:fill="auto"/>
            <w:vAlign w:val="center"/>
          </w:tcPr>
          <w:p w14:paraId="558467C6">
            <w:pPr>
              <w:widowControl/>
              <w:spacing w:after="0" w:line="240" w:lineRule="exact"/>
              <w:ind w:firstLine="0" w:firstLineChars="0"/>
              <w:jc w:val="right"/>
              <w:rPr>
                <w:rFonts w:hint="eastAsia" w:ascii="宋体" w:hAnsi="宋体" w:eastAsia="宋体" w:cs="宋体"/>
                <w:b/>
                <w:bCs/>
                <w:color w:val="000000"/>
                <w:kern w:val="0"/>
                <w:sz w:val="18"/>
                <w:szCs w:val="18"/>
              </w:rPr>
            </w:pPr>
          </w:p>
        </w:tc>
      </w:tr>
    </w:tbl>
    <w:p w14:paraId="0AC45FED">
      <w:pPr>
        <w:spacing w:line="440" w:lineRule="exact"/>
        <w:ind w:firstLine="0" w:firstLineChars="0"/>
        <w:rPr>
          <w:rFonts w:hint="eastAsia" w:ascii="宋体" w:hAnsi="宋体" w:eastAsia="宋体" w:cs="仿宋"/>
          <w:color w:val="000000"/>
          <w:sz w:val="18"/>
          <w:szCs w:val="18"/>
        </w:rPr>
      </w:pPr>
    </w:p>
    <w:p w14:paraId="2AA0C750">
      <w:pPr>
        <w:spacing w:line="440" w:lineRule="exact"/>
        <w:ind w:firstLine="0" w:firstLineChars="0"/>
        <w:jc w:val="left"/>
        <w:rPr>
          <w:rFonts w:hint="eastAsia" w:ascii="仿宋" w:hAnsi="仿宋" w:eastAsia="仿宋" w:cs="宋体"/>
          <w:b/>
          <w:bCs/>
          <w:color w:val="000000"/>
          <w:kern w:val="0"/>
          <w:szCs w:val="21"/>
        </w:rPr>
      </w:pPr>
      <w:r>
        <w:rPr>
          <w:rFonts w:hint="eastAsia" w:ascii="仿宋" w:hAnsi="仿宋" w:eastAsia="仿宋" w:cs="宋体"/>
          <w:b/>
          <w:bCs/>
          <w:color w:val="000000"/>
          <w:kern w:val="0"/>
          <w:szCs w:val="21"/>
        </w:rPr>
        <w:t>3.运营成本费用分析</w:t>
      </w:r>
    </w:p>
    <w:p w14:paraId="750B1516">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项目支出按照支出用途分类可分为：经营成本支出、其他支出及固定资产投资支出，本项目建成后的经营成本主要包括工资及福利费、修理费、其他费用、土地租赁费、折旧摊销费等各项费用支出，因充足性分析主要依据对现金流量进行分析，故对于不需付现的费用（如折旧摊销等）暂不在支出情况预测表中反映。</w:t>
      </w:r>
    </w:p>
    <w:p w14:paraId="4534E2B4">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可研报告中明确了各项成本的估算标准如下：</w:t>
      </w:r>
    </w:p>
    <w:p w14:paraId="18E9FB05">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（1）工资福利费</w:t>
      </w:r>
    </w:p>
    <w:p w14:paraId="634FAA4F">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依据设计定员及预测运营期工资标准计算工资总额，并以工资总额为基数，提取职工福利费。定员按平均每公里 40 人标准计算，2号线东延工程增配定员约 174 人。根据南昌市统计局公布的 2019 年南昌市城镇非私营单位在岗职工平均工资 8847 元，本次评价按员工基本工资 9 万元/人*年计算，福利费标准按工资的 14%计列，每3年增长5%。</w:t>
      </w:r>
    </w:p>
    <w:p w14:paraId="02457B16">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（2）修理费</w:t>
      </w:r>
    </w:p>
    <w:p w14:paraId="3E8F9B10">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主要指地铁运营过程中所发生的管理费用。按职工工资及福利费、电费、修理费、营运费之和的 10％进行测算。</w:t>
      </w:r>
    </w:p>
    <w:p w14:paraId="263C84C4">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（3）电费</w:t>
      </w:r>
    </w:p>
    <w:p w14:paraId="7ABE1669">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包括车辆牵引用电及动力照明用电费用。根据南昌市现状电价，运营期电费按每度 0.5893 元计。</w:t>
      </w:r>
    </w:p>
    <w:p w14:paraId="696EB7B9">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（4）营运费</w:t>
      </w:r>
    </w:p>
    <w:p w14:paraId="578B1E87">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按每公里5元进行测算。</w:t>
      </w:r>
    </w:p>
    <w:p w14:paraId="0F1F1795">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（5）管理费</w:t>
      </w:r>
    </w:p>
    <w:p w14:paraId="36D8703E">
      <w:pPr>
        <w:widowControl/>
        <w:spacing w:after="156" w:afterLines="50" w:line="440" w:lineRule="exact"/>
        <w:ind w:firstLine="480"/>
        <w:jc w:val="left"/>
        <w:rPr>
          <w:rFonts w:hint="eastAsia" w:ascii="仿宋" w:hAnsi="仿宋" w:eastAsia="仿宋" w:cs="宋体"/>
          <w:color w:val="000000"/>
          <w:kern w:val="0"/>
          <w:szCs w:val="21"/>
        </w:rPr>
      </w:pPr>
      <w:r>
        <w:rPr>
          <w:rFonts w:hint="eastAsia" w:ascii="仿宋" w:hAnsi="仿宋" w:eastAsia="仿宋" w:cs="宋体"/>
          <w:color w:val="000000"/>
          <w:kern w:val="0"/>
          <w:szCs w:val="21"/>
        </w:rPr>
        <w:t>主要指地铁运营过程中所发生的管理费用。按职工工资及福利费、电费、修理费、营运费之和的 10％进行测算。</w:t>
      </w:r>
    </w:p>
    <w:p w14:paraId="2856CE72">
      <w:pPr>
        <w:widowControl/>
        <w:spacing w:after="156" w:afterLines="50" w:line="440" w:lineRule="exact"/>
        <w:ind w:firstLine="480"/>
        <w:rPr>
          <w:rFonts w:hint="eastAsia" w:ascii="仿宋" w:hAnsi="仿宋" w:eastAsia="仿宋" w:cs="宋体"/>
          <w:color w:val="000000"/>
          <w:kern w:val="0"/>
          <w:szCs w:val="21"/>
        </w:rPr>
      </w:pPr>
      <w:r>
        <w:rPr>
          <w:rFonts w:hint="eastAsia" w:ascii="仿宋" w:hAnsi="仿宋" w:eastAsia="仿宋" w:cs="宋体"/>
          <w:color w:val="000000"/>
          <w:kern w:val="0"/>
          <w:szCs w:val="21"/>
        </w:rPr>
        <w:t>本项目业务活动支出预测情况如下表3</w:t>
      </w:r>
      <w:r>
        <w:rPr>
          <w:rFonts w:ascii="仿宋" w:hAnsi="仿宋" w:eastAsia="仿宋" w:cs="宋体"/>
          <w:color w:val="000000"/>
          <w:kern w:val="0"/>
          <w:szCs w:val="21"/>
        </w:rPr>
        <w:t>-</w:t>
      </w:r>
      <w:r>
        <w:rPr>
          <w:rFonts w:hint="eastAsia" w:ascii="仿宋" w:hAnsi="仿宋" w:eastAsia="仿宋" w:cs="宋体"/>
          <w:color w:val="000000"/>
          <w:kern w:val="0"/>
          <w:szCs w:val="21"/>
        </w:rPr>
        <w:t>4所示：</w:t>
      </w:r>
    </w:p>
    <w:p w14:paraId="253AAFAD">
      <w:pPr>
        <w:widowControl/>
        <w:spacing w:after="156" w:afterLines="50" w:line="440" w:lineRule="exact"/>
        <w:ind w:firstLine="422"/>
        <w:jc w:val="center"/>
        <w:rPr>
          <w:rFonts w:hint="eastAsia" w:ascii="宋体" w:hAnsi="宋体" w:eastAsia="宋体" w:cs="宋体"/>
          <w:color w:val="000000"/>
          <w:kern w:val="0"/>
          <w:sz w:val="18"/>
          <w:szCs w:val="18"/>
        </w:rPr>
      </w:pPr>
      <w:r>
        <w:rPr>
          <w:rFonts w:hint="eastAsia" w:ascii="宋体" w:hAnsi="宋体" w:eastAsia="宋体" w:cs="宋体"/>
          <w:b/>
          <w:color w:val="000000"/>
          <w:kern w:val="0"/>
          <w:sz w:val="21"/>
          <w:szCs w:val="21"/>
        </w:rPr>
        <w:t>表3-</w:t>
      </w:r>
      <w:r>
        <w:rPr>
          <w:rFonts w:ascii="宋体" w:hAnsi="宋体" w:eastAsia="宋体" w:cs="宋体"/>
          <w:b/>
          <w:color w:val="000000"/>
          <w:kern w:val="0"/>
          <w:sz w:val="21"/>
          <w:szCs w:val="21"/>
        </w:rPr>
        <w:t xml:space="preserve">4  </w:t>
      </w:r>
      <w:r>
        <w:rPr>
          <w:rFonts w:hint="eastAsia" w:ascii="宋体" w:hAnsi="宋体" w:eastAsia="宋体" w:cs="宋体"/>
          <w:b/>
          <w:color w:val="000000"/>
          <w:kern w:val="0"/>
          <w:sz w:val="21"/>
          <w:szCs w:val="21"/>
        </w:rPr>
        <w:t>业务活动支出情况预测表</w:t>
      </w:r>
    </w:p>
    <w:p w14:paraId="57724588">
      <w:pPr>
        <w:widowControl/>
        <w:spacing w:after="156" w:afterLines="50" w:line="440" w:lineRule="exact"/>
        <w:ind w:firstLine="360"/>
        <w:jc w:val="righ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单位：万元</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1839"/>
        <w:gridCol w:w="1591"/>
        <w:gridCol w:w="1125"/>
        <w:gridCol w:w="1125"/>
        <w:gridCol w:w="1106"/>
        <w:gridCol w:w="1130"/>
      </w:tblGrid>
      <w:tr w14:paraId="165A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blHeader/>
          <w:jc w:val="center"/>
        </w:trPr>
        <w:tc>
          <w:tcPr>
            <w:tcW w:w="340" w:type="pct"/>
            <w:vMerge w:val="restart"/>
            <w:shd w:val="clear" w:color="auto" w:fill="auto"/>
            <w:noWrap/>
            <w:vAlign w:val="center"/>
          </w:tcPr>
          <w:p w14:paraId="55E24966">
            <w:pPr>
              <w:widowControl/>
              <w:spacing w:after="0" w:line="240" w:lineRule="exact"/>
              <w:ind w:firstLine="0" w:firstLineChars="0"/>
              <w:jc w:val="center"/>
              <w:rPr>
                <w:rFonts w:hint="eastAsia" w:ascii="宋体" w:hAnsi="宋体" w:eastAsia="宋体" w:cs="宋体"/>
                <w:b/>
                <w:kern w:val="0"/>
                <w:sz w:val="18"/>
                <w:szCs w:val="18"/>
              </w:rPr>
            </w:pPr>
            <w:r>
              <w:rPr>
                <w:rFonts w:hint="eastAsia" w:ascii="宋体" w:hAnsi="宋体" w:eastAsia="宋体" w:cs="宋体"/>
                <w:b/>
                <w:kern w:val="0"/>
                <w:sz w:val="18"/>
                <w:szCs w:val="18"/>
              </w:rPr>
              <w:t>年份</w:t>
            </w:r>
          </w:p>
        </w:tc>
        <w:tc>
          <w:tcPr>
            <w:tcW w:w="4660" w:type="pct"/>
            <w:gridSpan w:val="6"/>
          </w:tcPr>
          <w:p w14:paraId="6526A379">
            <w:pPr>
              <w:widowControl/>
              <w:spacing w:after="0" w:line="240" w:lineRule="exact"/>
              <w:ind w:firstLine="0" w:firstLineChars="0"/>
              <w:jc w:val="center"/>
              <w:rPr>
                <w:rFonts w:hint="eastAsia" w:ascii="宋体" w:hAnsi="宋体" w:eastAsia="宋体" w:cs="宋体"/>
                <w:b/>
                <w:kern w:val="0"/>
                <w:sz w:val="18"/>
                <w:szCs w:val="18"/>
              </w:rPr>
            </w:pPr>
            <w:r>
              <w:rPr>
                <w:rFonts w:hint="eastAsia" w:ascii="宋体" w:hAnsi="宋体" w:eastAsia="宋体" w:cs="宋体"/>
                <w:b/>
                <w:kern w:val="0"/>
                <w:sz w:val="18"/>
                <w:szCs w:val="18"/>
              </w:rPr>
              <w:t>运营成本</w:t>
            </w:r>
          </w:p>
        </w:tc>
      </w:tr>
      <w:tr w14:paraId="3E29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jc w:val="center"/>
        </w:trPr>
        <w:tc>
          <w:tcPr>
            <w:tcW w:w="340" w:type="pct"/>
            <w:vMerge w:val="continue"/>
            <w:shd w:val="clear" w:color="auto" w:fill="auto"/>
            <w:vAlign w:val="center"/>
          </w:tcPr>
          <w:p w14:paraId="1DC30921">
            <w:pPr>
              <w:widowControl/>
              <w:spacing w:after="0" w:line="240" w:lineRule="exact"/>
              <w:ind w:firstLine="0" w:firstLineChars="0"/>
              <w:jc w:val="center"/>
              <w:rPr>
                <w:rFonts w:hint="eastAsia" w:ascii="宋体" w:hAnsi="宋体" w:eastAsia="宋体" w:cs="宋体"/>
                <w:b/>
                <w:kern w:val="0"/>
                <w:sz w:val="18"/>
                <w:szCs w:val="18"/>
              </w:rPr>
            </w:pPr>
          </w:p>
        </w:tc>
        <w:tc>
          <w:tcPr>
            <w:tcW w:w="1083" w:type="pct"/>
            <w:shd w:val="clear" w:color="auto" w:fill="auto"/>
            <w:noWrap/>
          </w:tcPr>
          <w:p w14:paraId="5E41EF1C">
            <w:pPr>
              <w:widowControl/>
              <w:spacing w:after="0" w:line="240" w:lineRule="exact"/>
              <w:ind w:firstLine="0" w:firstLineChars="0"/>
              <w:jc w:val="center"/>
              <w:rPr>
                <w:rFonts w:hint="eastAsia" w:ascii="宋体" w:hAnsi="宋体" w:eastAsia="宋体" w:cs="宋体"/>
                <w:b/>
                <w:kern w:val="0"/>
                <w:sz w:val="18"/>
                <w:szCs w:val="18"/>
              </w:rPr>
            </w:pPr>
            <w:r>
              <w:rPr>
                <w:rFonts w:hint="eastAsia" w:ascii="宋体" w:hAnsi="宋体" w:eastAsia="宋体" w:cs="宋体"/>
                <w:b/>
                <w:kern w:val="0"/>
                <w:sz w:val="18"/>
                <w:szCs w:val="18"/>
              </w:rPr>
              <w:t>管理费</w:t>
            </w:r>
          </w:p>
        </w:tc>
        <w:tc>
          <w:tcPr>
            <w:tcW w:w="937" w:type="pct"/>
            <w:shd w:val="clear" w:color="auto" w:fill="auto"/>
            <w:noWrap/>
          </w:tcPr>
          <w:p w14:paraId="227EE0E3">
            <w:pPr>
              <w:widowControl/>
              <w:spacing w:after="0" w:line="240" w:lineRule="exact"/>
              <w:ind w:firstLine="0" w:firstLineChars="0"/>
              <w:jc w:val="center"/>
              <w:rPr>
                <w:rFonts w:hint="eastAsia" w:ascii="宋体" w:hAnsi="宋体" w:eastAsia="宋体" w:cs="宋体"/>
                <w:b/>
                <w:kern w:val="0"/>
                <w:sz w:val="18"/>
                <w:szCs w:val="18"/>
              </w:rPr>
            </w:pPr>
            <w:r>
              <w:rPr>
                <w:rFonts w:hint="eastAsia" w:ascii="宋体" w:hAnsi="宋体" w:eastAsia="宋体" w:cs="宋体"/>
                <w:b/>
                <w:kern w:val="0"/>
                <w:sz w:val="18"/>
                <w:szCs w:val="18"/>
              </w:rPr>
              <w:t>工资及福利费</w:t>
            </w:r>
          </w:p>
        </w:tc>
        <w:tc>
          <w:tcPr>
            <w:tcW w:w="662" w:type="pct"/>
            <w:shd w:val="clear" w:color="auto" w:fill="auto"/>
            <w:noWrap/>
          </w:tcPr>
          <w:p w14:paraId="78862487">
            <w:pPr>
              <w:widowControl/>
              <w:spacing w:after="0" w:line="240" w:lineRule="exact"/>
              <w:ind w:firstLine="0" w:firstLineChars="0"/>
              <w:jc w:val="center"/>
              <w:rPr>
                <w:rFonts w:hint="eastAsia" w:ascii="宋体" w:hAnsi="宋体" w:eastAsia="宋体" w:cs="宋体"/>
                <w:b/>
                <w:kern w:val="0"/>
                <w:sz w:val="18"/>
                <w:szCs w:val="18"/>
              </w:rPr>
            </w:pPr>
            <w:r>
              <w:rPr>
                <w:rFonts w:hint="eastAsia" w:ascii="宋体" w:hAnsi="宋体" w:eastAsia="宋体" w:cs="宋体"/>
                <w:b/>
                <w:kern w:val="0"/>
                <w:sz w:val="18"/>
                <w:szCs w:val="18"/>
              </w:rPr>
              <w:t>电费</w:t>
            </w:r>
          </w:p>
        </w:tc>
        <w:tc>
          <w:tcPr>
            <w:tcW w:w="662" w:type="pct"/>
            <w:shd w:val="clear" w:color="auto" w:fill="auto"/>
            <w:noWrap/>
          </w:tcPr>
          <w:p w14:paraId="4D34347F">
            <w:pPr>
              <w:widowControl/>
              <w:spacing w:after="0" w:line="240" w:lineRule="exact"/>
              <w:ind w:firstLine="0" w:firstLineChars="0"/>
              <w:jc w:val="center"/>
              <w:rPr>
                <w:rFonts w:hint="eastAsia" w:ascii="宋体" w:hAnsi="宋体" w:eastAsia="宋体" w:cs="宋体"/>
                <w:b/>
                <w:kern w:val="0"/>
                <w:sz w:val="18"/>
                <w:szCs w:val="18"/>
              </w:rPr>
            </w:pPr>
            <w:r>
              <w:rPr>
                <w:rFonts w:hint="eastAsia" w:ascii="宋体" w:hAnsi="宋体" w:eastAsia="宋体" w:cs="宋体"/>
                <w:b/>
                <w:kern w:val="0"/>
                <w:sz w:val="18"/>
                <w:szCs w:val="18"/>
              </w:rPr>
              <w:t>修理费</w:t>
            </w:r>
          </w:p>
        </w:tc>
        <w:tc>
          <w:tcPr>
            <w:tcW w:w="651" w:type="pct"/>
          </w:tcPr>
          <w:p w14:paraId="66CEC3E0">
            <w:pPr>
              <w:widowControl/>
              <w:spacing w:after="0" w:line="240" w:lineRule="exact"/>
              <w:ind w:firstLine="0" w:firstLineChars="0"/>
              <w:jc w:val="center"/>
              <w:rPr>
                <w:rFonts w:hint="eastAsia" w:ascii="宋体" w:hAnsi="宋体" w:eastAsia="宋体" w:cs="宋体"/>
                <w:b/>
                <w:kern w:val="0"/>
                <w:sz w:val="18"/>
                <w:szCs w:val="18"/>
              </w:rPr>
            </w:pPr>
            <w:r>
              <w:rPr>
                <w:rFonts w:hint="eastAsia" w:ascii="宋体" w:hAnsi="宋体" w:eastAsia="宋体" w:cs="宋体"/>
                <w:b/>
                <w:kern w:val="0"/>
                <w:sz w:val="18"/>
                <w:szCs w:val="18"/>
              </w:rPr>
              <w:t>营运费</w:t>
            </w:r>
          </w:p>
        </w:tc>
        <w:tc>
          <w:tcPr>
            <w:tcW w:w="664" w:type="pct"/>
          </w:tcPr>
          <w:p w14:paraId="253D5D1E">
            <w:pPr>
              <w:widowControl/>
              <w:spacing w:after="0" w:line="240" w:lineRule="exact"/>
              <w:ind w:firstLine="0" w:firstLineChars="0"/>
              <w:jc w:val="center"/>
              <w:rPr>
                <w:rFonts w:hint="eastAsia" w:ascii="宋体" w:hAnsi="宋体" w:eastAsia="宋体" w:cs="宋体"/>
                <w:b/>
                <w:kern w:val="0"/>
                <w:sz w:val="18"/>
                <w:szCs w:val="18"/>
              </w:rPr>
            </w:pPr>
            <w:r>
              <w:rPr>
                <w:rFonts w:hint="eastAsia" w:ascii="宋体" w:hAnsi="宋体" w:eastAsia="宋体" w:cs="宋体"/>
                <w:b/>
                <w:kern w:val="0"/>
                <w:sz w:val="18"/>
                <w:szCs w:val="18"/>
              </w:rPr>
              <w:t>含税合计</w:t>
            </w:r>
          </w:p>
        </w:tc>
      </w:tr>
      <w:tr w14:paraId="4D084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6B97A3CE">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2026</w:t>
            </w:r>
          </w:p>
        </w:tc>
        <w:tc>
          <w:tcPr>
            <w:tcW w:w="1083" w:type="pct"/>
            <w:shd w:val="clear" w:color="auto" w:fill="auto"/>
            <w:noWrap/>
          </w:tcPr>
          <w:p w14:paraId="3373F778">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1,585.00</w:t>
            </w:r>
          </w:p>
        </w:tc>
        <w:tc>
          <w:tcPr>
            <w:tcW w:w="937" w:type="pct"/>
            <w:shd w:val="clear" w:color="auto" w:fill="auto"/>
            <w:noWrap/>
          </w:tcPr>
          <w:p w14:paraId="02E9842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1,785.24</w:t>
            </w:r>
          </w:p>
        </w:tc>
        <w:tc>
          <w:tcPr>
            <w:tcW w:w="662" w:type="pct"/>
            <w:shd w:val="clear" w:color="auto" w:fill="auto"/>
            <w:noWrap/>
          </w:tcPr>
          <w:p w14:paraId="537F5934">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4,020.00</w:t>
            </w:r>
          </w:p>
        </w:tc>
        <w:tc>
          <w:tcPr>
            <w:tcW w:w="662" w:type="pct"/>
            <w:shd w:val="clear" w:color="auto" w:fill="auto"/>
            <w:noWrap/>
          </w:tcPr>
          <w:p w14:paraId="578E10F5">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3,064.00</w:t>
            </w:r>
          </w:p>
        </w:tc>
        <w:tc>
          <w:tcPr>
            <w:tcW w:w="651" w:type="pct"/>
          </w:tcPr>
          <w:p w14:paraId="002D7B8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766.00</w:t>
            </w:r>
          </w:p>
        </w:tc>
        <w:tc>
          <w:tcPr>
            <w:tcW w:w="664" w:type="pct"/>
          </w:tcPr>
          <w:p w14:paraId="6BE86219">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11,220.24</w:t>
            </w:r>
          </w:p>
        </w:tc>
      </w:tr>
      <w:tr w14:paraId="04A62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340" w:type="pct"/>
            <w:shd w:val="clear" w:color="auto" w:fill="auto"/>
            <w:noWrap/>
          </w:tcPr>
          <w:p w14:paraId="52E07677">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2027</w:t>
            </w:r>
          </w:p>
        </w:tc>
        <w:tc>
          <w:tcPr>
            <w:tcW w:w="1083" w:type="pct"/>
            <w:shd w:val="clear" w:color="auto" w:fill="auto"/>
            <w:noWrap/>
          </w:tcPr>
          <w:p w14:paraId="082D8D7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1,605.00</w:t>
            </w:r>
          </w:p>
        </w:tc>
        <w:tc>
          <w:tcPr>
            <w:tcW w:w="937" w:type="pct"/>
            <w:shd w:val="clear" w:color="auto" w:fill="auto"/>
            <w:noWrap/>
          </w:tcPr>
          <w:p w14:paraId="56981C9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1,785.24</w:t>
            </w:r>
          </w:p>
        </w:tc>
        <w:tc>
          <w:tcPr>
            <w:tcW w:w="662" w:type="pct"/>
            <w:shd w:val="clear" w:color="auto" w:fill="auto"/>
            <w:noWrap/>
          </w:tcPr>
          <w:p w14:paraId="248CAB7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4,122.00</w:t>
            </w:r>
          </w:p>
        </w:tc>
        <w:tc>
          <w:tcPr>
            <w:tcW w:w="662" w:type="pct"/>
            <w:shd w:val="clear" w:color="auto" w:fill="auto"/>
            <w:noWrap/>
          </w:tcPr>
          <w:p w14:paraId="439A9DF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3,142.00</w:t>
            </w:r>
          </w:p>
        </w:tc>
        <w:tc>
          <w:tcPr>
            <w:tcW w:w="651" w:type="pct"/>
          </w:tcPr>
          <w:p w14:paraId="1DAAED3E">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785.00</w:t>
            </w:r>
          </w:p>
        </w:tc>
        <w:tc>
          <w:tcPr>
            <w:tcW w:w="664" w:type="pct"/>
          </w:tcPr>
          <w:p w14:paraId="415C153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11,439.24</w:t>
            </w:r>
          </w:p>
        </w:tc>
      </w:tr>
      <w:tr w14:paraId="2622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7683AE7F">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2028</w:t>
            </w:r>
          </w:p>
        </w:tc>
        <w:tc>
          <w:tcPr>
            <w:tcW w:w="1083" w:type="pct"/>
            <w:shd w:val="clear" w:color="auto" w:fill="auto"/>
            <w:noWrap/>
          </w:tcPr>
          <w:p w14:paraId="34CA29BC">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1,625.00</w:t>
            </w:r>
          </w:p>
        </w:tc>
        <w:tc>
          <w:tcPr>
            <w:tcW w:w="937" w:type="pct"/>
            <w:shd w:val="clear" w:color="auto" w:fill="auto"/>
            <w:noWrap/>
          </w:tcPr>
          <w:p w14:paraId="4AAFE4D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1,785.24</w:t>
            </w:r>
          </w:p>
        </w:tc>
        <w:tc>
          <w:tcPr>
            <w:tcW w:w="662" w:type="pct"/>
            <w:shd w:val="clear" w:color="auto" w:fill="auto"/>
            <w:noWrap/>
          </w:tcPr>
          <w:p w14:paraId="58EAFA4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4,225.00</w:t>
            </w:r>
          </w:p>
        </w:tc>
        <w:tc>
          <w:tcPr>
            <w:tcW w:w="662" w:type="pct"/>
            <w:shd w:val="clear" w:color="auto" w:fill="auto"/>
            <w:noWrap/>
          </w:tcPr>
          <w:p w14:paraId="498F438A">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3,220.00</w:t>
            </w:r>
          </w:p>
        </w:tc>
        <w:tc>
          <w:tcPr>
            <w:tcW w:w="651" w:type="pct"/>
          </w:tcPr>
          <w:p w14:paraId="181EDA41">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805.00</w:t>
            </w:r>
          </w:p>
        </w:tc>
        <w:tc>
          <w:tcPr>
            <w:tcW w:w="664" w:type="pct"/>
          </w:tcPr>
          <w:p w14:paraId="72A7B04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11,660.24</w:t>
            </w:r>
          </w:p>
        </w:tc>
      </w:tr>
      <w:tr w14:paraId="62478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106D61D8">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2029</w:t>
            </w:r>
          </w:p>
        </w:tc>
        <w:tc>
          <w:tcPr>
            <w:tcW w:w="1083" w:type="pct"/>
            <w:shd w:val="clear" w:color="auto" w:fill="auto"/>
            <w:noWrap/>
          </w:tcPr>
          <w:p w14:paraId="4F4F467A">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1,645.00</w:t>
            </w:r>
          </w:p>
        </w:tc>
        <w:tc>
          <w:tcPr>
            <w:tcW w:w="937" w:type="pct"/>
            <w:shd w:val="clear" w:color="auto" w:fill="auto"/>
            <w:noWrap/>
          </w:tcPr>
          <w:p w14:paraId="2F4F9A3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1,874.50</w:t>
            </w:r>
          </w:p>
        </w:tc>
        <w:tc>
          <w:tcPr>
            <w:tcW w:w="662" w:type="pct"/>
            <w:shd w:val="clear" w:color="auto" w:fill="auto"/>
            <w:noWrap/>
          </w:tcPr>
          <w:p w14:paraId="1BDB753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4,327.00</w:t>
            </w:r>
          </w:p>
        </w:tc>
        <w:tc>
          <w:tcPr>
            <w:tcW w:w="662" w:type="pct"/>
            <w:shd w:val="clear" w:color="auto" w:fill="auto"/>
            <w:noWrap/>
          </w:tcPr>
          <w:p w14:paraId="4D2D6F6A">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3,298.00</w:t>
            </w:r>
          </w:p>
        </w:tc>
        <w:tc>
          <w:tcPr>
            <w:tcW w:w="651" w:type="pct"/>
          </w:tcPr>
          <w:p w14:paraId="63180F92">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825.00</w:t>
            </w:r>
          </w:p>
        </w:tc>
        <w:tc>
          <w:tcPr>
            <w:tcW w:w="664" w:type="pct"/>
          </w:tcPr>
          <w:p w14:paraId="2D1A3A9E">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11,969.50</w:t>
            </w:r>
          </w:p>
        </w:tc>
      </w:tr>
      <w:tr w14:paraId="1A51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40" w:type="pct"/>
            <w:shd w:val="clear" w:color="auto" w:fill="auto"/>
            <w:noWrap/>
          </w:tcPr>
          <w:p w14:paraId="6DE300F2">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2030</w:t>
            </w:r>
          </w:p>
        </w:tc>
        <w:tc>
          <w:tcPr>
            <w:tcW w:w="1083" w:type="pct"/>
            <w:shd w:val="clear" w:color="auto" w:fill="auto"/>
            <w:noWrap/>
          </w:tcPr>
          <w:p w14:paraId="38A82B7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1,665.00</w:t>
            </w:r>
          </w:p>
        </w:tc>
        <w:tc>
          <w:tcPr>
            <w:tcW w:w="937" w:type="pct"/>
            <w:shd w:val="clear" w:color="auto" w:fill="auto"/>
            <w:noWrap/>
          </w:tcPr>
          <w:p w14:paraId="26984F45">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1,874.50</w:t>
            </w:r>
          </w:p>
        </w:tc>
        <w:tc>
          <w:tcPr>
            <w:tcW w:w="662" w:type="pct"/>
            <w:shd w:val="clear" w:color="auto" w:fill="auto"/>
            <w:noWrap/>
          </w:tcPr>
          <w:p w14:paraId="3C25D824">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4,430.00</w:t>
            </w:r>
          </w:p>
        </w:tc>
        <w:tc>
          <w:tcPr>
            <w:tcW w:w="662" w:type="pct"/>
            <w:shd w:val="clear" w:color="auto" w:fill="auto"/>
            <w:noWrap/>
          </w:tcPr>
          <w:p w14:paraId="12E1C14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3,376.00</w:t>
            </w:r>
          </w:p>
        </w:tc>
        <w:tc>
          <w:tcPr>
            <w:tcW w:w="651" w:type="pct"/>
          </w:tcPr>
          <w:p w14:paraId="79BFD531">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844.00</w:t>
            </w:r>
          </w:p>
        </w:tc>
        <w:tc>
          <w:tcPr>
            <w:tcW w:w="664" w:type="pct"/>
          </w:tcPr>
          <w:p w14:paraId="4F62BF4C">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12,189.50</w:t>
            </w:r>
          </w:p>
        </w:tc>
      </w:tr>
      <w:tr w14:paraId="5872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48CA2A58">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2031</w:t>
            </w:r>
          </w:p>
        </w:tc>
        <w:tc>
          <w:tcPr>
            <w:tcW w:w="1083" w:type="pct"/>
            <w:shd w:val="clear" w:color="auto" w:fill="auto"/>
            <w:noWrap/>
          </w:tcPr>
          <w:p w14:paraId="0EC75B8C">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1,685.00</w:t>
            </w:r>
          </w:p>
        </w:tc>
        <w:tc>
          <w:tcPr>
            <w:tcW w:w="937" w:type="pct"/>
            <w:shd w:val="clear" w:color="auto" w:fill="auto"/>
            <w:noWrap/>
          </w:tcPr>
          <w:p w14:paraId="110FBAB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1,874.50</w:t>
            </w:r>
          </w:p>
        </w:tc>
        <w:tc>
          <w:tcPr>
            <w:tcW w:w="662" w:type="pct"/>
            <w:shd w:val="clear" w:color="auto" w:fill="auto"/>
            <w:noWrap/>
          </w:tcPr>
          <w:p w14:paraId="237AC271">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4,532.00</w:t>
            </w:r>
          </w:p>
        </w:tc>
        <w:tc>
          <w:tcPr>
            <w:tcW w:w="662" w:type="pct"/>
            <w:shd w:val="clear" w:color="auto" w:fill="auto"/>
            <w:noWrap/>
          </w:tcPr>
          <w:p w14:paraId="3782393A">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3,454.00</w:t>
            </w:r>
          </w:p>
        </w:tc>
        <w:tc>
          <w:tcPr>
            <w:tcW w:w="651" w:type="pct"/>
          </w:tcPr>
          <w:p w14:paraId="19DA273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864.00</w:t>
            </w:r>
          </w:p>
        </w:tc>
        <w:tc>
          <w:tcPr>
            <w:tcW w:w="664" w:type="pct"/>
          </w:tcPr>
          <w:p w14:paraId="611E09FE">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12,409.50</w:t>
            </w:r>
          </w:p>
        </w:tc>
      </w:tr>
      <w:tr w14:paraId="1AF8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320A203D">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2032</w:t>
            </w:r>
          </w:p>
        </w:tc>
        <w:tc>
          <w:tcPr>
            <w:tcW w:w="1083" w:type="pct"/>
            <w:shd w:val="clear" w:color="auto" w:fill="auto"/>
            <w:noWrap/>
          </w:tcPr>
          <w:p w14:paraId="49839B2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1,705.00</w:t>
            </w:r>
          </w:p>
        </w:tc>
        <w:tc>
          <w:tcPr>
            <w:tcW w:w="937" w:type="pct"/>
            <w:shd w:val="clear" w:color="auto" w:fill="auto"/>
            <w:noWrap/>
          </w:tcPr>
          <w:p w14:paraId="58E3FC9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1,968.23</w:t>
            </w:r>
          </w:p>
        </w:tc>
        <w:tc>
          <w:tcPr>
            <w:tcW w:w="662" w:type="pct"/>
            <w:shd w:val="clear" w:color="auto" w:fill="auto"/>
            <w:noWrap/>
          </w:tcPr>
          <w:p w14:paraId="3D5DE30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4,634.00</w:t>
            </w:r>
          </w:p>
        </w:tc>
        <w:tc>
          <w:tcPr>
            <w:tcW w:w="662" w:type="pct"/>
            <w:shd w:val="clear" w:color="auto" w:fill="auto"/>
            <w:noWrap/>
          </w:tcPr>
          <w:p w14:paraId="55DB69E5">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3,532.00</w:t>
            </w:r>
          </w:p>
        </w:tc>
        <w:tc>
          <w:tcPr>
            <w:tcW w:w="651" w:type="pct"/>
          </w:tcPr>
          <w:p w14:paraId="5D7A54A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883.00</w:t>
            </w:r>
          </w:p>
        </w:tc>
        <w:tc>
          <w:tcPr>
            <w:tcW w:w="664" w:type="pct"/>
          </w:tcPr>
          <w:p w14:paraId="390F4C9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12,722.23</w:t>
            </w:r>
          </w:p>
        </w:tc>
      </w:tr>
      <w:tr w14:paraId="65821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340" w:type="pct"/>
            <w:shd w:val="clear" w:color="auto" w:fill="auto"/>
            <w:noWrap/>
          </w:tcPr>
          <w:p w14:paraId="5B2A7854">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2033</w:t>
            </w:r>
          </w:p>
        </w:tc>
        <w:tc>
          <w:tcPr>
            <w:tcW w:w="1083" w:type="pct"/>
            <w:shd w:val="clear" w:color="auto" w:fill="auto"/>
            <w:noWrap/>
          </w:tcPr>
          <w:p w14:paraId="0757061C">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1,725.00</w:t>
            </w:r>
          </w:p>
        </w:tc>
        <w:tc>
          <w:tcPr>
            <w:tcW w:w="937" w:type="pct"/>
            <w:shd w:val="clear" w:color="auto" w:fill="auto"/>
            <w:noWrap/>
          </w:tcPr>
          <w:p w14:paraId="3092209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1,968.23</w:t>
            </w:r>
          </w:p>
        </w:tc>
        <w:tc>
          <w:tcPr>
            <w:tcW w:w="662" w:type="pct"/>
            <w:shd w:val="clear" w:color="auto" w:fill="auto"/>
            <w:noWrap/>
          </w:tcPr>
          <w:p w14:paraId="70F9E29A">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4,737.00</w:t>
            </w:r>
          </w:p>
        </w:tc>
        <w:tc>
          <w:tcPr>
            <w:tcW w:w="662" w:type="pct"/>
            <w:shd w:val="clear" w:color="auto" w:fill="auto"/>
            <w:noWrap/>
          </w:tcPr>
          <w:p w14:paraId="3D77174C">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3,610.00</w:t>
            </w:r>
          </w:p>
        </w:tc>
        <w:tc>
          <w:tcPr>
            <w:tcW w:w="651" w:type="pct"/>
          </w:tcPr>
          <w:p w14:paraId="1CC5811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903.00</w:t>
            </w:r>
          </w:p>
        </w:tc>
        <w:tc>
          <w:tcPr>
            <w:tcW w:w="664" w:type="pct"/>
          </w:tcPr>
          <w:p w14:paraId="5FF56DCC">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12,943.23</w:t>
            </w:r>
          </w:p>
        </w:tc>
      </w:tr>
      <w:tr w14:paraId="2C178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340" w:type="pct"/>
            <w:shd w:val="clear" w:color="auto" w:fill="auto"/>
            <w:noWrap/>
          </w:tcPr>
          <w:p w14:paraId="4AEA4E95">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2034</w:t>
            </w:r>
          </w:p>
        </w:tc>
        <w:tc>
          <w:tcPr>
            <w:tcW w:w="1083" w:type="pct"/>
            <w:shd w:val="clear" w:color="auto" w:fill="auto"/>
            <w:noWrap/>
          </w:tcPr>
          <w:p w14:paraId="19D58E7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1,745.00</w:t>
            </w:r>
          </w:p>
        </w:tc>
        <w:tc>
          <w:tcPr>
            <w:tcW w:w="937" w:type="pct"/>
            <w:shd w:val="clear" w:color="auto" w:fill="auto"/>
            <w:noWrap/>
          </w:tcPr>
          <w:p w14:paraId="30C700A9">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1,968.23</w:t>
            </w:r>
          </w:p>
        </w:tc>
        <w:tc>
          <w:tcPr>
            <w:tcW w:w="662" w:type="pct"/>
            <w:shd w:val="clear" w:color="auto" w:fill="auto"/>
            <w:noWrap/>
          </w:tcPr>
          <w:p w14:paraId="5D712B49">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4,839.00</w:t>
            </w:r>
          </w:p>
        </w:tc>
        <w:tc>
          <w:tcPr>
            <w:tcW w:w="662" w:type="pct"/>
            <w:shd w:val="clear" w:color="auto" w:fill="auto"/>
            <w:noWrap/>
          </w:tcPr>
          <w:p w14:paraId="59966BD4">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3,689.00</w:t>
            </w:r>
          </w:p>
        </w:tc>
        <w:tc>
          <w:tcPr>
            <w:tcW w:w="651" w:type="pct"/>
          </w:tcPr>
          <w:p w14:paraId="7AB39BD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922.00</w:t>
            </w:r>
          </w:p>
        </w:tc>
        <w:tc>
          <w:tcPr>
            <w:tcW w:w="664" w:type="pct"/>
          </w:tcPr>
          <w:p w14:paraId="576DD88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13,163.23</w:t>
            </w:r>
          </w:p>
        </w:tc>
      </w:tr>
      <w:tr w14:paraId="48B5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1CC5D9BA">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2035</w:t>
            </w:r>
          </w:p>
        </w:tc>
        <w:tc>
          <w:tcPr>
            <w:tcW w:w="1083" w:type="pct"/>
            <w:shd w:val="clear" w:color="auto" w:fill="auto"/>
            <w:noWrap/>
          </w:tcPr>
          <w:p w14:paraId="6D3E82DE">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1,778.00</w:t>
            </w:r>
          </w:p>
        </w:tc>
        <w:tc>
          <w:tcPr>
            <w:tcW w:w="937" w:type="pct"/>
            <w:shd w:val="clear" w:color="auto" w:fill="auto"/>
            <w:noWrap/>
          </w:tcPr>
          <w:p w14:paraId="122F77BC">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2,066.64</w:t>
            </w:r>
          </w:p>
        </w:tc>
        <w:tc>
          <w:tcPr>
            <w:tcW w:w="662" w:type="pct"/>
            <w:shd w:val="clear" w:color="auto" w:fill="auto"/>
            <w:noWrap/>
          </w:tcPr>
          <w:p w14:paraId="42112F2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4,942.00</w:t>
            </w:r>
          </w:p>
        </w:tc>
        <w:tc>
          <w:tcPr>
            <w:tcW w:w="662" w:type="pct"/>
            <w:shd w:val="clear" w:color="auto" w:fill="auto"/>
            <w:noWrap/>
          </w:tcPr>
          <w:p w14:paraId="284ACC6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3,767.00</w:t>
            </w:r>
          </w:p>
        </w:tc>
        <w:tc>
          <w:tcPr>
            <w:tcW w:w="651" w:type="pct"/>
          </w:tcPr>
          <w:p w14:paraId="58914298">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942.00</w:t>
            </w:r>
          </w:p>
        </w:tc>
        <w:tc>
          <w:tcPr>
            <w:tcW w:w="664" w:type="pct"/>
          </w:tcPr>
          <w:p w14:paraId="57B4A89E">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13,495.64</w:t>
            </w:r>
          </w:p>
        </w:tc>
      </w:tr>
      <w:tr w14:paraId="32B5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7C163CDC">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2036</w:t>
            </w:r>
          </w:p>
        </w:tc>
        <w:tc>
          <w:tcPr>
            <w:tcW w:w="1083" w:type="pct"/>
            <w:shd w:val="clear" w:color="auto" w:fill="auto"/>
            <w:noWrap/>
          </w:tcPr>
          <w:p w14:paraId="7C29AF9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1,787.00</w:t>
            </w:r>
          </w:p>
        </w:tc>
        <w:tc>
          <w:tcPr>
            <w:tcW w:w="937" w:type="pct"/>
            <w:shd w:val="clear" w:color="auto" w:fill="auto"/>
            <w:noWrap/>
          </w:tcPr>
          <w:p w14:paraId="664234CE">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2,066.64</w:t>
            </w:r>
          </w:p>
        </w:tc>
        <w:tc>
          <w:tcPr>
            <w:tcW w:w="662" w:type="pct"/>
            <w:shd w:val="clear" w:color="auto" w:fill="auto"/>
            <w:noWrap/>
          </w:tcPr>
          <w:p w14:paraId="14F0B3E8">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4,988.00</w:t>
            </w:r>
          </w:p>
        </w:tc>
        <w:tc>
          <w:tcPr>
            <w:tcW w:w="662" w:type="pct"/>
            <w:shd w:val="clear" w:color="auto" w:fill="auto"/>
            <w:noWrap/>
          </w:tcPr>
          <w:p w14:paraId="7132826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3,802.00</w:t>
            </w:r>
          </w:p>
        </w:tc>
        <w:tc>
          <w:tcPr>
            <w:tcW w:w="651" w:type="pct"/>
          </w:tcPr>
          <w:p w14:paraId="39C283D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951.00</w:t>
            </w:r>
          </w:p>
        </w:tc>
        <w:tc>
          <w:tcPr>
            <w:tcW w:w="664" w:type="pct"/>
          </w:tcPr>
          <w:p w14:paraId="764791E9">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13,594.64</w:t>
            </w:r>
          </w:p>
        </w:tc>
      </w:tr>
      <w:tr w14:paraId="7357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77DD7C33">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2037</w:t>
            </w:r>
          </w:p>
        </w:tc>
        <w:tc>
          <w:tcPr>
            <w:tcW w:w="1083" w:type="pct"/>
            <w:shd w:val="clear" w:color="auto" w:fill="auto"/>
            <w:noWrap/>
          </w:tcPr>
          <w:p w14:paraId="06F2A4F8">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1,796.00</w:t>
            </w:r>
          </w:p>
        </w:tc>
        <w:tc>
          <w:tcPr>
            <w:tcW w:w="937" w:type="pct"/>
            <w:shd w:val="clear" w:color="auto" w:fill="auto"/>
            <w:noWrap/>
          </w:tcPr>
          <w:p w14:paraId="25AF7C1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2,066.64</w:t>
            </w:r>
          </w:p>
        </w:tc>
        <w:tc>
          <w:tcPr>
            <w:tcW w:w="662" w:type="pct"/>
            <w:shd w:val="clear" w:color="auto" w:fill="auto"/>
            <w:noWrap/>
          </w:tcPr>
          <w:p w14:paraId="58372D9B">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5,035.00</w:t>
            </w:r>
          </w:p>
        </w:tc>
        <w:tc>
          <w:tcPr>
            <w:tcW w:w="662" w:type="pct"/>
            <w:shd w:val="clear" w:color="auto" w:fill="auto"/>
            <w:noWrap/>
          </w:tcPr>
          <w:p w14:paraId="57DD6B3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3,837.00</w:t>
            </w:r>
          </w:p>
        </w:tc>
        <w:tc>
          <w:tcPr>
            <w:tcW w:w="651" w:type="pct"/>
          </w:tcPr>
          <w:p w14:paraId="64665FD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959.00</w:t>
            </w:r>
          </w:p>
        </w:tc>
        <w:tc>
          <w:tcPr>
            <w:tcW w:w="664" w:type="pct"/>
          </w:tcPr>
          <w:p w14:paraId="46778C8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13,693.64</w:t>
            </w:r>
          </w:p>
        </w:tc>
      </w:tr>
      <w:tr w14:paraId="5FC30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0E6ED521">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2038</w:t>
            </w:r>
          </w:p>
        </w:tc>
        <w:tc>
          <w:tcPr>
            <w:tcW w:w="1083" w:type="pct"/>
            <w:shd w:val="clear" w:color="auto" w:fill="auto"/>
            <w:noWrap/>
          </w:tcPr>
          <w:p w14:paraId="4CF31DB1">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1,805.00</w:t>
            </w:r>
          </w:p>
        </w:tc>
        <w:tc>
          <w:tcPr>
            <w:tcW w:w="937" w:type="pct"/>
            <w:shd w:val="clear" w:color="auto" w:fill="auto"/>
            <w:noWrap/>
          </w:tcPr>
          <w:p w14:paraId="25C6ECD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2,169.97</w:t>
            </w:r>
          </w:p>
        </w:tc>
        <w:tc>
          <w:tcPr>
            <w:tcW w:w="662" w:type="pct"/>
            <w:shd w:val="clear" w:color="auto" w:fill="auto"/>
            <w:noWrap/>
          </w:tcPr>
          <w:p w14:paraId="5B77B569">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5,081.00</w:t>
            </w:r>
          </w:p>
        </w:tc>
        <w:tc>
          <w:tcPr>
            <w:tcW w:w="662" w:type="pct"/>
            <w:shd w:val="clear" w:color="auto" w:fill="auto"/>
            <w:noWrap/>
          </w:tcPr>
          <w:p w14:paraId="1A7772C9">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3,873.00</w:t>
            </w:r>
          </w:p>
        </w:tc>
        <w:tc>
          <w:tcPr>
            <w:tcW w:w="651" w:type="pct"/>
          </w:tcPr>
          <w:p w14:paraId="737B433C">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968.00</w:t>
            </w:r>
          </w:p>
        </w:tc>
        <w:tc>
          <w:tcPr>
            <w:tcW w:w="664" w:type="pct"/>
          </w:tcPr>
          <w:p w14:paraId="5ACF5A2B">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13,896.97</w:t>
            </w:r>
          </w:p>
        </w:tc>
      </w:tr>
      <w:tr w14:paraId="0D9D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5859D454">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2039</w:t>
            </w:r>
          </w:p>
        </w:tc>
        <w:tc>
          <w:tcPr>
            <w:tcW w:w="1083" w:type="pct"/>
            <w:shd w:val="clear" w:color="auto" w:fill="auto"/>
            <w:noWrap/>
          </w:tcPr>
          <w:p w14:paraId="09338298">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1,814.00</w:t>
            </w:r>
          </w:p>
        </w:tc>
        <w:tc>
          <w:tcPr>
            <w:tcW w:w="937" w:type="pct"/>
            <w:shd w:val="clear" w:color="auto" w:fill="auto"/>
            <w:noWrap/>
          </w:tcPr>
          <w:p w14:paraId="1825C029">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2,169.97</w:t>
            </w:r>
          </w:p>
        </w:tc>
        <w:tc>
          <w:tcPr>
            <w:tcW w:w="662" w:type="pct"/>
            <w:shd w:val="clear" w:color="auto" w:fill="auto"/>
            <w:noWrap/>
          </w:tcPr>
          <w:p w14:paraId="7B49AE8C">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5,127.00</w:t>
            </w:r>
          </w:p>
        </w:tc>
        <w:tc>
          <w:tcPr>
            <w:tcW w:w="662" w:type="pct"/>
            <w:shd w:val="clear" w:color="auto" w:fill="auto"/>
            <w:noWrap/>
          </w:tcPr>
          <w:p w14:paraId="54BA1FE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3,908.00</w:t>
            </w:r>
          </w:p>
        </w:tc>
        <w:tc>
          <w:tcPr>
            <w:tcW w:w="651" w:type="pct"/>
          </w:tcPr>
          <w:p w14:paraId="0366C241">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977.00</w:t>
            </w:r>
          </w:p>
        </w:tc>
        <w:tc>
          <w:tcPr>
            <w:tcW w:w="664" w:type="pct"/>
          </w:tcPr>
          <w:p w14:paraId="1836E938">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13,995.97</w:t>
            </w:r>
          </w:p>
        </w:tc>
      </w:tr>
      <w:tr w14:paraId="7549B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78CBC5AA">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2040</w:t>
            </w:r>
          </w:p>
        </w:tc>
        <w:tc>
          <w:tcPr>
            <w:tcW w:w="1083" w:type="pct"/>
            <w:shd w:val="clear" w:color="auto" w:fill="auto"/>
            <w:noWrap/>
          </w:tcPr>
          <w:p w14:paraId="3C6AF5FB">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1,823.00</w:t>
            </w:r>
          </w:p>
        </w:tc>
        <w:tc>
          <w:tcPr>
            <w:tcW w:w="937" w:type="pct"/>
            <w:shd w:val="clear" w:color="auto" w:fill="auto"/>
            <w:noWrap/>
          </w:tcPr>
          <w:p w14:paraId="6E6B755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2,169.97</w:t>
            </w:r>
          </w:p>
        </w:tc>
        <w:tc>
          <w:tcPr>
            <w:tcW w:w="662" w:type="pct"/>
            <w:shd w:val="clear" w:color="auto" w:fill="auto"/>
            <w:noWrap/>
          </w:tcPr>
          <w:p w14:paraId="2B80D482">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5,174.00</w:t>
            </w:r>
          </w:p>
        </w:tc>
        <w:tc>
          <w:tcPr>
            <w:tcW w:w="662" w:type="pct"/>
            <w:shd w:val="clear" w:color="auto" w:fill="auto"/>
            <w:noWrap/>
          </w:tcPr>
          <w:p w14:paraId="086553A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3,943.00</w:t>
            </w:r>
          </w:p>
        </w:tc>
        <w:tc>
          <w:tcPr>
            <w:tcW w:w="651" w:type="pct"/>
          </w:tcPr>
          <w:p w14:paraId="3247BC29">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986.00</w:t>
            </w:r>
          </w:p>
        </w:tc>
        <w:tc>
          <w:tcPr>
            <w:tcW w:w="664" w:type="pct"/>
          </w:tcPr>
          <w:p w14:paraId="050A4019">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14,095.97</w:t>
            </w:r>
          </w:p>
        </w:tc>
      </w:tr>
      <w:tr w14:paraId="76C1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274B4A03">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2041</w:t>
            </w:r>
          </w:p>
        </w:tc>
        <w:tc>
          <w:tcPr>
            <w:tcW w:w="1083" w:type="pct"/>
            <w:shd w:val="clear" w:color="auto" w:fill="auto"/>
            <w:noWrap/>
          </w:tcPr>
          <w:p w14:paraId="0E63148F">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1,832.00</w:t>
            </w:r>
          </w:p>
        </w:tc>
        <w:tc>
          <w:tcPr>
            <w:tcW w:w="937" w:type="pct"/>
            <w:shd w:val="clear" w:color="auto" w:fill="auto"/>
            <w:noWrap/>
          </w:tcPr>
          <w:p w14:paraId="0A185FA9">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2,278.47</w:t>
            </w:r>
          </w:p>
        </w:tc>
        <w:tc>
          <w:tcPr>
            <w:tcW w:w="662" w:type="pct"/>
            <w:shd w:val="clear" w:color="auto" w:fill="auto"/>
            <w:noWrap/>
          </w:tcPr>
          <w:p w14:paraId="641A823A">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5,220.00</w:t>
            </w:r>
          </w:p>
        </w:tc>
        <w:tc>
          <w:tcPr>
            <w:tcW w:w="662" w:type="pct"/>
            <w:shd w:val="clear" w:color="auto" w:fill="auto"/>
            <w:noWrap/>
          </w:tcPr>
          <w:p w14:paraId="6802CEDF">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3,979.00</w:t>
            </w:r>
          </w:p>
        </w:tc>
        <w:tc>
          <w:tcPr>
            <w:tcW w:w="651" w:type="pct"/>
          </w:tcPr>
          <w:p w14:paraId="4EC73F1E">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995.00</w:t>
            </w:r>
          </w:p>
        </w:tc>
        <w:tc>
          <w:tcPr>
            <w:tcW w:w="664" w:type="pct"/>
          </w:tcPr>
          <w:p w14:paraId="4CCD304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14,304.47</w:t>
            </w:r>
          </w:p>
        </w:tc>
      </w:tr>
      <w:tr w14:paraId="03E9D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0300B400">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2042</w:t>
            </w:r>
          </w:p>
        </w:tc>
        <w:tc>
          <w:tcPr>
            <w:tcW w:w="1083" w:type="pct"/>
            <w:shd w:val="clear" w:color="auto" w:fill="auto"/>
            <w:noWrap/>
          </w:tcPr>
          <w:p w14:paraId="4D061F45">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1,841.00</w:t>
            </w:r>
          </w:p>
        </w:tc>
        <w:tc>
          <w:tcPr>
            <w:tcW w:w="937" w:type="pct"/>
            <w:shd w:val="clear" w:color="auto" w:fill="auto"/>
            <w:noWrap/>
          </w:tcPr>
          <w:p w14:paraId="7EEA678B">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2,278.47</w:t>
            </w:r>
          </w:p>
        </w:tc>
        <w:tc>
          <w:tcPr>
            <w:tcW w:w="662" w:type="pct"/>
            <w:shd w:val="clear" w:color="auto" w:fill="auto"/>
            <w:noWrap/>
          </w:tcPr>
          <w:p w14:paraId="0193294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5,266.00</w:t>
            </w:r>
          </w:p>
        </w:tc>
        <w:tc>
          <w:tcPr>
            <w:tcW w:w="662" w:type="pct"/>
            <w:shd w:val="clear" w:color="auto" w:fill="auto"/>
            <w:noWrap/>
          </w:tcPr>
          <w:p w14:paraId="05A40E5F">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4,014.00</w:t>
            </w:r>
          </w:p>
        </w:tc>
        <w:tc>
          <w:tcPr>
            <w:tcW w:w="651" w:type="pct"/>
          </w:tcPr>
          <w:p w14:paraId="01C80A1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1,004.00</w:t>
            </w:r>
          </w:p>
        </w:tc>
        <w:tc>
          <w:tcPr>
            <w:tcW w:w="664" w:type="pct"/>
          </w:tcPr>
          <w:p w14:paraId="7238B0F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14,403.47</w:t>
            </w:r>
          </w:p>
        </w:tc>
      </w:tr>
      <w:tr w14:paraId="3F6E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3D036B4D">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2043</w:t>
            </w:r>
          </w:p>
        </w:tc>
        <w:tc>
          <w:tcPr>
            <w:tcW w:w="1083" w:type="pct"/>
            <w:shd w:val="clear" w:color="auto" w:fill="auto"/>
            <w:noWrap/>
          </w:tcPr>
          <w:p w14:paraId="47383AF2">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1,850.00</w:t>
            </w:r>
          </w:p>
        </w:tc>
        <w:tc>
          <w:tcPr>
            <w:tcW w:w="937" w:type="pct"/>
            <w:shd w:val="clear" w:color="auto" w:fill="auto"/>
            <w:noWrap/>
          </w:tcPr>
          <w:p w14:paraId="533A24D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2,278.47</w:t>
            </w:r>
          </w:p>
        </w:tc>
        <w:tc>
          <w:tcPr>
            <w:tcW w:w="662" w:type="pct"/>
            <w:shd w:val="clear" w:color="auto" w:fill="auto"/>
            <w:noWrap/>
          </w:tcPr>
          <w:p w14:paraId="78A323AA">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5,313.00</w:t>
            </w:r>
          </w:p>
        </w:tc>
        <w:tc>
          <w:tcPr>
            <w:tcW w:w="662" w:type="pct"/>
            <w:shd w:val="clear" w:color="auto" w:fill="auto"/>
            <w:noWrap/>
          </w:tcPr>
          <w:p w14:paraId="259C246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4,049.00</w:t>
            </w:r>
          </w:p>
        </w:tc>
        <w:tc>
          <w:tcPr>
            <w:tcW w:w="651" w:type="pct"/>
          </w:tcPr>
          <w:p w14:paraId="722C34D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1,012.00</w:t>
            </w:r>
          </w:p>
        </w:tc>
        <w:tc>
          <w:tcPr>
            <w:tcW w:w="664" w:type="pct"/>
          </w:tcPr>
          <w:p w14:paraId="24F3FE4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14,502.47</w:t>
            </w:r>
          </w:p>
        </w:tc>
      </w:tr>
      <w:tr w14:paraId="130CE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000FFB7E">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2044</w:t>
            </w:r>
          </w:p>
        </w:tc>
        <w:tc>
          <w:tcPr>
            <w:tcW w:w="1083" w:type="pct"/>
            <w:shd w:val="clear" w:color="auto" w:fill="auto"/>
            <w:noWrap/>
          </w:tcPr>
          <w:p w14:paraId="002FB39F">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1,859.00</w:t>
            </w:r>
          </w:p>
        </w:tc>
        <w:tc>
          <w:tcPr>
            <w:tcW w:w="937" w:type="pct"/>
            <w:shd w:val="clear" w:color="auto" w:fill="auto"/>
            <w:noWrap/>
          </w:tcPr>
          <w:p w14:paraId="410A79A2">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2,392.39</w:t>
            </w:r>
          </w:p>
        </w:tc>
        <w:tc>
          <w:tcPr>
            <w:tcW w:w="662" w:type="pct"/>
            <w:shd w:val="clear" w:color="auto" w:fill="auto"/>
            <w:noWrap/>
          </w:tcPr>
          <w:p w14:paraId="49E91D0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5,359.00</w:t>
            </w:r>
          </w:p>
        </w:tc>
        <w:tc>
          <w:tcPr>
            <w:tcW w:w="662" w:type="pct"/>
            <w:shd w:val="clear" w:color="auto" w:fill="auto"/>
            <w:noWrap/>
          </w:tcPr>
          <w:p w14:paraId="0F0C616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4,085.00</w:t>
            </w:r>
          </w:p>
        </w:tc>
        <w:tc>
          <w:tcPr>
            <w:tcW w:w="651" w:type="pct"/>
          </w:tcPr>
          <w:p w14:paraId="6901728C">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1,021.00</w:t>
            </w:r>
          </w:p>
        </w:tc>
        <w:tc>
          <w:tcPr>
            <w:tcW w:w="664" w:type="pct"/>
          </w:tcPr>
          <w:p w14:paraId="779465A8">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14,716.39</w:t>
            </w:r>
          </w:p>
        </w:tc>
      </w:tr>
      <w:tr w14:paraId="270F7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711805B5">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2045</w:t>
            </w:r>
          </w:p>
        </w:tc>
        <w:tc>
          <w:tcPr>
            <w:tcW w:w="1083" w:type="pct"/>
            <w:shd w:val="clear" w:color="auto" w:fill="auto"/>
            <w:noWrap/>
          </w:tcPr>
          <w:p w14:paraId="419FF64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1,869.00</w:t>
            </w:r>
          </w:p>
        </w:tc>
        <w:tc>
          <w:tcPr>
            <w:tcW w:w="937" w:type="pct"/>
            <w:shd w:val="clear" w:color="auto" w:fill="auto"/>
            <w:noWrap/>
          </w:tcPr>
          <w:p w14:paraId="30B7CFA5">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2,392.39</w:t>
            </w:r>
          </w:p>
        </w:tc>
        <w:tc>
          <w:tcPr>
            <w:tcW w:w="662" w:type="pct"/>
            <w:shd w:val="clear" w:color="auto" w:fill="auto"/>
            <w:noWrap/>
          </w:tcPr>
          <w:p w14:paraId="16A5BC38">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5,405.00</w:t>
            </w:r>
          </w:p>
        </w:tc>
        <w:tc>
          <w:tcPr>
            <w:tcW w:w="662" w:type="pct"/>
            <w:shd w:val="clear" w:color="auto" w:fill="auto"/>
            <w:noWrap/>
          </w:tcPr>
          <w:p w14:paraId="6F326A8F">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4,120.00</w:t>
            </w:r>
          </w:p>
        </w:tc>
        <w:tc>
          <w:tcPr>
            <w:tcW w:w="651" w:type="pct"/>
          </w:tcPr>
          <w:p w14:paraId="7C2EF551">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1,030.00</w:t>
            </w:r>
          </w:p>
        </w:tc>
        <w:tc>
          <w:tcPr>
            <w:tcW w:w="664" w:type="pct"/>
          </w:tcPr>
          <w:p w14:paraId="308630EB">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14,816.39</w:t>
            </w:r>
          </w:p>
        </w:tc>
      </w:tr>
      <w:tr w14:paraId="6CC76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166FE23A">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2046</w:t>
            </w:r>
          </w:p>
        </w:tc>
        <w:tc>
          <w:tcPr>
            <w:tcW w:w="1083" w:type="pct"/>
            <w:shd w:val="clear" w:color="auto" w:fill="auto"/>
            <w:noWrap/>
          </w:tcPr>
          <w:p w14:paraId="5D4685E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1,878.00</w:t>
            </w:r>
          </w:p>
        </w:tc>
        <w:tc>
          <w:tcPr>
            <w:tcW w:w="937" w:type="pct"/>
            <w:shd w:val="clear" w:color="auto" w:fill="auto"/>
            <w:noWrap/>
          </w:tcPr>
          <w:p w14:paraId="758B45DB">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2,392.39</w:t>
            </w:r>
          </w:p>
        </w:tc>
        <w:tc>
          <w:tcPr>
            <w:tcW w:w="662" w:type="pct"/>
            <w:shd w:val="clear" w:color="auto" w:fill="auto"/>
            <w:noWrap/>
          </w:tcPr>
          <w:p w14:paraId="7B03CE14">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5,452.00</w:t>
            </w:r>
          </w:p>
        </w:tc>
        <w:tc>
          <w:tcPr>
            <w:tcW w:w="662" w:type="pct"/>
            <w:shd w:val="clear" w:color="auto" w:fill="auto"/>
            <w:noWrap/>
          </w:tcPr>
          <w:p w14:paraId="5C05C84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4,155.00</w:t>
            </w:r>
          </w:p>
        </w:tc>
        <w:tc>
          <w:tcPr>
            <w:tcW w:w="651" w:type="pct"/>
          </w:tcPr>
          <w:p w14:paraId="64E1451A">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1,039.00</w:t>
            </w:r>
          </w:p>
        </w:tc>
        <w:tc>
          <w:tcPr>
            <w:tcW w:w="664" w:type="pct"/>
          </w:tcPr>
          <w:p w14:paraId="3124D335">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14,916.39</w:t>
            </w:r>
          </w:p>
        </w:tc>
      </w:tr>
      <w:tr w14:paraId="6A228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39B31CED">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2047</w:t>
            </w:r>
          </w:p>
        </w:tc>
        <w:tc>
          <w:tcPr>
            <w:tcW w:w="1083" w:type="pct"/>
            <w:shd w:val="clear" w:color="auto" w:fill="auto"/>
            <w:noWrap/>
          </w:tcPr>
          <w:p w14:paraId="27698CF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1,887.00</w:t>
            </w:r>
          </w:p>
        </w:tc>
        <w:tc>
          <w:tcPr>
            <w:tcW w:w="937" w:type="pct"/>
            <w:shd w:val="clear" w:color="auto" w:fill="auto"/>
            <w:noWrap/>
          </w:tcPr>
          <w:p w14:paraId="175088B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2,512.01</w:t>
            </w:r>
          </w:p>
        </w:tc>
        <w:tc>
          <w:tcPr>
            <w:tcW w:w="662" w:type="pct"/>
            <w:shd w:val="clear" w:color="auto" w:fill="auto"/>
            <w:noWrap/>
          </w:tcPr>
          <w:p w14:paraId="079895F1">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5,498.00</w:t>
            </w:r>
          </w:p>
        </w:tc>
        <w:tc>
          <w:tcPr>
            <w:tcW w:w="662" w:type="pct"/>
            <w:shd w:val="clear" w:color="auto" w:fill="auto"/>
            <w:noWrap/>
          </w:tcPr>
          <w:p w14:paraId="03BCF567">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4,191.00</w:t>
            </w:r>
          </w:p>
        </w:tc>
        <w:tc>
          <w:tcPr>
            <w:tcW w:w="651" w:type="pct"/>
          </w:tcPr>
          <w:p w14:paraId="031F226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1,048.00</w:t>
            </w:r>
          </w:p>
        </w:tc>
        <w:tc>
          <w:tcPr>
            <w:tcW w:w="664" w:type="pct"/>
          </w:tcPr>
          <w:p w14:paraId="5C775C7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15,136.01</w:t>
            </w:r>
          </w:p>
        </w:tc>
      </w:tr>
      <w:tr w14:paraId="2A428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499CAA05">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2048</w:t>
            </w:r>
          </w:p>
        </w:tc>
        <w:tc>
          <w:tcPr>
            <w:tcW w:w="1083" w:type="pct"/>
            <w:shd w:val="clear" w:color="auto" w:fill="auto"/>
            <w:noWrap/>
          </w:tcPr>
          <w:p w14:paraId="1A33649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1,896.00</w:t>
            </w:r>
          </w:p>
        </w:tc>
        <w:tc>
          <w:tcPr>
            <w:tcW w:w="937" w:type="pct"/>
            <w:shd w:val="clear" w:color="auto" w:fill="auto"/>
            <w:noWrap/>
          </w:tcPr>
          <w:p w14:paraId="40A61E5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2,512.01</w:t>
            </w:r>
          </w:p>
        </w:tc>
        <w:tc>
          <w:tcPr>
            <w:tcW w:w="662" w:type="pct"/>
            <w:shd w:val="clear" w:color="auto" w:fill="auto"/>
            <w:noWrap/>
          </w:tcPr>
          <w:p w14:paraId="3FE5C4C5">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5,544.00</w:t>
            </w:r>
          </w:p>
        </w:tc>
        <w:tc>
          <w:tcPr>
            <w:tcW w:w="662" w:type="pct"/>
            <w:shd w:val="clear" w:color="auto" w:fill="auto"/>
            <w:noWrap/>
          </w:tcPr>
          <w:p w14:paraId="6CBA8E02">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4,226.00</w:t>
            </w:r>
          </w:p>
        </w:tc>
        <w:tc>
          <w:tcPr>
            <w:tcW w:w="651" w:type="pct"/>
          </w:tcPr>
          <w:p w14:paraId="4BE6D7C4">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1,057.00</w:t>
            </w:r>
          </w:p>
        </w:tc>
        <w:tc>
          <w:tcPr>
            <w:tcW w:w="664" w:type="pct"/>
          </w:tcPr>
          <w:p w14:paraId="71F0498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15,235.01</w:t>
            </w:r>
          </w:p>
        </w:tc>
      </w:tr>
      <w:tr w14:paraId="14026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5645BFF7">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2049</w:t>
            </w:r>
          </w:p>
        </w:tc>
        <w:tc>
          <w:tcPr>
            <w:tcW w:w="1083" w:type="pct"/>
            <w:shd w:val="clear" w:color="auto" w:fill="auto"/>
            <w:noWrap/>
          </w:tcPr>
          <w:p w14:paraId="4CE25B2B">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1,905.00</w:t>
            </w:r>
          </w:p>
        </w:tc>
        <w:tc>
          <w:tcPr>
            <w:tcW w:w="937" w:type="pct"/>
            <w:shd w:val="clear" w:color="auto" w:fill="auto"/>
            <w:noWrap/>
          </w:tcPr>
          <w:p w14:paraId="22D064C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2,512.01</w:t>
            </w:r>
          </w:p>
        </w:tc>
        <w:tc>
          <w:tcPr>
            <w:tcW w:w="662" w:type="pct"/>
            <w:shd w:val="clear" w:color="auto" w:fill="auto"/>
            <w:noWrap/>
          </w:tcPr>
          <w:p w14:paraId="2FB7E0B2">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5,591.00</w:t>
            </w:r>
          </w:p>
        </w:tc>
        <w:tc>
          <w:tcPr>
            <w:tcW w:w="662" w:type="pct"/>
            <w:shd w:val="clear" w:color="auto" w:fill="auto"/>
            <w:noWrap/>
          </w:tcPr>
          <w:p w14:paraId="3C33C66F">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4,261.00</w:t>
            </w:r>
          </w:p>
        </w:tc>
        <w:tc>
          <w:tcPr>
            <w:tcW w:w="651" w:type="pct"/>
          </w:tcPr>
          <w:p w14:paraId="29506BE3">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1,065.00</w:t>
            </w:r>
          </w:p>
        </w:tc>
        <w:tc>
          <w:tcPr>
            <w:tcW w:w="664" w:type="pct"/>
          </w:tcPr>
          <w:p w14:paraId="0D47BBF5">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15,334.01</w:t>
            </w:r>
          </w:p>
        </w:tc>
      </w:tr>
      <w:tr w14:paraId="37F1B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3C295316">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2050</w:t>
            </w:r>
          </w:p>
        </w:tc>
        <w:tc>
          <w:tcPr>
            <w:tcW w:w="1083" w:type="pct"/>
            <w:shd w:val="clear" w:color="auto" w:fill="auto"/>
            <w:noWrap/>
          </w:tcPr>
          <w:p w14:paraId="18653A7A">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1,964.00</w:t>
            </w:r>
          </w:p>
        </w:tc>
        <w:tc>
          <w:tcPr>
            <w:tcW w:w="937" w:type="pct"/>
            <w:shd w:val="clear" w:color="auto" w:fill="auto"/>
            <w:noWrap/>
          </w:tcPr>
          <w:p w14:paraId="7E8118BB">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2,637.61</w:t>
            </w:r>
          </w:p>
        </w:tc>
        <w:tc>
          <w:tcPr>
            <w:tcW w:w="662" w:type="pct"/>
            <w:shd w:val="clear" w:color="auto" w:fill="auto"/>
            <w:noWrap/>
          </w:tcPr>
          <w:p w14:paraId="399EC9E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5,637.00</w:t>
            </w:r>
          </w:p>
        </w:tc>
        <w:tc>
          <w:tcPr>
            <w:tcW w:w="662" w:type="pct"/>
            <w:shd w:val="clear" w:color="auto" w:fill="auto"/>
            <w:noWrap/>
          </w:tcPr>
          <w:p w14:paraId="1BB46216">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4,297.00</w:t>
            </w:r>
          </w:p>
        </w:tc>
        <w:tc>
          <w:tcPr>
            <w:tcW w:w="651" w:type="pct"/>
          </w:tcPr>
          <w:p w14:paraId="72239E3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1,074.00</w:t>
            </w:r>
          </w:p>
        </w:tc>
        <w:tc>
          <w:tcPr>
            <w:tcW w:w="664" w:type="pct"/>
          </w:tcPr>
          <w:p w14:paraId="5B787A1E">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15,609.61</w:t>
            </w:r>
          </w:p>
        </w:tc>
      </w:tr>
      <w:tr w14:paraId="1D29F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tcPr>
          <w:p w14:paraId="4E779797">
            <w:pPr>
              <w:widowControl/>
              <w:spacing w:after="0" w:line="240" w:lineRule="exact"/>
              <w:ind w:firstLine="0" w:firstLineChars="0"/>
              <w:jc w:val="center"/>
              <w:rPr>
                <w:rFonts w:hint="eastAsia" w:ascii="宋体" w:hAnsi="宋体" w:eastAsia="宋体" w:cs="宋体"/>
                <w:kern w:val="0"/>
                <w:sz w:val="18"/>
                <w:szCs w:val="18"/>
              </w:rPr>
            </w:pPr>
            <w:r>
              <w:rPr>
                <w:rFonts w:ascii="宋体" w:hAnsi="宋体" w:eastAsia="宋体" w:cs="宋体"/>
                <w:kern w:val="0"/>
                <w:sz w:val="18"/>
                <w:szCs w:val="18"/>
              </w:rPr>
              <w:t>2051</w:t>
            </w:r>
          </w:p>
        </w:tc>
        <w:tc>
          <w:tcPr>
            <w:tcW w:w="1083" w:type="pct"/>
            <w:shd w:val="clear" w:color="auto" w:fill="auto"/>
            <w:noWrap/>
          </w:tcPr>
          <w:p w14:paraId="5CFF4BCD">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1,964.00</w:t>
            </w:r>
          </w:p>
        </w:tc>
        <w:tc>
          <w:tcPr>
            <w:tcW w:w="937" w:type="pct"/>
            <w:shd w:val="clear" w:color="auto" w:fill="auto"/>
            <w:noWrap/>
          </w:tcPr>
          <w:p w14:paraId="490BF068">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2,637.61</w:t>
            </w:r>
          </w:p>
        </w:tc>
        <w:tc>
          <w:tcPr>
            <w:tcW w:w="662" w:type="pct"/>
            <w:shd w:val="clear" w:color="auto" w:fill="auto"/>
            <w:noWrap/>
          </w:tcPr>
          <w:p w14:paraId="6A12A61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5,637.00</w:t>
            </w:r>
          </w:p>
        </w:tc>
        <w:tc>
          <w:tcPr>
            <w:tcW w:w="662" w:type="pct"/>
            <w:shd w:val="clear" w:color="auto" w:fill="auto"/>
            <w:noWrap/>
          </w:tcPr>
          <w:p w14:paraId="68799D4F">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4,297.00</w:t>
            </w:r>
          </w:p>
        </w:tc>
        <w:tc>
          <w:tcPr>
            <w:tcW w:w="651" w:type="pct"/>
          </w:tcPr>
          <w:p w14:paraId="1C94D650">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1,074.00</w:t>
            </w:r>
          </w:p>
        </w:tc>
        <w:tc>
          <w:tcPr>
            <w:tcW w:w="664" w:type="pct"/>
          </w:tcPr>
          <w:p w14:paraId="14EE8325">
            <w:pPr>
              <w:widowControl/>
              <w:spacing w:after="0" w:line="240" w:lineRule="exact"/>
              <w:ind w:firstLine="0" w:firstLineChars="0"/>
              <w:jc w:val="right"/>
              <w:rPr>
                <w:rFonts w:hint="eastAsia" w:ascii="宋体" w:hAnsi="宋体" w:eastAsia="宋体" w:cs="宋体"/>
                <w:kern w:val="0"/>
                <w:sz w:val="18"/>
                <w:szCs w:val="18"/>
              </w:rPr>
            </w:pPr>
            <w:r>
              <w:rPr>
                <w:rFonts w:ascii="宋体" w:hAnsi="宋体" w:eastAsia="宋体" w:cs="宋体"/>
                <w:kern w:val="0"/>
                <w:sz w:val="18"/>
                <w:szCs w:val="18"/>
              </w:rPr>
              <w:t>15,609.61</w:t>
            </w:r>
          </w:p>
        </w:tc>
      </w:tr>
      <w:tr w14:paraId="271D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40" w:type="pct"/>
            <w:shd w:val="clear" w:color="auto" w:fill="auto"/>
            <w:noWrap/>
            <w:vAlign w:val="center"/>
          </w:tcPr>
          <w:p w14:paraId="6D3EF928">
            <w:pPr>
              <w:widowControl/>
              <w:spacing w:after="0" w:line="240" w:lineRule="exact"/>
              <w:ind w:firstLine="0" w:firstLineChars="0"/>
              <w:jc w:val="center"/>
              <w:rPr>
                <w:rFonts w:hint="eastAsia" w:ascii="宋体" w:hAnsi="宋体" w:eastAsia="宋体" w:cs="宋体"/>
                <w:b/>
                <w:kern w:val="0"/>
                <w:sz w:val="18"/>
                <w:szCs w:val="18"/>
              </w:rPr>
            </w:pPr>
            <w:r>
              <w:rPr>
                <w:rFonts w:hint="eastAsia" w:ascii="宋体" w:hAnsi="宋体" w:eastAsia="宋体" w:cs="宋体"/>
                <w:b/>
                <w:kern w:val="0"/>
                <w:sz w:val="18"/>
                <w:szCs w:val="18"/>
              </w:rPr>
              <w:t>合计</w:t>
            </w:r>
          </w:p>
        </w:tc>
        <w:tc>
          <w:tcPr>
            <w:tcW w:w="1083" w:type="pct"/>
            <w:shd w:val="clear" w:color="auto" w:fill="auto"/>
            <w:noWrap/>
          </w:tcPr>
          <w:p w14:paraId="23E95C0F">
            <w:pPr>
              <w:widowControl/>
              <w:spacing w:after="0" w:line="240" w:lineRule="exact"/>
              <w:ind w:firstLine="0" w:firstLineChars="0"/>
              <w:jc w:val="right"/>
              <w:rPr>
                <w:rFonts w:hint="eastAsia" w:ascii="宋体" w:hAnsi="宋体" w:eastAsia="宋体" w:cs="宋体"/>
                <w:b/>
                <w:kern w:val="0"/>
                <w:sz w:val="18"/>
                <w:szCs w:val="18"/>
              </w:rPr>
            </w:pPr>
            <w:r>
              <w:rPr>
                <w:rFonts w:ascii="宋体" w:hAnsi="宋体" w:eastAsia="宋体" w:cs="宋体"/>
                <w:b/>
                <w:kern w:val="0"/>
                <w:sz w:val="18"/>
                <w:szCs w:val="18"/>
              </w:rPr>
              <w:t>46,533.00</w:t>
            </w:r>
          </w:p>
        </w:tc>
        <w:tc>
          <w:tcPr>
            <w:tcW w:w="937" w:type="pct"/>
            <w:shd w:val="clear" w:color="auto" w:fill="auto"/>
            <w:noWrap/>
          </w:tcPr>
          <w:p w14:paraId="4A7D6DE9">
            <w:pPr>
              <w:widowControl/>
              <w:spacing w:after="0" w:line="240" w:lineRule="exact"/>
              <w:ind w:firstLine="0" w:firstLineChars="0"/>
              <w:jc w:val="right"/>
              <w:rPr>
                <w:rFonts w:hint="eastAsia" w:ascii="宋体" w:hAnsi="宋体" w:eastAsia="宋体" w:cs="宋体"/>
                <w:b/>
                <w:kern w:val="0"/>
                <w:sz w:val="18"/>
                <w:szCs w:val="18"/>
              </w:rPr>
            </w:pPr>
            <w:r>
              <w:rPr>
                <w:rFonts w:ascii="宋体" w:hAnsi="宋体" w:eastAsia="宋体" w:cs="宋体"/>
                <w:b/>
                <w:kern w:val="0"/>
                <w:sz w:val="18"/>
                <w:szCs w:val="18"/>
              </w:rPr>
              <w:t>56,417.57</w:t>
            </w:r>
          </w:p>
        </w:tc>
        <w:tc>
          <w:tcPr>
            <w:tcW w:w="662" w:type="pct"/>
            <w:shd w:val="clear" w:color="auto" w:fill="auto"/>
            <w:noWrap/>
          </w:tcPr>
          <w:p w14:paraId="48EE61E7">
            <w:pPr>
              <w:widowControl/>
              <w:spacing w:after="0" w:line="240" w:lineRule="exact"/>
              <w:ind w:firstLine="0" w:firstLineChars="0"/>
              <w:jc w:val="right"/>
              <w:rPr>
                <w:rFonts w:hint="eastAsia" w:ascii="宋体" w:hAnsi="宋体" w:eastAsia="宋体" w:cs="宋体"/>
                <w:b/>
                <w:kern w:val="0"/>
                <w:sz w:val="18"/>
                <w:szCs w:val="18"/>
              </w:rPr>
            </w:pPr>
            <w:r>
              <w:rPr>
                <w:rFonts w:ascii="宋体" w:hAnsi="宋体" w:eastAsia="宋体" w:cs="宋体"/>
                <w:b/>
                <w:kern w:val="0"/>
                <w:sz w:val="18"/>
                <w:szCs w:val="18"/>
              </w:rPr>
              <w:t>130,135.00</w:t>
            </w:r>
          </w:p>
        </w:tc>
        <w:tc>
          <w:tcPr>
            <w:tcW w:w="662" w:type="pct"/>
            <w:shd w:val="clear" w:color="auto" w:fill="auto"/>
            <w:noWrap/>
          </w:tcPr>
          <w:p w14:paraId="7C2EC816">
            <w:pPr>
              <w:widowControl/>
              <w:spacing w:after="0" w:line="240" w:lineRule="exact"/>
              <w:ind w:firstLine="0" w:firstLineChars="0"/>
              <w:jc w:val="right"/>
              <w:rPr>
                <w:rFonts w:hint="eastAsia" w:ascii="宋体" w:hAnsi="宋体" w:eastAsia="宋体" w:cs="宋体"/>
                <w:b/>
                <w:kern w:val="0"/>
                <w:sz w:val="18"/>
                <w:szCs w:val="18"/>
              </w:rPr>
            </w:pPr>
            <w:r>
              <w:rPr>
                <w:rFonts w:ascii="宋体" w:hAnsi="宋体" w:eastAsia="宋体" w:cs="宋体"/>
                <w:b/>
                <w:kern w:val="0"/>
                <w:sz w:val="18"/>
                <w:szCs w:val="18"/>
              </w:rPr>
              <w:t>99,189.00</w:t>
            </w:r>
          </w:p>
        </w:tc>
        <w:tc>
          <w:tcPr>
            <w:tcW w:w="651" w:type="pct"/>
          </w:tcPr>
          <w:p w14:paraId="29BEE6C9">
            <w:pPr>
              <w:widowControl/>
              <w:spacing w:after="0" w:line="240" w:lineRule="exact"/>
              <w:ind w:firstLine="0" w:firstLineChars="0"/>
              <w:jc w:val="right"/>
              <w:rPr>
                <w:rFonts w:hint="eastAsia" w:ascii="宋体" w:hAnsi="宋体" w:eastAsia="宋体" w:cs="宋体"/>
                <w:b/>
                <w:kern w:val="0"/>
                <w:sz w:val="18"/>
                <w:szCs w:val="18"/>
              </w:rPr>
            </w:pPr>
            <w:r>
              <w:rPr>
                <w:rFonts w:ascii="宋体" w:hAnsi="宋体" w:eastAsia="宋体" w:cs="宋体"/>
                <w:b/>
                <w:kern w:val="0"/>
                <w:sz w:val="18"/>
                <w:szCs w:val="18"/>
              </w:rPr>
              <w:t>24,799.00</w:t>
            </w:r>
          </w:p>
        </w:tc>
        <w:tc>
          <w:tcPr>
            <w:tcW w:w="664" w:type="pct"/>
          </w:tcPr>
          <w:p w14:paraId="1BA86AFD">
            <w:pPr>
              <w:widowControl/>
              <w:spacing w:after="0" w:line="240" w:lineRule="exact"/>
              <w:ind w:firstLine="0" w:firstLineChars="0"/>
              <w:jc w:val="right"/>
              <w:rPr>
                <w:rFonts w:hint="eastAsia" w:ascii="宋体" w:hAnsi="宋体" w:eastAsia="宋体" w:cs="宋体"/>
                <w:b/>
                <w:kern w:val="0"/>
                <w:sz w:val="18"/>
                <w:szCs w:val="18"/>
              </w:rPr>
            </w:pPr>
            <w:r>
              <w:rPr>
                <w:rFonts w:ascii="宋体" w:hAnsi="宋体" w:eastAsia="宋体" w:cs="宋体"/>
                <w:b/>
                <w:kern w:val="0"/>
                <w:sz w:val="18"/>
                <w:szCs w:val="18"/>
              </w:rPr>
              <w:t>357,073.57</w:t>
            </w:r>
          </w:p>
        </w:tc>
      </w:tr>
    </w:tbl>
    <w:p w14:paraId="2488FC49">
      <w:pPr>
        <w:widowControl/>
        <w:spacing w:after="156" w:afterLines="50" w:line="440" w:lineRule="exact"/>
        <w:ind w:firstLine="360"/>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注：1.支出情况预测表主要体现的是需要支付现金的成本费用部分，故对于不需付现的费用（如折旧摊销等）进行了剔除，暂不在上表中反映。</w:t>
      </w:r>
    </w:p>
    <w:p w14:paraId="62A4C8DC">
      <w:pPr>
        <w:widowControl/>
        <w:spacing w:after="156" w:afterLines="50" w:line="440" w:lineRule="exact"/>
        <w:ind w:firstLine="480"/>
        <w:rPr>
          <w:rFonts w:hint="eastAsia" w:ascii="宋体" w:hAnsi="宋体" w:eastAsia="宋体" w:cs="宋体"/>
          <w:color w:val="000000"/>
          <w:kern w:val="0"/>
          <w:sz w:val="21"/>
          <w:szCs w:val="21"/>
        </w:rPr>
        <w:sectPr>
          <w:headerReference r:id="rId6" w:type="default"/>
          <w:footerReference r:id="rId7" w:type="default"/>
          <w:pgSz w:w="11906" w:h="16838"/>
          <w:pgMar w:top="1531" w:right="1701" w:bottom="1418" w:left="1701" w:header="851" w:footer="992" w:gutter="0"/>
          <w:cols w:space="425" w:num="1"/>
          <w:docGrid w:type="linesAndChars" w:linePitch="312" w:charSpace="0"/>
        </w:sectPr>
      </w:pPr>
      <w:r>
        <w:rPr>
          <w:rFonts w:hint="eastAsia" w:ascii="仿宋" w:hAnsi="仿宋" w:eastAsia="仿宋" w:cs="宋体"/>
          <w:color w:val="000000"/>
          <w:kern w:val="0"/>
          <w:szCs w:val="21"/>
        </w:rPr>
        <w:t>202</w:t>
      </w:r>
      <w:r>
        <w:rPr>
          <w:rFonts w:ascii="仿宋" w:hAnsi="仿宋" w:eastAsia="仿宋" w:cs="宋体"/>
          <w:color w:val="000000"/>
          <w:kern w:val="0"/>
          <w:szCs w:val="21"/>
        </w:rPr>
        <w:t>4</w:t>
      </w:r>
      <w:r>
        <w:rPr>
          <w:rFonts w:hint="eastAsia" w:ascii="仿宋" w:hAnsi="仿宋" w:eastAsia="仿宋" w:cs="宋体"/>
          <w:color w:val="000000"/>
          <w:kern w:val="0"/>
          <w:szCs w:val="21"/>
        </w:rPr>
        <w:t>年江西省南昌市轨道交通 2号线东延工程项目专项债券项目实施方案资金充足性分析情况具体如下表3-5及图3-1所示：</w:t>
      </w:r>
    </w:p>
    <w:p w14:paraId="4AF3F70A">
      <w:pPr>
        <w:pStyle w:val="23"/>
        <w:spacing w:before="0" w:beforeAutospacing="0" w:after="0" w:afterAutospacing="0" w:line="240" w:lineRule="exact"/>
        <w:ind w:right="-510" w:rightChars="-243" w:firstLine="440" w:firstLineChars="200"/>
        <w:jc w:val="right"/>
        <w:rPr>
          <w:rFonts w:hint="eastAsia"/>
          <w:color w:val="000000"/>
        </w:rPr>
      </w:pPr>
      <w:r>
        <w:rPr>
          <w:rFonts w:hint="eastAsia"/>
          <w:b/>
          <w:color w:val="000000"/>
        </w:rPr>
        <w:t>表3-</w:t>
      </w:r>
      <w:r>
        <w:rPr>
          <w:b/>
          <w:color w:val="000000"/>
        </w:rPr>
        <w:t xml:space="preserve">5 </w:t>
      </w:r>
      <w:r>
        <w:rPr>
          <w:rFonts w:hint="eastAsia"/>
          <w:b/>
          <w:color w:val="000000"/>
        </w:rPr>
        <w:t>202</w:t>
      </w:r>
      <w:r>
        <w:rPr>
          <w:b/>
          <w:color w:val="000000"/>
        </w:rPr>
        <w:t>4</w:t>
      </w:r>
      <w:r>
        <w:rPr>
          <w:rFonts w:hint="eastAsia"/>
          <w:b/>
          <w:color w:val="000000"/>
        </w:rPr>
        <w:t>年江西省南昌市轨道交通</w:t>
      </w:r>
      <w:r>
        <w:rPr>
          <w:b/>
          <w:color w:val="000000"/>
        </w:rPr>
        <w:t>2</w:t>
      </w:r>
      <w:r>
        <w:rPr>
          <w:rFonts w:hint="eastAsia"/>
          <w:b/>
          <w:color w:val="000000"/>
        </w:rPr>
        <w:t>号线东延工程专项债券项目实施方案资金充足性分析情况表</w:t>
      </w:r>
      <w:r>
        <w:rPr>
          <w:rFonts w:hint="eastAsia"/>
          <w:color w:val="000000"/>
        </w:rPr>
        <w:t>单位：万元</w:t>
      </w:r>
    </w:p>
    <w:tbl>
      <w:tblPr>
        <w:tblStyle w:val="2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1772"/>
        <w:gridCol w:w="1298"/>
        <w:gridCol w:w="1104"/>
        <w:gridCol w:w="1134"/>
        <w:gridCol w:w="1403"/>
        <w:gridCol w:w="1418"/>
        <w:gridCol w:w="1213"/>
        <w:gridCol w:w="1241"/>
        <w:gridCol w:w="1357"/>
        <w:gridCol w:w="1282"/>
      </w:tblGrid>
      <w:tr w14:paraId="217E5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236" w:type="pct"/>
            <w:shd w:val="clear" w:color="auto" w:fill="auto"/>
            <w:vAlign w:val="center"/>
          </w:tcPr>
          <w:p w14:paraId="0C59257C">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38" w:type="pct"/>
            <w:shd w:val="clear" w:color="auto" w:fill="auto"/>
            <w:vAlign w:val="center"/>
          </w:tcPr>
          <w:p w14:paraId="52FFBA45">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467" w:type="pct"/>
            <w:shd w:val="clear" w:color="auto" w:fill="auto"/>
            <w:vAlign w:val="center"/>
          </w:tcPr>
          <w:p w14:paraId="3799DA0F">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398" w:type="pct"/>
            <w:shd w:val="clear" w:color="auto" w:fill="auto"/>
            <w:vAlign w:val="center"/>
          </w:tcPr>
          <w:p w14:paraId="244F47FE">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2021年</w:t>
            </w:r>
          </w:p>
        </w:tc>
        <w:tc>
          <w:tcPr>
            <w:tcW w:w="409" w:type="pct"/>
            <w:shd w:val="clear" w:color="auto" w:fill="auto"/>
            <w:vAlign w:val="center"/>
          </w:tcPr>
          <w:p w14:paraId="1089AD40">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2022年</w:t>
            </w:r>
          </w:p>
        </w:tc>
        <w:tc>
          <w:tcPr>
            <w:tcW w:w="505" w:type="pct"/>
            <w:shd w:val="clear" w:color="auto" w:fill="auto"/>
            <w:vAlign w:val="center"/>
          </w:tcPr>
          <w:p w14:paraId="0CC818CA">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510" w:type="pct"/>
            <w:shd w:val="clear" w:color="auto" w:fill="auto"/>
            <w:vAlign w:val="center"/>
          </w:tcPr>
          <w:p w14:paraId="736BBB1F">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436" w:type="pct"/>
            <w:shd w:val="clear" w:color="auto" w:fill="auto"/>
            <w:vAlign w:val="center"/>
          </w:tcPr>
          <w:p w14:paraId="06F687E1">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2025年</w:t>
            </w:r>
          </w:p>
        </w:tc>
        <w:tc>
          <w:tcPr>
            <w:tcW w:w="446" w:type="pct"/>
            <w:shd w:val="clear" w:color="auto" w:fill="auto"/>
            <w:vAlign w:val="center"/>
          </w:tcPr>
          <w:p w14:paraId="3AC780B4">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2026年</w:t>
            </w:r>
          </w:p>
        </w:tc>
        <w:tc>
          <w:tcPr>
            <w:tcW w:w="488" w:type="pct"/>
            <w:vAlign w:val="center"/>
          </w:tcPr>
          <w:p w14:paraId="12A15B8D">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2027年</w:t>
            </w:r>
          </w:p>
        </w:tc>
        <w:tc>
          <w:tcPr>
            <w:tcW w:w="461" w:type="pct"/>
            <w:vAlign w:val="center"/>
          </w:tcPr>
          <w:p w14:paraId="5341E1C0">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2028年</w:t>
            </w:r>
          </w:p>
        </w:tc>
      </w:tr>
      <w:tr w14:paraId="20825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0811BA43">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一</w:t>
            </w:r>
          </w:p>
        </w:tc>
        <w:tc>
          <w:tcPr>
            <w:tcW w:w="638" w:type="pct"/>
            <w:shd w:val="clear" w:color="auto" w:fill="auto"/>
            <w:vAlign w:val="center"/>
          </w:tcPr>
          <w:p w14:paraId="2B2360D3">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color w:val="000000"/>
                <w:kern w:val="0"/>
                <w:sz w:val="18"/>
                <w:szCs w:val="18"/>
              </w:rPr>
              <w:t>现金流入</w:t>
            </w:r>
          </w:p>
        </w:tc>
        <w:tc>
          <w:tcPr>
            <w:tcW w:w="467" w:type="pct"/>
            <w:shd w:val="clear" w:color="auto" w:fill="auto"/>
          </w:tcPr>
          <w:p w14:paraId="0746593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3,329,046.03</w:t>
            </w:r>
          </w:p>
        </w:tc>
        <w:tc>
          <w:tcPr>
            <w:tcW w:w="398" w:type="pct"/>
            <w:shd w:val="clear" w:color="auto" w:fill="auto"/>
          </w:tcPr>
          <w:p w14:paraId="30DA6A2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129,158.10</w:t>
            </w:r>
          </w:p>
        </w:tc>
        <w:tc>
          <w:tcPr>
            <w:tcW w:w="409" w:type="pct"/>
            <w:shd w:val="clear" w:color="auto" w:fill="auto"/>
          </w:tcPr>
          <w:p w14:paraId="462730B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167,990.18</w:t>
            </w:r>
          </w:p>
        </w:tc>
        <w:tc>
          <w:tcPr>
            <w:tcW w:w="505" w:type="pct"/>
            <w:shd w:val="clear" w:color="auto" w:fill="auto"/>
          </w:tcPr>
          <w:p w14:paraId="6884881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297,301.95</w:t>
            </w:r>
          </w:p>
        </w:tc>
        <w:tc>
          <w:tcPr>
            <w:tcW w:w="510" w:type="pct"/>
            <w:shd w:val="clear" w:color="auto" w:fill="auto"/>
          </w:tcPr>
          <w:p w14:paraId="3F65A94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226,080.66</w:t>
            </w:r>
          </w:p>
        </w:tc>
        <w:tc>
          <w:tcPr>
            <w:tcW w:w="436" w:type="pct"/>
            <w:shd w:val="clear" w:color="auto" w:fill="auto"/>
          </w:tcPr>
          <w:p w14:paraId="3A1B06B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237,141.78</w:t>
            </w:r>
          </w:p>
        </w:tc>
        <w:tc>
          <w:tcPr>
            <w:tcW w:w="446" w:type="pct"/>
            <w:shd w:val="clear" w:color="auto" w:fill="auto"/>
          </w:tcPr>
          <w:p w14:paraId="39DD8E1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82,023.66</w:t>
            </w:r>
          </w:p>
        </w:tc>
        <w:tc>
          <w:tcPr>
            <w:tcW w:w="488" w:type="pct"/>
          </w:tcPr>
          <w:p w14:paraId="03A112F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82,683.72</w:t>
            </w:r>
          </w:p>
        </w:tc>
        <w:tc>
          <w:tcPr>
            <w:tcW w:w="461" w:type="pct"/>
          </w:tcPr>
          <w:p w14:paraId="5561B5A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83,343.78</w:t>
            </w:r>
          </w:p>
        </w:tc>
      </w:tr>
      <w:tr w14:paraId="75948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6" w:type="pct"/>
            <w:shd w:val="clear" w:color="auto" w:fill="auto"/>
            <w:vAlign w:val="center"/>
          </w:tcPr>
          <w:p w14:paraId="434EAA94">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638" w:type="pct"/>
            <w:shd w:val="clear" w:color="auto" w:fill="auto"/>
            <w:vAlign w:val="center"/>
          </w:tcPr>
          <w:p w14:paraId="3BF2C4BC">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467" w:type="pct"/>
            <w:shd w:val="clear" w:color="auto" w:fill="auto"/>
          </w:tcPr>
          <w:p w14:paraId="6B72396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2,271,373.36</w:t>
            </w:r>
          </w:p>
        </w:tc>
        <w:tc>
          <w:tcPr>
            <w:tcW w:w="398" w:type="pct"/>
            <w:shd w:val="clear" w:color="auto" w:fill="auto"/>
          </w:tcPr>
          <w:p w14:paraId="181063A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09" w:type="pct"/>
            <w:shd w:val="clear" w:color="auto" w:fill="auto"/>
          </w:tcPr>
          <w:p w14:paraId="47CCE67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05" w:type="pct"/>
            <w:shd w:val="clear" w:color="auto" w:fill="auto"/>
          </w:tcPr>
          <w:p w14:paraId="1AB1944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10" w:type="pct"/>
            <w:shd w:val="clear" w:color="auto" w:fill="auto"/>
          </w:tcPr>
          <w:p w14:paraId="2991709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36" w:type="pct"/>
            <w:shd w:val="clear" w:color="auto" w:fill="auto"/>
          </w:tcPr>
          <w:p w14:paraId="4B98DE5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46" w:type="pct"/>
            <w:shd w:val="clear" w:color="auto" w:fill="auto"/>
          </w:tcPr>
          <w:p w14:paraId="4296A41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82,023.66</w:t>
            </w:r>
          </w:p>
        </w:tc>
        <w:tc>
          <w:tcPr>
            <w:tcW w:w="488" w:type="pct"/>
          </w:tcPr>
          <w:p w14:paraId="2822FE0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82,683.72</w:t>
            </w:r>
          </w:p>
        </w:tc>
        <w:tc>
          <w:tcPr>
            <w:tcW w:w="461" w:type="pct"/>
          </w:tcPr>
          <w:p w14:paraId="6178E27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83,343.78</w:t>
            </w:r>
          </w:p>
        </w:tc>
      </w:tr>
      <w:tr w14:paraId="0D3E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5D72E221">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638" w:type="pct"/>
            <w:shd w:val="clear" w:color="auto" w:fill="auto"/>
            <w:vAlign w:val="center"/>
          </w:tcPr>
          <w:p w14:paraId="1B59F650">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政府性基金收入</w:t>
            </w:r>
          </w:p>
        </w:tc>
        <w:tc>
          <w:tcPr>
            <w:tcW w:w="467" w:type="pct"/>
            <w:shd w:val="clear" w:color="auto" w:fill="auto"/>
          </w:tcPr>
          <w:p w14:paraId="654B2B3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1,600,000.00</w:t>
            </w:r>
          </w:p>
        </w:tc>
        <w:tc>
          <w:tcPr>
            <w:tcW w:w="398" w:type="pct"/>
            <w:shd w:val="clear" w:color="auto" w:fill="auto"/>
          </w:tcPr>
          <w:p w14:paraId="0FC68447">
            <w:pPr>
              <w:spacing w:line="240" w:lineRule="exact"/>
              <w:ind w:firstLine="0" w:firstLineChars="0"/>
              <w:rPr>
                <w:rFonts w:hint="eastAsia" w:ascii="宋体" w:hAnsi="宋体" w:cs="宋体"/>
                <w:color w:val="000000"/>
                <w:kern w:val="0"/>
                <w:sz w:val="18"/>
                <w:szCs w:val="18"/>
              </w:rPr>
            </w:pPr>
          </w:p>
        </w:tc>
        <w:tc>
          <w:tcPr>
            <w:tcW w:w="409" w:type="pct"/>
            <w:shd w:val="clear" w:color="auto" w:fill="auto"/>
          </w:tcPr>
          <w:p w14:paraId="4DCD4559">
            <w:pPr>
              <w:spacing w:line="240" w:lineRule="exact"/>
              <w:ind w:firstLine="0" w:firstLineChars="0"/>
              <w:rPr>
                <w:rFonts w:hint="eastAsia" w:ascii="宋体" w:hAnsi="宋体" w:cs="宋体"/>
                <w:color w:val="000000"/>
                <w:kern w:val="0"/>
                <w:sz w:val="18"/>
                <w:szCs w:val="18"/>
              </w:rPr>
            </w:pPr>
          </w:p>
        </w:tc>
        <w:tc>
          <w:tcPr>
            <w:tcW w:w="505" w:type="pct"/>
            <w:shd w:val="clear" w:color="auto" w:fill="auto"/>
          </w:tcPr>
          <w:p w14:paraId="56EA51F4">
            <w:pPr>
              <w:spacing w:line="240" w:lineRule="exact"/>
              <w:ind w:firstLine="0" w:firstLineChars="0"/>
              <w:rPr>
                <w:rFonts w:hint="eastAsia" w:ascii="宋体" w:hAnsi="宋体" w:cs="宋体"/>
                <w:color w:val="000000"/>
                <w:kern w:val="0"/>
                <w:sz w:val="18"/>
                <w:szCs w:val="18"/>
              </w:rPr>
            </w:pPr>
          </w:p>
        </w:tc>
        <w:tc>
          <w:tcPr>
            <w:tcW w:w="510" w:type="pct"/>
            <w:shd w:val="clear" w:color="auto" w:fill="auto"/>
          </w:tcPr>
          <w:p w14:paraId="7656E9AF">
            <w:pPr>
              <w:spacing w:line="240" w:lineRule="exact"/>
              <w:ind w:firstLine="0" w:firstLineChars="0"/>
              <w:rPr>
                <w:rFonts w:hint="eastAsia" w:ascii="宋体" w:hAnsi="宋体" w:cs="宋体"/>
                <w:color w:val="000000"/>
                <w:kern w:val="0"/>
                <w:sz w:val="18"/>
                <w:szCs w:val="18"/>
              </w:rPr>
            </w:pPr>
          </w:p>
        </w:tc>
        <w:tc>
          <w:tcPr>
            <w:tcW w:w="436" w:type="pct"/>
            <w:shd w:val="clear" w:color="auto" w:fill="auto"/>
          </w:tcPr>
          <w:p w14:paraId="7F4FDBED">
            <w:pPr>
              <w:spacing w:line="240" w:lineRule="exact"/>
              <w:ind w:firstLine="0" w:firstLineChars="0"/>
              <w:rPr>
                <w:rFonts w:hint="eastAsia" w:ascii="宋体" w:hAnsi="宋体" w:cs="宋体"/>
                <w:color w:val="000000"/>
                <w:kern w:val="0"/>
                <w:sz w:val="18"/>
                <w:szCs w:val="18"/>
              </w:rPr>
            </w:pPr>
          </w:p>
        </w:tc>
        <w:tc>
          <w:tcPr>
            <w:tcW w:w="446" w:type="pct"/>
            <w:shd w:val="clear" w:color="auto" w:fill="auto"/>
          </w:tcPr>
          <w:p w14:paraId="35B50EF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60,000.00</w:t>
            </w:r>
          </w:p>
        </w:tc>
        <w:tc>
          <w:tcPr>
            <w:tcW w:w="488" w:type="pct"/>
          </w:tcPr>
          <w:p w14:paraId="7E0B8A3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60,000.00</w:t>
            </w:r>
          </w:p>
        </w:tc>
        <w:tc>
          <w:tcPr>
            <w:tcW w:w="461" w:type="pct"/>
          </w:tcPr>
          <w:p w14:paraId="1BC26F8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60,000.00</w:t>
            </w:r>
          </w:p>
        </w:tc>
      </w:tr>
      <w:tr w14:paraId="3B6C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1EE8905D">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638" w:type="pct"/>
            <w:shd w:val="clear" w:color="auto" w:fill="auto"/>
            <w:vAlign w:val="center"/>
          </w:tcPr>
          <w:p w14:paraId="5AF70E15">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经营收入</w:t>
            </w:r>
          </w:p>
        </w:tc>
        <w:tc>
          <w:tcPr>
            <w:tcW w:w="467" w:type="pct"/>
            <w:shd w:val="clear" w:color="auto" w:fill="auto"/>
          </w:tcPr>
          <w:p w14:paraId="52E434B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671,373.36</w:t>
            </w:r>
          </w:p>
        </w:tc>
        <w:tc>
          <w:tcPr>
            <w:tcW w:w="398" w:type="pct"/>
            <w:shd w:val="clear" w:color="auto" w:fill="auto"/>
          </w:tcPr>
          <w:p w14:paraId="17C71857">
            <w:pPr>
              <w:spacing w:line="240" w:lineRule="exact"/>
              <w:ind w:firstLine="0" w:firstLineChars="0"/>
              <w:rPr>
                <w:rFonts w:hint="eastAsia" w:ascii="宋体" w:hAnsi="宋体" w:cs="宋体"/>
                <w:color w:val="000000"/>
                <w:kern w:val="0"/>
                <w:sz w:val="18"/>
                <w:szCs w:val="18"/>
              </w:rPr>
            </w:pPr>
          </w:p>
        </w:tc>
        <w:tc>
          <w:tcPr>
            <w:tcW w:w="409" w:type="pct"/>
            <w:shd w:val="clear" w:color="auto" w:fill="auto"/>
          </w:tcPr>
          <w:p w14:paraId="4BFD7C80">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05" w:type="pct"/>
            <w:shd w:val="clear" w:color="auto" w:fill="auto"/>
          </w:tcPr>
          <w:p w14:paraId="569E0B7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10" w:type="pct"/>
            <w:shd w:val="clear" w:color="auto" w:fill="auto"/>
          </w:tcPr>
          <w:p w14:paraId="082BEE8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36" w:type="pct"/>
            <w:shd w:val="clear" w:color="auto" w:fill="auto"/>
            <w:noWrap/>
          </w:tcPr>
          <w:p w14:paraId="186AF11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46" w:type="pct"/>
            <w:shd w:val="clear" w:color="auto" w:fill="auto"/>
            <w:noWrap/>
          </w:tcPr>
          <w:p w14:paraId="59AFA15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22,023.66</w:t>
            </w:r>
          </w:p>
        </w:tc>
        <w:tc>
          <w:tcPr>
            <w:tcW w:w="488" w:type="pct"/>
          </w:tcPr>
          <w:p w14:paraId="41CEA52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22,683.72</w:t>
            </w:r>
          </w:p>
        </w:tc>
        <w:tc>
          <w:tcPr>
            <w:tcW w:w="461" w:type="pct"/>
          </w:tcPr>
          <w:p w14:paraId="2FA3D69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23,343.78</w:t>
            </w:r>
          </w:p>
        </w:tc>
      </w:tr>
      <w:tr w14:paraId="5801D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6" w:type="pct"/>
            <w:shd w:val="clear" w:color="auto" w:fill="auto"/>
            <w:vAlign w:val="center"/>
          </w:tcPr>
          <w:p w14:paraId="3E74FC9E">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638" w:type="pct"/>
            <w:shd w:val="clear" w:color="auto" w:fill="auto"/>
            <w:vAlign w:val="center"/>
          </w:tcPr>
          <w:p w14:paraId="290C0AFF">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467" w:type="pct"/>
            <w:shd w:val="clear" w:color="auto" w:fill="auto"/>
          </w:tcPr>
          <w:p w14:paraId="4E0EAB0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634,603.60</w:t>
            </w:r>
          </w:p>
        </w:tc>
        <w:tc>
          <w:tcPr>
            <w:tcW w:w="398" w:type="pct"/>
            <w:shd w:val="clear" w:color="auto" w:fill="auto"/>
          </w:tcPr>
          <w:p w14:paraId="23C530C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52,010.00</w:t>
            </w:r>
          </w:p>
        </w:tc>
        <w:tc>
          <w:tcPr>
            <w:tcW w:w="409" w:type="pct"/>
            <w:shd w:val="clear" w:color="auto" w:fill="auto"/>
          </w:tcPr>
          <w:p w14:paraId="5EEDCD7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101,384.00</w:t>
            </w:r>
          </w:p>
        </w:tc>
        <w:tc>
          <w:tcPr>
            <w:tcW w:w="505" w:type="pct"/>
            <w:shd w:val="clear" w:color="auto" w:fill="auto"/>
          </w:tcPr>
          <w:p w14:paraId="63F103E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179,700.00</w:t>
            </w:r>
          </w:p>
        </w:tc>
        <w:tc>
          <w:tcPr>
            <w:tcW w:w="510" w:type="pct"/>
            <w:shd w:val="clear" w:color="auto" w:fill="auto"/>
          </w:tcPr>
          <w:p w14:paraId="302FD0C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186,500.00</w:t>
            </w:r>
          </w:p>
        </w:tc>
        <w:tc>
          <w:tcPr>
            <w:tcW w:w="436" w:type="pct"/>
            <w:shd w:val="clear" w:color="auto" w:fill="auto"/>
          </w:tcPr>
          <w:p w14:paraId="3568E83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115,009.60</w:t>
            </w:r>
          </w:p>
        </w:tc>
        <w:tc>
          <w:tcPr>
            <w:tcW w:w="446" w:type="pct"/>
            <w:shd w:val="clear" w:color="auto" w:fill="auto"/>
          </w:tcPr>
          <w:p w14:paraId="14A146D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88" w:type="pct"/>
          </w:tcPr>
          <w:p w14:paraId="0A28980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61" w:type="pct"/>
          </w:tcPr>
          <w:p w14:paraId="525D152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r>
      <w:tr w14:paraId="3E9E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59A8E144">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2.1</w:t>
            </w:r>
          </w:p>
        </w:tc>
        <w:tc>
          <w:tcPr>
            <w:tcW w:w="638" w:type="pct"/>
            <w:shd w:val="clear" w:color="auto" w:fill="auto"/>
            <w:vAlign w:val="center"/>
          </w:tcPr>
          <w:p w14:paraId="3ED6DA93">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债券融资款</w:t>
            </w:r>
          </w:p>
        </w:tc>
        <w:tc>
          <w:tcPr>
            <w:tcW w:w="467" w:type="pct"/>
            <w:shd w:val="clear" w:color="auto" w:fill="auto"/>
          </w:tcPr>
          <w:p w14:paraId="538C105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210,000.00</w:t>
            </w:r>
          </w:p>
        </w:tc>
        <w:tc>
          <w:tcPr>
            <w:tcW w:w="398" w:type="pct"/>
            <w:shd w:val="clear" w:color="auto" w:fill="auto"/>
          </w:tcPr>
          <w:p w14:paraId="3F5AE83D">
            <w:pPr>
              <w:spacing w:line="240" w:lineRule="exact"/>
              <w:ind w:firstLine="0" w:firstLineChars="0"/>
              <w:rPr>
                <w:rFonts w:hint="eastAsia" w:ascii="宋体" w:hAnsi="宋体" w:cs="宋体"/>
                <w:color w:val="000000"/>
                <w:kern w:val="0"/>
                <w:sz w:val="18"/>
                <w:szCs w:val="18"/>
              </w:rPr>
            </w:pPr>
          </w:p>
        </w:tc>
        <w:tc>
          <w:tcPr>
            <w:tcW w:w="409" w:type="pct"/>
            <w:shd w:val="clear" w:color="auto" w:fill="auto"/>
          </w:tcPr>
          <w:p w14:paraId="1D8C4CD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91,384.00</w:t>
            </w:r>
          </w:p>
        </w:tc>
        <w:tc>
          <w:tcPr>
            <w:tcW w:w="505" w:type="pct"/>
            <w:shd w:val="clear" w:color="auto" w:fill="auto"/>
          </w:tcPr>
          <w:p w14:paraId="2A6BD3E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38,700.00</w:t>
            </w:r>
          </w:p>
        </w:tc>
        <w:tc>
          <w:tcPr>
            <w:tcW w:w="510" w:type="pct"/>
            <w:shd w:val="clear" w:color="auto" w:fill="auto"/>
          </w:tcPr>
          <w:p w14:paraId="05AD26E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50,000.00</w:t>
            </w:r>
          </w:p>
        </w:tc>
        <w:tc>
          <w:tcPr>
            <w:tcW w:w="436" w:type="pct"/>
            <w:shd w:val="clear" w:color="auto" w:fill="auto"/>
          </w:tcPr>
          <w:p w14:paraId="5EBB1C0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29,916.00</w:t>
            </w:r>
          </w:p>
        </w:tc>
        <w:tc>
          <w:tcPr>
            <w:tcW w:w="446" w:type="pct"/>
            <w:shd w:val="clear" w:color="auto" w:fill="auto"/>
          </w:tcPr>
          <w:p w14:paraId="4B300347">
            <w:pPr>
              <w:spacing w:line="240" w:lineRule="exact"/>
              <w:ind w:firstLine="0" w:firstLineChars="0"/>
              <w:rPr>
                <w:rFonts w:hint="eastAsia" w:ascii="宋体" w:hAnsi="宋体" w:cs="宋体"/>
                <w:color w:val="000000"/>
                <w:kern w:val="0"/>
                <w:sz w:val="18"/>
                <w:szCs w:val="18"/>
              </w:rPr>
            </w:pPr>
          </w:p>
        </w:tc>
        <w:tc>
          <w:tcPr>
            <w:tcW w:w="488" w:type="pct"/>
          </w:tcPr>
          <w:p w14:paraId="0BFA8B7F">
            <w:pPr>
              <w:spacing w:line="240" w:lineRule="exact"/>
              <w:ind w:firstLine="0" w:firstLineChars="0"/>
              <w:rPr>
                <w:rFonts w:hint="eastAsia" w:ascii="宋体" w:hAnsi="宋体" w:cs="宋体"/>
                <w:color w:val="000000"/>
                <w:kern w:val="0"/>
                <w:sz w:val="18"/>
                <w:szCs w:val="18"/>
              </w:rPr>
            </w:pPr>
          </w:p>
        </w:tc>
        <w:tc>
          <w:tcPr>
            <w:tcW w:w="461" w:type="pct"/>
          </w:tcPr>
          <w:p w14:paraId="25C62C4E">
            <w:pPr>
              <w:spacing w:line="240" w:lineRule="exact"/>
              <w:ind w:firstLine="0" w:firstLineChars="0"/>
              <w:rPr>
                <w:rFonts w:hint="eastAsia" w:ascii="宋体" w:hAnsi="宋体" w:cs="宋体"/>
                <w:color w:val="000000"/>
                <w:kern w:val="0"/>
                <w:sz w:val="18"/>
                <w:szCs w:val="18"/>
              </w:rPr>
            </w:pPr>
          </w:p>
        </w:tc>
      </w:tr>
      <w:tr w14:paraId="30E55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5D587A06">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2.2</w:t>
            </w:r>
          </w:p>
        </w:tc>
        <w:tc>
          <w:tcPr>
            <w:tcW w:w="638" w:type="pct"/>
            <w:shd w:val="clear" w:color="auto" w:fill="auto"/>
            <w:vAlign w:val="center"/>
          </w:tcPr>
          <w:p w14:paraId="264E31F1">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其他融资款</w:t>
            </w:r>
          </w:p>
        </w:tc>
        <w:tc>
          <w:tcPr>
            <w:tcW w:w="467" w:type="pct"/>
            <w:shd w:val="clear" w:color="auto" w:fill="auto"/>
          </w:tcPr>
          <w:p w14:paraId="20DEA46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424,603.60</w:t>
            </w:r>
          </w:p>
        </w:tc>
        <w:tc>
          <w:tcPr>
            <w:tcW w:w="398" w:type="pct"/>
            <w:shd w:val="clear" w:color="auto" w:fill="auto"/>
          </w:tcPr>
          <w:p w14:paraId="1855993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52,010.00</w:t>
            </w:r>
          </w:p>
        </w:tc>
        <w:tc>
          <w:tcPr>
            <w:tcW w:w="409" w:type="pct"/>
            <w:shd w:val="clear" w:color="auto" w:fill="auto"/>
          </w:tcPr>
          <w:p w14:paraId="26E3F41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10,000.00</w:t>
            </w:r>
          </w:p>
        </w:tc>
        <w:tc>
          <w:tcPr>
            <w:tcW w:w="505" w:type="pct"/>
            <w:shd w:val="clear" w:color="auto" w:fill="auto"/>
          </w:tcPr>
          <w:p w14:paraId="12176AF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141,000.00</w:t>
            </w:r>
          </w:p>
        </w:tc>
        <w:tc>
          <w:tcPr>
            <w:tcW w:w="510" w:type="pct"/>
            <w:shd w:val="clear" w:color="auto" w:fill="auto"/>
          </w:tcPr>
          <w:p w14:paraId="276FA5C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136,500.00</w:t>
            </w:r>
          </w:p>
        </w:tc>
        <w:tc>
          <w:tcPr>
            <w:tcW w:w="436" w:type="pct"/>
            <w:shd w:val="clear" w:color="auto" w:fill="auto"/>
          </w:tcPr>
          <w:p w14:paraId="01379C8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85,093.60</w:t>
            </w:r>
          </w:p>
        </w:tc>
        <w:tc>
          <w:tcPr>
            <w:tcW w:w="446" w:type="pct"/>
            <w:shd w:val="clear" w:color="auto" w:fill="auto"/>
          </w:tcPr>
          <w:p w14:paraId="4D7CF40F">
            <w:pPr>
              <w:spacing w:line="240" w:lineRule="exact"/>
              <w:ind w:firstLine="0" w:firstLineChars="0"/>
              <w:rPr>
                <w:rFonts w:hint="eastAsia" w:ascii="宋体" w:hAnsi="宋体" w:cs="宋体"/>
                <w:color w:val="000000"/>
                <w:kern w:val="0"/>
                <w:sz w:val="18"/>
                <w:szCs w:val="18"/>
              </w:rPr>
            </w:pPr>
          </w:p>
        </w:tc>
        <w:tc>
          <w:tcPr>
            <w:tcW w:w="488" w:type="pct"/>
          </w:tcPr>
          <w:p w14:paraId="4DABB772">
            <w:pPr>
              <w:spacing w:line="240" w:lineRule="exact"/>
              <w:ind w:firstLine="0" w:firstLineChars="0"/>
              <w:rPr>
                <w:rFonts w:hint="eastAsia" w:ascii="宋体" w:hAnsi="宋体" w:cs="宋体"/>
                <w:color w:val="000000"/>
                <w:kern w:val="0"/>
                <w:sz w:val="18"/>
                <w:szCs w:val="18"/>
              </w:rPr>
            </w:pPr>
          </w:p>
        </w:tc>
        <w:tc>
          <w:tcPr>
            <w:tcW w:w="461" w:type="pct"/>
          </w:tcPr>
          <w:p w14:paraId="4FA9671B">
            <w:pPr>
              <w:spacing w:line="240" w:lineRule="exact"/>
              <w:ind w:firstLine="0" w:firstLineChars="0"/>
              <w:rPr>
                <w:rFonts w:hint="eastAsia" w:ascii="宋体" w:hAnsi="宋体" w:cs="宋体"/>
                <w:color w:val="000000"/>
                <w:kern w:val="0"/>
                <w:sz w:val="18"/>
                <w:szCs w:val="18"/>
              </w:rPr>
            </w:pPr>
          </w:p>
        </w:tc>
      </w:tr>
      <w:tr w14:paraId="7561F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693C9780">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638" w:type="pct"/>
            <w:shd w:val="clear" w:color="auto" w:fill="auto"/>
            <w:vAlign w:val="center"/>
          </w:tcPr>
          <w:p w14:paraId="548CEE5A">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资本金投入</w:t>
            </w:r>
          </w:p>
        </w:tc>
        <w:tc>
          <w:tcPr>
            <w:tcW w:w="467" w:type="pct"/>
            <w:shd w:val="clear" w:color="auto" w:fill="auto"/>
          </w:tcPr>
          <w:p w14:paraId="3DA0DF4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423,069.07</w:t>
            </w:r>
          </w:p>
        </w:tc>
        <w:tc>
          <w:tcPr>
            <w:tcW w:w="398" w:type="pct"/>
            <w:shd w:val="clear" w:color="auto" w:fill="auto"/>
          </w:tcPr>
          <w:p w14:paraId="5FA2151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77,148.10</w:t>
            </w:r>
          </w:p>
        </w:tc>
        <w:tc>
          <w:tcPr>
            <w:tcW w:w="409" w:type="pct"/>
            <w:shd w:val="clear" w:color="auto" w:fill="auto"/>
          </w:tcPr>
          <w:p w14:paraId="6810B21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66,606.18</w:t>
            </w:r>
          </w:p>
        </w:tc>
        <w:tc>
          <w:tcPr>
            <w:tcW w:w="505" w:type="pct"/>
            <w:shd w:val="clear" w:color="auto" w:fill="auto"/>
          </w:tcPr>
          <w:p w14:paraId="638D94F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117,601.95</w:t>
            </w:r>
          </w:p>
        </w:tc>
        <w:tc>
          <w:tcPr>
            <w:tcW w:w="510" w:type="pct"/>
            <w:shd w:val="clear" w:color="auto" w:fill="auto"/>
          </w:tcPr>
          <w:p w14:paraId="4998BBC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39,580.66</w:t>
            </w:r>
          </w:p>
        </w:tc>
        <w:tc>
          <w:tcPr>
            <w:tcW w:w="436" w:type="pct"/>
            <w:shd w:val="clear" w:color="auto" w:fill="auto"/>
          </w:tcPr>
          <w:p w14:paraId="0369427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122,132.18</w:t>
            </w:r>
          </w:p>
        </w:tc>
        <w:tc>
          <w:tcPr>
            <w:tcW w:w="446" w:type="pct"/>
            <w:shd w:val="clear" w:color="auto" w:fill="auto"/>
          </w:tcPr>
          <w:p w14:paraId="7826F83C">
            <w:pPr>
              <w:spacing w:line="240" w:lineRule="exact"/>
              <w:ind w:firstLine="0" w:firstLineChars="0"/>
              <w:rPr>
                <w:rFonts w:hint="eastAsia" w:ascii="宋体" w:hAnsi="宋体" w:cs="宋体"/>
                <w:color w:val="000000"/>
                <w:kern w:val="0"/>
                <w:sz w:val="18"/>
                <w:szCs w:val="18"/>
              </w:rPr>
            </w:pPr>
          </w:p>
        </w:tc>
        <w:tc>
          <w:tcPr>
            <w:tcW w:w="488" w:type="pct"/>
          </w:tcPr>
          <w:p w14:paraId="0A0E1A6C">
            <w:pPr>
              <w:spacing w:line="240" w:lineRule="exact"/>
              <w:ind w:firstLine="0" w:firstLineChars="0"/>
              <w:rPr>
                <w:rFonts w:hint="eastAsia" w:ascii="宋体" w:hAnsi="宋体" w:cs="宋体"/>
                <w:color w:val="000000"/>
                <w:kern w:val="0"/>
                <w:sz w:val="18"/>
                <w:szCs w:val="18"/>
              </w:rPr>
            </w:pPr>
          </w:p>
        </w:tc>
        <w:tc>
          <w:tcPr>
            <w:tcW w:w="461" w:type="pct"/>
          </w:tcPr>
          <w:p w14:paraId="5A186831">
            <w:pPr>
              <w:spacing w:line="240" w:lineRule="exact"/>
              <w:ind w:firstLine="0" w:firstLineChars="0"/>
              <w:rPr>
                <w:rFonts w:hint="eastAsia" w:ascii="宋体" w:hAnsi="宋体" w:cs="宋体"/>
                <w:color w:val="000000"/>
                <w:kern w:val="0"/>
                <w:sz w:val="18"/>
                <w:szCs w:val="18"/>
              </w:rPr>
            </w:pPr>
          </w:p>
        </w:tc>
      </w:tr>
      <w:tr w14:paraId="71AE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4AC6F958">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二</w:t>
            </w:r>
          </w:p>
        </w:tc>
        <w:tc>
          <w:tcPr>
            <w:tcW w:w="638" w:type="pct"/>
            <w:shd w:val="clear" w:color="auto" w:fill="auto"/>
            <w:vAlign w:val="center"/>
          </w:tcPr>
          <w:p w14:paraId="4E5887F3">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现金流出</w:t>
            </w:r>
          </w:p>
        </w:tc>
        <w:tc>
          <w:tcPr>
            <w:tcW w:w="467" w:type="pct"/>
            <w:shd w:val="clear" w:color="auto" w:fill="auto"/>
          </w:tcPr>
          <w:p w14:paraId="35644D1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2,508,247.49</w:t>
            </w:r>
          </w:p>
        </w:tc>
        <w:tc>
          <w:tcPr>
            <w:tcW w:w="398" w:type="pct"/>
            <w:shd w:val="clear" w:color="auto" w:fill="auto"/>
          </w:tcPr>
          <w:p w14:paraId="63EE670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130,250.31</w:t>
            </w:r>
          </w:p>
        </w:tc>
        <w:tc>
          <w:tcPr>
            <w:tcW w:w="409" w:type="pct"/>
            <w:shd w:val="clear" w:color="auto" w:fill="auto"/>
          </w:tcPr>
          <w:p w14:paraId="4BF4A66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172,038.65</w:t>
            </w:r>
          </w:p>
        </w:tc>
        <w:tc>
          <w:tcPr>
            <w:tcW w:w="505" w:type="pct"/>
            <w:shd w:val="clear" w:color="auto" w:fill="auto"/>
          </w:tcPr>
          <w:p w14:paraId="039FC1B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306,709.99</w:t>
            </w:r>
          </w:p>
        </w:tc>
        <w:tc>
          <w:tcPr>
            <w:tcW w:w="510" w:type="pct"/>
            <w:shd w:val="clear" w:color="auto" w:fill="auto"/>
          </w:tcPr>
          <w:p w14:paraId="22D7413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242,675.09</w:t>
            </w:r>
          </w:p>
        </w:tc>
        <w:tc>
          <w:tcPr>
            <w:tcW w:w="436" w:type="pct"/>
            <w:shd w:val="clear" w:color="auto" w:fill="auto"/>
          </w:tcPr>
          <w:p w14:paraId="36EE2D4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259,651.88</w:t>
            </w:r>
          </w:p>
        </w:tc>
        <w:tc>
          <w:tcPr>
            <w:tcW w:w="446" w:type="pct"/>
            <w:shd w:val="clear" w:color="auto" w:fill="auto"/>
          </w:tcPr>
          <w:p w14:paraId="6A4CDE0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49,806.66</w:t>
            </w:r>
          </w:p>
        </w:tc>
        <w:tc>
          <w:tcPr>
            <w:tcW w:w="488" w:type="pct"/>
          </w:tcPr>
          <w:p w14:paraId="21EDAFF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49,437.66</w:t>
            </w:r>
          </w:p>
        </w:tc>
        <w:tc>
          <w:tcPr>
            <w:tcW w:w="461" w:type="pct"/>
          </w:tcPr>
          <w:p w14:paraId="368399C0">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49,070.66</w:t>
            </w:r>
          </w:p>
        </w:tc>
      </w:tr>
      <w:tr w14:paraId="2CB6E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6" w:type="pct"/>
            <w:shd w:val="clear" w:color="auto" w:fill="auto"/>
            <w:vAlign w:val="center"/>
          </w:tcPr>
          <w:p w14:paraId="4346D4FA">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638" w:type="pct"/>
            <w:shd w:val="clear" w:color="auto" w:fill="auto"/>
            <w:vAlign w:val="center"/>
          </w:tcPr>
          <w:p w14:paraId="0F654946">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467" w:type="pct"/>
            <w:shd w:val="clear" w:color="auto" w:fill="auto"/>
          </w:tcPr>
          <w:p w14:paraId="3BB8BCB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357,073.57</w:t>
            </w:r>
          </w:p>
        </w:tc>
        <w:tc>
          <w:tcPr>
            <w:tcW w:w="398" w:type="pct"/>
            <w:shd w:val="clear" w:color="auto" w:fill="auto"/>
          </w:tcPr>
          <w:p w14:paraId="392CEB2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09" w:type="pct"/>
            <w:shd w:val="clear" w:color="auto" w:fill="auto"/>
          </w:tcPr>
          <w:p w14:paraId="0B474C1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05" w:type="pct"/>
            <w:shd w:val="clear" w:color="auto" w:fill="auto"/>
          </w:tcPr>
          <w:p w14:paraId="493E8B9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10" w:type="pct"/>
            <w:shd w:val="clear" w:color="auto" w:fill="auto"/>
          </w:tcPr>
          <w:p w14:paraId="7F7DB7A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36" w:type="pct"/>
            <w:shd w:val="clear" w:color="auto" w:fill="auto"/>
          </w:tcPr>
          <w:p w14:paraId="14FC854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46" w:type="pct"/>
            <w:shd w:val="clear" w:color="auto" w:fill="auto"/>
          </w:tcPr>
          <w:p w14:paraId="36919A0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11,220.24</w:t>
            </w:r>
          </w:p>
        </w:tc>
        <w:tc>
          <w:tcPr>
            <w:tcW w:w="488" w:type="pct"/>
          </w:tcPr>
          <w:p w14:paraId="0ACF0950">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11,439.24</w:t>
            </w:r>
          </w:p>
        </w:tc>
        <w:tc>
          <w:tcPr>
            <w:tcW w:w="461" w:type="pct"/>
          </w:tcPr>
          <w:p w14:paraId="43A504D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11,660.24</w:t>
            </w:r>
          </w:p>
        </w:tc>
      </w:tr>
      <w:tr w14:paraId="36F80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7FB299EB">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638" w:type="pct"/>
            <w:shd w:val="clear" w:color="auto" w:fill="auto"/>
            <w:vAlign w:val="center"/>
          </w:tcPr>
          <w:p w14:paraId="01C7C0AA">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运营成本</w:t>
            </w:r>
          </w:p>
        </w:tc>
        <w:tc>
          <w:tcPr>
            <w:tcW w:w="467" w:type="pct"/>
            <w:shd w:val="clear" w:color="auto" w:fill="auto"/>
          </w:tcPr>
          <w:p w14:paraId="6736E9A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357,073.57</w:t>
            </w:r>
          </w:p>
        </w:tc>
        <w:tc>
          <w:tcPr>
            <w:tcW w:w="398" w:type="pct"/>
            <w:shd w:val="clear" w:color="auto" w:fill="auto"/>
          </w:tcPr>
          <w:p w14:paraId="40ADEEA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09" w:type="pct"/>
            <w:shd w:val="clear" w:color="auto" w:fill="auto"/>
          </w:tcPr>
          <w:p w14:paraId="6BAA593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05" w:type="pct"/>
            <w:shd w:val="clear" w:color="auto" w:fill="auto"/>
          </w:tcPr>
          <w:p w14:paraId="012E2C5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10" w:type="pct"/>
            <w:shd w:val="clear" w:color="auto" w:fill="auto"/>
          </w:tcPr>
          <w:p w14:paraId="6367BB7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36" w:type="pct"/>
            <w:shd w:val="clear" w:color="auto" w:fill="auto"/>
            <w:noWrap/>
          </w:tcPr>
          <w:p w14:paraId="1D90282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46" w:type="pct"/>
            <w:shd w:val="clear" w:color="auto" w:fill="auto"/>
            <w:noWrap/>
          </w:tcPr>
          <w:p w14:paraId="3E61A75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11,220.24</w:t>
            </w:r>
          </w:p>
        </w:tc>
        <w:tc>
          <w:tcPr>
            <w:tcW w:w="488" w:type="pct"/>
          </w:tcPr>
          <w:p w14:paraId="435D13B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11,439.24</w:t>
            </w:r>
          </w:p>
        </w:tc>
        <w:tc>
          <w:tcPr>
            <w:tcW w:w="461" w:type="pct"/>
          </w:tcPr>
          <w:p w14:paraId="64CA10E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11,660.24</w:t>
            </w:r>
          </w:p>
        </w:tc>
      </w:tr>
      <w:tr w14:paraId="2196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63F6E7B2">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638" w:type="pct"/>
            <w:shd w:val="clear" w:color="auto" w:fill="auto"/>
            <w:vAlign w:val="center"/>
          </w:tcPr>
          <w:p w14:paraId="1223715B">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税金支出</w:t>
            </w:r>
          </w:p>
        </w:tc>
        <w:tc>
          <w:tcPr>
            <w:tcW w:w="467" w:type="pct"/>
            <w:shd w:val="clear" w:color="auto" w:fill="auto"/>
          </w:tcPr>
          <w:p w14:paraId="74C073C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398" w:type="pct"/>
            <w:shd w:val="clear" w:color="auto" w:fill="auto"/>
          </w:tcPr>
          <w:p w14:paraId="1627146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09" w:type="pct"/>
            <w:shd w:val="clear" w:color="auto" w:fill="auto"/>
          </w:tcPr>
          <w:p w14:paraId="74459AC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05" w:type="pct"/>
            <w:shd w:val="clear" w:color="auto" w:fill="auto"/>
          </w:tcPr>
          <w:p w14:paraId="2D50112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10" w:type="pct"/>
            <w:shd w:val="clear" w:color="auto" w:fill="auto"/>
          </w:tcPr>
          <w:p w14:paraId="73AEA9A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0.00</w:t>
            </w:r>
          </w:p>
        </w:tc>
        <w:tc>
          <w:tcPr>
            <w:tcW w:w="436" w:type="pct"/>
            <w:shd w:val="clear" w:color="auto" w:fill="auto"/>
            <w:noWrap/>
          </w:tcPr>
          <w:p w14:paraId="0EAF7D7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0.00</w:t>
            </w:r>
          </w:p>
        </w:tc>
        <w:tc>
          <w:tcPr>
            <w:tcW w:w="446" w:type="pct"/>
            <w:shd w:val="clear" w:color="auto" w:fill="auto"/>
            <w:noWrap/>
          </w:tcPr>
          <w:p w14:paraId="7D6D9D70">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0.00</w:t>
            </w:r>
          </w:p>
        </w:tc>
        <w:tc>
          <w:tcPr>
            <w:tcW w:w="488" w:type="pct"/>
          </w:tcPr>
          <w:p w14:paraId="713DD60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0.00</w:t>
            </w:r>
          </w:p>
        </w:tc>
        <w:tc>
          <w:tcPr>
            <w:tcW w:w="461" w:type="pct"/>
          </w:tcPr>
          <w:p w14:paraId="6C48028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0.00</w:t>
            </w:r>
          </w:p>
        </w:tc>
      </w:tr>
      <w:tr w14:paraId="07197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6" w:type="pct"/>
            <w:shd w:val="clear" w:color="auto" w:fill="auto"/>
            <w:vAlign w:val="center"/>
          </w:tcPr>
          <w:p w14:paraId="193D63EF">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638" w:type="pct"/>
            <w:shd w:val="clear" w:color="auto" w:fill="auto"/>
            <w:vAlign w:val="center"/>
          </w:tcPr>
          <w:p w14:paraId="632F954C">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467" w:type="pct"/>
            <w:shd w:val="clear" w:color="auto" w:fill="auto"/>
          </w:tcPr>
          <w:p w14:paraId="337F7DC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1,057,672.67</w:t>
            </w:r>
          </w:p>
        </w:tc>
        <w:tc>
          <w:tcPr>
            <w:tcW w:w="398" w:type="pct"/>
            <w:shd w:val="clear" w:color="auto" w:fill="auto"/>
          </w:tcPr>
          <w:p w14:paraId="3D08BD6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129,158.10</w:t>
            </w:r>
          </w:p>
        </w:tc>
        <w:tc>
          <w:tcPr>
            <w:tcW w:w="409" w:type="pct"/>
            <w:shd w:val="clear" w:color="auto" w:fill="auto"/>
          </w:tcPr>
          <w:p w14:paraId="1356827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167,990.18</w:t>
            </w:r>
          </w:p>
        </w:tc>
        <w:tc>
          <w:tcPr>
            <w:tcW w:w="505" w:type="pct"/>
            <w:shd w:val="clear" w:color="auto" w:fill="auto"/>
          </w:tcPr>
          <w:p w14:paraId="78D7E09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297,301.95</w:t>
            </w:r>
          </w:p>
        </w:tc>
        <w:tc>
          <w:tcPr>
            <w:tcW w:w="510" w:type="pct"/>
            <w:shd w:val="clear" w:color="auto" w:fill="auto"/>
          </w:tcPr>
          <w:p w14:paraId="0CD057D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226,080.66</w:t>
            </w:r>
          </w:p>
        </w:tc>
        <w:tc>
          <w:tcPr>
            <w:tcW w:w="436" w:type="pct"/>
            <w:shd w:val="clear" w:color="auto" w:fill="auto"/>
          </w:tcPr>
          <w:p w14:paraId="2FC61870">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237,141.78</w:t>
            </w:r>
          </w:p>
        </w:tc>
        <w:tc>
          <w:tcPr>
            <w:tcW w:w="446" w:type="pct"/>
            <w:shd w:val="clear" w:color="auto" w:fill="auto"/>
          </w:tcPr>
          <w:p w14:paraId="5DA451E9">
            <w:pPr>
              <w:spacing w:line="240" w:lineRule="exact"/>
              <w:ind w:firstLine="0" w:firstLineChars="0"/>
              <w:rPr>
                <w:rFonts w:hint="eastAsia" w:ascii="宋体" w:hAnsi="宋体" w:cs="宋体"/>
                <w:color w:val="000000"/>
                <w:kern w:val="0"/>
                <w:sz w:val="18"/>
                <w:szCs w:val="18"/>
              </w:rPr>
            </w:pPr>
          </w:p>
        </w:tc>
        <w:tc>
          <w:tcPr>
            <w:tcW w:w="488" w:type="pct"/>
          </w:tcPr>
          <w:p w14:paraId="03E72D97">
            <w:pPr>
              <w:spacing w:line="240" w:lineRule="exact"/>
              <w:ind w:firstLine="0" w:firstLineChars="0"/>
              <w:rPr>
                <w:rFonts w:hint="eastAsia" w:ascii="宋体" w:hAnsi="宋体" w:cs="宋体"/>
                <w:color w:val="000000"/>
                <w:kern w:val="0"/>
                <w:sz w:val="18"/>
                <w:szCs w:val="18"/>
              </w:rPr>
            </w:pPr>
          </w:p>
        </w:tc>
        <w:tc>
          <w:tcPr>
            <w:tcW w:w="461" w:type="pct"/>
          </w:tcPr>
          <w:p w14:paraId="56CCBA71">
            <w:pPr>
              <w:spacing w:line="240" w:lineRule="exact"/>
              <w:ind w:firstLine="0" w:firstLineChars="0"/>
              <w:rPr>
                <w:rFonts w:hint="eastAsia" w:ascii="宋体" w:hAnsi="宋体" w:cs="宋体"/>
                <w:color w:val="000000"/>
                <w:kern w:val="0"/>
                <w:sz w:val="18"/>
                <w:szCs w:val="18"/>
              </w:rPr>
            </w:pPr>
          </w:p>
        </w:tc>
      </w:tr>
      <w:tr w14:paraId="6678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6" w:type="pct"/>
            <w:shd w:val="clear" w:color="auto" w:fill="auto"/>
            <w:vAlign w:val="center"/>
          </w:tcPr>
          <w:p w14:paraId="760DC87A">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638" w:type="pct"/>
            <w:shd w:val="clear" w:color="auto" w:fill="auto"/>
            <w:vAlign w:val="center"/>
          </w:tcPr>
          <w:p w14:paraId="09D0D9C0">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467" w:type="pct"/>
            <w:shd w:val="clear" w:color="auto" w:fill="auto"/>
          </w:tcPr>
          <w:p w14:paraId="2C3E3DB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1,093,501.25</w:t>
            </w:r>
          </w:p>
        </w:tc>
        <w:tc>
          <w:tcPr>
            <w:tcW w:w="398" w:type="pct"/>
            <w:shd w:val="clear" w:color="auto" w:fill="auto"/>
          </w:tcPr>
          <w:p w14:paraId="6AD3753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1,092.21</w:t>
            </w:r>
          </w:p>
        </w:tc>
        <w:tc>
          <w:tcPr>
            <w:tcW w:w="409" w:type="pct"/>
            <w:shd w:val="clear" w:color="auto" w:fill="auto"/>
          </w:tcPr>
          <w:p w14:paraId="4D43CA7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4,048.47</w:t>
            </w:r>
          </w:p>
        </w:tc>
        <w:tc>
          <w:tcPr>
            <w:tcW w:w="505" w:type="pct"/>
            <w:shd w:val="clear" w:color="auto" w:fill="auto"/>
          </w:tcPr>
          <w:p w14:paraId="3CBB263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9,408.04</w:t>
            </w:r>
          </w:p>
        </w:tc>
        <w:tc>
          <w:tcPr>
            <w:tcW w:w="510" w:type="pct"/>
            <w:shd w:val="clear" w:color="auto" w:fill="auto"/>
          </w:tcPr>
          <w:p w14:paraId="72B54CB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16,594.43</w:t>
            </w:r>
          </w:p>
        </w:tc>
        <w:tc>
          <w:tcPr>
            <w:tcW w:w="436" w:type="pct"/>
            <w:shd w:val="clear" w:color="auto" w:fill="auto"/>
          </w:tcPr>
          <w:p w14:paraId="304DE32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22,510.10</w:t>
            </w:r>
          </w:p>
        </w:tc>
        <w:tc>
          <w:tcPr>
            <w:tcW w:w="446" w:type="pct"/>
            <w:shd w:val="clear" w:color="auto" w:fill="auto"/>
          </w:tcPr>
          <w:p w14:paraId="3710FA3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38,586.42</w:t>
            </w:r>
          </w:p>
        </w:tc>
        <w:tc>
          <w:tcPr>
            <w:tcW w:w="488" w:type="pct"/>
          </w:tcPr>
          <w:p w14:paraId="215B9A5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37,998.42</w:t>
            </w:r>
          </w:p>
        </w:tc>
        <w:tc>
          <w:tcPr>
            <w:tcW w:w="461" w:type="pct"/>
          </w:tcPr>
          <w:p w14:paraId="523C182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37,410.42</w:t>
            </w:r>
          </w:p>
        </w:tc>
      </w:tr>
      <w:tr w14:paraId="5917A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30727591">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3.1</w:t>
            </w:r>
          </w:p>
        </w:tc>
        <w:tc>
          <w:tcPr>
            <w:tcW w:w="638" w:type="pct"/>
            <w:shd w:val="clear" w:color="auto" w:fill="auto"/>
            <w:vAlign w:val="center"/>
          </w:tcPr>
          <w:p w14:paraId="321516A4">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债券发行费用</w:t>
            </w:r>
          </w:p>
        </w:tc>
        <w:tc>
          <w:tcPr>
            <w:tcW w:w="467" w:type="pct"/>
            <w:shd w:val="clear" w:color="auto" w:fill="auto"/>
          </w:tcPr>
          <w:p w14:paraId="6E1258A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210.00</w:t>
            </w:r>
          </w:p>
        </w:tc>
        <w:tc>
          <w:tcPr>
            <w:tcW w:w="398" w:type="pct"/>
            <w:shd w:val="clear" w:color="auto" w:fill="auto"/>
          </w:tcPr>
          <w:p w14:paraId="50E119E0">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09" w:type="pct"/>
            <w:shd w:val="clear" w:color="auto" w:fill="auto"/>
          </w:tcPr>
          <w:p w14:paraId="66AA7A3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91.38</w:t>
            </w:r>
          </w:p>
        </w:tc>
        <w:tc>
          <w:tcPr>
            <w:tcW w:w="505" w:type="pct"/>
            <w:shd w:val="clear" w:color="auto" w:fill="auto"/>
          </w:tcPr>
          <w:p w14:paraId="351F9A00">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38.70</w:t>
            </w:r>
          </w:p>
        </w:tc>
        <w:tc>
          <w:tcPr>
            <w:tcW w:w="510" w:type="pct"/>
            <w:shd w:val="clear" w:color="auto" w:fill="auto"/>
          </w:tcPr>
          <w:p w14:paraId="1863BBC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50.00</w:t>
            </w:r>
          </w:p>
        </w:tc>
        <w:tc>
          <w:tcPr>
            <w:tcW w:w="436" w:type="pct"/>
            <w:shd w:val="clear" w:color="auto" w:fill="auto"/>
          </w:tcPr>
          <w:p w14:paraId="4528A47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29.92</w:t>
            </w:r>
          </w:p>
        </w:tc>
        <w:tc>
          <w:tcPr>
            <w:tcW w:w="446" w:type="pct"/>
            <w:shd w:val="clear" w:color="auto" w:fill="auto"/>
          </w:tcPr>
          <w:p w14:paraId="4339CF15">
            <w:pPr>
              <w:spacing w:line="240" w:lineRule="exact"/>
              <w:ind w:firstLine="0" w:firstLineChars="0"/>
              <w:rPr>
                <w:rFonts w:hint="eastAsia" w:ascii="宋体" w:hAnsi="宋体" w:cs="宋体"/>
                <w:color w:val="000000"/>
                <w:kern w:val="0"/>
                <w:sz w:val="18"/>
                <w:szCs w:val="18"/>
              </w:rPr>
            </w:pPr>
          </w:p>
        </w:tc>
        <w:tc>
          <w:tcPr>
            <w:tcW w:w="488" w:type="pct"/>
          </w:tcPr>
          <w:p w14:paraId="1BCA2369">
            <w:pPr>
              <w:spacing w:line="240" w:lineRule="exact"/>
              <w:ind w:firstLine="0" w:firstLineChars="0"/>
              <w:rPr>
                <w:rFonts w:hint="eastAsia" w:ascii="宋体" w:hAnsi="宋体" w:cs="宋体"/>
                <w:color w:val="000000"/>
                <w:kern w:val="0"/>
                <w:sz w:val="18"/>
                <w:szCs w:val="18"/>
              </w:rPr>
            </w:pPr>
          </w:p>
        </w:tc>
        <w:tc>
          <w:tcPr>
            <w:tcW w:w="461" w:type="pct"/>
          </w:tcPr>
          <w:p w14:paraId="34BD3143">
            <w:pPr>
              <w:spacing w:line="240" w:lineRule="exact"/>
              <w:ind w:firstLine="0" w:firstLineChars="0"/>
              <w:rPr>
                <w:rFonts w:hint="eastAsia" w:ascii="宋体" w:hAnsi="宋体" w:cs="宋体"/>
                <w:color w:val="000000"/>
                <w:kern w:val="0"/>
                <w:sz w:val="18"/>
                <w:szCs w:val="18"/>
              </w:rPr>
            </w:pPr>
          </w:p>
        </w:tc>
      </w:tr>
      <w:tr w14:paraId="0CDA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7A8AFF2F">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3.2</w:t>
            </w:r>
          </w:p>
        </w:tc>
        <w:tc>
          <w:tcPr>
            <w:tcW w:w="638" w:type="pct"/>
            <w:shd w:val="clear" w:color="auto" w:fill="auto"/>
            <w:vAlign w:val="center"/>
          </w:tcPr>
          <w:p w14:paraId="416CB180">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偿还债券本金</w:t>
            </w:r>
          </w:p>
        </w:tc>
        <w:tc>
          <w:tcPr>
            <w:tcW w:w="467" w:type="pct"/>
            <w:shd w:val="clear" w:color="auto" w:fill="auto"/>
          </w:tcPr>
          <w:p w14:paraId="01E2460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210,000.00</w:t>
            </w:r>
          </w:p>
        </w:tc>
        <w:tc>
          <w:tcPr>
            <w:tcW w:w="398" w:type="pct"/>
            <w:shd w:val="clear" w:color="auto" w:fill="auto"/>
          </w:tcPr>
          <w:p w14:paraId="60A656A8">
            <w:pPr>
              <w:spacing w:line="240" w:lineRule="exact"/>
              <w:ind w:firstLine="0" w:firstLineChars="0"/>
              <w:rPr>
                <w:rFonts w:hint="eastAsia" w:ascii="宋体" w:hAnsi="宋体" w:cs="宋体"/>
                <w:color w:val="000000"/>
                <w:kern w:val="0"/>
                <w:sz w:val="18"/>
                <w:szCs w:val="18"/>
              </w:rPr>
            </w:pPr>
          </w:p>
        </w:tc>
        <w:tc>
          <w:tcPr>
            <w:tcW w:w="409" w:type="pct"/>
            <w:shd w:val="clear" w:color="auto" w:fill="auto"/>
          </w:tcPr>
          <w:p w14:paraId="6857677D">
            <w:pPr>
              <w:spacing w:line="240" w:lineRule="exact"/>
              <w:ind w:firstLine="0" w:firstLineChars="0"/>
              <w:rPr>
                <w:rFonts w:hint="eastAsia" w:ascii="宋体" w:hAnsi="宋体" w:cs="宋体"/>
                <w:color w:val="000000"/>
                <w:kern w:val="0"/>
                <w:sz w:val="18"/>
                <w:szCs w:val="18"/>
              </w:rPr>
            </w:pPr>
          </w:p>
        </w:tc>
        <w:tc>
          <w:tcPr>
            <w:tcW w:w="505" w:type="pct"/>
            <w:shd w:val="clear" w:color="auto" w:fill="auto"/>
          </w:tcPr>
          <w:p w14:paraId="7C2A0BEF">
            <w:pPr>
              <w:spacing w:line="240" w:lineRule="exact"/>
              <w:ind w:firstLine="0" w:firstLineChars="0"/>
              <w:rPr>
                <w:rFonts w:hint="eastAsia" w:ascii="宋体" w:hAnsi="宋体" w:cs="宋体"/>
                <w:color w:val="000000"/>
                <w:kern w:val="0"/>
                <w:sz w:val="18"/>
                <w:szCs w:val="18"/>
              </w:rPr>
            </w:pPr>
          </w:p>
        </w:tc>
        <w:tc>
          <w:tcPr>
            <w:tcW w:w="510" w:type="pct"/>
            <w:shd w:val="clear" w:color="auto" w:fill="auto"/>
          </w:tcPr>
          <w:p w14:paraId="7418D4BF">
            <w:pPr>
              <w:spacing w:line="240" w:lineRule="exact"/>
              <w:ind w:firstLine="0" w:firstLineChars="0"/>
              <w:rPr>
                <w:rFonts w:hint="eastAsia" w:ascii="宋体" w:hAnsi="宋体" w:cs="宋体"/>
                <w:color w:val="000000"/>
                <w:kern w:val="0"/>
                <w:sz w:val="18"/>
                <w:szCs w:val="18"/>
              </w:rPr>
            </w:pPr>
          </w:p>
        </w:tc>
        <w:tc>
          <w:tcPr>
            <w:tcW w:w="436" w:type="pct"/>
            <w:shd w:val="clear" w:color="auto" w:fill="auto"/>
          </w:tcPr>
          <w:p w14:paraId="77A68637">
            <w:pPr>
              <w:spacing w:line="240" w:lineRule="exact"/>
              <w:ind w:firstLine="0" w:firstLineChars="0"/>
              <w:rPr>
                <w:rFonts w:hint="eastAsia" w:ascii="宋体" w:hAnsi="宋体" w:cs="宋体"/>
                <w:color w:val="000000"/>
                <w:kern w:val="0"/>
                <w:sz w:val="18"/>
                <w:szCs w:val="18"/>
              </w:rPr>
            </w:pPr>
          </w:p>
        </w:tc>
        <w:tc>
          <w:tcPr>
            <w:tcW w:w="446" w:type="pct"/>
            <w:shd w:val="clear" w:color="auto" w:fill="auto"/>
          </w:tcPr>
          <w:p w14:paraId="4A77DC4C">
            <w:pPr>
              <w:spacing w:line="240" w:lineRule="exact"/>
              <w:ind w:firstLine="0" w:firstLineChars="0"/>
              <w:rPr>
                <w:rFonts w:hint="eastAsia" w:ascii="宋体" w:hAnsi="宋体" w:cs="宋体"/>
                <w:color w:val="000000"/>
                <w:kern w:val="0"/>
                <w:sz w:val="18"/>
                <w:szCs w:val="18"/>
              </w:rPr>
            </w:pPr>
          </w:p>
        </w:tc>
        <w:tc>
          <w:tcPr>
            <w:tcW w:w="488" w:type="pct"/>
          </w:tcPr>
          <w:p w14:paraId="734B343C">
            <w:pPr>
              <w:spacing w:line="240" w:lineRule="exact"/>
              <w:ind w:firstLine="0" w:firstLineChars="0"/>
              <w:rPr>
                <w:rFonts w:hint="eastAsia" w:ascii="宋体" w:hAnsi="宋体" w:cs="宋体"/>
                <w:color w:val="000000"/>
                <w:kern w:val="0"/>
                <w:sz w:val="18"/>
                <w:szCs w:val="18"/>
              </w:rPr>
            </w:pPr>
          </w:p>
        </w:tc>
        <w:tc>
          <w:tcPr>
            <w:tcW w:w="461" w:type="pct"/>
          </w:tcPr>
          <w:p w14:paraId="271FDFD4">
            <w:pPr>
              <w:spacing w:line="240" w:lineRule="exact"/>
              <w:ind w:firstLine="0" w:firstLineChars="0"/>
              <w:rPr>
                <w:rFonts w:hint="eastAsia" w:ascii="宋体" w:hAnsi="宋体" w:cs="宋体"/>
                <w:color w:val="000000"/>
                <w:kern w:val="0"/>
                <w:sz w:val="18"/>
                <w:szCs w:val="18"/>
              </w:rPr>
            </w:pPr>
          </w:p>
        </w:tc>
      </w:tr>
      <w:tr w14:paraId="12C5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37C2BFC9">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3.3</w:t>
            </w:r>
          </w:p>
        </w:tc>
        <w:tc>
          <w:tcPr>
            <w:tcW w:w="638" w:type="pct"/>
            <w:shd w:val="clear" w:color="auto" w:fill="auto"/>
            <w:vAlign w:val="center"/>
          </w:tcPr>
          <w:p w14:paraId="45446380">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支付债券利息</w:t>
            </w:r>
          </w:p>
        </w:tc>
        <w:tc>
          <w:tcPr>
            <w:tcW w:w="467" w:type="pct"/>
            <w:shd w:val="clear" w:color="auto" w:fill="auto"/>
          </w:tcPr>
          <w:p w14:paraId="6BAA0B6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151,699.11</w:t>
            </w:r>
          </w:p>
        </w:tc>
        <w:tc>
          <w:tcPr>
            <w:tcW w:w="398" w:type="pct"/>
            <w:shd w:val="clear" w:color="auto" w:fill="auto"/>
          </w:tcPr>
          <w:p w14:paraId="7584497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09" w:type="pct"/>
            <w:shd w:val="clear" w:color="auto" w:fill="auto"/>
          </w:tcPr>
          <w:p w14:paraId="6F02DBA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1,562.67</w:t>
            </w:r>
          </w:p>
        </w:tc>
        <w:tc>
          <w:tcPr>
            <w:tcW w:w="505" w:type="pct"/>
            <w:shd w:val="clear" w:color="auto" w:fill="auto"/>
          </w:tcPr>
          <w:p w14:paraId="5BB180E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3,803.92</w:t>
            </w:r>
          </w:p>
        </w:tc>
        <w:tc>
          <w:tcPr>
            <w:tcW w:w="510" w:type="pct"/>
            <w:shd w:val="clear" w:color="auto" w:fill="auto"/>
          </w:tcPr>
          <w:p w14:paraId="43AA81F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5,151.51</w:t>
            </w:r>
          </w:p>
        </w:tc>
        <w:tc>
          <w:tcPr>
            <w:tcW w:w="436" w:type="pct"/>
            <w:shd w:val="clear" w:color="auto" w:fill="auto"/>
          </w:tcPr>
          <w:p w14:paraId="7F48EA7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6,433.79</w:t>
            </w:r>
          </w:p>
        </w:tc>
        <w:tc>
          <w:tcPr>
            <w:tcW w:w="446" w:type="pct"/>
            <w:shd w:val="clear" w:color="auto" w:fill="auto"/>
          </w:tcPr>
          <w:p w14:paraId="2B57121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7,047.07</w:t>
            </w:r>
          </w:p>
        </w:tc>
        <w:tc>
          <w:tcPr>
            <w:tcW w:w="488" w:type="pct"/>
          </w:tcPr>
          <w:p w14:paraId="465D23B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7,047.07</w:t>
            </w:r>
          </w:p>
        </w:tc>
        <w:tc>
          <w:tcPr>
            <w:tcW w:w="461" w:type="pct"/>
          </w:tcPr>
          <w:p w14:paraId="7E3001E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7,047.07</w:t>
            </w:r>
          </w:p>
        </w:tc>
      </w:tr>
      <w:tr w14:paraId="17F81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6" w:type="pct"/>
            <w:shd w:val="clear" w:color="auto" w:fill="auto"/>
            <w:vAlign w:val="center"/>
          </w:tcPr>
          <w:p w14:paraId="387D37AA">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3.4</w:t>
            </w:r>
          </w:p>
        </w:tc>
        <w:tc>
          <w:tcPr>
            <w:tcW w:w="638" w:type="pct"/>
            <w:shd w:val="clear" w:color="auto" w:fill="auto"/>
            <w:vAlign w:val="center"/>
          </w:tcPr>
          <w:p w14:paraId="36CD3A71">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467" w:type="pct"/>
            <w:shd w:val="clear" w:color="auto" w:fill="auto"/>
          </w:tcPr>
          <w:p w14:paraId="7A47D80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424,603.60</w:t>
            </w:r>
          </w:p>
        </w:tc>
        <w:tc>
          <w:tcPr>
            <w:tcW w:w="398" w:type="pct"/>
            <w:shd w:val="clear" w:color="auto" w:fill="auto"/>
          </w:tcPr>
          <w:p w14:paraId="3137F36A">
            <w:pPr>
              <w:spacing w:line="240" w:lineRule="exact"/>
              <w:ind w:firstLine="0" w:firstLineChars="0"/>
              <w:rPr>
                <w:rFonts w:hint="eastAsia" w:ascii="宋体" w:hAnsi="宋体" w:cs="宋体"/>
                <w:color w:val="000000"/>
                <w:kern w:val="0"/>
                <w:sz w:val="18"/>
                <w:szCs w:val="18"/>
              </w:rPr>
            </w:pPr>
          </w:p>
        </w:tc>
        <w:tc>
          <w:tcPr>
            <w:tcW w:w="409" w:type="pct"/>
            <w:shd w:val="clear" w:color="auto" w:fill="auto"/>
          </w:tcPr>
          <w:p w14:paraId="4A82060B">
            <w:pPr>
              <w:spacing w:line="240" w:lineRule="exact"/>
              <w:ind w:firstLine="0" w:firstLineChars="0"/>
              <w:rPr>
                <w:rFonts w:hint="eastAsia" w:ascii="宋体" w:hAnsi="宋体" w:cs="宋体"/>
                <w:color w:val="000000"/>
                <w:kern w:val="0"/>
                <w:sz w:val="18"/>
                <w:szCs w:val="18"/>
              </w:rPr>
            </w:pPr>
          </w:p>
        </w:tc>
        <w:tc>
          <w:tcPr>
            <w:tcW w:w="505" w:type="pct"/>
            <w:shd w:val="clear" w:color="auto" w:fill="auto"/>
          </w:tcPr>
          <w:p w14:paraId="792EBA58">
            <w:pPr>
              <w:spacing w:line="240" w:lineRule="exact"/>
              <w:ind w:firstLine="0" w:firstLineChars="0"/>
              <w:rPr>
                <w:rFonts w:hint="eastAsia" w:ascii="宋体" w:hAnsi="宋体" w:cs="宋体"/>
                <w:color w:val="000000"/>
                <w:kern w:val="0"/>
                <w:sz w:val="18"/>
                <w:szCs w:val="18"/>
              </w:rPr>
            </w:pPr>
          </w:p>
        </w:tc>
        <w:tc>
          <w:tcPr>
            <w:tcW w:w="510" w:type="pct"/>
            <w:shd w:val="clear" w:color="auto" w:fill="auto"/>
          </w:tcPr>
          <w:p w14:paraId="10AFC6D2">
            <w:pPr>
              <w:spacing w:line="240" w:lineRule="exact"/>
              <w:ind w:firstLine="0" w:firstLineChars="0"/>
              <w:rPr>
                <w:rFonts w:hint="eastAsia" w:ascii="宋体" w:hAnsi="宋体" w:cs="宋体"/>
                <w:color w:val="000000"/>
                <w:kern w:val="0"/>
                <w:sz w:val="18"/>
                <w:szCs w:val="18"/>
              </w:rPr>
            </w:pPr>
          </w:p>
        </w:tc>
        <w:tc>
          <w:tcPr>
            <w:tcW w:w="436" w:type="pct"/>
            <w:shd w:val="clear" w:color="auto" w:fill="auto"/>
          </w:tcPr>
          <w:p w14:paraId="426B1BB7">
            <w:pPr>
              <w:spacing w:line="240" w:lineRule="exact"/>
              <w:ind w:firstLine="0" w:firstLineChars="0"/>
              <w:rPr>
                <w:rFonts w:hint="eastAsia" w:ascii="宋体" w:hAnsi="宋体" w:cs="宋体"/>
                <w:color w:val="000000"/>
                <w:kern w:val="0"/>
                <w:sz w:val="18"/>
                <w:szCs w:val="18"/>
              </w:rPr>
            </w:pPr>
          </w:p>
        </w:tc>
        <w:tc>
          <w:tcPr>
            <w:tcW w:w="446" w:type="pct"/>
            <w:shd w:val="clear" w:color="auto" w:fill="auto"/>
          </w:tcPr>
          <w:p w14:paraId="2213028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c>
          <w:tcPr>
            <w:tcW w:w="488" w:type="pct"/>
          </w:tcPr>
          <w:p w14:paraId="4E543CE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c>
          <w:tcPr>
            <w:tcW w:w="461" w:type="pct"/>
          </w:tcPr>
          <w:p w14:paraId="10B201B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r>
      <w:tr w14:paraId="720E8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36" w:type="pct"/>
            <w:shd w:val="clear" w:color="auto" w:fill="auto"/>
            <w:vAlign w:val="center"/>
          </w:tcPr>
          <w:p w14:paraId="23098B07">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3.5</w:t>
            </w:r>
          </w:p>
        </w:tc>
        <w:tc>
          <w:tcPr>
            <w:tcW w:w="638" w:type="pct"/>
            <w:shd w:val="clear" w:color="auto" w:fill="auto"/>
            <w:vAlign w:val="center"/>
          </w:tcPr>
          <w:p w14:paraId="40275067">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467" w:type="pct"/>
            <w:shd w:val="clear" w:color="auto" w:fill="auto"/>
          </w:tcPr>
          <w:p w14:paraId="3F44567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306,988.54</w:t>
            </w:r>
          </w:p>
        </w:tc>
        <w:tc>
          <w:tcPr>
            <w:tcW w:w="398" w:type="pct"/>
            <w:shd w:val="clear" w:color="auto" w:fill="auto"/>
            <w:noWrap/>
          </w:tcPr>
          <w:p w14:paraId="3BB6AF6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1,092.21</w:t>
            </w:r>
          </w:p>
        </w:tc>
        <w:tc>
          <w:tcPr>
            <w:tcW w:w="409" w:type="pct"/>
            <w:shd w:val="clear" w:color="auto" w:fill="auto"/>
          </w:tcPr>
          <w:p w14:paraId="6A750DB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2,394.42</w:t>
            </w:r>
          </w:p>
        </w:tc>
        <w:tc>
          <w:tcPr>
            <w:tcW w:w="505" w:type="pct"/>
            <w:shd w:val="clear" w:color="auto" w:fill="auto"/>
          </w:tcPr>
          <w:p w14:paraId="279CF26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5,565.42</w:t>
            </w:r>
          </w:p>
        </w:tc>
        <w:tc>
          <w:tcPr>
            <w:tcW w:w="510" w:type="pct"/>
            <w:shd w:val="clear" w:color="auto" w:fill="auto"/>
          </w:tcPr>
          <w:p w14:paraId="4B0B9AE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11,392.92</w:t>
            </w:r>
          </w:p>
        </w:tc>
        <w:tc>
          <w:tcPr>
            <w:tcW w:w="436" w:type="pct"/>
            <w:shd w:val="clear" w:color="auto" w:fill="auto"/>
          </w:tcPr>
          <w:p w14:paraId="1743639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16,046.39</w:t>
            </w:r>
          </w:p>
        </w:tc>
        <w:tc>
          <w:tcPr>
            <w:tcW w:w="446" w:type="pct"/>
            <w:shd w:val="clear" w:color="auto" w:fill="auto"/>
          </w:tcPr>
          <w:p w14:paraId="0F4F99F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17,539.35</w:t>
            </w:r>
          </w:p>
        </w:tc>
        <w:tc>
          <w:tcPr>
            <w:tcW w:w="488" w:type="pct"/>
          </w:tcPr>
          <w:p w14:paraId="7BD2DFA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16,951.35</w:t>
            </w:r>
          </w:p>
        </w:tc>
        <w:tc>
          <w:tcPr>
            <w:tcW w:w="461" w:type="pct"/>
          </w:tcPr>
          <w:p w14:paraId="63DB606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16,363.35</w:t>
            </w:r>
          </w:p>
        </w:tc>
      </w:tr>
      <w:tr w14:paraId="52C9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36" w:type="pct"/>
            <w:shd w:val="clear" w:color="auto" w:fill="auto"/>
            <w:vAlign w:val="center"/>
          </w:tcPr>
          <w:p w14:paraId="332F6F6C">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三</w:t>
            </w:r>
          </w:p>
        </w:tc>
        <w:tc>
          <w:tcPr>
            <w:tcW w:w="638" w:type="pct"/>
            <w:shd w:val="clear" w:color="auto" w:fill="auto"/>
            <w:vAlign w:val="center"/>
          </w:tcPr>
          <w:p w14:paraId="3DD25315">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当期现金结余</w:t>
            </w:r>
          </w:p>
        </w:tc>
        <w:tc>
          <w:tcPr>
            <w:tcW w:w="467" w:type="pct"/>
            <w:shd w:val="clear" w:color="auto" w:fill="auto"/>
          </w:tcPr>
          <w:p w14:paraId="48CA261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820,798.54</w:t>
            </w:r>
          </w:p>
        </w:tc>
        <w:tc>
          <w:tcPr>
            <w:tcW w:w="398" w:type="pct"/>
            <w:shd w:val="clear" w:color="auto" w:fill="auto"/>
          </w:tcPr>
          <w:p w14:paraId="0E243BE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-1,092.21</w:t>
            </w:r>
          </w:p>
        </w:tc>
        <w:tc>
          <w:tcPr>
            <w:tcW w:w="409" w:type="pct"/>
            <w:shd w:val="clear" w:color="auto" w:fill="auto"/>
          </w:tcPr>
          <w:p w14:paraId="1F1B47A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-4,048.47</w:t>
            </w:r>
          </w:p>
        </w:tc>
        <w:tc>
          <w:tcPr>
            <w:tcW w:w="505" w:type="pct"/>
            <w:shd w:val="clear" w:color="auto" w:fill="auto"/>
          </w:tcPr>
          <w:p w14:paraId="74982AE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-9,408.04</w:t>
            </w:r>
          </w:p>
        </w:tc>
        <w:tc>
          <w:tcPr>
            <w:tcW w:w="510" w:type="pct"/>
            <w:shd w:val="clear" w:color="auto" w:fill="auto"/>
          </w:tcPr>
          <w:p w14:paraId="0CB3C9D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-16,594.43</w:t>
            </w:r>
          </w:p>
        </w:tc>
        <w:tc>
          <w:tcPr>
            <w:tcW w:w="436" w:type="pct"/>
            <w:shd w:val="clear" w:color="auto" w:fill="auto"/>
          </w:tcPr>
          <w:p w14:paraId="685263B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-22,510.10</w:t>
            </w:r>
          </w:p>
        </w:tc>
        <w:tc>
          <w:tcPr>
            <w:tcW w:w="446" w:type="pct"/>
            <w:shd w:val="clear" w:color="auto" w:fill="auto"/>
          </w:tcPr>
          <w:p w14:paraId="3BC848E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32,217.00</w:t>
            </w:r>
          </w:p>
        </w:tc>
        <w:tc>
          <w:tcPr>
            <w:tcW w:w="488" w:type="pct"/>
          </w:tcPr>
          <w:p w14:paraId="0DA2D06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33,246.06</w:t>
            </w:r>
          </w:p>
        </w:tc>
        <w:tc>
          <w:tcPr>
            <w:tcW w:w="461" w:type="pct"/>
          </w:tcPr>
          <w:p w14:paraId="3A22594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34,273.12</w:t>
            </w:r>
          </w:p>
        </w:tc>
      </w:tr>
      <w:tr w14:paraId="5327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jc w:val="center"/>
        </w:trPr>
        <w:tc>
          <w:tcPr>
            <w:tcW w:w="236" w:type="pct"/>
            <w:shd w:val="clear" w:color="auto" w:fill="auto"/>
            <w:vAlign w:val="center"/>
          </w:tcPr>
          <w:p w14:paraId="061CC2D7">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四</w:t>
            </w:r>
          </w:p>
        </w:tc>
        <w:tc>
          <w:tcPr>
            <w:tcW w:w="638" w:type="pct"/>
            <w:shd w:val="clear" w:color="auto" w:fill="auto"/>
            <w:vAlign w:val="center"/>
          </w:tcPr>
          <w:p w14:paraId="186B746B">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期初现金</w:t>
            </w:r>
          </w:p>
        </w:tc>
        <w:tc>
          <w:tcPr>
            <w:tcW w:w="467" w:type="pct"/>
            <w:shd w:val="clear" w:color="auto" w:fill="auto"/>
            <w:vAlign w:val="center"/>
          </w:tcPr>
          <w:p w14:paraId="6D5DFD31">
            <w:pPr>
              <w:spacing w:line="240" w:lineRule="exact"/>
              <w:ind w:firstLine="0" w:firstLineChars="0"/>
              <w:rPr>
                <w:rFonts w:hint="eastAsia" w:ascii="宋体" w:hAnsi="宋体" w:cs="宋体"/>
                <w:color w:val="000000"/>
                <w:kern w:val="0"/>
                <w:sz w:val="18"/>
                <w:szCs w:val="18"/>
              </w:rPr>
            </w:pPr>
          </w:p>
        </w:tc>
        <w:tc>
          <w:tcPr>
            <w:tcW w:w="398" w:type="pct"/>
            <w:shd w:val="clear" w:color="auto" w:fill="auto"/>
          </w:tcPr>
          <w:p w14:paraId="49C7363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09" w:type="pct"/>
            <w:shd w:val="clear" w:color="auto" w:fill="auto"/>
          </w:tcPr>
          <w:p w14:paraId="7A77A7B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-1,092.21</w:t>
            </w:r>
          </w:p>
        </w:tc>
        <w:tc>
          <w:tcPr>
            <w:tcW w:w="505" w:type="pct"/>
            <w:shd w:val="clear" w:color="auto" w:fill="auto"/>
          </w:tcPr>
          <w:p w14:paraId="5B6AA34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-5,140.68</w:t>
            </w:r>
          </w:p>
        </w:tc>
        <w:tc>
          <w:tcPr>
            <w:tcW w:w="510" w:type="pct"/>
            <w:shd w:val="clear" w:color="auto" w:fill="auto"/>
          </w:tcPr>
          <w:p w14:paraId="2506957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-14,548.72</w:t>
            </w:r>
          </w:p>
        </w:tc>
        <w:tc>
          <w:tcPr>
            <w:tcW w:w="436" w:type="pct"/>
            <w:shd w:val="clear" w:color="auto" w:fill="auto"/>
          </w:tcPr>
          <w:p w14:paraId="08A0B25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-31,143.15</w:t>
            </w:r>
          </w:p>
        </w:tc>
        <w:tc>
          <w:tcPr>
            <w:tcW w:w="446" w:type="pct"/>
            <w:shd w:val="clear" w:color="auto" w:fill="auto"/>
          </w:tcPr>
          <w:p w14:paraId="17E5E78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-53,653.25</w:t>
            </w:r>
          </w:p>
        </w:tc>
        <w:tc>
          <w:tcPr>
            <w:tcW w:w="488" w:type="pct"/>
          </w:tcPr>
          <w:p w14:paraId="69F0FE6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-21,436.25</w:t>
            </w:r>
          </w:p>
        </w:tc>
        <w:tc>
          <w:tcPr>
            <w:tcW w:w="461" w:type="pct"/>
          </w:tcPr>
          <w:p w14:paraId="5D5CFB7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11,809.81</w:t>
            </w:r>
          </w:p>
        </w:tc>
      </w:tr>
      <w:tr w14:paraId="437CA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 w:hRule="atLeast"/>
          <w:jc w:val="center"/>
        </w:trPr>
        <w:tc>
          <w:tcPr>
            <w:tcW w:w="236" w:type="pct"/>
            <w:shd w:val="clear" w:color="auto" w:fill="auto"/>
            <w:vAlign w:val="center"/>
          </w:tcPr>
          <w:p w14:paraId="2AB00BD0">
            <w:pPr>
              <w:widowControl/>
              <w:spacing w:after="0" w:line="240" w:lineRule="exact"/>
              <w:ind w:firstLine="0" w:firstLineChars="0"/>
              <w:rPr>
                <w:rFonts w:hint="eastAsia" w:ascii="宋体" w:hAnsi="宋体" w:cs="宋体"/>
                <w:color w:val="000000"/>
                <w:kern w:val="0"/>
                <w:sz w:val="18"/>
                <w:szCs w:val="18"/>
              </w:rPr>
            </w:pPr>
            <w:r>
              <w:rPr>
                <w:rFonts w:hint="eastAsia" w:ascii="宋体" w:hAnsi="宋体" w:cs="宋体"/>
                <w:color w:val="000000"/>
                <w:kern w:val="0"/>
                <w:sz w:val="18"/>
                <w:szCs w:val="18"/>
              </w:rPr>
              <w:t>五</w:t>
            </w:r>
          </w:p>
        </w:tc>
        <w:tc>
          <w:tcPr>
            <w:tcW w:w="638" w:type="pct"/>
            <w:shd w:val="clear" w:color="auto" w:fill="auto"/>
            <w:vAlign w:val="center"/>
          </w:tcPr>
          <w:p w14:paraId="3EC1FCAF">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期末现金</w:t>
            </w:r>
          </w:p>
        </w:tc>
        <w:tc>
          <w:tcPr>
            <w:tcW w:w="467" w:type="pct"/>
            <w:shd w:val="clear" w:color="auto" w:fill="auto"/>
            <w:vAlign w:val="center"/>
          </w:tcPr>
          <w:p w14:paraId="3307A269">
            <w:pPr>
              <w:spacing w:line="240" w:lineRule="exact"/>
              <w:ind w:firstLine="0" w:firstLineChars="0"/>
              <w:rPr>
                <w:rFonts w:hint="eastAsia" w:ascii="宋体" w:hAnsi="宋体" w:cs="宋体"/>
                <w:color w:val="000000"/>
                <w:kern w:val="0"/>
                <w:sz w:val="18"/>
                <w:szCs w:val="18"/>
              </w:rPr>
            </w:pPr>
          </w:p>
        </w:tc>
        <w:tc>
          <w:tcPr>
            <w:tcW w:w="398" w:type="pct"/>
            <w:shd w:val="clear" w:color="auto" w:fill="auto"/>
          </w:tcPr>
          <w:p w14:paraId="46EE720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-1,092.21</w:t>
            </w:r>
          </w:p>
        </w:tc>
        <w:tc>
          <w:tcPr>
            <w:tcW w:w="409" w:type="pct"/>
            <w:shd w:val="clear" w:color="auto" w:fill="auto"/>
          </w:tcPr>
          <w:p w14:paraId="449884B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-5,140.68</w:t>
            </w:r>
          </w:p>
        </w:tc>
        <w:tc>
          <w:tcPr>
            <w:tcW w:w="505" w:type="pct"/>
            <w:shd w:val="clear" w:color="auto" w:fill="auto"/>
          </w:tcPr>
          <w:p w14:paraId="2A28B0C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-14,548.72</w:t>
            </w:r>
          </w:p>
        </w:tc>
        <w:tc>
          <w:tcPr>
            <w:tcW w:w="510" w:type="pct"/>
            <w:shd w:val="clear" w:color="auto" w:fill="auto"/>
          </w:tcPr>
          <w:p w14:paraId="7612C0F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-31,143.15</w:t>
            </w:r>
          </w:p>
        </w:tc>
        <w:tc>
          <w:tcPr>
            <w:tcW w:w="436" w:type="pct"/>
            <w:shd w:val="clear" w:color="auto" w:fill="auto"/>
          </w:tcPr>
          <w:p w14:paraId="4882D66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-53,653.25</w:t>
            </w:r>
          </w:p>
        </w:tc>
        <w:tc>
          <w:tcPr>
            <w:tcW w:w="446" w:type="pct"/>
            <w:shd w:val="clear" w:color="auto" w:fill="auto"/>
          </w:tcPr>
          <w:p w14:paraId="5E67BFE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-21,436.25</w:t>
            </w:r>
          </w:p>
        </w:tc>
        <w:tc>
          <w:tcPr>
            <w:tcW w:w="488" w:type="pct"/>
          </w:tcPr>
          <w:p w14:paraId="4D3ABBC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11,809.81</w:t>
            </w:r>
          </w:p>
        </w:tc>
        <w:tc>
          <w:tcPr>
            <w:tcW w:w="461" w:type="pct"/>
          </w:tcPr>
          <w:p w14:paraId="614231C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46,082.93</w:t>
            </w:r>
          </w:p>
        </w:tc>
      </w:tr>
    </w:tbl>
    <w:p w14:paraId="214CE24D">
      <w:pPr>
        <w:pStyle w:val="23"/>
        <w:spacing w:beforeAutospacing="0" w:after="156" w:afterLines="50" w:afterAutospacing="0" w:line="240" w:lineRule="exact"/>
        <w:rPr>
          <w:rFonts w:hint="eastAsia"/>
          <w:color w:val="000000" w:themeColor="text1"/>
          <w:sz w:val="18"/>
          <w:szCs w:val="18"/>
        </w:rPr>
      </w:pPr>
      <w:r>
        <w:rPr>
          <w:rFonts w:hint="eastAsia"/>
          <w:color w:val="000000" w:themeColor="text1"/>
          <w:sz w:val="18"/>
          <w:szCs w:val="18"/>
        </w:rPr>
        <w:t>续上表：</w:t>
      </w:r>
    </w:p>
    <w:tbl>
      <w:tblPr>
        <w:tblStyle w:val="28"/>
        <w:tblW w:w="522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855"/>
        <w:gridCol w:w="1404"/>
        <w:gridCol w:w="1227"/>
        <w:gridCol w:w="1149"/>
        <w:gridCol w:w="1135"/>
        <w:gridCol w:w="1135"/>
        <w:gridCol w:w="1135"/>
        <w:gridCol w:w="1233"/>
        <w:gridCol w:w="1135"/>
        <w:gridCol w:w="1106"/>
        <w:gridCol w:w="1361"/>
      </w:tblGrid>
      <w:tr w14:paraId="62524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218" w:type="pct"/>
            <w:shd w:val="clear" w:color="auto" w:fill="auto"/>
            <w:vAlign w:val="center"/>
          </w:tcPr>
          <w:p w14:paraId="1D92562D">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38" w:type="pct"/>
            <w:shd w:val="clear" w:color="auto" w:fill="auto"/>
            <w:vAlign w:val="center"/>
          </w:tcPr>
          <w:p w14:paraId="1200CAA7">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483" w:type="pct"/>
            <w:shd w:val="clear" w:color="auto" w:fill="auto"/>
            <w:vAlign w:val="center"/>
          </w:tcPr>
          <w:p w14:paraId="436B1507">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2029年</w:t>
            </w:r>
          </w:p>
        </w:tc>
        <w:tc>
          <w:tcPr>
            <w:tcW w:w="422" w:type="pct"/>
            <w:shd w:val="clear" w:color="auto" w:fill="auto"/>
            <w:vAlign w:val="center"/>
          </w:tcPr>
          <w:p w14:paraId="7E127565">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2030年</w:t>
            </w:r>
          </w:p>
        </w:tc>
        <w:tc>
          <w:tcPr>
            <w:tcW w:w="396" w:type="pct"/>
            <w:shd w:val="clear" w:color="auto" w:fill="auto"/>
            <w:vAlign w:val="center"/>
          </w:tcPr>
          <w:p w14:paraId="252EAB50">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2031年</w:t>
            </w:r>
          </w:p>
        </w:tc>
        <w:tc>
          <w:tcPr>
            <w:tcW w:w="391" w:type="pct"/>
            <w:shd w:val="clear" w:color="auto" w:fill="auto"/>
            <w:vAlign w:val="center"/>
          </w:tcPr>
          <w:p w14:paraId="0A6EED37">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2032年</w:t>
            </w:r>
          </w:p>
        </w:tc>
        <w:tc>
          <w:tcPr>
            <w:tcW w:w="391" w:type="pct"/>
            <w:shd w:val="clear" w:color="auto" w:fill="auto"/>
            <w:vAlign w:val="center"/>
          </w:tcPr>
          <w:p w14:paraId="5C8EFF97">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2033年</w:t>
            </w:r>
          </w:p>
        </w:tc>
        <w:tc>
          <w:tcPr>
            <w:tcW w:w="391" w:type="pct"/>
            <w:shd w:val="clear" w:color="auto" w:fill="auto"/>
            <w:vAlign w:val="center"/>
          </w:tcPr>
          <w:p w14:paraId="74F02EED">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2034年</w:t>
            </w:r>
          </w:p>
        </w:tc>
        <w:tc>
          <w:tcPr>
            <w:tcW w:w="424" w:type="pct"/>
            <w:shd w:val="clear" w:color="auto" w:fill="auto"/>
            <w:vAlign w:val="center"/>
          </w:tcPr>
          <w:p w14:paraId="3D452997">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2035年</w:t>
            </w:r>
          </w:p>
        </w:tc>
        <w:tc>
          <w:tcPr>
            <w:tcW w:w="391" w:type="pct"/>
            <w:vAlign w:val="center"/>
          </w:tcPr>
          <w:p w14:paraId="21596A7D">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2036年</w:t>
            </w:r>
          </w:p>
        </w:tc>
        <w:tc>
          <w:tcPr>
            <w:tcW w:w="381" w:type="pct"/>
            <w:vAlign w:val="center"/>
          </w:tcPr>
          <w:p w14:paraId="7E56EEB6">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2037年</w:t>
            </w:r>
          </w:p>
        </w:tc>
        <w:tc>
          <w:tcPr>
            <w:tcW w:w="468" w:type="pct"/>
            <w:vAlign w:val="center"/>
          </w:tcPr>
          <w:p w14:paraId="6810A9E3">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2038年</w:t>
            </w:r>
          </w:p>
        </w:tc>
      </w:tr>
      <w:tr w14:paraId="1ABC1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09881207">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一</w:t>
            </w:r>
          </w:p>
        </w:tc>
        <w:tc>
          <w:tcPr>
            <w:tcW w:w="638" w:type="pct"/>
            <w:shd w:val="clear" w:color="auto" w:fill="auto"/>
            <w:vAlign w:val="center"/>
          </w:tcPr>
          <w:p w14:paraId="4428513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现金流入</w:t>
            </w:r>
          </w:p>
        </w:tc>
        <w:tc>
          <w:tcPr>
            <w:tcW w:w="483" w:type="pct"/>
            <w:shd w:val="clear" w:color="auto" w:fill="auto"/>
          </w:tcPr>
          <w:p w14:paraId="59C0671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84,002.70</w:t>
            </w:r>
          </w:p>
        </w:tc>
        <w:tc>
          <w:tcPr>
            <w:tcW w:w="422" w:type="pct"/>
            <w:shd w:val="clear" w:color="auto" w:fill="auto"/>
          </w:tcPr>
          <w:p w14:paraId="453F114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84,662.76</w:t>
            </w:r>
          </w:p>
        </w:tc>
        <w:tc>
          <w:tcPr>
            <w:tcW w:w="396" w:type="pct"/>
            <w:shd w:val="clear" w:color="auto" w:fill="auto"/>
          </w:tcPr>
          <w:p w14:paraId="1F87A92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85,322.82</w:t>
            </w:r>
          </w:p>
        </w:tc>
        <w:tc>
          <w:tcPr>
            <w:tcW w:w="391" w:type="pct"/>
            <w:shd w:val="clear" w:color="auto" w:fill="auto"/>
          </w:tcPr>
          <w:p w14:paraId="3271833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85,982.88</w:t>
            </w:r>
          </w:p>
        </w:tc>
        <w:tc>
          <w:tcPr>
            <w:tcW w:w="391" w:type="pct"/>
            <w:shd w:val="clear" w:color="auto" w:fill="auto"/>
          </w:tcPr>
          <w:p w14:paraId="47C33EA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86,641.80</w:t>
            </w:r>
          </w:p>
        </w:tc>
        <w:tc>
          <w:tcPr>
            <w:tcW w:w="391" w:type="pct"/>
            <w:shd w:val="clear" w:color="auto" w:fill="auto"/>
          </w:tcPr>
          <w:p w14:paraId="2847619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87,301.86</w:t>
            </w:r>
          </w:p>
        </w:tc>
        <w:tc>
          <w:tcPr>
            <w:tcW w:w="424" w:type="pct"/>
            <w:shd w:val="clear" w:color="auto" w:fill="auto"/>
          </w:tcPr>
          <w:p w14:paraId="5576A36F">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87,961.92</w:t>
            </w:r>
          </w:p>
        </w:tc>
        <w:tc>
          <w:tcPr>
            <w:tcW w:w="391" w:type="pct"/>
          </w:tcPr>
          <w:p w14:paraId="4368B62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88,336.98</w:t>
            </w:r>
          </w:p>
        </w:tc>
        <w:tc>
          <w:tcPr>
            <w:tcW w:w="381" w:type="pct"/>
          </w:tcPr>
          <w:p w14:paraId="23211EC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88,710.90</w:t>
            </w:r>
          </w:p>
        </w:tc>
        <w:tc>
          <w:tcPr>
            <w:tcW w:w="468" w:type="pct"/>
          </w:tcPr>
          <w:p w14:paraId="48A5C67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82,023.66</w:t>
            </w:r>
          </w:p>
        </w:tc>
      </w:tr>
      <w:tr w14:paraId="32CCF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18" w:type="pct"/>
            <w:shd w:val="clear" w:color="auto" w:fill="auto"/>
            <w:vAlign w:val="center"/>
          </w:tcPr>
          <w:p w14:paraId="3C4620BF">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w:t>
            </w:r>
          </w:p>
        </w:tc>
        <w:tc>
          <w:tcPr>
            <w:tcW w:w="638" w:type="pct"/>
            <w:shd w:val="clear" w:color="auto" w:fill="auto"/>
            <w:vAlign w:val="center"/>
          </w:tcPr>
          <w:p w14:paraId="69631F25">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483" w:type="pct"/>
            <w:shd w:val="clear" w:color="auto" w:fill="auto"/>
          </w:tcPr>
          <w:p w14:paraId="1AAEAD8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84,002.70</w:t>
            </w:r>
          </w:p>
        </w:tc>
        <w:tc>
          <w:tcPr>
            <w:tcW w:w="422" w:type="pct"/>
            <w:shd w:val="clear" w:color="auto" w:fill="auto"/>
          </w:tcPr>
          <w:p w14:paraId="3A43DAC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84,662.76</w:t>
            </w:r>
          </w:p>
        </w:tc>
        <w:tc>
          <w:tcPr>
            <w:tcW w:w="396" w:type="pct"/>
            <w:shd w:val="clear" w:color="auto" w:fill="auto"/>
          </w:tcPr>
          <w:p w14:paraId="582CC9C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85,322.82</w:t>
            </w:r>
          </w:p>
        </w:tc>
        <w:tc>
          <w:tcPr>
            <w:tcW w:w="391" w:type="pct"/>
            <w:shd w:val="clear" w:color="auto" w:fill="auto"/>
          </w:tcPr>
          <w:p w14:paraId="4944B33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85,982.88</w:t>
            </w:r>
          </w:p>
        </w:tc>
        <w:tc>
          <w:tcPr>
            <w:tcW w:w="391" w:type="pct"/>
            <w:shd w:val="clear" w:color="auto" w:fill="auto"/>
          </w:tcPr>
          <w:p w14:paraId="6B9B8D4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86,641.80</w:t>
            </w:r>
          </w:p>
        </w:tc>
        <w:tc>
          <w:tcPr>
            <w:tcW w:w="391" w:type="pct"/>
            <w:shd w:val="clear" w:color="auto" w:fill="auto"/>
          </w:tcPr>
          <w:p w14:paraId="4988EB1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87,301.86</w:t>
            </w:r>
          </w:p>
        </w:tc>
        <w:tc>
          <w:tcPr>
            <w:tcW w:w="424" w:type="pct"/>
            <w:shd w:val="clear" w:color="auto" w:fill="auto"/>
          </w:tcPr>
          <w:p w14:paraId="24B0821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87,961.92</w:t>
            </w:r>
          </w:p>
        </w:tc>
        <w:tc>
          <w:tcPr>
            <w:tcW w:w="391" w:type="pct"/>
          </w:tcPr>
          <w:p w14:paraId="227B7BE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88,336.98</w:t>
            </w:r>
          </w:p>
        </w:tc>
        <w:tc>
          <w:tcPr>
            <w:tcW w:w="381" w:type="pct"/>
          </w:tcPr>
          <w:p w14:paraId="764E2F8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88,710.90</w:t>
            </w:r>
          </w:p>
        </w:tc>
        <w:tc>
          <w:tcPr>
            <w:tcW w:w="468" w:type="pct"/>
          </w:tcPr>
          <w:p w14:paraId="3083291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82,023.66</w:t>
            </w:r>
          </w:p>
        </w:tc>
      </w:tr>
      <w:tr w14:paraId="1FA1A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7D57B9F6">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1.1</w:t>
            </w:r>
          </w:p>
        </w:tc>
        <w:tc>
          <w:tcPr>
            <w:tcW w:w="638" w:type="pct"/>
            <w:shd w:val="clear" w:color="auto" w:fill="auto"/>
            <w:vAlign w:val="center"/>
          </w:tcPr>
          <w:p w14:paraId="29861B1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政府性基金收入</w:t>
            </w:r>
          </w:p>
        </w:tc>
        <w:tc>
          <w:tcPr>
            <w:tcW w:w="483" w:type="pct"/>
            <w:shd w:val="clear" w:color="auto" w:fill="auto"/>
          </w:tcPr>
          <w:p w14:paraId="18CAEE0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60,000.00</w:t>
            </w:r>
          </w:p>
        </w:tc>
        <w:tc>
          <w:tcPr>
            <w:tcW w:w="422" w:type="pct"/>
            <w:shd w:val="clear" w:color="auto" w:fill="auto"/>
          </w:tcPr>
          <w:p w14:paraId="3C1AF2E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60,000.00</w:t>
            </w:r>
          </w:p>
        </w:tc>
        <w:tc>
          <w:tcPr>
            <w:tcW w:w="396" w:type="pct"/>
            <w:shd w:val="clear" w:color="auto" w:fill="auto"/>
          </w:tcPr>
          <w:p w14:paraId="70E5C97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60,000.00</w:t>
            </w:r>
          </w:p>
        </w:tc>
        <w:tc>
          <w:tcPr>
            <w:tcW w:w="391" w:type="pct"/>
            <w:shd w:val="clear" w:color="auto" w:fill="auto"/>
          </w:tcPr>
          <w:p w14:paraId="3A6E6E2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60,000.00</w:t>
            </w:r>
          </w:p>
        </w:tc>
        <w:tc>
          <w:tcPr>
            <w:tcW w:w="391" w:type="pct"/>
            <w:shd w:val="clear" w:color="auto" w:fill="auto"/>
          </w:tcPr>
          <w:p w14:paraId="3985010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60,000.00</w:t>
            </w:r>
          </w:p>
        </w:tc>
        <w:tc>
          <w:tcPr>
            <w:tcW w:w="391" w:type="pct"/>
            <w:shd w:val="clear" w:color="auto" w:fill="auto"/>
          </w:tcPr>
          <w:p w14:paraId="3E850CC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60,000.00</w:t>
            </w:r>
          </w:p>
        </w:tc>
        <w:tc>
          <w:tcPr>
            <w:tcW w:w="424" w:type="pct"/>
            <w:shd w:val="clear" w:color="auto" w:fill="auto"/>
          </w:tcPr>
          <w:p w14:paraId="1147568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60,000.00</w:t>
            </w:r>
          </w:p>
        </w:tc>
        <w:tc>
          <w:tcPr>
            <w:tcW w:w="391" w:type="pct"/>
          </w:tcPr>
          <w:p w14:paraId="78D0448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60,000.00</w:t>
            </w:r>
          </w:p>
        </w:tc>
        <w:tc>
          <w:tcPr>
            <w:tcW w:w="381" w:type="pct"/>
          </w:tcPr>
          <w:p w14:paraId="68E1B8B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60,000.00</w:t>
            </w:r>
          </w:p>
        </w:tc>
        <w:tc>
          <w:tcPr>
            <w:tcW w:w="468" w:type="pct"/>
          </w:tcPr>
          <w:p w14:paraId="367773C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60,000.00</w:t>
            </w:r>
          </w:p>
        </w:tc>
      </w:tr>
      <w:tr w14:paraId="02BDD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17AF761C">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1.2</w:t>
            </w:r>
          </w:p>
        </w:tc>
        <w:tc>
          <w:tcPr>
            <w:tcW w:w="638" w:type="pct"/>
            <w:shd w:val="clear" w:color="auto" w:fill="auto"/>
            <w:vAlign w:val="center"/>
          </w:tcPr>
          <w:p w14:paraId="4152D5B5">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经营收入</w:t>
            </w:r>
          </w:p>
        </w:tc>
        <w:tc>
          <w:tcPr>
            <w:tcW w:w="483" w:type="pct"/>
            <w:shd w:val="clear" w:color="auto" w:fill="auto"/>
          </w:tcPr>
          <w:p w14:paraId="21DD49D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24,002.70</w:t>
            </w:r>
          </w:p>
        </w:tc>
        <w:tc>
          <w:tcPr>
            <w:tcW w:w="422" w:type="pct"/>
            <w:shd w:val="clear" w:color="auto" w:fill="auto"/>
            <w:noWrap/>
          </w:tcPr>
          <w:p w14:paraId="416567D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24,662.76</w:t>
            </w:r>
          </w:p>
        </w:tc>
        <w:tc>
          <w:tcPr>
            <w:tcW w:w="396" w:type="pct"/>
            <w:shd w:val="clear" w:color="auto" w:fill="auto"/>
            <w:noWrap/>
          </w:tcPr>
          <w:p w14:paraId="6A4E3EB5">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25,322.82</w:t>
            </w:r>
          </w:p>
        </w:tc>
        <w:tc>
          <w:tcPr>
            <w:tcW w:w="391" w:type="pct"/>
            <w:shd w:val="clear" w:color="auto" w:fill="auto"/>
            <w:noWrap/>
          </w:tcPr>
          <w:p w14:paraId="56C8932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25,982.88</w:t>
            </w:r>
          </w:p>
        </w:tc>
        <w:tc>
          <w:tcPr>
            <w:tcW w:w="391" w:type="pct"/>
            <w:shd w:val="clear" w:color="auto" w:fill="auto"/>
            <w:noWrap/>
          </w:tcPr>
          <w:p w14:paraId="67C1FA2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26,641.80</w:t>
            </w:r>
          </w:p>
        </w:tc>
        <w:tc>
          <w:tcPr>
            <w:tcW w:w="391" w:type="pct"/>
            <w:shd w:val="clear" w:color="auto" w:fill="auto"/>
            <w:noWrap/>
          </w:tcPr>
          <w:p w14:paraId="17A5E8AF">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27,301.86</w:t>
            </w:r>
          </w:p>
        </w:tc>
        <w:tc>
          <w:tcPr>
            <w:tcW w:w="424" w:type="pct"/>
            <w:shd w:val="clear" w:color="auto" w:fill="auto"/>
            <w:noWrap/>
          </w:tcPr>
          <w:p w14:paraId="52DC3E7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27,961.92</w:t>
            </w:r>
          </w:p>
        </w:tc>
        <w:tc>
          <w:tcPr>
            <w:tcW w:w="391" w:type="pct"/>
          </w:tcPr>
          <w:p w14:paraId="6656351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28,336.98</w:t>
            </w:r>
          </w:p>
        </w:tc>
        <w:tc>
          <w:tcPr>
            <w:tcW w:w="381" w:type="pct"/>
          </w:tcPr>
          <w:p w14:paraId="143FEB4F">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28,710.90</w:t>
            </w:r>
          </w:p>
        </w:tc>
        <w:tc>
          <w:tcPr>
            <w:tcW w:w="468" w:type="pct"/>
          </w:tcPr>
          <w:p w14:paraId="7332E66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22,023.66</w:t>
            </w:r>
          </w:p>
        </w:tc>
      </w:tr>
      <w:tr w14:paraId="711B7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18" w:type="pct"/>
            <w:shd w:val="clear" w:color="auto" w:fill="auto"/>
            <w:vAlign w:val="center"/>
          </w:tcPr>
          <w:p w14:paraId="48598C53">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p>
        </w:tc>
        <w:tc>
          <w:tcPr>
            <w:tcW w:w="638" w:type="pct"/>
            <w:shd w:val="clear" w:color="auto" w:fill="auto"/>
            <w:vAlign w:val="center"/>
          </w:tcPr>
          <w:p w14:paraId="2E6939D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483" w:type="pct"/>
            <w:shd w:val="clear" w:color="auto" w:fill="auto"/>
          </w:tcPr>
          <w:p w14:paraId="15DD27A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22" w:type="pct"/>
            <w:shd w:val="clear" w:color="auto" w:fill="auto"/>
          </w:tcPr>
          <w:p w14:paraId="6047FCA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96" w:type="pct"/>
            <w:shd w:val="clear" w:color="auto" w:fill="auto"/>
          </w:tcPr>
          <w:p w14:paraId="44B36BB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91" w:type="pct"/>
            <w:shd w:val="clear" w:color="auto" w:fill="auto"/>
          </w:tcPr>
          <w:p w14:paraId="3238A41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91" w:type="pct"/>
            <w:shd w:val="clear" w:color="auto" w:fill="auto"/>
          </w:tcPr>
          <w:p w14:paraId="41FC31A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91" w:type="pct"/>
            <w:shd w:val="clear" w:color="auto" w:fill="auto"/>
          </w:tcPr>
          <w:p w14:paraId="0309434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24" w:type="pct"/>
            <w:shd w:val="clear" w:color="auto" w:fill="auto"/>
          </w:tcPr>
          <w:p w14:paraId="15661D4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91" w:type="pct"/>
          </w:tcPr>
          <w:p w14:paraId="097E38F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81" w:type="pct"/>
          </w:tcPr>
          <w:p w14:paraId="4A5D069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68" w:type="pct"/>
          </w:tcPr>
          <w:p w14:paraId="6DD3CAE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769F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44DC6D3F">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2.1</w:t>
            </w:r>
          </w:p>
        </w:tc>
        <w:tc>
          <w:tcPr>
            <w:tcW w:w="638" w:type="pct"/>
            <w:shd w:val="clear" w:color="auto" w:fill="auto"/>
            <w:vAlign w:val="center"/>
          </w:tcPr>
          <w:p w14:paraId="5757D85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债券融资款</w:t>
            </w:r>
          </w:p>
        </w:tc>
        <w:tc>
          <w:tcPr>
            <w:tcW w:w="483" w:type="pct"/>
            <w:shd w:val="clear" w:color="auto" w:fill="auto"/>
          </w:tcPr>
          <w:p w14:paraId="60133BE6">
            <w:pPr>
              <w:spacing w:line="240" w:lineRule="exact"/>
              <w:ind w:firstLine="0" w:firstLineChars="0"/>
              <w:jc w:val="center"/>
              <w:rPr>
                <w:rFonts w:hint="eastAsia" w:ascii="宋体" w:hAnsi="宋体" w:cs="宋体"/>
                <w:color w:val="000000"/>
                <w:kern w:val="0"/>
                <w:sz w:val="18"/>
                <w:szCs w:val="18"/>
              </w:rPr>
            </w:pPr>
          </w:p>
        </w:tc>
        <w:tc>
          <w:tcPr>
            <w:tcW w:w="422" w:type="pct"/>
            <w:shd w:val="clear" w:color="auto" w:fill="auto"/>
          </w:tcPr>
          <w:p w14:paraId="5CEDCC88">
            <w:pPr>
              <w:spacing w:line="240" w:lineRule="exact"/>
              <w:ind w:firstLine="0" w:firstLineChars="0"/>
              <w:jc w:val="center"/>
              <w:rPr>
                <w:rFonts w:hint="eastAsia" w:ascii="宋体" w:hAnsi="宋体" w:cs="宋体"/>
                <w:color w:val="000000"/>
                <w:kern w:val="0"/>
                <w:sz w:val="18"/>
                <w:szCs w:val="18"/>
              </w:rPr>
            </w:pPr>
          </w:p>
        </w:tc>
        <w:tc>
          <w:tcPr>
            <w:tcW w:w="396" w:type="pct"/>
            <w:shd w:val="clear" w:color="auto" w:fill="auto"/>
          </w:tcPr>
          <w:p w14:paraId="29CC5F6A">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20752F77">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4AAAA66C">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0FBF4DEF">
            <w:pPr>
              <w:spacing w:line="240" w:lineRule="exact"/>
              <w:ind w:firstLine="0" w:firstLineChars="0"/>
              <w:jc w:val="center"/>
              <w:rPr>
                <w:rFonts w:hint="eastAsia" w:ascii="宋体" w:hAnsi="宋体" w:cs="宋体"/>
                <w:color w:val="000000"/>
                <w:kern w:val="0"/>
                <w:sz w:val="18"/>
                <w:szCs w:val="18"/>
              </w:rPr>
            </w:pPr>
          </w:p>
        </w:tc>
        <w:tc>
          <w:tcPr>
            <w:tcW w:w="424" w:type="pct"/>
            <w:shd w:val="clear" w:color="auto" w:fill="auto"/>
          </w:tcPr>
          <w:p w14:paraId="391D955A">
            <w:pPr>
              <w:spacing w:line="240" w:lineRule="exact"/>
              <w:ind w:firstLine="0" w:firstLineChars="0"/>
              <w:jc w:val="center"/>
              <w:rPr>
                <w:rFonts w:hint="eastAsia" w:ascii="宋体" w:hAnsi="宋体" w:cs="宋体"/>
                <w:color w:val="000000"/>
                <w:kern w:val="0"/>
                <w:sz w:val="18"/>
                <w:szCs w:val="18"/>
              </w:rPr>
            </w:pPr>
          </w:p>
        </w:tc>
        <w:tc>
          <w:tcPr>
            <w:tcW w:w="391" w:type="pct"/>
          </w:tcPr>
          <w:p w14:paraId="3EF77B22">
            <w:pPr>
              <w:spacing w:line="240" w:lineRule="exact"/>
              <w:ind w:firstLine="0" w:firstLineChars="0"/>
              <w:jc w:val="center"/>
              <w:rPr>
                <w:rFonts w:hint="eastAsia" w:ascii="宋体" w:hAnsi="宋体" w:cs="宋体"/>
                <w:color w:val="000000"/>
                <w:kern w:val="0"/>
                <w:sz w:val="18"/>
                <w:szCs w:val="18"/>
              </w:rPr>
            </w:pPr>
          </w:p>
        </w:tc>
        <w:tc>
          <w:tcPr>
            <w:tcW w:w="381" w:type="pct"/>
          </w:tcPr>
          <w:p w14:paraId="373B8E3C">
            <w:pPr>
              <w:spacing w:line="240" w:lineRule="exact"/>
              <w:ind w:firstLine="0" w:firstLineChars="0"/>
              <w:jc w:val="center"/>
              <w:rPr>
                <w:rFonts w:hint="eastAsia" w:ascii="宋体" w:hAnsi="宋体" w:cs="宋体"/>
                <w:color w:val="000000"/>
                <w:kern w:val="0"/>
                <w:sz w:val="18"/>
                <w:szCs w:val="18"/>
              </w:rPr>
            </w:pPr>
          </w:p>
        </w:tc>
        <w:tc>
          <w:tcPr>
            <w:tcW w:w="468" w:type="pct"/>
          </w:tcPr>
          <w:p w14:paraId="02CC6732">
            <w:pPr>
              <w:spacing w:line="240" w:lineRule="exact"/>
              <w:ind w:firstLine="0" w:firstLineChars="0"/>
              <w:jc w:val="center"/>
              <w:rPr>
                <w:rFonts w:hint="eastAsia" w:ascii="宋体" w:hAnsi="宋体" w:cs="宋体"/>
                <w:color w:val="000000"/>
                <w:kern w:val="0"/>
                <w:sz w:val="18"/>
                <w:szCs w:val="18"/>
              </w:rPr>
            </w:pPr>
          </w:p>
        </w:tc>
      </w:tr>
      <w:tr w14:paraId="6130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653D6642">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2.2</w:t>
            </w:r>
          </w:p>
        </w:tc>
        <w:tc>
          <w:tcPr>
            <w:tcW w:w="638" w:type="pct"/>
            <w:shd w:val="clear" w:color="auto" w:fill="auto"/>
            <w:vAlign w:val="center"/>
          </w:tcPr>
          <w:p w14:paraId="7F88DD58">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其他融资款</w:t>
            </w:r>
          </w:p>
        </w:tc>
        <w:tc>
          <w:tcPr>
            <w:tcW w:w="483" w:type="pct"/>
            <w:shd w:val="clear" w:color="auto" w:fill="auto"/>
          </w:tcPr>
          <w:p w14:paraId="40A08456">
            <w:pPr>
              <w:spacing w:line="240" w:lineRule="exact"/>
              <w:ind w:firstLine="0" w:firstLineChars="0"/>
              <w:jc w:val="center"/>
              <w:rPr>
                <w:rFonts w:hint="eastAsia" w:ascii="宋体" w:hAnsi="宋体" w:cs="宋体"/>
                <w:color w:val="000000"/>
                <w:kern w:val="0"/>
                <w:sz w:val="18"/>
                <w:szCs w:val="18"/>
              </w:rPr>
            </w:pPr>
          </w:p>
        </w:tc>
        <w:tc>
          <w:tcPr>
            <w:tcW w:w="422" w:type="pct"/>
            <w:shd w:val="clear" w:color="auto" w:fill="auto"/>
          </w:tcPr>
          <w:p w14:paraId="6901AB62">
            <w:pPr>
              <w:spacing w:line="240" w:lineRule="exact"/>
              <w:ind w:firstLine="0" w:firstLineChars="0"/>
              <w:jc w:val="center"/>
              <w:rPr>
                <w:rFonts w:hint="eastAsia" w:ascii="宋体" w:hAnsi="宋体" w:cs="宋体"/>
                <w:color w:val="000000"/>
                <w:kern w:val="0"/>
                <w:sz w:val="18"/>
                <w:szCs w:val="18"/>
              </w:rPr>
            </w:pPr>
          </w:p>
        </w:tc>
        <w:tc>
          <w:tcPr>
            <w:tcW w:w="396" w:type="pct"/>
            <w:shd w:val="clear" w:color="auto" w:fill="auto"/>
          </w:tcPr>
          <w:p w14:paraId="0018CE22">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52A8A7AC">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2B35499A">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36557170">
            <w:pPr>
              <w:spacing w:line="240" w:lineRule="exact"/>
              <w:ind w:firstLine="0" w:firstLineChars="0"/>
              <w:jc w:val="center"/>
              <w:rPr>
                <w:rFonts w:hint="eastAsia" w:ascii="宋体" w:hAnsi="宋体" w:cs="宋体"/>
                <w:color w:val="000000"/>
                <w:kern w:val="0"/>
                <w:sz w:val="18"/>
                <w:szCs w:val="18"/>
              </w:rPr>
            </w:pPr>
          </w:p>
        </w:tc>
        <w:tc>
          <w:tcPr>
            <w:tcW w:w="424" w:type="pct"/>
            <w:shd w:val="clear" w:color="auto" w:fill="auto"/>
          </w:tcPr>
          <w:p w14:paraId="06ED9D06">
            <w:pPr>
              <w:spacing w:line="240" w:lineRule="exact"/>
              <w:ind w:firstLine="0" w:firstLineChars="0"/>
              <w:jc w:val="center"/>
              <w:rPr>
                <w:rFonts w:hint="eastAsia" w:ascii="宋体" w:hAnsi="宋体" w:cs="宋体"/>
                <w:color w:val="000000"/>
                <w:kern w:val="0"/>
                <w:sz w:val="18"/>
                <w:szCs w:val="18"/>
              </w:rPr>
            </w:pPr>
          </w:p>
        </w:tc>
        <w:tc>
          <w:tcPr>
            <w:tcW w:w="391" w:type="pct"/>
          </w:tcPr>
          <w:p w14:paraId="64AD9FA8">
            <w:pPr>
              <w:spacing w:line="240" w:lineRule="exact"/>
              <w:ind w:firstLine="0" w:firstLineChars="0"/>
              <w:jc w:val="center"/>
              <w:rPr>
                <w:rFonts w:hint="eastAsia" w:ascii="宋体" w:hAnsi="宋体" w:cs="宋体"/>
                <w:color w:val="000000"/>
                <w:kern w:val="0"/>
                <w:sz w:val="18"/>
                <w:szCs w:val="18"/>
              </w:rPr>
            </w:pPr>
          </w:p>
        </w:tc>
        <w:tc>
          <w:tcPr>
            <w:tcW w:w="381" w:type="pct"/>
          </w:tcPr>
          <w:p w14:paraId="73D2DDE0">
            <w:pPr>
              <w:spacing w:line="240" w:lineRule="exact"/>
              <w:ind w:firstLine="0" w:firstLineChars="0"/>
              <w:jc w:val="center"/>
              <w:rPr>
                <w:rFonts w:hint="eastAsia" w:ascii="宋体" w:hAnsi="宋体" w:cs="宋体"/>
                <w:color w:val="000000"/>
                <w:kern w:val="0"/>
                <w:sz w:val="18"/>
                <w:szCs w:val="18"/>
              </w:rPr>
            </w:pPr>
          </w:p>
        </w:tc>
        <w:tc>
          <w:tcPr>
            <w:tcW w:w="468" w:type="pct"/>
          </w:tcPr>
          <w:p w14:paraId="7B96BF26">
            <w:pPr>
              <w:spacing w:line="240" w:lineRule="exact"/>
              <w:ind w:firstLine="0" w:firstLineChars="0"/>
              <w:jc w:val="center"/>
              <w:rPr>
                <w:rFonts w:hint="eastAsia" w:ascii="宋体" w:hAnsi="宋体" w:cs="宋体"/>
                <w:color w:val="000000"/>
                <w:kern w:val="0"/>
                <w:sz w:val="18"/>
                <w:szCs w:val="18"/>
              </w:rPr>
            </w:pPr>
          </w:p>
        </w:tc>
      </w:tr>
      <w:tr w14:paraId="692B2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0E68EB0B">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w:t>
            </w:r>
          </w:p>
        </w:tc>
        <w:tc>
          <w:tcPr>
            <w:tcW w:w="638" w:type="pct"/>
            <w:shd w:val="clear" w:color="auto" w:fill="auto"/>
            <w:vAlign w:val="center"/>
          </w:tcPr>
          <w:p w14:paraId="6A0DC00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资本金投入</w:t>
            </w:r>
          </w:p>
        </w:tc>
        <w:tc>
          <w:tcPr>
            <w:tcW w:w="483" w:type="pct"/>
            <w:shd w:val="clear" w:color="auto" w:fill="auto"/>
          </w:tcPr>
          <w:p w14:paraId="2C8D1E92">
            <w:pPr>
              <w:spacing w:line="240" w:lineRule="exact"/>
              <w:ind w:firstLine="0" w:firstLineChars="0"/>
              <w:jc w:val="center"/>
              <w:rPr>
                <w:rFonts w:hint="eastAsia" w:ascii="宋体" w:hAnsi="宋体" w:cs="宋体"/>
                <w:color w:val="000000"/>
                <w:kern w:val="0"/>
                <w:sz w:val="18"/>
                <w:szCs w:val="18"/>
              </w:rPr>
            </w:pPr>
          </w:p>
        </w:tc>
        <w:tc>
          <w:tcPr>
            <w:tcW w:w="422" w:type="pct"/>
            <w:shd w:val="clear" w:color="auto" w:fill="auto"/>
          </w:tcPr>
          <w:p w14:paraId="3CDA7FD6">
            <w:pPr>
              <w:spacing w:line="240" w:lineRule="exact"/>
              <w:ind w:firstLine="0" w:firstLineChars="0"/>
              <w:jc w:val="center"/>
              <w:rPr>
                <w:rFonts w:hint="eastAsia" w:ascii="宋体" w:hAnsi="宋体" w:cs="宋体"/>
                <w:color w:val="000000"/>
                <w:kern w:val="0"/>
                <w:sz w:val="18"/>
                <w:szCs w:val="18"/>
              </w:rPr>
            </w:pPr>
          </w:p>
        </w:tc>
        <w:tc>
          <w:tcPr>
            <w:tcW w:w="396" w:type="pct"/>
            <w:shd w:val="clear" w:color="auto" w:fill="auto"/>
          </w:tcPr>
          <w:p w14:paraId="25670272">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7BD590C0">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4B1EFE93">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7F192BBC">
            <w:pPr>
              <w:spacing w:line="240" w:lineRule="exact"/>
              <w:ind w:firstLine="0" w:firstLineChars="0"/>
              <w:jc w:val="center"/>
              <w:rPr>
                <w:rFonts w:hint="eastAsia" w:ascii="宋体" w:hAnsi="宋体" w:cs="宋体"/>
                <w:color w:val="000000"/>
                <w:kern w:val="0"/>
                <w:sz w:val="18"/>
                <w:szCs w:val="18"/>
              </w:rPr>
            </w:pPr>
          </w:p>
        </w:tc>
        <w:tc>
          <w:tcPr>
            <w:tcW w:w="424" w:type="pct"/>
            <w:shd w:val="clear" w:color="auto" w:fill="auto"/>
          </w:tcPr>
          <w:p w14:paraId="03AFBF71">
            <w:pPr>
              <w:spacing w:line="240" w:lineRule="exact"/>
              <w:ind w:firstLine="0" w:firstLineChars="0"/>
              <w:jc w:val="center"/>
              <w:rPr>
                <w:rFonts w:hint="eastAsia" w:ascii="宋体" w:hAnsi="宋体" w:cs="宋体"/>
                <w:color w:val="000000"/>
                <w:kern w:val="0"/>
                <w:sz w:val="18"/>
                <w:szCs w:val="18"/>
              </w:rPr>
            </w:pPr>
          </w:p>
        </w:tc>
        <w:tc>
          <w:tcPr>
            <w:tcW w:w="391" w:type="pct"/>
          </w:tcPr>
          <w:p w14:paraId="084FF426">
            <w:pPr>
              <w:spacing w:line="240" w:lineRule="exact"/>
              <w:ind w:firstLine="0" w:firstLineChars="0"/>
              <w:jc w:val="center"/>
              <w:rPr>
                <w:rFonts w:hint="eastAsia" w:ascii="宋体" w:hAnsi="宋体" w:cs="宋体"/>
                <w:color w:val="000000"/>
                <w:kern w:val="0"/>
                <w:sz w:val="18"/>
                <w:szCs w:val="18"/>
              </w:rPr>
            </w:pPr>
          </w:p>
        </w:tc>
        <w:tc>
          <w:tcPr>
            <w:tcW w:w="381" w:type="pct"/>
          </w:tcPr>
          <w:p w14:paraId="7E55FBB7">
            <w:pPr>
              <w:spacing w:line="240" w:lineRule="exact"/>
              <w:ind w:firstLine="0" w:firstLineChars="0"/>
              <w:jc w:val="center"/>
              <w:rPr>
                <w:rFonts w:hint="eastAsia" w:ascii="宋体" w:hAnsi="宋体" w:cs="宋体"/>
                <w:color w:val="000000"/>
                <w:kern w:val="0"/>
                <w:sz w:val="18"/>
                <w:szCs w:val="18"/>
              </w:rPr>
            </w:pPr>
          </w:p>
        </w:tc>
        <w:tc>
          <w:tcPr>
            <w:tcW w:w="468" w:type="pct"/>
          </w:tcPr>
          <w:p w14:paraId="43A6983C">
            <w:pPr>
              <w:spacing w:line="240" w:lineRule="exact"/>
              <w:ind w:firstLine="0" w:firstLineChars="0"/>
              <w:jc w:val="center"/>
              <w:rPr>
                <w:rFonts w:hint="eastAsia" w:ascii="宋体" w:hAnsi="宋体" w:cs="宋体"/>
                <w:color w:val="000000"/>
                <w:kern w:val="0"/>
                <w:sz w:val="18"/>
                <w:szCs w:val="18"/>
              </w:rPr>
            </w:pPr>
          </w:p>
        </w:tc>
      </w:tr>
      <w:tr w14:paraId="4E420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3681D52D">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二</w:t>
            </w:r>
          </w:p>
        </w:tc>
        <w:tc>
          <w:tcPr>
            <w:tcW w:w="638" w:type="pct"/>
            <w:shd w:val="clear" w:color="auto" w:fill="auto"/>
            <w:vAlign w:val="center"/>
          </w:tcPr>
          <w:p w14:paraId="2DDBFE95">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现金流出</w:t>
            </w:r>
          </w:p>
        </w:tc>
        <w:tc>
          <w:tcPr>
            <w:tcW w:w="483" w:type="pct"/>
            <w:shd w:val="clear" w:color="auto" w:fill="auto"/>
          </w:tcPr>
          <w:p w14:paraId="6BC26EC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48,791.92</w:t>
            </w:r>
          </w:p>
        </w:tc>
        <w:tc>
          <w:tcPr>
            <w:tcW w:w="422" w:type="pct"/>
            <w:shd w:val="clear" w:color="auto" w:fill="auto"/>
          </w:tcPr>
          <w:p w14:paraId="1D216BB1">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48,423.92</w:t>
            </w:r>
          </w:p>
        </w:tc>
        <w:tc>
          <w:tcPr>
            <w:tcW w:w="396" w:type="pct"/>
            <w:shd w:val="clear" w:color="auto" w:fill="auto"/>
          </w:tcPr>
          <w:p w14:paraId="262D283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48,055.92</w:t>
            </w:r>
          </w:p>
        </w:tc>
        <w:tc>
          <w:tcPr>
            <w:tcW w:w="391" w:type="pct"/>
            <w:shd w:val="clear" w:color="auto" w:fill="auto"/>
          </w:tcPr>
          <w:p w14:paraId="2D6C815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47,780.65</w:t>
            </w:r>
          </w:p>
        </w:tc>
        <w:tc>
          <w:tcPr>
            <w:tcW w:w="391" w:type="pct"/>
            <w:shd w:val="clear" w:color="auto" w:fill="auto"/>
          </w:tcPr>
          <w:p w14:paraId="36AA219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47,413.65</w:t>
            </w:r>
          </w:p>
        </w:tc>
        <w:tc>
          <w:tcPr>
            <w:tcW w:w="391" w:type="pct"/>
            <w:shd w:val="clear" w:color="auto" w:fill="auto"/>
          </w:tcPr>
          <w:p w14:paraId="37D7B94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47,045.65</w:t>
            </w:r>
          </w:p>
        </w:tc>
        <w:tc>
          <w:tcPr>
            <w:tcW w:w="424" w:type="pct"/>
            <w:shd w:val="clear" w:color="auto" w:fill="auto"/>
          </w:tcPr>
          <w:p w14:paraId="69EAE82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76,092.78</w:t>
            </w:r>
          </w:p>
        </w:tc>
        <w:tc>
          <w:tcPr>
            <w:tcW w:w="391" w:type="pct"/>
          </w:tcPr>
          <w:p w14:paraId="73D9DFF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45,074.50</w:t>
            </w:r>
          </w:p>
        </w:tc>
        <w:tc>
          <w:tcPr>
            <w:tcW w:w="381" w:type="pct"/>
          </w:tcPr>
          <w:p w14:paraId="0871C38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44,585.50</w:t>
            </w:r>
          </w:p>
        </w:tc>
        <w:tc>
          <w:tcPr>
            <w:tcW w:w="468" w:type="pct"/>
          </w:tcPr>
          <w:p w14:paraId="0F65C4F8">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44,200.83</w:t>
            </w:r>
          </w:p>
        </w:tc>
      </w:tr>
      <w:tr w14:paraId="06909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18" w:type="pct"/>
            <w:shd w:val="clear" w:color="auto" w:fill="auto"/>
            <w:vAlign w:val="center"/>
          </w:tcPr>
          <w:p w14:paraId="56CB89AB">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w:t>
            </w:r>
          </w:p>
        </w:tc>
        <w:tc>
          <w:tcPr>
            <w:tcW w:w="638" w:type="pct"/>
            <w:shd w:val="clear" w:color="auto" w:fill="auto"/>
            <w:vAlign w:val="center"/>
          </w:tcPr>
          <w:p w14:paraId="596D48E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483" w:type="pct"/>
            <w:shd w:val="clear" w:color="auto" w:fill="auto"/>
          </w:tcPr>
          <w:p w14:paraId="509383D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11,969.50</w:t>
            </w:r>
          </w:p>
        </w:tc>
        <w:tc>
          <w:tcPr>
            <w:tcW w:w="422" w:type="pct"/>
            <w:shd w:val="clear" w:color="auto" w:fill="auto"/>
          </w:tcPr>
          <w:p w14:paraId="46359D7B">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12,189.50</w:t>
            </w:r>
          </w:p>
        </w:tc>
        <w:tc>
          <w:tcPr>
            <w:tcW w:w="396" w:type="pct"/>
            <w:shd w:val="clear" w:color="auto" w:fill="auto"/>
          </w:tcPr>
          <w:p w14:paraId="11E7516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12,409.50</w:t>
            </w:r>
          </w:p>
        </w:tc>
        <w:tc>
          <w:tcPr>
            <w:tcW w:w="391" w:type="pct"/>
            <w:shd w:val="clear" w:color="auto" w:fill="auto"/>
          </w:tcPr>
          <w:p w14:paraId="7229939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12,722.23</w:t>
            </w:r>
          </w:p>
        </w:tc>
        <w:tc>
          <w:tcPr>
            <w:tcW w:w="391" w:type="pct"/>
            <w:shd w:val="clear" w:color="auto" w:fill="auto"/>
          </w:tcPr>
          <w:p w14:paraId="4010A94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12,943.23</w:t>
            </w:r>
          </w:p>
        </w:tc>
        <w:tc>
          <w:tcPr>
            <w:tcW w:w="391" w:type="pct"/>
            <w:shd w:val="clear" w:color="auto" w:fill="auto"/>
          </w:tcPr>
          <w:p w14:paraId="5A3BE2E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13,163.23</w:t>
            </w:r>
          </w:p>
        </w:tc>
        <w:tc>
          <w:tcPr>
            <w:tcW w:w="424" w:type="pct"/>
            <w:shd w:val="clear" w:color="auto" w:fill="auto"/>
          </w:tcPr>
          <w:p w14:paraId="467BF83B">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13,495.64</w:t>
            </w:r>
          </w:p>
        </w:tc>
        <w:tc>
          <w:tcPr>
            <w:tcW w:w="391" w:type="pct"/>
          </w:tcPr>
          <w:p w14:paraId="1CEEBA2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13,594.64</w:t>
            </w:r>
          </w:p>
        </w:tc>
        <w:tc>
          <w:tcPr>
            <w:tcW w:w="381" w:type="pct"/>
          </w:tcPr>
          <w:p w14:paraId="0D67AE3B">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13,693.64</w:t>
            </w:r>
          </w:p>
        </w:tc>
        <w:tc>
          <w:tcPr>
            <w:tcW w:w="468" w:type="pct"/>
          </w:tcPr>
          <w:p w14:paraId="5D93B4EB">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13,896.97</w:t>
            </w:r>
          </w:p>
        </w:tc>
      </w:tr>
      <w:tr w14:paraId="75212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7317DA4E">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1.1</w:t>
            </w:r>
          </w:p>
        </w:tc>
        <w:tc>
          <w:tcPr>
            <w:tcW w:w="638" w:type="pct"/>
            <w:shd w:val="clear" w:color="auto" w:fill="auto"/>
            <w:vAlign w:val="center"/>
          </w:tcPr>
          <w:p w14:paraId="751EE7B5">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运营成本</w:t>
            </w:r>
          </w:p>
        </w:tc>
        <w:tc>
          <w:tcPr>
            <w:tcW w:w="483" w:type="pct"/>
            <w:shd w:val="clear" w:color="auto" w:fill="auto"/>
          </w:tcPr>
          <w:p w14:paraId="3DABF0E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11,969.50</w:t>
            </w:r>
          </w:p>
        </w:tc>
        <w:tc>
          <w:tcPr>
            <w:tcW w:w="422" w:type="pct"/>
            <w:shd w:val="clear" w:color="auto" w:fill="auto"/>
            <w:noWrap/>
          </w:tcPr>
          <w:p w14:paraId="0844D7C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12,189.50</w:t>
            </w:r>
          </w:p>
        </w:tc>
        <w:tc>
          <w:tcPr>
            <w:tcW w:w="396" w:type="pct"/>
            <w:shd w:val="clear" w:color="auto" w:fill="auto"/>
            <w:noWrap/>
          </w:tcPr>
          <w:p w14:paraId="5415F628">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12,409.50</w:t>
            </w:r>
          </w:p>
        </w:tc>
        <w:tc>
          <w:tcPr>
            <w:tcW w:w="391" w:type="pct"/>
            <w:shd w:val="clear" w:color="auto" w:fill="auto"/>
            <w:noWrap/>
          </w:tcPr>
          <w:p w14:paraId="69913DB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12,722.23</w:t>
            </w:r>
          </w:p>
        </w:tc>
        <w:tc>
          <w:tcPr>
            <w:tcW w:w="391" w:type="pct"/>
            <w:shd w:val="clear" w:color="auto" w:fill="auto"/>
            <w:noWrap/>
          </w:tcPr>
          <w:p w14:paraId="03F95F8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12,943.23</w:t>
            </w:r>
          </w:p>
        </w:tc>
        <w:tc>
          <w:tcPr>
            <w:tcW w:w="391" w:type="pct"/>
            <w:shd w:val="clear" w:color="auto" w:fill="auto"/>
            <w:noWrap/>
          </w:tcPr>
          <w:p w14:paraId="10D1E9C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13,163.23</w:t>
            </w:r>
          </w:p>
        </w:tc>
        <w:tc>
          <w:tcPr>
            <w:tcW w:w="424" w:type="pct"/>
            <w:shd w:val="clear" w:color="auto" w:fill="auto"/>
            <w:noWrap/>
          </w:tcPr>
          <w:p w14:paraId="6001375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13,495.64</w:t>
            </w:r>
          </w:p>
        </w:tc>
        <w:tc>
          <w:tcPr>
            <w:tcW w:w="391" w:type="pct"/>
          </w:tcPr>
          <w:p w14:paraId="29B45D6B">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13,594.64</w:t>
            </w:r>
          </w:p>
        </w:tc>
        <w:tc>
          <w:tcPr>
            <w:tcW w:w="381" w:type="pct"/>
          </w:tcPr>
          <w:p w14:paraId="0770ABC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13,693.64</w:t>
            </w:r>
          </w:p>
        </w:tc>
        <w:tc>
          <w:tcPr>
            <w:tcW w:w="468" w:type="pct"/>
          </w:tcPr>
          <w:p w14:paraId="087B16A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13,896.97</w:t>
            </w:r>
          </w:p>
        </w:tc>
      </w:tr>
      <w:tr w14:paraId="018E8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13D5165C">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1.2</w:t>
            </w:r>
          </w:p>
        </w:tc>
        <w:tc>
          <w:tcPr>
            <w:tcW w:w="638" w:type="pct"/>
            <w:shd w:val="clear" w:color="auto" w:fill="auto"/>
            <w:vAlign w:val="center"/>
          </w:tcPr>
          <w:p w14:paraId="70C78FB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税金支出</w:t>
            </w:r>
          </w:p>
        </w:tc>
        <w:tc>
          <w:tcPr>
            <w:tcW w:w="483" w:type="pct"/>
            <w:shd w:val="clear" w:color="auto" w:fill="auto"/>
          </w:tcPr>
          <w:p w14:paraId="32E1B74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422" w:type="pct"/>
            <w:shd w:val="clear" w:color="auto" w:fill="auto"/>
            <w:noWrap/>
          </w:tcPr>
          <w:p w14:paraId="1840D711">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396" w:type="pct"/>
            <w:shd w:val="clear" w:color="auto" w:fill="auto"/>
            <w:noWrap/>
          </w:tcPr>
          <w:p w14:paraId="0A876A7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391" w:type="pct"/>
            <w:shd w:val="clear" w:color="auto" w:fill="auto"/>
            <w:noWrap/>
          </w:tcPr>
          <w:p w14:paraId="080C0F0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391" w:type="pct"/>
            <w:shd w:val="clear" w:color="auto" w:fill="auto"/>
            <w:noWrap/>
          </w:tcPr>
          <w:p w14:paraId="51AA4BE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391" w:type="pct"/>
            <w:shd w:val="clear" w:color="auto" w:fill="auto"/>
            <w:noWrap/>
          </w:tcPr>
          <w:p w14:paraId="0D2F93A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424" w:type="pct"/>
            <w:shd w:val="clear" w:color="auto" w:fill="auto"/>
            <w:noWrap/>
          </w:tcPr>
          <w:p w14:paraId="754004E5">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391" w:type="pct"/>
          </w:tcPr>
          <w:p w14:paraId="3408AADF">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81" w:type="pct"/>
          </w:tcPr>
          <w:p w14:paraId="4B8FF338">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68" w:type="pct"/>
          </w:tcPr>
          <w:p w14:paraId="6C728CC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63328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18" w:type="pct"/>
            <w:shd w:val="clear" w:color="auto" w:fill="auto"/>
            <w:vAlign w:val="center"/>
          </w:tcPr>
          <w:p w14:paraId="52EB98CF">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w:t>
            </w:r>
          </w:p>
        </w:tc>
        <w:tc>
          <w:tcPr>
            <w:tcW w:w="638" w:type="pct"/>
            <w:shd w:val="clear" w:color="auto" w:fill="auto"/>
            <w:vAlign w:val="center"/>
          </w:tcPr>
          <w:p w14:paraId="335211DF">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483" w:type="pct"/>
            <w:shd w:val="clear" w:color="auto" w:fill="auto"/>
          </w:tcPr>
          <w:p w14:paraId="6E8460B1">
            <w:pPr>
              <w:spacing w:line="240" w:lineRule="exact"/>
              <w:ind w:firstLine="0" w:firstLineChars="0"/>
              <w:jc w:val="center"/>
              <w:rPr>
                <w:rFonts w:hint="eastAsia" w:ascii="宋体" w:hAnsi="宋体" w:cs="宋体"/>
                <w:color w:val="000000"/>
                <w:kern w:val="0"/>
                <w:sz w:val="18"/>
                <w:szCs w:val="18"/>
              </w:rPr>
            </w:pPr>
          </w:p>
        </w:tc>
        <w:tc>
          <w:tcPr>
            <w:tcW w:w="422" w:type="pct"/>
            <w:shd w:val="clear" w:color="auto" w:fill="auto"/>
          </w:tcPr>
          <w:p w14:paraId="677E477B">
            <w:pPr>
              <w:spacing w:line="240" w:lineRule="exact"/>
              <w:ind w:firstLine="0" w:firstLineChars="0"/>
              <w:jc w:val="center"/>
              <w:rPr>
                <w:rFonts w:hint="eastAsia" w:ascii="宋体" w:hAnsi="宋体" w:cs="宋体"/>
                <w:color w:val="000000"/>
                <w:kern w:val="0"/>
                <w:sz w:val="18"/>
                <w:szCs w:val="18"/>
              </w:rPr>
            </w:pPr>
          </w:p>
        </w:tc>
        <w:tc>
          <w:tcPr>
            <w:tcW w:w="396" w:type="pct"/>
            <w:shd w:val="clear" w:color="auto" w:fill="auto"/>
          </w:tcPr>
          <w:p w14:paraId="72892A26">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1322E64C">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3CE9BA11">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6D93EA73">
            <w:pPr>
              <w:spacing w:line="240" w:lineRule="exact"/>
              <w:ind w:firstLine="0" w:firstLineChars="0"/>
              <w:jc w:val="center"/>
              <w:rPr>
                <w:rFonts w:hint="eastAsia" w:ascii="宋体" w:hAnsi="宋体" w:cs="宋体"/>
                <w:color w:val="000000"/>
                <w:kern w:val="0"/>
                <w:sz w:val="18"/>
                <w:szCs w:val="18"/>
              </w:rPr>
            </w:pPr>
          </w:p>
        </w:tc>
        <w:tc>
          <w:tcPr>
            <w:tcW w:w="424" w:type="pct"/>
            <w:shd w:val="clear" w:color="auto" w:fill="auto"/>
          </w:tcPr>
          <w:p w14:paraId="5E963A88">
            <w:pPr>
              <w:spacing w:line="240" w:lineRule="exact"/>
              <w:ind w:firstLine="0" w:firstLineChars="0"/>
              <w:jc w:val="center"/>
              <w:rPr>
                <w:rFonts w:hint="eastAsia" w:ascii="宋体" w:hAnsi="宋体" w:cs="宋体"/>
                <w:color w:val="000000"/>
                <w:kern w:val="0"/>
                <w:sz w:val="18"/>
                <w:szCs w:val="18"/>
              </w:rPr>
            </w:pPr>
          </w:p>
        </w:tc>
        <w:tc>
          <w:tcPr>
            <w:tcW w:w="391" w:type="pct"/>
          </w:tcPr>
          <w:p w14:paraId="44505DE1">
            <w:pPr>
              <w:spacing w:line="240" w:lineRule="exact"/>
              <w:ind w:firstLine="0" w:firstLineChars="0"/>
              <w:jc w:val="center"/>
              <w:rPr>
                <w:rFonts w:hint="eastAsia" w:ascii="宋体" w:hAnsi="宋体" w:cs="宋体"/>
                <w:color w:val="000000"/>
                <w:kern w:val="0"/>
                <w:sz w:val="18"/>
                <w:szCs w:val="18"/>
              </w:rPr>
            </w:pPr>
          </w:p>
        </w:tc>
        <w:tc>
          <w:tcPr>
            <w:tcW w:w="381" w:type="pct"/>
          </w:tcPr>
          <w:p w14:paraId="5A2E5ED9">
            <w:pPr>
              <w:spacing w:line="240" w:lineRule="exact"/>
              <w:ind w:firstLine="0" w:firstLineChars="0"/>
              <w:jc w:val="center"/>
              <w:rPr>
                <w:rFonts w:hint="eastAsia" w:ascii="宋体" w:hAnsi="宋体" w:cs="宋体"/>
                <w:color w:val="000000"/>
                <w:kern w:val="0"/>
                <w:sz w:val="18"/>
                <w:szCs w:val="18"/>
              </w:rPr>
            </w:pPr>
          </w:p>
        </w:tc>
        <w:tc>
          <w:tcPr>
            <w:tcW w:w="468" w:type="pct"/>
          </w:tcPr>
          <w:p w14:paraId="3FF98A11">
            <w:pPr>
              <w:spacing w:line="240" w:lineRule="exact"/>
              <w:ind w:firstLine="0" w:firstLineChars="0"/>
              <w:jc w:val="center"/>
              <w:rPr>
                <w:rFonts w:hint="eastAsia" w:ascii="宋体" w:hAnsi="宋体" w:cs="宋体"/>
                <w:color w:val="000000"/>
                <w:kern w:val="0"/>
                <w:sz w:val="18"/>
                <w:szCs w:val="18"/>
              </w:rPr>
            </w:pPr>
          </w:p>
        </w:tc>
      </w:tr>
      <w:tr w14:paraId="5B11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18" w:type="pct"/>
            <w:shd w:val="clear" w:color="auto" w:fill="auto"/>
            <w:vAlign w:val="center"/>
          </w:tcPr>
          <w:p w14:paraId="23D27C0D">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w:t>
            </w:r>
          </w:p>
        </w:tc>
        <w:tc>
          <w:tcPr>
            <w:tcW w:w="638" w:type="pct"/>
            <w:shd w:val="clear" w:color="auto" w:fill="auto"/>
            <w:vAlign w:val="center"/>
          </w:tcPr>
          <w:p w14:paraId="5CEDC18F">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483" w:type="pct"/>
            <w:shd w:val="clear" w:color="auto" w:fill="auto"/>
          </w:tcPr>
          <w:p w14:paraId="282765B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36,822.42</w:t>
            </w:r>
          </w:p>
        </w:tc>
        <w:tc>
          <w:tcPr>
            <w:tcW w:w="422" w:type="pct"/>
            <w:shd w:val="clear" w:color="auto" w:fill="auto"/>
          </w:tcPr>
          <w:p w14:paraId="0A74E98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36,234.42</w:t>
            </w:r>
          </w:p>
        </w:tc>
        <w:tc>
          <w:tcPr>
            <w:tcW w:w="396" w:type="pct"/>
            <w:shd w:val="clear" w:color="auto" w:fill="auto"/>
          </w:tcPr>
          <w:p w14:paraId="422EC82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35,646.42</w:t>
            </w:r>
          </w:p>
        </w:tc>
        <w:tc>
          <w:tcPr>
            <w:tcW w:w="391" w:type="pct"/>
            <w:shd w:val="clear" w:color="auto" w:fill="auto"/>
          </w:tcPr>
          <w:p w14:paraId="17C1C5FB">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35,058.42</w:t>
            </w:r>
          </w:p>
        </w:tc>
        <w:tc>
          <w:tcPr>
            <w:tcW w:w="391" w:type="pct"/>
            <w:shd w:val="clear" w:color="auto" w:fill="auto"/>
          </w:tcPr>
          <w:p w14:paraId="7FD4F60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34,470.42</w:t>
            </w:r>
          </w:p>
        </w:tc>
        <w:tc>
          <w:tcPr>
            <w:tcW w:w="391" w:type="pct"/>
            <w:shd w:val="clear" w:color="auto" w:fill="auto"/>
          </w:tcPr>
          <w:p w14:paraId="27EFBEE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33,882.42</w:t>
            </w:r>
          </w:p>
        </w:tc>
        <w:tc>
          <w:tcPr>
            <w:tcW w:w="424" w:type="pct"/>
            <w:shd w:val="clear" w:color="auto" w:fill="auto"/>
          </w:tcPr>
          <w:p w14:paraId="337B01F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62,597.14</w:t>
            </w:r>
          </w:p>
        </w:tc>
        <w:tc>
          <w:tcPr>
            <w:tcW w:w="391" w:type="pct"/>
          </w:tcPr>
          <w:p w14:paraId="1107A2C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31,479.86</w:t>
            </w:r>
          </w:p>
        </w:tc>
        <w:tc>
          <w:tcPr>
            <w:tcW w:w="381" w:type="pct"/>
          </w:tcPr>
          <w:p w14:paraId="6CFD30D1">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30,891.86</w:t>
            </w:r>
          </w:p>
        </w:tc>
        <w:tc>
          <w:tcPr>
            <w:tcW w:w="468" w:type="pct"/>
          </w:tcPr>
          <w:p w14:paraId="4846B16B">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30,303.86</w:t>
            </w:r>
          </w:p>
        </w:tc>
      </w:tr>
      <w:tr w14:paraId="41C16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3EFE182B">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3.1</w:t>
            </w:r>
          </w:p>
        </w:tc>
        <w:tc>
          <w:tcPr>
            <w:tcW w:w="638" w:type="pct"/>
            <w:shd w:val="clear" w:color="auto" w:fill="auto"/>
            <w:vAlign w:val="center"/>
          </w:tcPr>
          <w:p w14:paraId="34F1F10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债券发行费用</w:t>
            </w:r>
          </w:p>
        </w:tc>
        <w:tc>
          <w:tcPr>
            <w:tcW w:w="483" w:type="pct"/>
            <w:shd w:val="clear" w:color="auto" w:fill="auto"/>
          </w:tcPr>
          <w:p w14:paraId="40B8775A">
            <w:pPr>
              <w:spacing w:line="240" w:lineRule="exact"/>
              <w:ind w:firstLine="0" w:firstLineChars="0"/>
              <w:jc w:val="center"/>
              <w:rPr>
                <w:rFonts w:hint="eastAsia" w:ascii="宋体" w:hAnsi="宋体" w:cs="宋体"/>
                <w:color w:val="000000"/>
                <w:kern w:val="0"/>
                <w:sz w:val="18"/>
                <w:szCs w:val="18"/>
              </w:rPr>
            </w:pPr>
          </w:p>
        </w:tc>
        <w:tc>
          <w:tcPr>
            <w:tcW w:w="422" w:type="pct"/>
            <w:shd w:val="clear" w:color="auto" w:fill="auto"/>
          </w:tcPr>
          <w:p w14:paraId="7FC7A16A">
            <w:pPr>
              <w:spacing w:line="240" w:lineRule="exact"/>
              <w:ind w:firstLine="0" w:firstLineChars="0"/>
              <w:jc w:val="center"/>
              <w:rPr>
                <w:rFonts w:hint="eastAsia" w:ascii="宋体" w:hAnsi="宋体" w:cs="宋体"/>
                <w:color w:val="000000"/>
                <w:kern w:val="0"/>
                <w:sz w:val="18"/>
                <w:szCs w:val="18"/>
              </w:rPr>
            </w:pPr>
          </w:p>
        </w:tc>
        <w:tc>
          <w:tcPr>
            <w:tcW w:w="396" w:type="pct"/>
            <w:shd w:val="clear" w:color="auto" w:fill="auto"/>
          </w:tcPr>
          <w:p w14:paraId="28886B07">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147EA76A">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59E94601">
            <w:pPr>
              <w:spacing w:line="240" w:lineRule="exact"/>
              <w:ind w:firstLine="0" w:firstLineChars="0"/>
              <w:jc w:val="center"/>
              <w:rPr>
                <w:rFonts w:hint="eastAsia" w:ascii="宋体" w:hAnsi="宋体" w:cs="宋体"/>
                <w:color w:val="000000"/>
                <w:kern w:val="0"/>
                <w:sz w:val="18"/>
                <w:szCs w:val="18"/>
              </w:rPr>
            </w:pPr>
          </w:p>
        </w:tc>
        <w:tc>
          <w:tcPr>
            <w:tcW w:w="391" w:type="pct"/>
            <w:shd w:val="clear" w:color="auto" w:fill="auto"/>
          </w:tcPr>
          <w:p w14:paraId="652F6C8D">
            <w:pPr>
              <w:spacing w:line="240" w:lineRule="exact"/>
              <w:ind w:firstLine="0" w:firstLineChars="0"/>
              <w:jc w:val="center"/>
              <w:rPr>
                <w:rFonts w:hint="eastAsia" w:ascii="宋体" w:hAnsi="宋体" w:cs="宋体"/>
                <w:color w:val="000000"/>
                <w:kern w:val="0"/>
                <w:sz w:val="18"/>
                <w:szCs w:val="18"/>
              </w:rPr>
            </w:pPr>
          </w:p>
        </w:tc>
        <w:tc>
          <w:tcPr>
            <w:tcW w:w="424" w:type="pct"/>
            <w:shd w:val="clear" w:color="auto" w:fill="auto"/>
          </w:tcPr>
          <w:p w14:paraId="67645568">
            <w:pPr>
              <w:spacing w:line="240" w:lineRule="exact"/>
              <w:ind w:firstLine="0" w:firstLineChars="0"/>
              <w:jc w:val="center"/>
              <w:rPr>
                <w:rFonts w:hint="eastAsia" w:ascii="宋体" w:hAnsi="宋体" w:cs="宋体"/>
                <w:color w:val="000000"/>
                <w:kern w:val="0"/>
                <w:sz w:val="18"/>
                <w:szCs w:val="18"/>
              </w:rPr>
            </w:pPr>
          </w:p>
        </w:tc>
        <w:tc>
          <w:tcPr>
            <w:tcW w:w="391" w:type="pct"/>
          </w:tcPr>
          <w:p w14:paraId="0F2D5E1C">
            <w:pPr>
              <w:spacing w:line="240" w:lineRule="exact"/>
              <w:ind w:firstLine="0" w:firstLineChars="0"/>
              <w:jc w:val="center"/>
              <w:rPr>
                <w:rFonts w:hint="eastAsia" w:ascii="宋体" w:hAnsi="宋体" w:cs="宋体"/>
                <w:color w:val="000000"/>
                <w:kern w:val="0"/>
                <w:sz w:val="18"/>
                <w:szCs w:val="18"/>
              </w:rPr>
            </w:pPr>
          </w:p>
        </w:tc>
        <w:tc>
          <w:tcPr>
            <w:tcW w:w="381" w:type="pct"/>
          </w:tcPr>
          <w:p w14:paraId="5A801E27">
            <w:pPr>
              <w:spacing w:line="240" w:lineRule="exact"/>
              <w:ind w:firstLine="0" w:firstLineChars="0"/>
              <w:jc w:val="center"/>
              <w:rPr>
                <w:rFonts w:hint="eastAsia" w:ascii="宋体" w:hAnsi="宋体" w:cs="宋体"/>
                <w:color w:val="000000"/>
                <w:kern w:val="0"/>
                <w:sz w:val="18"/>
                <w:szCs w:val="18"/>
              </w:rPr>
            </w:pPr>
          </w:p>
        </w:tc>
        <w:tc>
          <w:tcPr>
            <w:tcW w:w="468" w:type="pct"/>
          </w:tcPr>
          <w:p w14:paraId="0011B10A">
            <w:pPr>
              <w:spacing w:line="240" w:lineRule="exact"/>
              <w:ind w:firstLine="0" w:firstLineChars="0"/>
              <w:jc w:val="center"/>
              <w:rPr>
                <w:rFonts w:hint="eastAsia" w:ascii="宋体" w:hAnsi="宋体" w:cs="宋体"/>
                <w:color w:val="000000"/>
                <w:kern w:val="0"/>
                <w:sz w:val="18"/>
                <w:szCs w:val="18"/>
              </w:rPr>
            </w:pPr>
          </w:p>
        </w:tc>
      </w:tr>
      <w:tr w14:paraId="5F5A8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343A87EE">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3.2</w:t>
            </w:r>
          </w:p>
        </w:tc>
        <w:tc>
          <w:tcPr>
            <w:tcW w:w="638" w:type="pct"/>
            <w:shd w:val="clear" w:color="auto" w:fill="auto"/>
            <w:vAlign w:val="center"/>
          </w:tcPr>
          <w:p w14:paraId="447D750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偿还债券本金</w:t>
            </w:r>
          </w:p>
        </w:tc>
        <w:tc>
          <w:tcPr>
            <w:tcW w:w="483" w:type="pct"/>
            <w:shd w:val="clear" w:color="auto" w:fill="auto"/>
          </w:tcPr>
          <w:p w14:paraId="1BFE5C0A">
            <w:pPr>
              <w:spacing w:line="240" w:lineRule="exact"/>
              <w:ind w:firstLine="0" w:firstLineChars="0"/>
              <w:jc w:val="center"/>
              <w:rPr>
                <w:rFonts w:hint="eastAsia" w:ascii="宋体" w:hAnsi="宋体" w:cs="宋体"/>
                <w:color w:val="000000"/>
                <w:kern w:val="0"/>
                <w:sz w:val="18"/>
                <w:szCs w:val="18"/>
              </w:rPr>
            </w:pPr>
          </w:p>
        </w:tc>
        <w:tc>
          <w:tcPr>
            <w:tcW w:w="422" w:type="pct"/>
            <w:shd w:val="clear" w:color="auto" w:fill="auto"/>
          </w:tcPr>
          <w:p w14:paraId="081DB9B6">
            <w:pPr>
              <w:spacing w:line="240" w:lineRule="exact"/>
              <w:ind w:firstLine="0" w:firstLineChars="0"/>
              <w:jc w:val="center"/>
              <w:rPr>
                <w:rFonts w:hint="eastAsia" w:ascii="宋体" w:hAnsi="宋体" w:cs="宋体"/>
                <w:color w:val="000000"/>
                <w:kern w:val="0"/>
                <w:sz w:val="18"/>
                <w:szCs w:val="18"/>
              </w:rPr>
            </w:pPr>
          </w:p>
        </w:tc>
        <w:tc>
          <w:tcPr>
            <w:tcW w:w="396" w:type="pct"/>
            <w:shd w:val="clear" w:color="auto" w:fill="auto"/>
          </w:tcPr>
          <w:p w14:paraId="776A38E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91" w:type="pct"/>
            <w:shd w:val="clear" w:color="auto" w:fill="auto"/>
          </w:tcPr>
          <w:p w14:paraId="4116FD0B">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91" w:type="pct"/>
            <w:shd w:val="clear" w:color="auto" w:fill="auto"/>
          </w:tcPr>
          <w:p w14:paraId="29F66F21">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91" w:type="pct"/>
            <w:shd w:val="clear" w:color="auto" w:fill="auto"/>
          </w:tcPr>
          <w:p w14:paraId="6E12208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24" w:type="pct"/>
            <w:shd w:val="clear" w:color="auto" w:fill="auto"/>
            <w:noWrap/>
          </w:tcPr>
          <w:p w14:paraId="487799B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29,916.00</w:t>
            </w:r>
          </w:p>
        </w:tc>
        <w:tc>
          <w:tcPr>
            <w:tcW w:w="391" w:type="pct"/>
          </w:tcPr>
          <w:p w14:paraId="2F50C8E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81" w:type="pct"/>
          </w:tcPr>
          <w:p w14:paraId="49378A4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468" w:type="pct"/>
          </w:tcPr>
          <w:p w14:paraId="72C0892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2BAB0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2E466605">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3.3</w:t>
            </w:r>
          </w:p>
        </w:tc>
        <w:tc>
          <w:tcPr>
            <w:tcW w:w="638" w:type="pct"/>
            <w:shd w:val="clear" w:color="auto" w:fill="auto"/>
            <w:vAlign w:val="center"/>
          </w:tcPr>
          <w:p w14:paraId="5DC4ACA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支付债券利息</w:t>
            </w:r>
          </w:p>
        </w:tc>
        <w:tc>
          <w:tcPr>
            <w:tcW w:w="483" w:type="pct"/>
            <w:shd w:val="clear" w:color="auto" w:fill="auto"/>
          </w:tcPr>
          <w:p w14:paraId="5D21410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7,047.07</w:t>
            </w:r>
          </w:p>
        </w:tc>
        <w:tc>
          <w:tcPr>
            <w:tcW w:w="422" w:type="pct"/>
            <w:shd w:val="clear" w:color="auto" w:fill="auto"/>
            <w:noWrap/>
          </w:tcPr>
          <w:p w14:paraId="5FC8EE7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7,047.07</w:t>
            </w:r>
          </w:p>
        </w:tc>
        <w:tc>
          <w:tcPr>
            <w:tcW w:w="396" w:type="pct"/>
            <w:shd w:val="clear" w:color="auto" w:fill="auto"/>
            <w:noWrap/>
          </w:tcPr>
          <w:p w14:paraId="3A70BF78">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7,047.07</w:t>
            </w:r>
          </w:p>
        </w:tc>
        <w:tc>
          <w:tcPr>
            <w:tcW w:w="391" w:type="pct"/>
            <w:shd w:val="clear" w:color="auto" w:fill="auto"/>
            <w:noWrap/>
          </w:tcPr>
          <w:p w14:paraId="126E249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7,047.07</w:t>
            </w:r>
          </w:p>
        </w:tc>
        <w:tc>
          <w:tcPr>
            <w:tcW w:w="391" w:type="pct"/>
            <w:shd w:val="clear" w:color="auto" w:fill="auto"/>
            <w:noWrap/>
          </w:tcPr>
          <w:p w14:paraId="267E0E45">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7,047.07</w:t>
            </w:r>
          </w:p>
        </w:tc>
        <w:tc>
          <w:tcPr>
            <w:tcW w:w="391" w:type="pct"/>
            <w:shd w:val="clear" w:color="auto" w:fill="auto"/>
            <w:noWrap/>
          </w:tcPr>
          <w:p w14:paraId="4CF6320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7,047.07</w:t>
            </w:r>
          </w:p>
        </w:tc>
        <w:tc>
          <w:tcPr>
            <w:tcW w:w="424" w:type="pct"/>
            <w:shd w:val="clear" w:color="auto" w:fill="auto"/>
            <w:noWrap/>
          </w:tcPr>
          <w:p w14:paraId="1BE9080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6,433.79</w:t>
            </w:r>
          </w:p>
        </w:tc>
        <w:tc>
          <w:tcPr>
            <w:tcW w:w="391" w:type="pct"/>
          </w:tcPr>
          <w:p w14:paraId="55E6198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5,820.51</w:t>
            </w:r>
          </w:p>
        </w:tc>
        <w:tc>
          <w:tcPr>
            <w:tcW w:w="381" w:type="pct"/>
          </w:tcPr>
          <w:p w14:paraId="776E758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5,820.51</w:t>
            </w:r>
          </w:p>
        </w:tc>
        <w:tc>
          <w:tcPr>
            <w:tcW w:w="468" w:type="pct"/>
          </w:tcPr>
          <w:p w14:paraId="63A0D22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5,820.51</w:t>
            </w:r>
          </w:p>
        </w:tc>
      </w:tr>
      <w:tr w14:paraId="7297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18" w:type="pct"/>
            <w:shd w:val="clear" w:color="auto" w:fill="auto"/>
            <w:vAlign w:val="center"/>
          </w:tcPr>
          <w:p w14:paraId="5C6709CF">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3.4</w:t>
            </w:r>
          </w:p>
        </w:tc>
        <w:tc>
          <w:tcPr>
            <w:tcW w:w="638" w:type="pct"/>
            <w:shd w:val="clear" w:color="auto" w:fill="auto"/>
            <w:vAlign w:val="center"/>
          </w:tcPr>
          <w:p w14:paraId="77F020E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483" w:type="pct"/>
            <w:shd w:val="clear" w:color="auto" w:fill="auto"/>
          </w:tcPr>
          <w:p w14:paraId="522AAAB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14,000.00</w:t>
            </w:r>
          </w:p>
        </w:tc>
        <w:tc>
          <w:tcPr>
            <w:tcW w:w="422" w:type="pct"/>
            <w:shd w:val="clear" w:color="auto" w:fill="auto"/>
          </w:tcPr>
          <w:p w14:paraId="49E4DB51">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14,000.00</w:t>
            </w:r>
          </w:p>
        </w:tc>
        <w:tc>
          <w:tcPr>
            <w:tcW w:w="396" w:type="pct"/>
            <w:shd w:val="clear" w:color="auto" w:fill="auto"/>
          </w:tcPr>
          <w:p w14:paraId="6BBE974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14,000.00</w:t>
            </w:r>
          </w:p>
        </w:tc>
        <w:tc>
          <w:tcPr>
            <w:tcW w:w="391" w:type="pct"/>
            <w:shd w:val="clear" w:color="auto" w:fill="auto"/>
          </w:tcPr>
          <w:p w14:paraId="09BE6B5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14,000.00</w:t>
            </w:r>
          </w:p>
        </w:tc>
        <w:tc>
          <w:tcPr>
            <w:tcW w:w="391" w:type="pct"/>
            <w:shd w:val="clear" w:color="auto" w:fill="auto"/>
          </w:tcPr>
          <w:p w14:paraId="6929B04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14,000.00</w:t>
            </w:r>
          </w:p>
        </w:tc>
        <w:tc>
          <w:tcPr>
            <w:tcW w:w="391" w:type="pct"/>
            <w:shd w:val="clear" w:color="auto" w:fill="auto"/>
          </w:tcPr>
          <w:p w14:paraId="7F5C069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14,000.00</w:t>
            </w:r>
          </w:p>
        </w:tc>
        <w:tc>
          <w:tcPr>
            <w:tcW w:w="424" w:type="pct"/>
            <w:shd w:val="clear" w:color="auto" w:fill="auto"/>
          </w:tcPr>
          <w:p w14:paraId="0876435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14,000.00</w:t>
            </w:r>
          </w:p>
        </w:tc>
        <w:tc>
          <w:tcPr>
            <w:tcW w:w="391" w:type="pct"/>
          </w:tcPr>
          <w:p w14:paraId="3C027B7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14,000.00</w:t>
            </w:r>
          </w:p>
        </w:tc>
        <w:tc>
          <w:tcPr>
            <w:tcW w:w="381" w:type="pct"/>
          </w:tcPr>
          <w:p w14:paraId="464808D5">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14,000.00</w:t>
            </w:r>
          </w:p>
        </w:tc>
        <w:tc>
          <w:tcPr>
            <w:tcW w:w="468" w:type="pct"/>
          </w:tcPr>
          <w:p w14:paraId="5487A37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14,000.00</w:t>
            </w:r>
          </w:p>
        </w:tc>
      </w:tr>
      <w:tr w14:paraId="2FA56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18" w:type="pct"/>
            <w:shd w:val="clear" w:color="auto" w:fill="auto"/>
            <w:vAlign w:val="center"/>
          </w:tcPr>
          <w:p w14:paraId="3444200F">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3.5</w:t>
            </w:r>
          </w:p>
        </w:tc>
        <w:tc>
          <w:tcPr>
            <w:tcW w:w="638" w:type="pct"/>
            <w:shd w:val="clear" w:color="auto" w:fill="auto"/>
            <w:vAlign w:val="center"/>
          </w:tcPr>
          <w:p w14:paraId="348EA36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483" w:type="pct"/>
            <w:shd w:val="clear" w:color="auto" w:fill="auto"/>
          </w:tcPr>
          <w:p w14:paraId="5F1FC351">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15,775.35</w:t>
            </w:r>
          </w:p>
        </w:tc>
        <w:tc>
          <w:tcPr>
            <w:tcW w:w="422" w:type="pct"/>
            <w:shd w:val="clear" w:color="auto" w:fill="auto"/>
          </w:tcPr>
          <w:p w14:paraId="6094E1E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15,187.35</w:t>
            </w:r>
          </w:p>
        </w:tc>
        <w:tc>
          <w:tcPr>
            <w:tcW w:w="396" w:type="pct"/>
            <w:shd w:val="clear" w:color="auto" w:fill="auto"/>
          </w:tcPr>
          <w:p w14:paraId="4AAB2ED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14,599.35</w:t>
            </w:r>
          </w:p>
        </w:tc>
        <w:tc>
          <w:tcPr>
            <w:tcW w:w="391" w:type="pct"/>
            <w:shd w:val="clear" w:color="auto" w:fill="auto"/>
          </w:tcPr>
          <w:p w14:paraId="2430B25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14,011.35</w:t>
            </w:r>
          </w:p>
        </w:tc>
        <w:tc>
          <w:tcPr>
            <w:tcW w:w="391" w:type="pct"/>
            <w:shd w:val="clear" w:color="auto" w:fill="auto"/>
          </w:tcPr>
          <w:p w14:paraId="7B3785D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13,423.35</w:t>
            </w:r>
          </w:p>
        </w:tc>
        <w:tc>
          <w:tcPr>
            <w:tcW w:w="391" w:type="pct"/>
            <w:shd w:val="clear" w:color="auto" w:fill="auto"/>
          </w:tcPr>
          <w:p w14:paraId="1C161360">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12,835.35</w:t>
            </w:r>
          </w:p>
        </w:tc>
        <w:tc>
          <w:tcPr>
            <w:tcW w:w="424" w:type="pct"/>
            <w:shd w:val="clear" w:color="auto" w:fill="auto"/>
          </w:tcPr>
          <w:p w14:paraId="15F1F90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12,247.35</w:t>
            </w:r>
          </w:p>
        </w:tc>
        <w:tc>
          <w:tcPr>
            <w:tcW w:w="391" w:type="pct"/>
          </w:tcPr>
          <w:p w14:paraId="7EEA7ED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11,659.35</w:t>
            </w:r>
          </w:p>
        </w:tc>
        <w:tc>
          <w:tcPr>
            <w:tcW w:w="381" w:type="pct"/>
          </w:tcPr>
          <w:p w14:paraId="0511ECE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11,071.35</w:t>
            </w:r>
          </w:p>
        </w:tc>
        <w:tc>
          <w:tcPr>
            <w:tcW w:w="468" w:type="pct"/>
          </w:tcPr>
          <w:p w14:paraId="1BB952A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10,483.35</w:t>
            </w:r>
          </w:p>
        </w:tc>
      </w:tr>
      <w:tr w14:paraId="7382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78B8DAA4">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三</w:t>
            </w:r>
          </w:p>
        </w:tc>
        <w:tc>
          <w:tcPr>
            <w:tcW w:w="638" w:type="pct"/>
            <w:shd w:val="clear" w:color="auto" w:fill="auto"/>
            <w:vAlign w:val="center"/>
          </w:tcPr>
          <w:p w14:paraId="66A8AD4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当期现金结余</w:t>
            </w:r>
          </w:p>
        </w:tc>
        <w:tc>
          <w:tcPr>
            <w:tcW w:w="483" w:type="pct"/>
            <w:shd w:val="clear" w:color="auto" w:fill="auto"/>
          </w:tcPr>
          <w:p w14:paraId="700C659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35,210.78</w:t>
            </w:r>
          </w:p>
        </w:tc>
        <w:tc>
          <w:tcPr>
            <w:tcW w:w="422" w:type="pct"/>
            <w:shd w:val="clear" w:color="auto" w:fill="auto"/>
          </w:tcPr>
          <w:p w14:paraId="26A33CA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36,238.84</w:t>
            </w:r>
          </w:p>
        </w:tc>
        <w:tc>
          <w:tcPr>
            <w:tcW w:w="396" w:type="pct"/>
            <w:shd w:val="clear" w:color="auto" w:fill="auto"/>
          </w:tcPr>
          <w:p w14:paraId="5F5AE65A">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37,266.90</w:t>
            </w:r>
          </w:p>
        </w:tc>
        <w:tc>
          <w:tcPr>
            <w:tcW w:w="391" w:type="pct"/>
            <w:shd w:val="clear" w:color="auto" w:fill="auto"/>
          </w:tcPr>
          <w:p w14:paraId="3D43E50F">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38,202.23</w:t>
            </w:r>
          </w:p>
        </w:tc>
        <w:tc>
          <w:tcPr>
            <w:tcW w:w="391" w:type="pct"/>
            <w:shd w:val="clear" w:color="auto" w:fill="auto"/>
          </w:tcPr>
          <w:p w14:paraId="70B74C8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39,228.15</w:t>
            </w:r>
          </w:p>
        </w:tc>
        <w:tc>
          <w:tcPr>
            <w:tcW w:w="391" w:type="pct"/>
            <w:shd w:val="clear" w:color="auto" w:fill="auto"/>
          </w:tcPr>
          <w:p w14:paraId="430006AD">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40,256.21</w:t>
            </w:r>
          </w:p>
        </w:tc>
        <w:tc>
          <w:tcPr>
            <w:tcW w:w="424" w:type="pct"/>
            <w:shd w:val="clear" w:color="auto" w:fill="auto"/>
          </w:tcPr>
          <w:p w14:paraId="730CEBB1">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11,869.14</w:t>
            </w:r>
          </w:p>
        </w:tc>
        <w:tc>
          <w:tcPr>
            <w:tcW w:w="391" w:type="pct"/>
          </w:tcPr>
          <w:p w14:paraId="51BAE521">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43,262.48</w:t>
            </w:r>
          </w:p>
        </w:tc>
        <w:tc>
          <w:tcPr>
            <w:tcW w:w="381" w:type="pct"/>
          </w:tcPr>
          <w:p w14:paraId="09F4F85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44,125.40</w:t>
            </w:r>
          </w:p>
        </w:tc>
        <w:tc>
          <w:tcPr>
            <w:tcW w:w="468" w:type="pct"/>
          </w:tcPr>
          <w:p w14:paraId="15E7AA7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37,822.83</w:t>
            </w:r>
          </w:p>
        </w:tc>
      </w:tr>
      <w:tr w14:paraId="11ABE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7A54FF92">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四</w:t>
            </w:r>
          </w:p>
        </w:tc>
        <w:tc>
          <w:tcPr>
            <w:tcW w:w="638" w:type="pct"/>
            <w:shd w:val="clear" w:color="auto" w:fill="auto"/>
            <w:vAlign w:val="center"/>
          </w:tcPr>
          <w:p w14:paraId="29DD89A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期初现金</w:t>
            </w:r>
          </w:p>
        </w:tc>
        <w:tc>
          <w:tcPr>
            <w:tcW w:w="483" w:type="pct"/>
            <w:shd w:val="clear" w:color="auto" w:fill="auto"/>
          </w:tcPr>
          <w:p w14:paraId="32F606F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46,082.93</w:t>
            </w:r>
          </w:p>
        </w:tc>
        <w:tc>
          <w:tcPr>
            <w:tcW w:w="422" w:type="pct"/>
            <w:shd w:val="clear" w:color="auto" w:fill="auto"/>
          </w:tcPr>
          <w:p w14:paraId="2375CF8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81,293.71</w:t>
            </w:r>
          </w:p>
        </w:tc>
        <w:tc>
          <w:tcPr>
            <w:tcW w:w="396" w:type="pct"/>
            <w:shd w:val="clear" w:color="auto" w:fill="auto"/>
          </w:tcPr>
          <w:p w14:paraId="79A8394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117,532.55</w:t>
            </w:r>
          </w:p>
        </w:tc>
        <w:tc>
          <w:tcPr>
            <w:tcW w:w="391" w:type="pct"/>
            <w:shd w:val="clear" w:color="auto" w:fill="auto"/>
          </w:tcPr>
          <w:p w14:paraId="45AB1A16">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154,799.45</w:t>
            </w:r>
          </w:p>
        </w:tc>
        <w:tc>
          <w:tcPr>
            <w:tcW w:w="391" w:type="pct"/>
            <w:shd w:val="clear" w:color="auto" w:fill="auto"/>
          </w:tcPr>
          <w:p w14:paraId="5014930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193,001.68</w:t>
            </w:r>
          </w:p>
        </w:tc>
        <w:tc>
          <w:tcPr>
            <w:tcW w:w="391" w:type="pct"/>
            <w:shd w:val="clear" w:color="auto" w:fill="auto"/>
          </w:tcPr>
          <w:p w14:paraId="4059A054">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232,229.83</w:t>
            </w:r>
          </w:p>
        </w:tc>
        <w:tc>
          <w:tcPr>
            <w:tcW w:w="424" w:type="pct"/>
            <w:shd w:val="clear" w:color="auto" w:fill="auto"/>
          </w:tcPr>
          <w:p w14:paraId="49688B1C">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272,486.04</w:t>
            </w:r>
          </w:p>
        </w:tc>
        <w:tc>
          <w:tcPr>
            <w:tcW w:w="391" w:type="pct"/>
          </w:tcPr>
          <w:p w14:paraId="4AAD8DC8">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284,355.18</w:t>
            </w:r>
          </w:p>
        </w:tc>
        <w:tc>
          <w:tcPr>
            <w:tcW w:w="381" w:type="pct"/>
          </w:tcPr>
          <w:p w14:paraId="7F251EF9">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327,617.66</w:t>
            </w:r>
          </w:p>
        </w:tc>
        <w:tc>
          <w:tcPr>
            <w:tcW w:w="468" w:type="pct"/>
          </w:tcPr>
          <w:p w14:paraId="4E22372F">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371,743.06</w:t>
            </w:r>
          </w:p>
        </w:tc>
      </w:tr>
      <w:tr w14:paraId="214EE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8" w:type="pct"/>
            <w:shd w:val="clear" w:color="auto" w:fill="auto"/>
            <w:vAlign w:val="center"/>
          </w:tcPr>
          <w:p w14:paraId="0A15E18B">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五</w:t>
            </w:r>
          </w:p>
        </w:tc>
        <w:tc>
          <w:tcPr>
            <w:tcW w:w="638" w:type="pct"/>
            <w:shd w:val="clear" w:color="auto" w:fill="auto"/>
            <w:vAlign w:val="center"/>
          </w:tcPr>
          <w:p w14:paraId="047A5A1B">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期末现金</w:t>
            </w:r>
          </w:p>
        </w:tc>
        <w:tc>
          <w:tcPr>
            <w:tcW w:w="483" w:type="pct"/>
            <w:shd w:val="clear" w:color="auto" w:fill="auto"/>
          </w:tcPr>
          <w:p w14:paraId="64DF71A8">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81,293.71</w:t>
            </w:r>
          </w:p>
        </w:tc>
        <w:tc>
          <w:tcPr>
            <w:tcW w:w="422" w:type="pct"/>
            <w:shd w:val="clear" w:color="auto" w:fill="auto"/>
          </w:tcPr>
          <w:p w14:paraId="6B182E8B">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117,532.55</w:t>
            </w:r>
          </w:p>
        </w:tc>
        <w:tc>
          <w:tcPr>
            <w:tcW w:w="396" w:type="pct"/>
            <w:shd w:val="clear" w:color="auto" w:fill="auto"/>
          </w:tcPr>
          <w:p w14:paraId="19BE75A5">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154,799.45</w:t>
            </w:r>
          </w:p>
        </w:tc>
        <w:tc>
          <w:tcPr>
            <w:tcW w:w="391" w:type="pct"/>
            <w:shd w:val="clear" w:color="auto" w:fill="auto"/>
          </w:tcPr>
          <w:p w14:paraId="3AB40B31">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193,001.68</w:t>
            </w:r>
          </w:p>
        </w:tc>
        <w:tc>
          <w:tcPr>
            <w:tcW w:w="391" w:type="pct"/>
            <w:shd w:val="clear" w:color="auto" w:fill="auto"/>
          </w:tcPr>
          <w:p w14:paraId="281E1EE2">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232,229.83</w:t>
            </w:r>
          </w:p>
        </w:tc>
        <w:tc>
          <w:tcPr>
            <w:tcW w:w="391" w:type="pct"/>
            <w:shd w:val="clear" w:color="auto" w:fill="auto"/>
          </w:tcPr>
          <w:p w14:paraId="269393E7">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272,486.04</w:t>
            </w:r>
          </w:p>
        </w:tc>
        <w:tc>
          <w:tcPr>
            <w:tcW w:w="424" w:type="pct"/>
            <w:shd w:val="clear" w:color="auto" w:fill="auto"/>
          </w:tcPr>
          <w:p w14:paraId="069DC98E">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284,355.18</w:t>
            </w:r>
          </w:p>
        </w:tc>
        <w:tc>
          <w:tcPr>
            <w:tcW w:w="391" w:type="pct"/>
          </w:tcPr>
          <w:p w14:paraId="6E4A0EBF">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327,617.66</w:t>
            </w:r>
          </w:p>
        </w:tc>
        <w:tc>
          <w:tcPr>
            <w:tcW w:w="381" w:type="pct"/>
          </w:tcPr>
          <w:p w14:paraId="2A249E23">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371,743.06</w:t>
            </w:r>
          </w:p>
        </w:tc>
        <w:tc>
          <w:tcPr>
            <w:tcW w:w="468" w:type="pct"/>
          </w:tcPr>
          <w:p w14:paraId="59D37C28">
            <w:pPr>
              <w:spacing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409,565.89</w:t>
            </w:r>
          </w:p>
        </w:tc>
      </w:tr>
    </w:tbl>
    <w:p w14:paraId="6A7683DD">
      <w:pPr>
        <w:pStyle w:val="23"/>
        <w:spacing w:before="0" w:beforeAutospacing="0" w:after="156" w:afterLines="50" w:afterAutospacing="0" w:line="240" w:lineRule="exact"/>
        <w:rPr>
          <w:rFonts w:hint="eastAsia"/>
          <w:color w:val="000000" w:themeColor="text1"/>
          <w:sz w:val="18"/>
          <w:szCs w:val="18"/>
        </w:rPr>
      </w:pPr>
      <w:r>
        <w:rPr>
          <w:rFonts w:hint="eastAsia"/>
          <w:color w:val="000000" w:themeColor="text1"/>
          <w:sz w:val="18"/>
          <w:szCs w:val="18"/>
        </w:rPr>
        <w:t>续上表</w:t>
      </w:r>
    </w:p>
    <w:tbl>
      <w:tblPr>
        <w:tblStyle w:val="28"/>
        <w:tblW w:w="523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1846"/>
        <w:gridCol w:w="1524"/>
        <w:gridCol w:w="1314"/>
        <w:gridCol w:w="1224"/>
        <w:gridCol w:w="1195"/>
        <w:gridCol w:w="1163"/>
        <w:gridCol w:w="1267"/>
        <w:gridCol w:w="1342"/>
        <w:gridCol w:w="1415"/>
        <w:gridCol w:w="1581"/>
      </w:tblGrid>
      <w:tr w14:paraId="1701965A">
        <w:tblPrEx>
          <w:tblCellMar>
            <w:top w:w="0" w:type="dxa"/>
            <w:left w:w="108" w:type="dxa"/>
            <w:bottom w:w="0" w:type="dxa"/>
            <w:right w:w="108" w:type="dxa"/>
          </w:tblCellMar>
        </w:tblPrEx>
        <w:trPr>
          <w:trHeight w:val="285" w:hRule="atLeast"/>
          <w:tblHeader/>
          <w:jc w:val="center"/>
        </w:trPr>
        <w:tc>
          <w:tcPr>
            <w:tcW w:w="226" w:type="pct"/>
            <w:shd w:val="clear" w:color="auto" w:fill="auto"/>
            <w:vAlign w:val="center"/>
          </w:tcPr>
          <w:p w14:paraId="5FAD9DE2">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34" w:type="pct"/>
            <w:shd w:val="clear" w:color="auto" w:fill="auto"/>
            <w:vAlign w:val="center"/>
          </w:tcPr>
          <w:p w14:paraId="228ED6D2">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523" w:type="pct"/>
            <w:shd w:val="clear" w:color="auto" w:fill="auto"/>
            <w:vAlign w:val="center"/>
          </w:tcPr>
          <w:p w14:paraId="5CD40975">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2039年</w:t>
            </w:r>
          </w:p>
        </w:tc>
        <w:tc>
          <w:tcPr>
            <w:tcW w:w="452" w:type="pct"/>
            <w:shd w:val="clear" w:color="auto" w:fill="auto"/>
            <w:vAlign w:val="center"/>
          </w:tcPr>
          <w:p w14:paraId="4D7BBF2B">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2040年</w:t>
            </w:r>
          </w:p>
        </w:tc>
        <w:tc>
          <w:tcPr>
            <w:tcW w:w="421" w:type="pct"/>
            <w:shd w:val="clear" w:color="auto" w:fill="auto"/>
            <w:vAlign w:val="center"/>
          </w:tcPr>
          <w:p w14:paraId="1F61C384">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2041年</w:t>
            </w:r>
          </w:p>
        </w:tc>
        <w:tc>
          <w:tcPr>
            <w:tcW w:w="411" w:type="pct"/>
            <w:shd w:val="clear" w:color="auto" w:fill="auto"/>
            <w:vAlign w:val="center"/>
          </w:tcPr>
          <w:p w14:paraId="04967234">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2042年</w:t>
            </w:r>
          </w:p>
        </w:tc>
        <w:tc>
          <w:tcPr>
            <w:tcW w:w="400" w:type="pct"/>
            <w:shd w:val="clear" w:color="auto" w:fill="auto"/>
            <w:vAlign w:val="center"/>
          </w:tcPr>
          <w:p w14:paraId="1AA7E0CD">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2043年</w:t>
            </w:r>
          </w:p>
        </w:tc>
        <w:tc>
          <w:tcPr>
            <w:tcW w:w="436" w:type="pct"/>
            <w:shd w:val="clear" w:color="auto" w:fill="auto"/>
            <w:vAlign w:val="center"/>
          </w:tcPr>
          <w:p w14:paraId="3567DCE2">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2044年</w:t>
            </w:r>
          </w:p>
        </w:tc>
        <w:tc>
          <w:tcPr>
            <w:tcW w:w="462" w:type="pct"/>
            <w:shd w:val="clear" w:color="auto" w:fill="auto"/>
            <w:vAlign w:val="center"/>
          </w:tcPr>
          <w:p w14:paraId="6C919DB8">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2045年</w:t>
            </w:r>
          </w:p>
        </w:tc>
        <w:tc>
          <w:tcPr>
            <w:tcW w:w="487" w:type="pct"/>
            <w:vAlign w:val="center"/>
          </w:tcPr>
          <w:p w14:paraId="295C90F5">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2046年</w:t>
            </w:r>
          </w:p>
        </w:tc>
        <w:tc>
          <w:tcPr>
            <w:tcW w:w="543" w:type="pct"/>
            <w:vAlign w:val="center"/>
          </w:tcPr>
          <w:p w14:paraId="5F31DD3F">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2047年</w:t>
            </w:r>
          </w:p>
        </w:tc>
      </w:tr>
      <w:tr w14:paraId="1624E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32F1B3B8">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一</w:t>
            </w:r>
          </w:p>
        </w:tc>
        <w:tc>
          <w:tcPr>
            <w:tcW w:w="634" w:type="pct"/>
            <w:shd w:val="clear" w:color="auto" w:fill="auto"/>
            <w:vAlign w:val="center"/>
          </w:tcPr>
          <w:p w14:paraId="7D885615">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523" w:type="pct"/>
            <w:shd w:val="clear" w:color="auto" w:fill="auto"/>
          </w:tcPr>
          <w:p w14:paraId="725B655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82,683.72</w:t>
            </w:r>
          </w:p>
        </w:tc>
        <w:tc>
          <w:tcPr>
            <w:tcW w:w="452" w:type="pct"/>
            <w:shd w:val="clear" w:color="auto" w:fill="auto"/>
          </w:tcPr>
          <w:p w14:paraId="374B318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83,343.78</w:t>
            </w:r>
          </w:p>
        </w:tc>
        <w:tc>
          <w:tcPr>
            <w:tcW w:w="421" w:type="pct"/>
            <w:shd w:val="clear" w:color="auto" w:fill="auto"/>
          </w:tcPr>
          <w:p w14:paraId="5AB855D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84,002.70</w:t>
            </w:r>
          </w:p>
        </w:tc>
        <w:tc>
          <w:tcPr>
            <w:tcW w:w="411" w:type="pct"/>
            <w:shd w:val="clear" w:color="auto" w:fill="auto"/>
          </w:tcPr>
          <w:p w14:paraId="6CC32493">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84,662.76</w:t>
            </w:r>
          </w:p>
        </w:tc>
        <w:tc>
          <w:tcPr>
            <w:tcW w:w="400" w:type="pct"/>
            <w:shd w:val="clear" w:color="auto" w:fill="auto"/>
          </w:tcPr>
          <w:p w14:paraId="155F1012">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85,322.82</w:t>
            </w:r>
          </w:p>
        </w:tc>
        <w:tc>
          <w:tcPr>
            <w:tcW w:w="436" w:type="pct"/>
            <w:shd w:val="clear" w:color="auto" w:fill="auto"/>
          </w:tcPr>
          <w:p w14:paraId="7AF82EF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85,982.88</w:t>
            </w:r>
          </w:p>
        </w:tc>
        <w:tc>
          <w:tcPr>
            <w:tcW w:w="462" w:type="pct"/>
            <w:shd w:val="clear" w:color="auto" w:fill="auto"/>
          </w:tcPr>
          <w:p w14:paraId="1E2ED54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86,641.80</w:t>
            </w:r>
          </w:p>
        </w:tc>
        <w:tc>
          <w:tcPr>
            <w:tcW w:w="487" w:type="pct"/>
          </w:tcPr>
          <w:p w14:paraId="05B9084C">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87,301.86</w:t>
            </w:r>
          </w:p>
        </w:tc>
        <w:tc>
          <w:tcPr>
            <w:tcW w:w="543" w:type="pct"/>
          </w:tcPr>
          <w:p w14:paraId="267FF69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87,961.92</w:t>
            </w:r>
          </w:p>
        </w:tc>
      </w:tr>
      <w:tr w14:paraId="680D5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26" w:type="pct"/>
            <w:shd w:val="clear" w:color="auto" w:fill="auto"/>
            <w:vAlign w:val="center"/>
          </w:tcPr>
          <w:p w14:paraId="21FC5581">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634" w:type="pct"/>
            <w:shd w:val="clear" w:color="auto" w:fill="auto"/>
            <w:vAlign w:val="center"/>
          </w:tcPr>
          <w:p w14:paraId="6869001D">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523" w:type="pct"/>
            <w:shd w:val="clear" w:color="auto" w:fill="auto"/>
          </w:tcPr>
          <w:p w14:paraId="1F3658F7">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82,683.72</w:t>
            </w:r>
          </w:p>
        </w:tc>
        <w:tc>
          <w:tcPr>
            <w:tcW w:w="452" w:type="pct"/>
            <w:shd w:val="clear" w:color="auto" w:fill="auto"/>
          </w:tcPr>
          <w:p w14:paraId="02FFBBF3">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83,343.78</w:t>
            </w:r>
          </w:p>
        </w:tc>
        <w:tc>
          <w:tcPr>
            <w:tcW w:w="421" w:type="pct"/>
            <w:shd w:val="clear" w:color="auto" w:fill="auto"/>
          </w:tcPr>
          <w:p w14:paraId="27D9FFF1">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84,002.70</w:t>
            </w:r>
          </w:p>
        </w:tc>
        <w:tc>
          <w:tcPr>
            <w:tcW w:w="411" w:type="pct"/>
            <w:shd w:val="clear" w:color="auto" w:fill="auto"/>
          </w:tcPr>
          <w:p w14:paraId="713C8FE6">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84,662.76</w:t>
            </w:r>
          </w:p>
        </w:tc>
        <w:tc>
          <w:tcPr>
            <w:tcW w:w="400" w:type="pct"/>
            <w:shd w:val="clear" w:color="auto" w:fill="auto"/>
          </w:tcPr>
          <w:p w14:paraId="3B69691C">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85,322.82</w:t>
            </w:r>
          </w:p>
        </w:tc>
        <w:tc>
          <w:tcPr>
            <w:tcW w:w="436" w:type="pct"/>
            <w:shd w:val="clear" w:color="auto" w:fill="auto"/>
          </w:tcPr>
          <w:p w14:paraId="55F22911">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85,982.88</w:t>
            </w:r>
          </w:p>
        </w:tc>
        <w:tc>
          <w:tcPr>
            <w:tcW w:w="462" w:type="pct"/>
            <w:shd w:val="clear" w:color="auto" w:fill="auto"/>
          </w:tcPr>
          <w:p w14:paraId="461E5F7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86,641.80</w:t>
            </w:r>
          </w:p>
        </w:tc>
        <w:tc>
          <w:tcPr>
            <w:tcW w:w="487" w:type="pct"/>
          </w:tcPr>
          <w:p w14:paraId="164166D2">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87,301.86</w:t>
            </w:r>
          </w:p>
        </w:tc>
        <w:tc>
          <w:tcPr>
            <w:tcW w:w="543" w:type="pct"/>
          </w:tcPr>
          <w:p w14:paraId="6612532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87,961.92</w:t>
            </w:r>
          </w:p>
        </w:tc>
      </w:tr>
      <w:tr w14:paraId="27E6F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6343D4B3">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634" w:type="pct"/>
            <w:shd w:val="clear" w:color="auto" w:fill="auto"/>
            <w:vAlign w:val="center"/>
          </w:tcPr>
          <w:p w14:paraId="3C43B12B">
            <w:pPr>
              <w:widowControl/>
              <w:spacing w:after="0" w:line="240" w:lineRule="exact"/>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政府性基金收入</w:t>
            </w:r>
          </w:p>
        </w:tc>
        <w:tc>
          <w:tcPr>
            <w:tcW w:w="523" w:type="pct"/>
            <w:shd w:val="clear" w:color="auto" w:fill="auto"/>
          </w:tcPr>
          <w:p w14:paraId="0BF085CE">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60,000.00</w:t>
            </w:r>
          </w:p>
        </w:tc>
        <w:tc>
          <w:tcPr>
            <w:tcW w:w="452" w:type="pct"/>
            <w:shd w:val="clear" w:color="auto" w:fill="auto"/>
          </w:tcPr>
          <w:p w14:paraId="2549F8BE">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60,000.00</w:t>
            </w:r>
          </w:p>
        </w:tc>
        <w:tc>
          <w:tcPr>
            <w:tcW w:w="421" w:type="pct"/>
            <w:shd w:val="clear" w:color="auto" w:fill="auto"/>
          </w:tcPr>
          <w:p w14:paraId="21D860C0">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60,000.00</w:t>
            </w:r>
          </w:p>
        </w:tc>
        <w:tc>
          <w:tcPr>
            <w:tcW w:w="411" w:type="pct"/>
            <w:shd w:val="clear" w:color="auto" w:fill="auto"/>
          </w:tcPr>
          <w:p w14:paraId="0504636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60,000.00</w:t>
            </w:r>
          </w:p>
        </w:tc>
        <w:tc>
          <w:tcPr>
            <w:tcW w:w="400" w:type="pct"/>
            <w:shd w:val="clear" w:color="auto" w:fill="auto"/>
          </w:tcPr>
          <w:p w14:paraId="1466C62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60,000.00</w:t>
            </w:r>
          </w:p>
        </w:tc>
        <w:tc>
          <w:tcPr>
            <w:tcW w:w="436" w:type="pct"/>
            <w:shd w:val="clear" w:color="auto" w:fill="auto"/>
          </w:tcPr>
          <w:p w14:paraId="45CCAE8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60,000.00</w:t>
            </w:r>
          </w:p>
        </w:tc>
        <w:tc>
          <w:tcPr>
            <w:tcW w:w="462" w:type="pct"/>
            <w:shd w:val="clear" w:color="auto" w:fill="auto"/>
          </w:tcPr>
          <w:p w14:paraId="5850E54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60,000.00</w:t>
            </w:r>
          </w:p>
        </w:tc>
        <w:tc>
          <w:tcPr>
            <w:tcW w:w="487" w:type="pct"/>
          </w:tcPr>
          <w:p w14:paraId="3279E73C">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60,000.00</w:t>
            </w:r>
          </w:p>
        </w:tc>
        <w:tc>
          <w:tcPr>
            <w:tcW w:w="543" w:type="pct"/>
          </w:tcPr>
          <w:p w14:paraId="09A8B2F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60,000.00</w:t>
            </w:r>
          </w:p>
        </w:tc>
      </w:tr>
      <w:tr w14:paraId="1ED4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622842B4">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634" w:type="pct"/>
            <w:shd w:val="clear" w:color="auto" w:fill="auto"/>
            <w:vAlign w:val="center"/>
          </w:tcPr>
          <w:p w14:paraId="3D93E668">
            <w:pPr>
              <w:widowControl/>
              <w:spacing w:after="0" w:line="240" w:lineRule="exact"/>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经营收入</w:t>
            </w:r>
          </w:p>
        </w:tc>
        <w:tc>
          <w:tcPr>
            <w:tcW w:w="523" w:type="pct"/>
            <w:shd w:val="clear" w:color="auto" w:fill="auto"/>
          </w:tcPr>
          <w:p w14:paraId="6DFAF6A6">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22,683.72</w:t>
            </w:r>
          </w:p>
        </w:tc>
        <w:tc>
          <w:tcPr>
            <w:tcW w:w="452" w:type="pct"/>
            <w:shd w:val="clear" w:color="auto" w:fill="auto"/>
            <w:noWrap/>
          </w:tcPr>
          <w:p w14:paraId="4FD53A76">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23,343.78</w:t>
            </w:r>
          </w:p>
        </w:tc>
        <w:tc>
          <w:tcPr>
            <w:tcW w:w="421" w:type="pct"/>
            <w:shd w:val="clear" w:color="auto" w:fill="auto"/>
            <w:noWrap/>
          </w:tcPr>
          <w:p w14:paraId="423099F5">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24,002.70</w:t>
            </w:r>
          </w:p>
        </w:tc>
        <w:tc>
          <w:tcPr>
            <w:tcW w:w="411" w:type="pct"/>
            <w:shd w:val="clear" w:color="auto" w:fill="auto"/>
            <w:noWrap/>
          </w:tcPr>
          <w:p w14:paraId="5D8F24B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24,662.76</w:t>
            </w:r>
          </w:p>
        </w:tc>
        <w:tc>
          <w:tcPr>
            <w:tcW w:w="400" w:type="pct"/>
            <w:shd w:val="clear" w:color="auto" w:fill="auto"/>
            <w:noWrap/>
          </w:tcPr>
          <w:p w14:paraId="5780831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25,322.82</w:t>
            </w:r>
          </w:p>
        </w:tc>
        <w:tc>
          <w:tcPr>
            <w:tcW w:w="436" w:type="pct"/>
            <w:shd w:val="clear" w:color="auto" w:fill="auto"/>
            <w:noWrap/>
          </w:tcPr>
          <w:p w14:paraId="7831871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25,982.88</w:t>
            </w:r>
          </w:p>
        </w:tc>
        <w:tc>
          <w:tcPr>
            <w:tcW w:w="462" w:type="pct"/>
            <w:shd w:val="clear" w:color="auto" w:fill="auto"/>
            <w:noWrap/>
          </w:tcPr>
          <w:p w14:paraId="1F1905C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26,641.80</w:t>
            </w:r>
          </w:p>
        </w:tc>
        <w:tc>
          <w:tcPr>
            <w:tcW w:w="487" w:type="pct"/>
          </w:tcPr>
          <w:p w14:paraId="1DFF7D95">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27,301.86</w:t>
            </w:r>
          </w:p>
        </w:tc>
        <w:tc>
          <w:tcPr>
            <w:tcW w:w="543" w:type="pct"/>
          </w:tcPr>
          <w:p w14:paraId="6D81923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27,961.92</w:t>
            </w:r>
          </w:p>
        </w:tc>
      </w:tr>
      <w:tr w14:paraId="069BE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26" w:type="pct"/>
            <w:shd w:val="clear" w:color="auto" w:fill="auto"/>
            <w:vAlign w:val="center"/>
          </w:tcPr>
          <w:p w14:paraId="54BD1E8E">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634" w:type="pct"/>
            <w:shd w:val="clear" w:color="auto" w:fill="auto"/>
            <w:vAlign w:val="center"/>
          </w:tcPr>
          <w:p w14:paraId="764A118A">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523" w:type="pct"/>
            <w:shd w:val="clear" w:color="auto" w:fill="auto"/>
          </w:tcPr>
          <w:p w14:paraId="128FC0D0">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52" w:type="pct"/>
            <w:shd w:val="clear" w:color="auto" w:fill="auto"/>
          </w:tcPr>
          <w:p w14:paraId="2FE4B1C6">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21" w:type="pct"/>
            <w:shd w:val="clear" w:color="auto" w:fill="auto"/>
          </w:tcPr>
          <w:p w14:paraId="7384B3F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11" w:type="pct"/>
            <w:shd w:val="clear" w:color="auto" w:fill="auto"/>
          </w:tcPr>
          <w:p w14:paraId="44F9366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00" w:type="pct"/>
            <w:shd w:val="clear" w:color="auto" w:fill="auto"/>
          </w:tcPr>
          <w:p w14:paraId="27A87990">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36" w:type="pct"/>
            <w:shd w:val="clear" w:color="auto" w:fill="auto"/>
          </w:tcPr>
          <w:p w14:paraId="054C5DFC">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62" w:type="pct"/>
            <w:shd w:val="clear" w:color="auto" w:fill="auto"/>
          </w:tcPr>
          <w:p w14:paraId="5DBE49C3">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87" w:type="pct"/>
          </w:tcPr>
          <w:p w14:paraId="6820A70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543" w:type="pct"/>
          </w:tcPr>
          <w:p w14:paraId="47B5055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r>
      <w:tr w14:paraId="2648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25D65B91">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2.1</w:t>
            </w:r>
          </w:p>
        </w:tc>
        <w:tc>
          <w:tcPr>
            <w:tcW w:w="634" w:type="pct"/>
            <w:shd w:val="clear" w:color="auto" w:fill="auto"/>
            <w:vAlign w:val="center"/>
          </w:tcPr>
          <w:p w14:paraId="2B839C66">
            <w:pPr>
              <w:widowControl/>
              <w:spacing w:after="0" w:line="240" w:lineRule="exact"/>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债券融资款</w:t>
            </w:r>
          </w:p>
        </w:tc>
        <w:tc>
          <w:tcPr>
            <w:tcW w:w="523" w:type="pct"/>
            <w:shd w:val="clear" w:color="auto" w:fill="auto"/>
          </w:tcPr>
          <w:p w14:paraId="7313BCE8">
            <w:pPr>
              <w:spacing w:line="240" w:lineRule="exact"/>
              <w:ind w:firstLine="0" w:firstLineChars="0"/>
              <w:jc w:val="center"/>
              <w:rPr>
                <w:rFonts w:hint="eastAsia" w:ascii="宋体" w:hAnsi="宋体" w:cs="宋体"/>
                <w:color w:val="000000"/>
                <w:kern w:val="0"/>
                <w:sz w:val="18"/>
                <w:szCs w:val="18"/>
              </w:rPr>
            </w:pPr>
          </w:p>
        </w:tc>
        <w:tc>
          <w:tcPr>
            <w:tcW w:w="452" w:type="pct"/>
            <w:shd w:val="clear" w:color="auto" w:fill="auto"/>
          </w:tcPr>
          <w:p w14:paraId="574317E6">
            <w:pPr>
              <w:spacing w:line="240" w:lineRule="exact"/>
              <w:ind w:firstLine="0" w:firstLineChars="0"/>
              <w:jc w:val="center"/>
              <w:rPr>
                <w:rFonts w:hint="eastAsia" w:ascii="宋体" w:hAnsi="宋体" w:cs="宋体"/>
                <w:color w:val="000000"/>
                <w:kern w:val="0"/>
                <w:sz w:val="18"/>
                <w:szCs w:val="18"/>
              </w:rPr>
            </w:pPr>
          </w:p>
        </w:tc>
        <w:tc>
          <w:tcPr>
            <w:tcW w:w="421" w:type="pct"/>
            <w:shd w:val="clear" w:color="auto" w:fill="auto"/>
          </w:tcPr>
          <w:p w14:paraId="43F8CA11">
            <w:pPr>
              <w:spacing w:line="240" w:lineRule="exact"/>
              <w:ind w:firstLine="0" w:firstLineChars="0"/>
              <w:jc w:val="center"/>
              <w:rPr>
                <w:rFonts w:hint="eastAsia" w:ascii="宋体" w:hAnsi="宋体" w:cs="宋体"/>
                <w:color w:val="000000"/>
                <w:kern w:val="0"/>
                <w:sz w:val="18"/>
                <w:szCs w:val="18"/>
              </w:rPr>
            </w:pPr>
          </w:p>
        </w:tc>
        <w:tc>
          <w:tcPr>
            <w:tcW w:w="411" w:type="pct"/>
            <w:shd w:val="clear" w:color="auto" w:fill="auto"/>
          </w:tcPr>
          <w:p w14:paraId="3A6CBD27">
            <w:pPr>
              <w:spacing w:line="240" w:lineRule="exact"/>
              <w:ind w:firstLine="0" w:firstLineChars="0"/>
              <w:jc w:val="center"/>
              <w:rPr>
                <w:rFonts w:hint="eastAsia" w:ascii="宋体" w:hAnsi="宋体" w:cs="宋体"/>
                <w:color w:val="000000"/>
                <w:kern w:val="0"/>
                <w:sz w:val="18"/>
                <w:szCs w:val="18"/>
              </w:rPr>
            </w:pPr>
          </w:p>
        </w:tc>
        <w:tc>
          <w:tcPr>
            <w:tcW w:w="400" w:type="pct"/>
            <w:shd w:val="clear" w:color="auto" w:fill="auto"/>
          </w:tcPr>
          <w:p w14:paraId="78A145E0">
            <w:pPr>
              <w:spacing w:line="240" w:lineRule="exact"/>
              <w:ind w:firstLine="0" w:firstLineChars="0"/>
              <w:jc w:val="center"/>
              <w:rPr>
                <w:rFonts w:hint="eastAsia" w:ascii="宋体" w:hAnsi="宋体" w:cs="宋体"/>
                <w:color w:val="000000"/>
                <w:kern w:val="0"/>
                <w:sz w:val="18"/>
                <w:szCs w:val="18"/>
              </w:rPr>
            </w:pPr>
          </w:p>
        </w:tc>
        <w:tc>
          <w:tcPr>
            <w:tcW w:w="436" w:type="pct"/>
            <w:shd w:val="clear" w:color="auto" w:fill="auto"/>
          </w:tcPr>
          <w:p w14:paraId="5E0291DE">
            <w:pPr>
              <w:spacing w:line="240" w:lineRule="exact"/>
              <w:ind w:firstLine="0" w:firstLineChars="0"/>
              <w:jc w:val="center"/>
              <w:rPr>
                <w:rFonts w:hint="eastAsia" w:ascii="宋体" w:hAnsi="宋体" w:cs="宋体"/>
                <w:color w:val="000000"/>
                <w:kern w:val="0"/>
                <w:sz w:val="18"/>
                <w:szCs w:val="18"/>
              </w:rPr>
            </w:pPr>
          </w:p>
        </w:tc>
        <w:tc>
          <w:tcPr>
            <w:tcW w:w="462" w:type="pct"/>
            <w:shd w:val="clear" w:color="auto" w:fill="auto"/>
          </w:tcPr>
          <w:p w14:paraId="23A2D647">
            <w:pPr>
              <w:spacing w:line="240" w:lineRule="exact"/>
              <w:ind w:firstLine="0" w:firstLineChars="0"/>
              <w:jc w:val="center"/>
              <w:rPr>
                <w:rFonts w:hint="eastAsia" w:ascii="宋体" w:hAnsi="宋体" w:cs="宋体"/>
                <w:color w:val="000000"/>
                <w:kern w:val="0"/>
                <w:sz w:val="18"/>
                <w:szCs w:val="18"/>
              </w:rPr>
            </w:pPr>
          </w:p>
        </w:tc>
        <w:tc>
          <w:tcPr>
            <w:tcW w:w="487" w:type="pct"/>
          </w:tcPr>
          <w:p w14:paraId="39033976">
            <w:pPr>
              <w:spacing w:line="240" w:lineRule="exact"/>
              <w:ind w:firstLine="0" w:firstLineChars="0"/>
              <w:jc w:val="center"/>
              <w:rPr>
                <w:rFonts w:hint="eastAsia" w:ascii="宋体" w:hAnsi="宋体" w:cs="宋体"/>
                <w:color w:val="000000"/>
                <w:kern w:val="0"/>
                <w:sz w:val="18"/>
                <w:szCs w:val="18"/>
              </w:rPr>
            </w:pPr>
          </w:p>
        </w:tc>
        <w:tc>
          <w:tcPr>
            <w:tcW w:w="543" w:type="pct"/>
          </w:tcPr>
          <w:p w14:paraId="4BC02B46">
            <w:pPr>
              <w:spacing w:line="240" w:lineRule="exact"/>
              <w:ind w:firstLine="0" w:firstLineChars="0"/>
              <w:jc w:val="center"/>
              <w:rPr>
                <w:rFonts w:hint="eastAsia" w:ascii="宋体" w:hAnsi="宋体" w:cs="宋体"/>
                <w:color w:val="000000"/>
                <w:kern w:val="0"/>
                <w:sz w:val="18"/>
                <w:szCs w:val="18"/>
              </w:rPr>
            </w:pPr>
          </w:p>
        </w:tc>
      </w:tr>
      <w:tr w14:paraId="729DF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58B4DFE2">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2.2</w:t>
            </w:r>
          </w:p>
        </w:tc>
        <w:tc>
          <w:tcPr>
            <w:tcW w:w="634" w:type="pct"/>
            <w:shd w:val="clear" w:color="auto" w:fill="auto"/>
            <w:vAlign w:val="center"/>
          </w:tcPr>
          <w:p w14:paraId="2DFDC642">
            <w:pPr>
              <w:widowControl/>
              <w:spacing w:after="0" w:line="240" w:lineRule="exact"/>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其他融资款</w:t>
            </w:r>
          </w:p>
        </w:tc>
        <w:tc>
          <w:tcPr>
            <w:tcW w:w="523" w:type="pct"/>
            <w:shd w:val="clear" w:color="auto" w:fill="auto"/>
          </w:tcPr>
          <w:p w14:paraId="7BAB8DB1">
            <w:pPr>
              <w:spacing w:line="240" w:lineRule="exact"/>
              <w:ind w:firstLine="0" w:firstLineChars="0"/>
              <w:jc w:val="center"/>
              <w:rPr>
                <w:rFonts w:hint="eastAsia" w:ascii="宋体" w:hAnsi="宋体" w:cs="宋体"/>
                <w:color w:val="000000"/>
                <w:kern w:val="0"/>
                <w:sz w:val="18"/>
                <w:szCs w:val="18"/>
              </w:rPr>
            </w:pPr>
          </w:p>
        </w:tc>
        <w:tc>
          <w:tcPr>
            <w:tcW w:w="452" w:type="pct"/>
            <w:shd w:val="clear" w:color="auto" w:fill="auto"/>
          </w:tcPr>
          <w:p w14:paraId="7F67B695">
            <w:pPr>
              <w:spacing w:line="240" w:lineRule="exact"/>
              <w:ind w:firstLine="0" w:firstLineChars="0"/>
              <w:jc w:val="center"/>
              <w:rPr>
                <w:rFonts w:hint="eastAsia" w:ascii="宋体" w:hAnsi="宋体" w:cs="宋体"/>
                <w:color w:val="000000"/>
                <w:kern w:val="0"/>
                <w:sz w:val="18"/>
                <w:szCs w:val="18"/>
              </w:rPr>
            </w:pPr>
          </w:p>
        </w:tc>
        <w:tc>
          <w:tcPr>
            <w:tcW w:w="421" w:type="pct"/>
            <w:shd w:val="clear" w:color="auto" w:fill="auto"/>
          </w:tcPr>
          <w:p w14:paraId="48D478ED">
            <w:pPr>
              <w:spacing w:line="240" w:lineRule="exact"/>
              <w:ind w:firstLine="0" w:firstLineChars="0"/>
              <w:jc w:val="center"/>
              <w:rPr>
                <w:rFonts w:hint="eastAsia" w:ascii="宋体" w:hAnsi="宋体" w:cs="宋体"/>
                <w:color w:val="000000"/>
                <w:kern w:val="0"/>
                <w:sz w:val="18"/>
                <w:szCs w:val="18"/>
              </w:rPr>
            </w:pPr>
          </w:p>
        </w:tc>
        <w:tc>
          <w:tcPr>
            <w:tcW w:w="411" w:type="pct"/>
            <w:shd w:val="clear" w:color="auto" w:fill="auto"/>
          </w:tcPr>
          <w:p w14:paraId="1A2FED3F">
            <w:pPr>
              <w:spacing w:line="240" w:lineRule="exact"/>
              <w:ind w:firstLine="0" w:firstLineChars="0"/>
              <w:jc w:val="center"/>
              <w:rPr>
                <w:rFonts w:hint="eastAsia" w:ascii="宋体" w:hAnsi="宋体" w:cs="宋体"/>
                <w:color w:val="000000"/>
                <w:kern w:val="0"/>
                <w:sz w:val="18"/>
                <w:szCs w:val="18"/>
              </w:rPr>
            </w:pPr>
          </w:p>
        </w:tc>
        <w:tc>
          <w:tcPr>
            <w:tcW w:w="400" w:type="pct"/>
            <w:shd w:val="clear" w:color="auto" w:fill="auto"/>
          </w:tcPr>
          <w:p w14:paraId="3BAD58DD">
            <w:pPr>
              <w:spacing w:line="240" w:lineRule="exact"/>
              <w:ind w:firstLine="0" w:firstLineChars="0"/>
              <w:jc w:val="center"/>
              <w:rPr>
                <w:rFonts w:hint="eastAsia" w:ascii="宋体" w:hAnsi="宋体" w:cs="宋体"/>
                <w:color w:val="000000"/>
                <w:kern w:val="0"/>
                <w:sz w:val="18"/>
                <w:szCs w:val="18"/>
              </w:rPr>
            </w:pPr>
          </w:p>
        </w:tc>
        <w:tc>
          <w:tcPr>
            <w:tcW w:w="436" w:type="pct"/>
            <w:shd w:val="clear" w:color="auto" w:fill="auto"/>
          </w:tcPr>
          <w:p w14:paraId="0436DB00">
            <w:pPr>
              <w:spacing w:line="240" w:lineRule="exact"/>
              <w:ind w:firstLine="0" w:firstLineChars="0"/>
              <w:jc w:val="center"/>
              <w:rPr>
                <w:rFonts w:hint="eastAsia" w:ascii="宋体" w:hAnsi="宋体" w:cs="宋体"/>
                <w:color w:val="000000"/>
                <w:kern w:val="0"/>
                <w:sz w:val="18"/>
                <w:szCs w:val="18"/>
              </w:rPr>
            </w:pPr>
          </w:p>
        </w:tc>
        <w:tc>
          <w:tcPr>
            <w:tcW w:w="462" w:type="pct"/>
            <w:shd w:val="clear" w:color="auto" w:fill="auto"/>
          </w:tcPr>
          <w:p w14:paraId="477C31C4">
            <w:pPr>
              <w:spacing w:line="240" w:lineRule="exact"/>
              <w:ind w:firstLine="0" w:firstLineChars="0"/>
              <w:jc w:val="center"/>
              <w:rPr>
                <w:rFonts w:hint="eastAsia" w:ascii="宋体" w:hAnsi="宋体" w:cs="宋体"/>
                <w:color w:val="000000"/>
                <w:kern w:val="0"/>
                <w:sz w:val="18"/>
                <w:szCs w:val="18"/>
              </w:rPr>
            </w:pPr>
          </w:p>
        </w:tc>
        <w:tc>
          <w:tcPr>
            <w:tcW w:w="487" w:type="pct"/>
          </w:tcPr>
          <w:p w14:paraId="028E10D6">
            <w:pPr>
              <w:spacing w:line="240" w:lineRule="exact"/>
              <w:ind w:firstLine="0" w:firstLineChars="0"/>
              <w:jc w:val="center"/>
              <w:rPr>
                <w:rFonts w:hint="eastAsia" w:ascii="宋体" w:hAnsi="宋体" w:cs="宋体"/>
                <w:color w:val="000000"/>
                <w:kern w:val="0"/>
                <w:sz w:val="18"/>
                <w:szCs w:val="18"/>
              </w:rPr>
            </w:pPr>
          </w:p>
        </w:tc>
        <w:tc>
          <w:tcPr>
            <w:tcW w:w="543" w:type="pct"/>
          </w:tcPr>
          <w:p w14:paraId="1F28930C">
            <w:pPr>
              <w:spacing w:line="240" w:lineRule="exact"/>
              <w:ind w:firstLine="0" w:firstLineChars="0"/>
              <w:jc w:val="center"/>
              <w:rPr>
                <w:rFonts w:hint="eastAsia" w:ascii="宋体" w:hAnsi="宋体" w:cs="宋体"/>
                <w:color w:val="000000"/>
                <w:kern w:val="0"/>
                <w:sz w:val="18"/>
                <w:szCs w:val="18"/>
              </w:rPr>
            </w:pPr>
          </w:p>
        </w:tc>
      </w:tr>
      <w:tr w14:paraId="799D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31AA2604">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634" w:type="pct"/>
            <w:shd w:val="clear" w:color="auto" w:fill="auto"/>
            <w:vAlign w:val="center"/>
          </w:tcPr>
          <w:p w14:paraId="6781482F">
            <w:pPr>
              <w:widowControl/>
              <w:spacing w:after="0" w:line="240" w:lineRule="exact"/>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资本金投入</w:t>
            </w:r>
          </w:p>
        </w:tc>
        <w:tc>
          <w:tcPr>
            <w:tcW w:w="523" w:type="pct"/>
            <w:shd w:val="clear" w:color="auto" w:fill="auto"/>
          </w:tcPr>
          <w:p w14:paraId="65BB2005">
            <w:pPr>
              <w:spacing w:line="240" w:lineRule="exact"/>
              <w:ind w:firstLine="0" w:firstLineChars="0"/>
              <w:jc w:val="center"/>
              <w:rPr>
                <w:rFonts w:hint="eastAsia" w:ascii="宋体" w:hAnsi="宋体" w:cs="宋体"/>
                <w:color w:val="000000"/>
                <w:kern w:val="0"/>
                <w:sz w:val="18"/>
                <w:szCs w:val="18"/>
              </w:rPr>
            </w:pPr>
          </w:p>
        </w:tc>
        <w:tc>
          <w:tcPr>
            <w:tcW w:w="452" w:type="pct"/>
            <w:shd w:val="clear" w:color="auto" w:fill="auto"/>
          </w:tcPr>
          <w:p w14:paraId="56C83DB3">
            <w:pPr>
              <w:spacing w:line="240" w:lineRule="exact"/>
              <w:ind w:firstLine="0" w:firstLineChars="0"/>
              <w:jc w:val="center"/>
              <w:rPr>
                <w:rFonts w:hint="eastAsia" w:ascii="宋体" w:hAnsi="宋体" w:cs="宋体"/>
                <w:color w:val="000000"/>
                <w:kern w:val="0"/>
                <w:sz w:val="18"/>
                <w:szCs w:val="18"/>
              </w:rPr>
            </w:pPr>
          </w:p>
        </w:tc>
        <w:tc>
          <w:tcPr>
            <w:tcW w:w="421" w:type="pct"/>
            <w:shd w:val="clear" w:color="auto" w:fill="auto"/>
          </w:tcPr>
          <w:p w14:paraId="5AF3ECB8">
            <w:pPr>
              <w:spacing w:line="240" w:lineRule="exact"/>
              <w:ind w:firstLine="0" w:firstLineChars="0"/>
              <w:jc w:val="center"/>
              <w:rPr>
                <w:rFonts w:hint="eastAsia" w:ascii="宋体" w:hAnsi="宋体" w:cs="宋体"/>
                <w:color w:val="000000"/>
                <w:kern w:val="0"/>
                <w:sz w:val="18"/>
                <w:szCs w:val="18"/>
              </w:rPr>
            </w:pPr>
          </w:p>
        </w:tc>
        <w:tc>
          <w:tcPr>
            <w:tcW w:w="411" w:type="pct"/>
            <w:shd w:val="clear" w:color="auto" w:fill="auto"/>
          </w:tcPr>
          <w:p w14:paraId="5ACD2FE0">
            <w:pPr>
              <w:spacing w:line="240" w:lineRule="exact"/>
              <w:ind w:firstLine="0" w:firstLineChars="0"/>
              <w:jc w:val="center"/>
              <w:rPr>
                <w:rFonts w:hint="eastAsia" w:ascii="宋体" w:hAnsi="宋体" w:cs="宋体"/>
                <w:color w:val="000000"/>
                <w:kern w:val="0"/>
                <w:sz w:val="18"/>
                <w:szCs w:val="18"/>
              </w:rPr>
            </w:pPr>
          </w:p>
        </w:tc>
        <w:tc>
          <w:tcPr>
            <w:tcW w:w="400" w:type="pct"/>
            <w:shd w:val="clear" w:color="auto" w:fill="auto"/>
          </w:tcPr>
          <w:p w14:paraId="0CB286D6">
            <w:pPr>
              <w:spacing w:line="240" w:lineRule="exact"/>
              <w:ind w:firstLine="0" w:firstLineChars="0"/>
              <w:jc w:val="center"/>
              <w:rPr>
                <w:rFonts w:hint="eastAsia" w:ascii="宋体" w:hAnsi="宋体" w:cs="宋体"/>
                <w:color w:val="000000"/>
                <w:kern w:val="0"/>
                <w:sz w:val="18"/>
                <w:szCs w:val="18"/>
              </w:rPr>
            </w:pPr>
          </w:p>
        </w:tc>
        <w:tc>
          <w:tcPr>
            <w:tcW w:w="436" w:type="pct"/>
            <w:shd w:val="clear" w:color="auto" w:fill="auto"/>
          </w:tcPr>
          <w:p w14:paraId="37EB66C8">
            <w:pPr>
              <w:spacing w:line="240" w:lineRule="exact"/>
              <w:ind w:firstLine="0" w:firstLineChars="0"/>
              <w:jc w:val="center"/>
              <w:rPr>
                <w:rFonts w:hint="eastAsia" w:ascii="宋体" w:hAnsi="宋体" w:cs="宋体"/>
                <w:color w:val="000000"/>
                <w:kern w:val="0"/>
                <w:sz w:val="18"/>
                <w:szCs w:val="18"/>
              </w:rPr>
            </w:pPr>
          </w:p>
        </w:tc>
        <w:tc>
          <w:tcPr>
            <w:tcW w:w="462" w:type="pct"/>
            <w:shd w:val="clear" w:color="auto" w:fill="auto"/>
          </w:tcPr>
          <w:p w14:paraId="5CD2D27B">
            <w:pPr>
              <w:spacing w:line="240" w:lineRule="exact"/>
              <w:ind w:firstLine="0" w:firstLineChars="0"/>
              <w:jc w:val="center"/>
              <w:rPr>
                <w:rFonts w:hint="eastAsia" w:ascii="宋体" w:hAnsi="宋体" w:cs="宋体"/>
                <w:color w:val="000000"/>
                <w:kern w:val="0"/>
                <w:sz w:val="18"/>
                <w:szCs w:val="18"/>
              </w:rPr>
            </w:pPr>
          </w:p>
        </w:tc>
        <w:tc>
          <w:tcPr>
            <w:tcW w:w="487" w:type="pct"/>
          </w:tcPr>
          <w:p w14:paraId="1EE1B1FF">
            <w:pPr>
              <w:spacing w:line="240" w:lineRule="exact"/>
              <w:ind w:firstLine="0" w:firstLineChars="0"/>
              <w:jc w:val="center"/>
              <w:rPr>
                <w:rFonts w:hint="eastAsia" w:ascii="宋体" w:hAnsi="宋体" w:cs="宋体"/>
                <w:color w:val="000000"/>
                <w:kern w:val="0"/>
                <w:sz w:val="18"/>
                <w:szCs w:val="18"/>
              </w:rPr>
            </w:pPr>
          </w:p>
        </w:tc>
        <w:tc>
          <w:tcPr>
            <w:tcW w:w="543" w:type="pct"/>
          </w:tcPr>
          <w:p w14:paraId="53763A09">
            <w:pPr>
              <w:spacing w:line="240" w:lineRule="exact"/>
              <w:ind w:firstLine="0" w:firstLineChars="0"/>
              <w:jc w:val="center"/>
              <w:rPr>
                <w:rFonts w:hint="eastAsia" w:ascii="宋体" w:hAnsi="宋体" w:cs="宋体"/>
                <w:color w:val="000000"/>
                <w:kern w:val="0"/>
                <w:sz w:val="18"/>
                <w:szCs w:val="18"/>
              </w:rPr>
            </w:pPr>
          </w:p>
        </w:tc>
      </w:tr>
      <w:tr w14:paraId="473B1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20B35D62">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二</w:t>
            </w:r>
          </w:p>
        </w:tc>
        <w:tc>
          <w:tcPr>
            <w:tcW w:w="634" w:type="pct"/>
            <w:shd w:val="clear" w:color="auto" w:fill="auto"/>
            <w:vAlign w:val="center"/>
          </w:tcPr>
          <w:p w14:paraId="1C122F14">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523" w:type="pct"/>
            <w:shd w:val="clear" w:color="auto" w:fill="auto"/>
          </w:tcPr>
          <w:p w14:paraId="00A4C7C5">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93,042.83</w:t>
            </w:r>
          </w:p>
        </w:tc>
        <w:tc>
          <w:tcPr>
            <w:tcW w:w="452" w:type="pct"/>
            <w:shd w:val="clear" w:color="auto" w:fill="auto"/>
          </w:tcPr>
          <w:p w14:paraId="4C90783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41,885.83</w:t>
            </w:r>
          </w:p>
        </w:tc>
        <w:tc>
          <w:tcPr>
            <w:tcW w:w="421" w:type="pct"/>
            <w:shd w:val="clear" w:color="auto" w:fill="auto"/>
          </w:tcPr>
          <w:p w14:paraId="5D60401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61,121.33</w:t>
            </w:r>
          </w:p>
        </w:tc>
        <w:tc>
          <w:tcPr>
            <w:tcW w:w="411" w:type="pct"/>
            <w:shd w:val="clear" w:color="auto" w:fill="auto"/>
          </w:tcPr>
          <w:p w14:paraId="50880940">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40,247.33</w:t>
            </w:r>
          </w:p>
        </w:tc>
        <w:tc>
          <w:tcPr>
            <w:tcW w:w="400" w:type="pct"/>
            <w:shd w:val="clear" w:color="auto" w:fill="auto"/>
          </w:tcPr>
          <w:p w14:paraId="0DD7B3F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58,164.74</w:t>
            </w:r>
          </w:p>
        </w:tc>
        <w:tc>
          <w:tcPr>
            <w:tcW w:w="436" w:type="pct"/>
            <w:shd w:val="clear" w:color="auto" w:fill="auto"/>
          </w:tcPr>
          <w:p w14:paraId="2720E5A6">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38,797.07</w:t>
            </w:r>
          </w:p>
        </w:tc>
        <w:tc>
          <w:tcPr>
            <w:tcW w:w="462" w:type="pct"/>
            <w:shd w:val="clear" w:color="auto" w:fill="auto"/>
          </w:tcPr>
          <w:p w14:paraId="3416EAF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38,309.07</w:t>
            </w:r>
          </w:p>
        </w:tc>
        <w:tc>
          <w:tcPr>
            <w:tcW w:w="487" w:type="pct"/>
          </w:tcPr>
          <w:p w14:paraId="6E41FC5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37,821.07</w:t>
            </w:r>
          </w:p>
        </w:tc>
        <w:tc>
          <w:tcPr>
            <w:tcW w:w="543" w:type="pct"/>
          </w:tcPr>
          <w:p w14:paraId="747BAA2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37,452.69</w:t>
            </w:r>
          </w:p>
        </w:tc>
      </w:tr>
      <w:tr w14:paraId="74805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26" w:type="pct"/>
            <w:shd w:val="clear" w:color="auto" w:fill="auto"/>
            <w:vAlign w:val="center"/>
          </w:tcPr>
          <w:p w14:paraId="41875C1D">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634" w:type="pct"/>
            <w:shd w:val="clear" w:color="auto" w:fill="auto"/>
            <w:vAlign w:val="center"/>
          </w:tcPr>
          <w:p w14:paraId="00E59636">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523" w:type="pct"/>
            <w:shd w:val="clear" w:color="auto" w:fill="auto"/>
          </w:tcPr>
          <w:p w14:paraId="02C048A6">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13,995.97</w:t>
            </w:r>
          </w:p>
        </w:tc>
        <w:tc>
          <w:tcPr>
            <w:tcW w:w="452" w:type="pct"/>
            <w:shd w:val="clear" w:color="auto" w:fill="auto"/>
          </w:tcPr>
          <w:p w14:paraId="25AFB02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14,095.97</w:t>
            </w:r>
          </w:p>
        </w:tc>
        <w:tc>
          <w:tcPr>
            <w:tcW w:w="421" w:type="pct"/>
            <w:shd w:val="clear" w:color="auto" w:fill="auto"/>
          </w:tcPr>
          <w:p w14:paraId="600638D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14,304.47</w:t>
            </w:r>
          </w:p>
        </w:tc>
        <w:tc>
          <w:tcPr>
            <w:tcW w:w="411" w:type="pct"/>
            <w:shd w:val="clear" w:color="auto" w:fill="auto"/>
          </w:tcPr>
          <w:p w14:paraId="69C0ACF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14,403.47</w:t>
            </w:r>
          </w:p>
        </w:tc>
        <w:tc>
          <w:tcPr>
            <w:tcW w:w="400" w:type="pct"/>
            <w:shd w:val="clear" w:color="auto" w:fill="auto"/>
          </w:tcPr>
          <w:p w14:paraId="1FB99D0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14,502.47</w:t>
            </w:r>
          </w:p>
        </w:tc>
        <w:tc>
          <w:tcPr>
            <w:tcW w:w="436" w:type="pct"/>
            <w:shd w:val="clear" w:color="auto" w:fill="auto"/>
          </w:tcPr>
          <w:p w14:paraId="2ECA396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14,716.39</w:t>
            </w:r>
          </w:p>
        </w:tc>
        <w:tc>
          <w:tcPr>
            <w:tcW w:w="462" w:type="pct"/>
            <w:shd w:val="clear" w:color="auto" w:fill="auto"/>
          </w:tcPr>
          <w:p w14:paraId="1F095480">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14,816.39</w:t>
            </w:r>
          </w:p>
        </w:tc>
        <w:tc>
          <w:tcPr>
            <w:tcW w:w="487" w:type="pct"/>
          </w:tcPr>
          <w:p w14:paraId="43FB86C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14,916.39</w:t>
            </w:r>
          </w:p>
        </w:tc>
        <w:tc>
          <w:tcPr>
            <w:tcW w:w="543" w:type="pct"/>
          </w:tcPr>
          <w:p w14:paraId="236F00D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15,136.01</w:t>
            </w:r>
          </w:p>
        </w:tc>
      </w:tr>
      <w:tr w14:paraId="6403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7B60C24B">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1.1</w:t>
            </w:r>
          </w:p>
        </w:tc>
        <w:tc>
          <w:tcPr>
            <w:tcW w:w="634" w:type="pct"/>
            <w:shd w:val="clear" w:color="auto" w:fill="auto"/>
            <w:vAlign w:val="center"/>
          </w:tcPr>
          <w:p w14:paraId="4A0AA192">
            <w:pPr>
              <w:widowControl/>
              <w:spacing w:after="0" w:line="240" w:lineRule="exact"/>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运营成本</w:t>
            </w:r>
          </w:p>
        </w:tc>
        <w:tc>
          <w:tcPr>
            <w:tcW w:w="523" w:type="pct"/>
            <w:shd w:val="clear" w:color="auto" w:fill="auto"/>
          </w:tcPr>
          <w:p w14:paraId="14E52E4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13,995.97</w:t>
            </w:r>
          </w:p>
        </w:tc>
        <w:tc>
          <w:tcPr>
            <w:tcW w:w="452" w:type="pct"/>
            <w:shd w:val="clear" w:color="auto" w:fill="auto"/>
            <w:noWrap/>
          </w:tcPr>
          <w:p w14:paraId="372D94F7">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14,095.97</w:t>
            </w:r>
          </w:p>
        </w:tc>
        <w:tc>
          <w:tcPr>
            <w:tcW w:w="421" w:type="pct"/>
            <w:shd w:val="clear" w:color="auto" w:fill="auto"/>
            <w:noWrap/>
          </w:tcPr>
          <w:p w14:paraId="6AB89787">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14,304.47</w:t>
            </w:r>
          </w:p>
        </w:tc>
        <w:tc>
          <w:tcPr>
            <w:tcW w:w="411" w:type="pct"/>
            <w:shd w:val="clear" w:color="auto" w:fill="auto"/>
            <w:noWrap/>
          </w:tcPr>
          <w:p w14:paraId="469A010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14,403.47</w:t>
            </w:r>
          </w:p>
        </w:tc>
        <w:tc>
          <w:tcPr>
            <w:tcW w:w="400" w:type="pct"/>
            <w:shd w:val="clear" w:color="auto" w:fill="auto"/>
            <w:noWrap/>
          </w:tcPr>
          <w:p w14:paraId="1D26C52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14,502.47</w:t>
            </w:r>
          </w:p>
        </w:tc>
        <w:tc>
          <w:tcPr>
            <w:tcW w:w="436" w:type="pct"/>
            <w:shd w:val="clear" w:color="auto" w:fill="auto"/>
            <w:noWrap/>
          </w:tcPr>
          <w:p w14:paraId="73667847">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14,716.39</w:t>
            </w:r>
          </w:p>
        </w:tc>
        <w:tc>
          <w:tcPr>
            <w:tcW w:w="462" w:type="pct"/>
            <w:shd w:val="clear" w:color="auto" w:fill="auto"/>
            <w:noWrap/>
          </w:tcPr>
          <w:p w14:paraId="3D213973">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14,816.39</w:t>
            </w:r>
          </w:p>
        </w:tc>
        <w:tc>
          <w:tcPr>
            <w:tcW w:w="487" w:type="pct"/>
          </w:tcPr>
          <w:p w14:paraId="3EA5BBC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14,916.39</w:t>
            </w:r>
          </w:p>
        </w:tc>
        <w:tc>
          <w:tcPr>
            <w:tcW w:w="543" w:type="pct"/>
          </w:tcPr>
          <w:p w14:paraId="7721BAAC">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15,136.01</w:t>
            </w:r>
          </w:p>
        </w:tc>
      </w:tr>
      <w:tr w14:paraId="68DA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70E9989C">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1.2</w:t>
            </w:r>
          </w:p>
        </w:tc>
        <w:tc>
          <w:tcPr>
            <w:tcW w:w="634" w:type="pct"/>
            <w:shd w:val="clear" w:color="auto" w:fill="auto"/>
            <w:vAlign w:val="center"/>
          </w:tcPr>
          <w:p w14:paraId="4C909880">
            <w:pPr>
              <w:widowControl/>
              <w:spacing w:after="0" w:line="240" w:lineRule="exact"/>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税金支出</w:t>
            </w:r>
          </w:p>
        </w:tc>
        <w:tc>
          <w:tcPr>
            <w:tcW w:w="523" w:type="pct"/>
            <w:shd w:val="clear" w:color="auto" w:fill="auto"/>
          </w:tcPr>
          <w:p w14:paraId="62373BD7">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52" w:type="pct"/>
            <w:shd w:val="clear" w:color="auto" w:fill="auto"/>
            <w:noWrap/>
          </w:tcPr>
          <w:p w14:paraId="7BFFA30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21" w:type="pct"/>
            <w:shd w:val="clear" w:color="auto" w:fill="auto"/>
            <w:noWrap/>
          </w:tcPr>
          <w:p w14:paraId="191E7AB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11" w:type="pct"/>
            <w:shd w:val="clear" w:color="auto" w:fill="auto"/>
            <w:noWrap/>
          </w:tcPr>
          <w:p w14:paraId="4157A935">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00" w:type="pct"/>
            <w:shd w:val="clear" w:color="auto" w:fill="auto"/>
            <w:noWrap/>
          </w:tcPr>
          <w:p w14:paraId="5B033C7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36" w:type="pct"/>
            <w:shd w:val="clear" w:color="auto" w:fill="auto"/>
            <w:noWrap/>
          </w:tcPr>
          <w:p w14:paraId="2633250E">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62" w:type="pct"/>
            <w:shd w:val="clear" w:color="auto" w:fill="auto"/>
            <w:noWrap/>
          </w:tcPr>
          <w:p w14:paraId="132147AE">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87" w:type="pct"/>
          </w:tcPr>
          <w:p w14:paraId="7EC79D86">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543" w:type="pct"/>
          </w:tcPr>
          <w:p w14:paraId="4AF30A2D">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r>
      <w:tr w14:paraId="555C1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26" w:type="pct"/>
            <w:shd w:val="clear" w:color="auto" w:fill="auto"/>
            <w:vAlign w:val="center"/>
          </w:tcPr>
          <w:p w14:paraId="170E1414">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634" w:type="pct"/>
            <w:shd w:val="clear" w:color="auto" w:fill="auto"/>
            <w:vAlign w:val="center"/>
          </w:tcPr>
          <w:p w14:paraId="1224FBB1">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523" w:type="pct"/>
            <w:shd w:val="clear" w:color="auto" w:fill="auto"/>
          </w:tcPr>
          <w:p w14:paraId="2FD86029">
            <w:pPr>
              <w:spacing w:line="240" w:lineRule="exact"/>
              <w:ind w:firstLine="0" w:firstLineChars="0"/>
              <w:jc w:val="center"/>
              <w:rPr>
                <w:rFonts w:hint="eastAsia" w:ascii="宋体" w:hAnsi="宋体" w:cs="宋体"/>
                <w:color w:val="000000"/>
                <w:kern w:val="0"/>
                <w:sz w:val="18"/>
                <w:szCs w:val="18"/>
              </w:rPr>
            </w:pPr>
          </w:p>
        </w:tc>
        <w:tc>
          <w:tcPr>
            <w:tcW w:w="452" w:type="pct"/>
            <w:shd w:val="clear" w:color="auto" w:fill="auto"/>
          </w:tcPr>
          <w:p w14:paraId="1AEDDAD7">
            <w:pPr>
              <w:spacing w:line="240" w:lineRule="exact"/>
              <w:ind w:firstLine="0" w:firstLineChars="0"/>
              <w:jc w:val="center"/>
              <w:rPr>
                <w:rFonts w:hint="eastAsia" w:ascii="宋体" w:hAnsi="宋体" w:cs="宋体"/>
                <w:color w:val="000000"/>
                <w:kern w:val="0"/>
                <w:sz w:val="18"/>
                <w:szCs w:val="18"/>
              </w:rPr>
            </w:pPr>
          </w:p>
        </w:tc>
        <w:tc>
          <w:tcPr>
            <w:tcW w:w="421" w:type="pct"/>
            <w:shd w:val="clear" w:color="auto" w:fill="auto"/>
          </w:tcPr>
          <w:p w14:paraId="31F12AB2">
            <w:pPr>
              <w:spacing w:line="240" w:lineRule="exact"/>
              <w:ind w:firstLine="0" w:firstLineChars="0"/>
              <w:jc w:val="center"/>
              <w:rPr>
                <w:rFonts w:hint="eastAsia" w:ascii="宋体" w:hAnsi="宋体" w:cs="宋体"/>
                <w:color w:val="000000"/>
                <w:kern w:val="0"/>
                <w:sz w:val="18"/>
                <w:szCs w:val="18"/>
              </w:rPr>
            </w:pPr>
          </w:p>
        </w:tc>
        <w:tc>
          <w:tcPr>
            <w:tcW w:w="411" w:type="pct"/>
            <w:shd w:val="clear" w:color="auto" w:fill="auto"/>
          </w:tcPr>
          <w:p w14:paraId="0BFFB82C">
            <w:pPr>
              <w:spacing w:line="240" w:lineRule="exact"/>
              <w:ind w:firstLine="0" w:firstLineChars="0"/>
              <w:jc w:val="center"/>
              <w:rPr>
                <w:rFonts w:hint="eastAsia" w:ascii="宋体" w:hAnsi="宋体" w:cs="宋体"/>
                <w:color w:val="000000"/>
                <w:kern w:val="0"/>
                <w:sz w:val="18"/>
                <w:szCs w:val="18"/>
              </w:rPr>
            </w:pPr>
          </w:p>
        </w:tc>
        <w:tc>
          <w:tcPr>
            <w:tcW w:w="400" w:type="pct"/>
            <w:shd w:val="clear" w:color="auto" w:fill="auto"/>
          </w:tcPr>
          <w:p w14:paraId="6C492ABA">
            <w:pPr>
              <w:spacing w:line="240" w:lineRule="exact"/>
              <w:ind w:firstLine="0" w:firstLineChars="0"/>
              <w:jc w:val="center"/>
              <w:rPr>
                <w:rFonts w:hint="eastAsia" w:ascii="宋体" w:hAnsi="宋体" w:cs="宋体"/>
                <w:color w:val="000000"/>
                <w:kern w:val="0"/>
                <w:sz w:val="18"/>
                <w:szCs w:val="18"/>
              </w:rPr>
            </w:pPr>
          </w:p>
        </w:tc>
        <w:tc>
          <w:tcPr>
            <w:tcW w:w="436" w:type="pct"/>
            <w:shd w:val="clear" w:color="auto" w:fill="auto"/>
          </w:tcPr>
          <w:p w14:paraId="4DF90AFE">
            <w:pPr>
              <w:spacing w:line="240" w:lineRule="exact"/>
              <w:ind w:firstLine="0" w:firstLineChars="0"/>
              <w:jc w:val="center"/>
              <w:rPr>
                <w:rFonts w:hint="eastAsia" w:ascii="宋体" w:hAnsi="宋体" w:cs="宋体"/>
                <w:color w:val="000000"/>
                <w:kern w:val="0"/>
                <w:sz w:val="18"/>
                <w:szCs w:val="18"/>
              </w:rPr>
            </w:pPr>
          </w:p>
        </w:tc>
        <w:tc>
          <w:tcPr>
            <w:tcW w:w="462" w:type="pct"/>
            <w:shd w:val="clear" w:color="auto" w:fill="auto"/>
          </w:tcPr>
          <w:p w14:paraId="6627A1FD">
            <w:pPr>
              <w:spacing w:line="240" w:lineRule="exact"/>
              <w:ind w:firstLine="0" w:firstLineChars="0"/>
              <w:jc w:val="center"/>
              <w:rPr>
                <w:rFonts w:hint="eastAsia" w:ascii="宋体" w:hAnsi="宋体" w:cs="宋体"/>
                <w:color w:val="000000"/>
                <w:kern w:val="0"/>
                <w:sz w:val="18"/>
                <w:szCs w:val="18"/>
              </w:rPr>
            </w:pPr>
          </w:p>
        </w:tc>
        <w:tc>
          <w:tcPr>
            <w:tcW w:w="487" w:type="pct"/>
          </w:tcPr>
          <w:p w14:paraId="197E6072">
            <w:pPr>
              <w:spacing w:line="240" w:lineRule="exact"/>
              <w:ind w:firstLine="0" w:firstLineChars="0"/>
              <w:jc w:val="center"/>
              <w:rPr>
                <w:rFonts w:hint="eastAsia" w:ascii="宋体" w:hAnsi="宋体" w:cs="宋体"/>
                <w:color w:val="000000"/>
                <w:kern w:val="0"/>
                <w:sz w:val="18"/>
                <w:szCs w:val="18"/>
              </w:rPr>
            </w:pPr>
          </w:p>
        </w:tc>
        <w:tc>
          <w:tcPr>
            <w:tcW w:w="543" w:type="pct"/>
          </w:tcPr>
          <w:p w14:paraId="2046C0B8">
            <w:pPr>
              <w:spacing w:line="240" w:lineRule="exact"/>
              <w:ind w:firstLine="0" w:firstLineChars="0"/>
              <w:jc w:val="center"/>
              <w:rPr>
                <w:rFonts w:hint="eastAsia" w:ascii="宋体" w:hAnsi="宋体" w:cs="宋体"/>
                <w:color w:val="000000"/>
                <w:kern w:val="0"/>
                <w:sz w:val="18"/>
                <w:szCs w:val="18"/>
              </w:rPr>
            </w:pPr>
          </w:p>
        </w:tc>
      </w:tr>
      <w:tr w14:paraId="79DA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26" w:type="pct"/>
            <w:shd w:val="clear" w:color="auto" w:fill="auto"/>
            <w:vAlign w:val="center"/>
          </w:tcPr>
          <w:p w14:paraId="4993051F">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634" w:type="pct"/>
            <w:shd w:val="clear" w:color="auto" w:fill="auto"/>
            <w:vAlign w:val="center"/>
          </w:tcPr>
          <w:p w14:paraId="28384889">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523" w:type="pct"/>
            <w:shd w:val="clear" w:color="auto" w:fill="auto"/>
          </w:tcPr>
          <w:p w14:paraId="1243742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79,046.86</w:t>
            </w:r>
          </w:p>
        </w:tc>
        <w:tc>
          <w:tcPr>
            <w:tcW w:w="452" w:type="pct"/>
            <w:shd w:val="clear" w:color="auto" w:fill="auto"/>
          </w:tcPr>
          <w:p w14:paraId="40CCDC55">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27,789.86</w:t>
            </w:r>
          </w:p>
        </w:tc>
        <w:tc>
          <w:tcPr>
            <w:tcW w:w="421" w:type="pct"/>
            <w:shd w:val="clear" w:color="auto" w:fill="auto"/>
          </w:tcPr>
          <w:p w14:paraId="0E2D77A2">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46,816.86</w:t>
            </w:r>
          </w:p>
        </w:tc>
        <w:tc>
          <w:tcPr>
            <w:tcW w:w="411" w:type="pct"/>
            <w:shd w:val="clear" w:color="auto" w:fill="auto"/>
          </w:tcPr>
          <w:p w14:paraId="015331A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25,843.86</w:t>
            </w:r>
          </w:p>
        </w:tc>
        <w:tc>
          <w:tcPr>
            <w:tcW w:w="400" w:type="pct"/>
            <w:shd w:val="clear" w:color="auto" w:fill="auto"/>
          </w:tcPr>
          <w:p w14:paraId="6FA4CF86">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43,662.27</w:t>
            </w:r>
          </w:p>
        </w:tc>
        <w:tc>
          <w:tcPr>
            <w:tcW w:w="436" w:type="pct"/>
            <w:shd w:val="clear" w:color="auto" w:fill="auto"/>
          </w:tcPr>
          <w:p w14:paraId="20BA2B30">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24,080.68</w:t>
            </w:r>
          </w:p>
        </w:tc>
        <w:tc>
          <w:tcPr>
            <w:tcW w:w="462" w:type="pct"/>
            <w:shd w:val="clear" w:color="auto" w:fill="auto"/>
          </w:tcPr>
          <w:p w14:paraId="211797D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23,492.68</w:t>
            </w:r>
          </w:p>
        </w:tc>
        <w:tc>
          <w:tcPr>
            <w:tcW w:w="487" w:type="pct"/>
          </w:tcPr>
          <w:p w14:paraId="2129174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22,904.68</w:t>
            </w:r>
          </w:p>
        </w:tc>
        <w:tc>
          <w:tcPr>
            <w:tcW w:w="543" w:type="pct"/>
          </w:tcPr>
          <w:p w14:paraId="406EE88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22,316.68</w:t>
            </w:r>
          </w:p>
        </w:tc>
      </w:tr>
      <w:tr w14:paraId="3AADB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5FF9EEE3">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3.1</w:t>
            </w:r>
          </w:p>
        </w:tc>
        <w:tc>
          <w:tcPr>
            <w:tcW w:w="634" w:type="pct"/>
            <w:shd w:val="clear" w:color="auto" w:fill="auto"/>
            <w:vAlign w:val="center"/>
          </w:tcPr>
          <w:p w14:paraId="124E71D4">
            <w:pPr>
              <w:widowControl/>
              <w:spacing w:after="0" w:line="240" w:lineRule="exact"/>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债券发行费用</w:t>
            </w:r>
          </w:p>
        </w:tc>
        <w:tc>
          <w:tcPr>
            <w:tcW w:w="523" w:type="pct"/>
            <w:shd w:val="clear" w:color="auto" w:fill="auto"/>
          </w:tcPr>
          <w:p w14:paraId="6671930D">
            <w:pPr>
              <w:spacing w:line="240" w:lineRule="exact"/>
              <w:ind w:firstLine="0" w:firstLineChars="0"/>
              <w:jc w:val="center"/>
              <w:rPr>
                <w:rFonts w:hint="eastAsia" w:ascii="宋体" w:hAnsi="宋体" w:cs="宋体"/>
                <w:color w:val="000000"/>
                <w:kern w:val="0"/>
                <w:sz w:val="18"/>
                <w:szCs w:val="18"/>
              </w:rPr>
            </w:pPr>
          </w:p>
        </w:tc>
        <w:tc>
          <w:tcPr>
            <w:tcW w:w="452" w:type="pct"/>
            <w:shd w:val="clear" w:color="auto" w:fill="auto"/>
          </w:tcPr>
          <w:p w14:paraId="2E234D0A">
            <w:pPr>
              <w:spacing w:line="240" w:lineRule="exact"/>
              <w:ind w:firstLine="0" w:firstLineChars="0"/>
              <w:jc w:val="center"/>
              <w:rPr>
                <w:rFonts w:hint="eastAsia" w:ascii="宋体" w:hAnsi="宋体" w:cs="宋体"/>
                <w:color w:val="000000"/>
                <w:kern w:val="0"/>
                <w:sz w:val="18"/>
                <w:szCs w:val="18"/>
              </w:rPr>
            </w:pPr>
          </w:p>
        </w:tc>
        <w:tc>
          <w:tcPr>
            <w:tcW w:w="421" w:type="pct"/>
            <w:shd w:val="clear" w:color="auto" w:fill="auto"/>
          </w:tcPr>
          <w:p w14:paraId="1B4F4104">
            <w:pPr>
              <w:spacing w:line="240" w:lineRule="exact"/>
              <w:ind w:firstLine="0" w:firstLineChars="0"/>
              <w:jc w:val="center"/>
              <w:rPr>
                <w:rFonts w:hint="eastAsia" w:ascii="宋体" w:hAnsi="宋体" w:cs="宋体"/>
                <w:color w:val="000000"/>
                <w:kern w:val="0"/>
                <w:sz w:val="18"/>
                <w:szCs w:val="18"/>
              </w:rPr>
            </w:pPr>
          </w:p>
        </w:tc>
        <w:tc>
          <w:tcPr>
            <w:tcW w:w="411" w:type="pct"/>
            <w:shd w:val="clear" w:color="auto" w:fill="auto"/>
          </w:tcPr>
          <w:p w14:paraId="4A7DFBC3">
            <w:pPr>
              <w:spacing w:line="240" w:lineRule="exact"/>
              <w:ind w:firstLine="0" w:firstLineChars="0"/>
              <w:jc w:val="center"/>
              <w:rPr>
                <w:rFonts w:hint="eastAsia" w:ascii="宋体" w:hAnsi="宋体" w:cs="宋体"/>
                <w:color w:val="000000"/>
                <w:kern w:val="0"/>
                <w:sz w:val="18"/>
                <w:szCs w:val="18"/>
              </w:rPr>
            </w:pPr>
          </w:p>
        </w:tc>
        <w:tc>
          <w:tcPr>
            <w:tcW w:w="400" w:type="pct"/>
            <w:shd w:val="clear" w:color="auto" w:fill="auto"/>
          </w:tcPr>
          <w:p w14:paraId="5E30425A">
            <w:pPr>
              <w:spacing w:line="240" w:lineRule="exact"/>
              <w:ind w:firstLine="0" w:firstLineChars="0"/>
              <w:jc w:val="center"/>
              <w:rPr>
                <w:rFonts w:hint="eastAsia" w:ascii="宋体" w:hAnsi="宋体" w:cs="宋体"/>
                <w:color w:val="000000"/>
                <w:kern w:val="0"/>
                <w:sz w:val="18"/>
                <w:szCs w:val="18"/>
              </w:rPr>
            </w:pPr>
          </w:p>
        </w:tc>
        <w:tc>
          <w:tcPr>
            <w:tcW w:w="436" w:type="pct"/>
            <w:shd w:val="clear" w:color="auto" w:fill="auto"/>
          </w:tcPr>
          <w:p w14:paraId="7C6E60B7">
            <w:pPr>
              <w:spacing w:line="240" w:lineRule="exact"/>
              <w:ind w:firstLine="0" w:firstLineChars="0"/>
              <w:jc w:val="center"/>
              <w:rPr>
                <w:rFonts w:hint="eastAsia" w:ascii="宋体" w:hAnsi="宋体" w:cs="宋体"/>
                <w:color w:val="000000"/>
                <w:kern w:val="0"/>
                <w:sz w:val="18"/>
                <w:szCs w:val="18"/>
              </w:rPr>
            </w:pPr>
          </w:p>
        </w:tc>
        <w:tc>
          <w:tcPr>
            <w:tcW w:w="462" w:type="pct"/>
            <w:shd w:val="clear" w:color="auto" w:fill="auto"/>
          </w:tcPr>
          <w:p w14:paraId="31814D82">
            <w:pPr>
              <w:spacing w:line="240" w:lineRule="exact"/>
              <w:ind w:firstLine="0" w:firstLineChars="0"/>
              <w:jc w:val="center"/>
              <w:rPr>
                <w:rFonts w:hint="eastAsia" w:ascii="宋体" w:hAnsi="宋体" w:cs="宋体"/>
                <w:color w:val="000000"/>
                <w:kern w:val="0"/>
                <w:sz w:val="18"/>
                <w:szCs w:val="18"/>
              </w:rPr>
            </w:pPr>
          </w:p>
        </w:tc>
        <w:tc>
          <w:tcPr>
            <w:tcW w:w="487" w:type="pct"/>
          </w:tcPr>
          <w:p w14:paraId="488745F9">
            <w:pPr>
              <w:spacing w:line="240" w:lineRule="exact"/>
              <w:ind w:firstLine="0" w:firstLineChars="0"/>
              <w:jc w:val="center"/>
              <w:rPr>
                <w:rFonts w:hint="eastAsia" w:ascii="宋体" w:hAnsi="宋体" w:cs="宋体"/>
                <w:color w:val="000000"/>
                <w:kern w:val="0"/>
                <w:sz w:val="18"/>
                <w:szCs w:val="18"/>
              </w:rPr>
            </w:pPr>
          </w:p>
        </w:tc>
        <w:tc>
          <w:tcPr>
            <w:tcW w:w="543" w:type="pct"/>
          </w:tcPr>
          <w:p w14:paraId="089441D2">
            <w:pPr>
              <w:spacing w:line="240" w:lineRule="exact"/>
              <w:ind w:firstLine="0" w:firstLineChars="0"/>
              <w:jc w:val="center"/>
              <w:rPr>
                <w:rFonts w:hint="eastAsia" w:ascii="宋体" w:hAnsi="宋体" w:cs="宋体"/>
                <w:color w:val="000000"/>
                <w:kern w:val="0"/>
                <w:sz w:val="18"/>
                <w:szCs w:val="18"/>
              </w:rPr>
            </w:pPr>
          </w:p>
        </w:tc>
      </w:tr>
      <w:tr w14:paraId="1596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35A03409">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3.2</w:t>
            </w:r>
          </w:p>
        </w:tc>
        <w:tc>
          <w:tcPr>
            <w:tcW w:w="634" w:type="pct"/>
            <w:shd w:val="clear" w:color="auto" w:fill="auto"/>
            <w:vAlign w:val="center"/>
          </w:tcPr>
          <w:p w14:paraId="5DF905B9">
            <w:pPr>
              <w:widowControl/>
              <w:spacing w:after="0" w:line="240" w:lineRule="exact"/>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偿还债券本金</w:t>
            </w:r>
          </w:p>
        </w:tc>
        <w:tc>
          <w:tcPr>
            <w:tcW w:w="523" w:type="pct"/>
            <w:shd w:val="clear" w:color="auto" w:fill="auto"/>
          </w:tcPr>
          <w:p w14:paraId="355D7CD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50,000.00</w:t>
            </w:r>
          </w:p>
        </w:tc>
        <w:tc>
          <w:tcPr>
            <w:tcW w:w="452" w:type="pct"/>
            <w:shd w:val="clear" w:color="auto" w:fill="auto"/>
          </w:tcPr>
          <w:p w14:paraId="5E8B673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21" w:type="pct"/>
            <w:shd w:val="clear" w:color="auto" w:fill="auto"/>
          </w:tcPr>
          <w:p w14:paraId="2503E01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20,000.00</w:t>
            </w:r>
          </w:p>
        </w:tc>
        <w:tc>
          <w:tcPr>
            <w:tcW w:w="411" w:type="pct"/>
            <w:shd w:val="clear" w:color="auto" w:fill="auto"/>
          </w:tcPr>
          <w:p w14:paraId="20B942F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00" w:type="pct"/>
            <w:shd w:val="clear" w:color="auto" w:fill="auto"/>
          </w:tcPr>
          <w:p w14:paraId="7E4A47A1">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18,700.00</w:t>
            </w:r>
          </w:p>
        </w:tc>
        <w:tc>
          <w:tcPr>
            <w:tcW w:w="436" w:type="pct"/>
            <w:shd w:val="clear" w:color="auto" w:fill="auto"/>
          </w:tcPr>
          <w:p w14:paraId="02AAE626">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62" w:type="pct"/>
            <w:shd w:val="clear" w:color="auto" w:fill="auto"/>
            <w:noWrap/>
          </w:tcPr>
          <w:p w14:paraId="714C009D">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487" w:type="pct"/>
          </w:tcPr>
          <w:p w14:paraId="0BC08BD0">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c>
          <w:tcPr>
            <w:tcW w:w="543" w:type="pct"/>
          </w:tcPr>
          <w:p w14:paraId="74C07005">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w:t>
            </w:r>
          </w:p>
        </w:tc>
      </w:tr>
      <w:tr w14:paraId="06780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43C50AA2">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3.3</w:t>
            </w:r>
          </w:p>
        </w:tc>
        <w:tc>
          <w:tcPr>
            <w:tcW w:w="634" w:type="pct"/>
            <w:shd w:val="clear" w:color="auto" w:fill="auto"/>
            <w:vAlign w:val="center"/>
          </w:tcPr>
          <w:p w14:paraId="7935D233">
            <w:pPr>
              <w:widowControl/>
              <w:spacing w:after="0" w:line="240" w:lineRule="exact"/>
              <w:ind w:firstLine="360"/>
              <w:jc w:val="center"/>
              <w:rPr>
                <w:rFonts w:hint="eastAsia" w:ascii="宋体" w:hAnsi="宋体" w:cs="宋体"/>
                <w:color w:val="000000"/>
                <w:kern w:val="0"/>
                <w:sz w:val="18"/>
                <w:szCs w:val="18"/>
              </w:rPr>
            </w:pPr>
            <w:r>
              <w:rPr>
                <w:rFonts w:hint="eastAsia" w:ascii="宋体" w:hAnsi="宋体" w:cs="宋体"/>
                <w:color w:val="000000"/>
                <w:kern w:val="0"/>
                <w:sz w:val="18"/>
                <w:szCs w:val="18"/>
              </w:rPr>
              <w:t>支付债券利息</w:t>
            </w:r>
          </w:p>
        </w:tc>
        <w:tc>
          <w:tcPr>
            <w:tcW w:w="523" w:type="pct"/>
            <w:shd w:val="clear" w:color="auto" w:fill="auto"/>
          </w:tcPr>
          <w:p w14:paraId="20CDD73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5,151.51</w:t>
            </w:r>
          </w:p>
        </w:tc>
        <w:tc>
          <w:tcPr>
            <w:tcW w:w="452" w:type="pct"/>
            <w:shd w:val="clear" w:color="auto" w:fill="auto"/>
            <w:noWrap/>
          </w:tcPr>
          <w:p w14:paraId="13C5B64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4,482.51</w:t>
            </w:r>
          </w:p>
        </w:tc>
        <w:tc>
          <w:tcPr>
            <w:tcW w:w="421" w:type="pct"/>
            <w:shd w:val="clear" w:color="auto" w:fill="auto"/>
            <w:noWrap/>
          </w:tcPr>
          <w:p w14:paraId="22EF0AE7">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4,097.51</w:t>
            </w:r>
          </w:p>
        </w:tc>
        <w:tc>
          <w:tcPr>
            <w:tcW w:w="411" w:type="pct"/>
            <w:shd w:val="clear" w:color="auto" w:fill="auto"/>
            <w:noWrap/>
          </w:tcPr>
          <w:p w14:paraId="4782077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3,712.51</w:t>
            </w:r>
          </w:p>
        </w:tc>
        <w:tc>
          <w:tcPr>
            <w:tcW w:w="400" w:type="pct"/>
            <w:shd w:val="clear" w:color="auto" w:fill="auto"/>
            <w:noWrap/>
          </w:tcPr>
          <w:p w14:paraId="626598B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3,418.92</w:t>
            </w:r>
          </w:p>
        </w:tc>
        <w:tc>
          <w:tcPr>
            <w:tcW w:w="436" w:type="pct"/>
            <w:shd w:val="clear" w:color="auto" w:fill="auto"/>
            <w:noWrap/>
          </w:tcPr>
          <w:p w14:paraId="6EA012D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3,125.33</w:t>
            </w:r>
          </w:p>
        </w:tc>
        <w:tc>
          <w:tcPr>
            <w:tcW w:w="462" w:type="pct"/>
            <w:shd w:val="clear" w:color="auto" w:fill="auto"/>
            <w:noWrap/>
          </w:tcPr>
          <w:p w14:paraId="0E00DAE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3,125.33</w:t>
            </w:r>
          </w:p>
        </w:tc>
        <w:tc>
          <w:tcPr>
            <w:tcW w:w="487" w:type="pct"/>
          </w:tcPr>
          <w:p w14:paraId="51DB1E0C">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3,125.33</w:t>
            </w:r>
          </w:p>
        </w:tc>
        <w:tc>
          <w:tcPr>
            <w:tcW w:w="543" w:type="pct"/>
          </w:tcPr>
          <w:p w14:paraId="5E1C806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3,125.33</w:t>
            </w:r>
          </w:p>
        </w:tc>
      </w:tr>
      <w:tr w14:paraId="62B2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26" w:type="pct"/>
            <w:shd w:val="clear" w:color="auto" w:fill="auto"/>
            <w:vAlign w:val="center"/>
          </w:tcPr>
          <w:p w14:paraId="459E5715">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3.4</w:t>
            </w:r>
          </w:p>
        </w:tc>
        <w:tc>
          <w:tcPr>
            <w:tcW w:w="634" w:type="pct"/>
            <w:shd w:val="clear" w:color="auto" w:fill="auto"/>
            <w:vAlign w:val="center"/>
          </w:tcPr>
          <w:p w14:paraId="667FA0C3">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523" w:type="pct"/>
            <w:shd w:val="clear" w:color="auto" w:fill="auto"/>
          </w:tcPr>
          <w:p w14:paraId="49473467">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14,000.00</w:t>
            </w:r>
          </w:p>
        </w:tc>
        <w:tc>
          <w:tcPr>
            <w:tcW w:w="452" w:type="pct"/>
            <w:shd w:val="clear" w:color="auto" w:fill="auto"/>
          </w:tcPr>
          <w:p w14:paraId="4BB22BE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14,000.00</w:t>
            </w:r>
          </w:p>
        </w:tc>
        <w:tc>
          <w:tcPr>
            <w:tcW w:w="421" w:type="pct"/>
            <w:shd w:val="clear" w:color="auto" w:fill="auto"/>
          </w:tcPr>
          <w:p w14:paraId="0D4B50F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14,000.00</w:t>
            </w:r>
          </w:p>
        </w:tc>
        <w:tc>
          <w:tcPr>
            <w:tcW w:w="411" w:type="pct"/>
            <w:shd w:val="clear" w:color="auto" w:fill="auto"/>
          </w:tcPr>
          <w:p w14:paraId="1D6E5DA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14,000.00</w:t>
            </w:r>
          </w:p>
        </w:tc>
        <w:tc>
          <w:tcPr>
            <w:tcW w:w="400" w:type="pct"/>
            <w:shd w:val="clear" w:color="auto" w:fill="auto"/>
          </w:tcPr>
          <w:p w14:paraId="2E0C0A3E">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14,000.00</w:t>
            </w:r>
          </w:p>
        </w:tc>
        <w:tc>
          <w:tcPr>
            <w:tcW w:w="436" w:type="pct"/>
            <w:shd w:val="clear" w:color="auto" w:fill="auto"/>
          </w:tcPr>
          <w:p w14:paraId="1EF1AAF1">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14,000.00</w:t>
            </w:r>
          </w:p>
        </w:tc>
        <w:tc>
          <w:tcPr>
            <w:tcW w:w="462" w:type="pct"/>
            <w:shd w:val="clear" w:color="auto" w:fill="auto"/>
          </w:tcPr>
          <w:p w14:paraId="38379EC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14,000.00</w:t>
            </w:r>
          </w:p>
        </w:tc>
        <w:tc>
          <w:tcPr>
            <w:tcW w:w="487" w:type="pct"/>
          </w:tcPr>
          <w:p w14:paraId="48D390E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14,000.00</w:t>
            </w:r>
          </w:p>
        </w:tc>
        <w:tc>
          <w:tcPr>
            <w:tcW w:w="543" w:type="pct"/>
          </w:tcPr>
          <w:p w14:paraId="776B1933">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14,000.00</w:t>
            </w:r>
          </w:p>
        </w:tc>
      </w:tr>
      <w:tr w14:paraId="3F11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26" w:type="pct"/>
            <w:shd w:val="clear" w:color="auto" w:fill="auto"/>
            <w:vAlign w:val="center"/>
          </w:tcPr>
          <w:p w14:paraId="7EDF3D6B">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3.5</w:t>
            </w:r>
          </w:p>
        </w:tc>
        <w:tc>
          <w:tcPr>
            <w:tcW w:w="634" w:type="pct"/>
            <w:shd w:val="clear" w:color="auto" w:fill="auto"/>
            <w:vAlign w:val="center"/>
          </w:tcPr>
          <w:p w14:paraId="55441EAA">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523" w:type="pct"/>
            <w:shd w:val="clear" w:color="auto" w:fill="auto"/>
          </w:tcPr>
          <w:p w14:paraId="31595612">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9,895.35</w:t>
            </w:r>
          </w:p>
        </w:tc>
        <w:tc>
          <w:tcPr>
            <w:tcW w:w="452" w:type="pct"/>
            <w:shd w:val="clear" w:color="auto" w:fill="auto"/>
          </w:tcPr>
          <w:p w14:paraId="4B47C31C">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9,307.35</w:t>
            </w:r>
          </w:p>
        </w:tc>
        <w:tc>
          <w:tcPr>
            <w:tcW w:w="421" w:type="pct"/>
            <w:shd w:val="clear" w:color="auto" w:fill="auto"/>
          </w:tcPr>
          <w:p w14:paraId="1B14E975">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8,719.35</w:t>
            </w:r>
          </w:p>
        </w:tc>
        <w:tc>
          <w:tcPr>
            <w:tcW w:w="411" w:type="pct"/>
            <w:shd w:val="clear" w:color="auto" w:fill="auto"/>
          </w:tcPr>
          <w:p w14:paraId="0C4CF0A5">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8,131.35</w:t>
            </w:r>
          </w:p>
        </w:tc>
        <w:tc>
          <w:tcPr>
            <w:tcW w:w="400" w:type="pct"/>
            <w:shd w:val="clear" w:color="auto" w:fill="auto"/>
          </w:tcPr>
          <w:p w14:paraId="7EB893D3">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7,543.35</w:t>
            </w:r>
          </w:p>
        </w:tc>
        <w:tc>
          <w:tcPr>
            <w:tcW w:w="436" w:type="pct"/>
            <w:shd w:val="clear" w:color="auto" w:fill="auto"/>
          </w:tcPr>
          <w:p w14:paraId="0A0BF41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6,955.35</w:t>
            </w:r>
          </w:p>
        </w:tc>
        <w:tc>
          <w:tcPr>
            <w:tcW w:w="462" w:type="pct"/>
            <w:shd w:val="clear" w:color="auto" w:fill="auto"/>
          </w:tcPr>
          <w:p w14:paraId="07A0330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6,367.35</w:t>
            </w:r>
          </w:p>
        </w:tc>
        <w:tc>
          <w:tcPr>
            <w:tcW w:w="487" w:type="pct"/>
          </w:tcPr>
          <w:p w14:paraId="27D28C7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5,779.35</w:t>
            </w:r>
          </w:p>
        </w:tc>
        <w:tc>
          <w:tcPr>
            <w:tcW w:w="543" w:type="pct"/>
          </w:tcPr>
          <w:p w14:paraId="5364049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5,191.35</w:t>
            </w:r>
          </w:p>
        </w:tc>
      </w:tr>
      <w:tr w14:paraId="744F2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1B39F2AA">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三</w:t>
            </w:r>
          </w:p>
        </w:tc>
        <w:tc>
          <w:tcPr>
            <w:tcW w:w="634" w:type="pct"/>
            <w:shd w:val="clear" w:color="auto" w:fill="auto"/>
            <w:vAlign w:val="center"/>
          </w:tcPr>
          <w:p w14:paraId="191F2BD7">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523" w:type="pct"/>
            <w:shd w:val="clear" w:color="auto" w:fill="auto"/>
          </w:tcPr>
          <w:p w14:paraId="5BE1A6E7">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-10,359.11</w:t>
            </w:r>
          </w:p>
        </w:tc>
        <w:tc>
          <w:tcPr>
            <w:tcW w:w="452" w:type="pct"/>
            <w:shd w:val="clear" w:color="auto" w:fill="auto"/>
          </w:tcPr>
          <w:p w14:paraId="7ACCD6E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41,457.95</w:t>
            </w:r>
          </w:p>
        </w:tc>
        <w:tc>
          <w:tcPr>
            <w:tcW w:w="421" w:type="pct"/>
            <w:shd w:val="clear" w:color="auto" w:fill="auto"/>
          </w:tcPr>
          <w:p w14:paraId="1F5DB789">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22,881.37</w:t>
            </w:r>
          </w:p>
        </w:tc>
        <w:tc>
          <w:tcPr>
            <w:tcW w:w="411" w:type="pct"/>
            <w:shd w:val="clear" w:color="auto" w:fill="auto"/>
          </w:tcPr>
          <w:p w14:paraId="6956C53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44,415.43</w:t>
            </w:r>
          </w:p>
        </w:tc>
        <w:tc>
          <w:tcPr>
            <w:tcW w:w="400" w:type="pct"/>
            <w:shd w:val="clear" w:color="auto" w:fill="auto"/>
          </w:tcPr>
          <w:p w14:paraId="40D946B2">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27,158.08</w:t>
            </w:r>
          </w:p>
        </w:tc>
        <w:tc>
          <w:tcPr>
            <w:tcW w:w="436" w:type="pct"/>
            <w:shd w:val="clear" w:color="auto" w:fill="auto"/>
          </w:tcPr>
          <w:p w14:paraId="6A79E17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47,185.81</w:t>
            </w:r>
          </w:p>
        </w:tc>
        <w:tc>
          <w:tcPr>
            <w:tcW w:w="462" w:type="pct"/>
            <w:shd w:val="clear" w:color="auto" w:fill="auto"/>
          </w:tcPr>
          <w:p w14:paraId="60CBAB62">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48,332.73</w:t>
            </w:r>
          </w:p>
        </w:tc>
        <w:tc>
          <w:tcPr>
            <w:tcW w:w="487" w:type="pct"/>
          </w:tcPr>
          <w:p w14:paraId="007AB2E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49,480.79</w:t>
            </w:r>
          </w:p>
        </w:tc>
        <w:tc>
          <w:tcPr>
            <w:tcW w:w="543" w:type="pct"/>
          </w:tcPr>
          <w:p w14:paraId="7E2F369D">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50,509.23</w:t>
            </w:r>
          </w:p>
        </w:tc>
      </w:tr>
      <w:tr w14:paraId="7E730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1B09B5D0">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四</w:t>
            </w:r>
          </w:p>
        </w:tc>
        <w:tc>
          <w:tcPr>
            <w:tcW w:w="634" w:type="pct"/>
            <w:shd w:val="clear" w:color="auto" w:fill="auto"/>
            <w:vAlign w:val="center"/>
          </w:tcPr>
          <w:p w14:paraId="5E909DA4">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523" w:type="pct"/>
            <w:shd w:val="clear" w:color="auto" w:fill="auto"/>
          </w:tcPr>
          <w:p w14:paraId="6CFC7571">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409,565.89</w:t>
            </w:r>
          </w:p>
        </w:tc>
        <w:tc>
          <w:tcPr>
            <w:tcW w:w="452" w:type="pct"/>
            <w:shd w:val="clear" w:color="auto" w:fill="auto"/>
          </w:tcPr>
          <w:p w14:paraId="2C325A3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399,206.78</w:t>
            </w:r>
          </w:p>
        </w:tc>
        <w:tc>
          <w:tcPr>
            <w:tcW w:w="421" w:type="pct"/>
            <w:shd w:val="clear" w:color="auto" w:fill="auto"/>
          </w:tcPr>
          <w:p w14:paraId="22BC2562">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440,664.73</w:t>
            </w:r>
          </w:p>
        </w:tc>
        <w:tc>
          <w:tcPr>
            <w:tcW w:w="411" w:type="pct"/>
            <w:shd w:val="clear" w:color="auto" w:fill="auto"/>
          </w:tcPr>
          <w:p w14:paraId="26F2F0ED">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463,546.10</w:t>
            </w:r>
          </w:p>
        </w:tc>
        <w:tc>
          <w:tcPr>
            <w:tcW w:w="400" w:type="pct"/>
            <w:shd w:val="clear" w:color="auto" w:fill="auto"/>
          </w:tcPr>
          <w:p w14:paraId="51118325">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507,961.53</w:t>
            </w:r>
          </w:p>
        </w:tc>
        <w:tc>
          <w:tcPr>
            <w:tcW w:w="436" w:type="pct"/>
            <w:shd w:val="clear" w:color="auto" w:fill="auto"/>
          </w:tcPr>
          <w:p w14:paraId="27E1147C">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535,119.61</w:t>
            </w:r>
          </w:p>
        </w:tc>
        <w:tc>
          <w:tcPr>
            <w:tcW w:w="462" w:type="pct"/>
            <w:shd w:val="clear" w:color="auto" w:fill="auto"/>
          </w:tcPr>
          <w:p w14:paraId="00DB9E0F">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582,305.42</w:t>
            </w:r>
          </w:p>
        </w:tc>
        <w:tc>
          <w:tcPr>
            <w:tcW w:w="487" w:type="pct"/>
          </w:tcPr>
          <w:p w14:paraId="044B6418">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630,638.15</w:t>
            </w:r>
          </w:p>
        </w:tc>
        <w:tc>
          <w:tcPr>
            <w:tcW w:w="543" w:type="pct"/>
          </w:tcPr>
          <w:p w14:paraId="5B4B9A80">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680,118.94</w:t>
            </w:r>
          </w:p>
        </w:tc>
      </w:tr>
      <w:tr w14:paraId="78F0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26" w:type="pct"/>
            <w:shd w:val="clear" w:color="auto" w:fill="auto"/>
            <w:vAlign w:val="center"/>
          </w:tcPr>
          <w:p w14:paraId="1D99DCA0">
            <w:pPr>
              <w:widowControl/>
              <w:spacing w:after="0" w:line="240" w:lineRule="exact"/>
              <w:ind w:firstLine="0" w:firstLineChars="0"/>
              <w:jc w:val="center"/>
              <w:rPr>
                <w:rFonts w:hint="eastAsia" w:ascii="宋体" w:hAnsi="宋体" w:cs="宋体"/>
                <w:color w:val="000000"/>
                <w:kern w:val="0"/>
                <w:sz w:val="18"/>
                <w:szCs w:val="18"/>
              </w:rPr>
            </w:pPr>
            <w:r>
              <w:rPr>
                <w:rFonts w:hint="eastAsia" w:ascii="宋体" w:hAnsi="宋体" w:cs="宋体"/>
                <w:color w:val="000000"/>
                <w:kern w:val="0"/>
                <w:sz w:val="18"/>
                <w:szCs w:val="18"/>
              </w:rPr>
              <w:t>五</w:t>
            </w:r>
          </w:p>
        </w:tc>
        <w:tc>
          <w:tcPr>
            <w:tcW w:w="634" w:type="pct"/>
            <w:shd w:val="clear" w:color="auto" w:fill="auto"/>
            <w:vAlign w:val="center"/>
          </w:tcPr>
          <w:p w14:paraId="32B19ACD">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523" w:type="pct"/>
            <w:shd w:val="clear" w:color="auto" w:fill="auto"/>
          </w:tcPr>
          <w:p w14:paraId="628C788C">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399,206.78</w:t>
            </w:r>
          </w:p>
        </w:tc>
        <w:tc>
          <w:tcPr>
            <w:tcW w:w="452" w:type="pct"/>
            <w:shd w:val="clear" w:color="auto" w:fill="auto"/>
          </w:tcPr>
          <w:p w14:paraId="41F9770A">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440,664.73</w:t>
            </w:r>
          </w:p>
        </w:tc>
        <w:tc>
          <w:tcPr>
            <w:tcW w:w="421" w:type="pct"/>
            <w:shd w:val="clear" w:color="auto" w:fill="auto"/>
          </w:tcPr>
          <w:p w14:paraId="1A588ED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463,546.10</w:t>
            </w:r>
          </w:p>
        </w:tc>
        <w:tc>
          <w:tcPr>
            <w:tcW w:w="411" w:type="pct"/>
            <w:shd w:val="clear" w:color="auto" w:fill="auto"/>
          </w:tcPr>
          <w:p w14:paraId="526D215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507,961.53</w:t>
            </w:r>
          </w:p>
        </w:tc>
        <w:tc>
          <w:tcPr>
            <w:tcW w:w="400" w:type="pct"/>
            <w:shd w:val="clear" w:color="auto" w:fill="auto"/>
          </w:tcPr>
          <w:p w14:paraId="3FA46F14">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535,119.61</w:t>
            </w:r>
          </w:p>
        </w:tc>
        <w:tc>
          <w:tcPr>
            <w:tcW w:w="436" w:type="pct"/>
            <w:shd w:val="clear" w:color="auto" w:fill="auto"/>
          </w:tcPr>
          <w:p w14:paraId="22462AC2">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582,305.42</w:t>
            </w:r>
          </w:p>
        </w:tc>
        <w:tc>
          <w:tcPr>
            <w:tcW w:w="462" w:type="pct"/>
            <w:shd w:val="clear" w:color="auto" w:fill="auto"/>
          </w:tcPr>
          <w:p w14:paraId="78E31BCE">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630,638.15</w:t>
            </w:r>
          </w:p>
        </w:tc>
        <w:tc>
          <w:tcPr>
            <w:tcW w:w="487" w:type="pct"/>
          </w:tcPr>
          <w:p w14:paraId="3BAEAB0B">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680,118.94</w:t>
            </w:r>
          </w:p>
        </w:tc>
        <w:tc>
          <w:tcPr>
            <w:tcW w:w="543" w:type="pct"/>
          </w:tcPr>
          <w:p w14:paraId="36E48C8E">
            <w:pPr>
              <w:spacing w:line="240" w:lineRule="exact"/>
              <w:ind w:firstLine="0" w:firstLineChars="0"/>
              <w:jc w:val="center"/>
              <w:rPr>
                <w:rFonts w:hint="eastAsia" w:ascii="宋体" w:hAnsi="宋体" w:cs="宋体"/>
                <w:color w:val="000000"/>
                <w:kern w:val="0"/>
                <w:sz w:val="18"/>
                <w:szCs w:val="18"/>
              </w:rPr>
            </w:pPr>
            <w:r>
              <w:rPr>
                <w:rFonts w:ascii="宋体" w:hAnsi="宋体" w:cs="宋体"/>
                <w:color w:val="000000"/>
                <w:kern w:val="0"/>
                <w:sz w:val="18"/>
                <w:szCs w:val="18"/>
              </w:rPr>
              <w:t>730,628.17</w:t>
            </w:r>
          </w:p>
        </w:tc>
      </w:tr>
    </w:tbl>
    <w:p w14:paraId="4D265393">
      <w:pPr>
        <w:pStyle w:val="23"/>
        <w:spacing w:before="0" w:beforeAutospacing="0" w:after="156" w:afterLines="50" w:afterAutospacing="0" w:line="440" w:lineRule="exact"/>
        <w:ind w:firstLine="360" w:firstLineChars="200"/>
        <w:rPr>
          <w:rFonts w:hint="eastAsia"/>
          <w:color w:val="000000" w:themeColor="text1"/>
          <w:sz w:val="18"/>
          <w:szCs w:val="18"/>
        </w:rPr>
      </w:pPr>
      <w:r>
        <w:rPr>
          <w:rFonts w:hint="eastAsia"/>
          <w:color w:val="000000" w:themeColor="text1"/>
          <w:sz w:val="18"/>
          <w:szCs w:val="18"/>
        </w:rPr>
        <w:t>续上表</w:t>
      </w:r>
    </w:p>
    <w:tbl>
      <w:tblPr>
        <w:tblStyle w:val="28"/>
        <w:tblpPr w:leftFromText="180" w:rightFromText="180" w:vertAnchor="text" w:tblpXSpec="center" w:tblpY="1"/>
        <w:tblOverlap w:val="never"/>
        <w:tblW w:w="52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844"/>
        <w:gridCol w:w="1520"/>
        <w:gridCol w:w="1325"/>
        <w:gridCol w:w="1229"/>
        <w:gridCol w:w="1473"/>
        <w:gridCol w:w="1238"/>
        <w:gridCol w:w="1223"/>
        <w:gridCol w:w="1208"/>
        <w:gridCol w:w="1430"/>
        <w:gridCol w:w="1398"/>
      </w:tblGrid>
      <w:tr w14:paraId="5648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230" w:type="pct"/>
            <w:shd w:val="clear" w:color="auto" w:fill="auto"/>
            <w:vAlign w:val="center"/>
          </w:tcPr>
          <w:p w14:paraId="52611461">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33" w:type="pct"/>
            <w:shd w:val="clear" w:color="auto" w:fill="auto"/>
            <w:vAlign w:val="center"/>
          </w:tcPr>
          <w:p w14:paraId="7157AF3E">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522" w:type="pct"/>
            <w:shd w:val="clear" w:color="auto" w:fill="auto"/>
            <w:vAlign w:val="center"/>
          </w:tcPr>
          <w:p w14:paraId="4BEACDD7">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2048年</w:t>
            </w:r>
          </w:p>
        </w:tc>
        <w:tc>
          <w:tcPr>
            <w:tcW w:w="455" w:type="pct"/>
            <w:shd w:val="clear" w:color="auto" w:fill="auto"/>
            <w:vAlign w:val="center"/>
          </w:tcPr>
          <w:p w14:paraId="09E795BD">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2049年</w:t>
            </w:r>
          </w:p>
        </w:tc>
        <w:tc>
          <w:tcPr>
            <w:tcW w:w="420" w:type="pct"/>
            <w:shd w:val="clear" w:color="auto" w:fill="auto"/>
            <w:vAlign w:val="center"/>
          </w:tcPr>
          <w:p w14:paraId="146824F7">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2050年</w:t>
            </w:r>
          </w:p>
        </w:tc>
        <w:tc>
          <w:tcPr>
            <w:tcW w:w="506" w:type="pct"/>
            <w:shd w:val="clear" w:color="auto" w:fill="auto"/>
            <w:vAlign w:val="center"/>
          </w:tcPr>
          <w:p w14:paraId="7A5EDF22">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2051年</w:t>
            </w:r>
          </w:p>
        </w:tc>
        <w:tc>
          <w:tcPr>
            <w:tcW w:w="425" w:type="pct"/>
            <w:shd w:val="clear" w:color="auto" w:fill="auto"/>
            <w:vAlign w:val="center"/>
          </w:tcPr>
          <w:p w14:paraId="24A31F87">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2052年</w:t>
            </w:r>
          </w:p>
        </w:tc>
        <w:tc>
          <w:tcPr>
            <w:tcW w:w="420" w:type="pct"/>
            <w:vAlign w:val="center"/>
          </w:tcPr>
          <w:p w14:paraId="20FD4168">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2053年</w:t>
            </w:r>
          </w:p>
        </w:tc>
        <w:tc>
          <w:tcPr>
            <w:tcW w:w="415" w:type="pct"/>
            <w:vAlign w:val="center"/>
          </w:tcPr>
          <w:p w14:paraId="2EC2F193">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2054年</w:t>
            </w:r>
          </w:p>
        </w:tc>
        <w:tc>
          <w:tcPr>
            <w:tcW w:w="491" w:type="pct"/>
            <w:vAlign w:val="center"/>
          </w:tcPr>
          <w:p w14:paraId="07BA5020">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2055年</w:t>
            </w:r>
          </w:p>
        </w:tc>
        <w:tc>
          <w:tcPr>
            <w:tcW w:w="476" w:type="pct"/>
            <w:vAlign w:val="center"/>
          </w:tcPr>
          <w:p w14:paraId="11A08630">
            <w:pPr>
              <w:widowControl/>
              <w:spacing w:after="0" w:line="240" w:lineRule="exact"/>
              <w:ind w:firstLine="0" w:firstLineChars="0"/>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2056年</w:t>
            </w:r>
          </w:p>
        </w:tc>
      </w:tr>
      <w:tr w14:paraId="1F927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3A35E14D">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一</w:t>
            </w:r>
          </w:p>
        </w:tc>
        <w:tc>
          <w:tcPr>
            <w:tcW w:w="633" w:type="pct"/>
            <w:shd w:val="clear" w:color="auto" w:fill="auto"/>
            <w:vAlign w:val="center"/>
          </w:tcPr>
          <w:p w14:paraId="40110EFB">
            <w:pPr>
              <w:widowControl/>
              <w:spacing w:after="0" w:line="240" w:lineRule="exact"/>
              <w:ind w:firstLine="361"/>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522" w:type="pct"/>
            <w:shd w:val="clear" w:color="auto" w:fill="auto"/>
          </w:tcPr>
          <w:p w14:paraId="69787C0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88,336.98</w:t>
            </w:r>
          </w:p>
        </w:tc>
        <w:tc>
          <w:tcPr>
            <w:tcW w:w="455" w:type="pct"/>
            <w:shd w:val="clear" w:color="auto" w:fill="auto"/>
          </w:tcPr>
          <w:p w14:paraId="4E3A6E3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88,710.90</w:t>
            </w:r>
          </w:p>
        </w:tc>
        <w:tc>
          <w:tcPr>
            <w:tcW w:w="420" w:type="pct"/>
            <w:shd w:val="clear" w:color="auto" w:fill="auto"/>
          </w:tcPr>
          <w:p w14:paraId="32A2CF6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88,710.90</w:t>
            </w:r>
          </w:p>
        </w:tc>
        <w:tc>
          <w:tcPr>
            <w:tcW w:w="506" w:type="pct"/>
            <w:shd w:val="clear" w:color="auto" w:fill="auto"/>
          </w:tcPr>
          <w:p w14:paraId="2AFB8EB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128,710.90</w:t>
            </w:r>
          </w:p>
        </w:tc>
        <w:tc>
          <w:tcPr>
            <w:tcW w:w="425" w:type="pct"/>
            <w:shd w:val="clear" w:color="auto" w:fill="auto"/>
          </w:tcPr>
          <w:p w14:paraId="0F9DE1D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0" w:type="pct"/>
          </w:tcPr>
          <w:p w14:paraId="36ED97C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15" w:type="pct"/>
          </w:tcPr>
          <w:p w14:paraId="53E54AC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91" w:type="pct"/>
          </w:tcPr>
          <w:p w14:paraId="1E72435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76" w:type="pct"/>
          </w:tcPr>
          <w:p w14:paraId="208EC11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r>
      <w:tr w14:paraId="1D9E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230" w:type="pct"/>
            <w:shd w:val="clear" w:color="auto" w:fill="auto"/>
            <w:vAlign w:val="center"/>
          </w:tcPr>
          <w:p w14:paraId="4FF9E7E7">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w:t>
            </w:r>
          </w:p>
        </w:tc>
        <w:tc>
          <w:tcPr>
            <w:tcW w:w="633" w:type="pct"/>
            <w:shd w:val="clear" w:color="auto" w:fill="auto"/>
            <w:vAlign w:val="center"/>
          </w:tcPr>
          <w:p w14:paraId="41426C33">
            <w:pPr>
              <w:widowControl/>
              <w:spacing w:after="0" w:line="240" w:lineRule="exact"/>
              <w:ind w:firstLine="0" w:firstLineChars="0"/>
              <w:rPr>
                <w:rFonts w:hint="eastAsia" w:ascii="宋体" w:hAnsi="宋体" w:cs="宋体"/>
                <w:bCs/>
                <w:color w:val="000000"/>
                <w:kern w:val="0"/>
                <w:sz w:val="18"/>
                <w:szCs w:val="18"/>
              </w:rPr>
            </w:pPr>
            <w:r>
              <w:rPr>
                <w:rFonts w:hint="eastAsia" w:ascii="宋体" w:hAnsi="宋体" w:cs="宋体"/>
                <w:bCs/>
                <w:color w:val="000000"/>
                <w:kern w:val="0"/>
                <w:sz w:val="18"/>
                <w:szCs w:val="18"/>
              </w:rPr>
              <w:t>业务活动现金流入</w:t>
            </w:r>
          </w:p>
        </w:tc>
        <w:tc>
          <w:tcPr>
            <w:tcW w:w="522" w:type="pct"/>
            <w:shd w:val="clear" w:color="auto" w:fill="auto"/>
          </w:tcPr>
          <w:p w14:paraId="2C3DADD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88,336.98</w:t>
            </w:r>
          </w:p>
        </w:tc>
        <w:tc>
          <w:tcPr>
            <w:tcW w:w="455" w:type="pct"/>
            <w:shd w:val="clear" w:color="auto" w:fill="auto"/>
          </w:tcPr>
          <w:p w14:paraId="55436F6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88,710.90</w:t>
            </w:r>
          </w:p>
        </w:tc>
        <w:tc>
          <w:tcPr>
            <w:tcW w:w="420" w:type="pct"/>
            <w:shd w:val="clear" w:color="auto" w:fill="auto"/>
          </w:tcPr>
          <w:p w14:paraId="171632F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88,710.90</w:t>
            </w:r>
          </w:p>
        </w:tc>
        <w:tc>
          <w:tcPr>
            <w:tcW w:w="506" w:type="pct"/>
            <w:shd w:val="clear" w:color="auto" w:fill="auto"/>
          </w:tcPr>
          <w:p w14:paraId="49ACFD9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128,710.90</w:t>
            </w:r>
          </w:p>
        </w:tc>
        <w:tc>
          <w:tcPr>
            <w:tcW w:w="425" w:type="pct"/>
            <w:shd w:val="clear" w:color="auto" w:fill="auto"/>
          </w:tcPr>
          <w:p w14:paraId="0C88C8D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0" w:type="pct"/>
          </w:tcPr>
          <w:p w14:paraId="768CE0A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15" w:type="pct"/>
          </w:tcPr>
          <w:p w14:paraId="159341A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91" w:type="pct"/>
          </w:tcPr>
          <w:p w14:paraId="4D49AB1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76" w:type="pct"/>
          </w:tcPr>
          <w:p w14:paraId="1E36210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r>
      <w:tr w14:paraId="06C08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67C585C5">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1.1</w:t>
            </w:r>
          </w:p>
        </w:tc>
        <w:tc>
          <w:tcPr>
            <w:tcW w:w="633" w:type="pct"/>
            <w:shd w:val="clear" w:color="auto" w:fill="auto"/>
            <w:vAlign w:val="center"/>
          </w:tcPr>
          <w:p w14:paraId="1FA9BFB1">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政府性基金收入</w:t>
            </w:r>
          </w:p>
        </w:tc>
        <w:tc>
          <w:tcPr>
            <w:tcW w:w="522" w:type="pct"/>
            <w:shd w:val="clear" w:color="auto" w:fill="auto"/>
          </w:tcPr>
          <w:p w14:paraId="4E2BBD1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60,000.00</w:t>
            </w:r>
          </w:p>
        </w:tc>
        <w:tc>
          <w:tcPr>
            <w:tcW w:w="455" w:type="pct"/>
            <w:shd w:val="clear" w:color="auto" w:fill="auto"/>
          </w:tcPr>
          <w:p w14:paraId="7F01383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60,000.00</w:t>
            </w:r>
          </w:p>
        </w:tc>
        <w:tc>
          <w:tcPr>
            <w:tcW w:w="420" w:type="pct"/>
            <w:shd w:val="clear" w:color="auto" w:fill="auto"/>
          </w:tcPr>
          <w:p w14:paraId="6CD6D6F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60,000.00</w:t>
            </w:r>
          </w:p>
        </w:tc>
        <w:tc>
          <w:tcPr>
            <w:tcW w:w="506" w:type="pct"/>
            <w:shd w:val="clear" w:color="auto" w:fill="auto"/>
          </w:tcPr>
          <w:p w14:paraId="0902CAE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100,000.00</w:t>
            </w:r>
          </w:p>
        </w:tc>
        <w:tc>
          <w:tcPr>
            <w:tcW w:w="425" w:type="pct"/>
            <w:shd w:val="clear" w:color="auto" w:fill="auto"/>
          </w:tcPr>
          <w:p w14:paraId="4B2DF646">
            <w:pPr>
              <w:spacing w:line="240" w:lineRule="exact"/>
              <w:ind w:firstLine="0" w:firstLineChars="0"/>
              <w:rPr>
                <w:rFonts w:hint="eastAsia" w:ascii="宋体" w:hAnsi="宋体" w:cs="宋体"/>
                <w:color w:val="000000"/>
                <w:kern w:val="0"/>
                <w:sz w:val="18"/>
                <w:szCs w:val="18"/>
              </w:rPr>
            </w:pPr>
          </w:p>
        </w:tc>
        <w:tc>
          <w:tcPr>
            <w:tcW w:w="420" w:type="pct"/>
          </w:tcPr>
          <w:p w14:paraId="3D4DC1C8">
            <w:pPr>
              <w:spacing w:line="240" w:lineRule="exact"/>
              <w:ind w:firstLine="0" w:firstLineChars="0"/>
              <w:rPr>
                <w:rFonts w:hint="eastAsia" w:ascii="宋体" w:hAnsi="宋体" w:cs="宋体"/>
                <w:color w:val="000000"/>
                <w:kern w:val="0"/>
                <w:sz w:val="18"/>
                <w:szCs w:val="18"/>
              </w:rPr>
            </w:pPr>
          </w:p>
        </w:tc>
        <w:tc>
          <w:tcPr>
            <w:tcW w:w="415" w:type="pct"/>
          </w:tcPr>
          <w:p w14:paraId="6B0FF423">
            <w:pPr>
              <w:spacing w:line="240" w:lineRule="exact"/>
              <w:ind w:firstLine="0" w:firstLineChars="0"/>
              <w:rPr>
                <w:rFonts w:hint="eastAsia" w:ascii="宋体" w:hAnsi="宋体" w:cs="宋体"/>
                <w:color w:val="000000"/>
                <w:kern w:val="0"/>
                <w:sz w:val="18"/>
                <w:szCs w:val="18"/>
              </w:rPr>
            </w:pPr>
          </w:p>
        </w:tc>
        <w:tc>
          <w:tcPr>
            <w:tcW w:w="491" w:type="pct"/>
          </w:tcPr>
          <w:p w14:paraId="5E15E4CA">
            <w:pPr>
              <w:spacing w:line="240" w:lineRule="exact"/>
              <w:ind w:firstLine="0" w:firstLineChars="0"/>
              <w:rPr>
                <w:rFonts w:hint="eastAsia" w:ascii="宋体" w:hAnsi="宋体" w:cs="宋体"/>
                <w:color w:val="000000"/>
                <w:kern w:val="0"/>
                <w:sz w:val="18"/>
                <w:szCs w:val="18"/>
              </w:rPr>
            </w:pPr>
          </w:p>
        </w:tc>
        <w:tc>
          <w:tcPr>
            <w:tcW w:w="476" w:type="pct"/>
          </w:tcPr>
          <w:p w14:paraId="08F6FFD0">
            <w:pPr>
              <w:spacing w:line="240" w:lineRule="exact"/>
              <w:ind w:firstLine="0" w:firstLineChars="0"/>
              <w:rPr>
                <w:rFonts w:hint="eastAsia" w:ascii="宋体" w:hAnsi="宋体" w:cs="宋体"/>
                <w:color w:val="000000"/>
                <w:kern w:val="0"/>
                <w:sz w:val="18"/>
                <w:szCs w:val="18"/>
              </w:rPr>
            </w:pPr>
          </w:p>
        </w:tc>
      </w:tr>
      <w:tr w14:paraId="0A1D7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24071743">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1.2</w:t>
            </w:r>
          </w:p>
        </w:tc>
        <w:tc>
          <w:tcPr>
            <w:tcW w:w="633" w:type="pct"/>
            <w:shd w:val="clear" w:color="auto" w:fill="auto"/>
            <w:vAlign w:val="center"/>
          </w:tcPr>
          <w:p w14:paraId="3F1425C7">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经营收入</w:t>
            </w:r>
          </w:p>
        </w:tc>
        <w:tc>
          <w:tcPr>
            <w:tcW w:w="522" w:type="pct"/>
            <w:shd w:val="clear" w:color="auto" w:fill="auto"/>
          </w:tcPr>
          <w:p w14:paraId="02FA253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28,336.98</w:t>
            </w:r>
          </w:p>
        </w:tc>
        <w:tc>
          <w:tcPr>
            <w:tcW w:w="455" w:type="pct"/>
            <w:shd w:val="clear" w:color="auto" w:fill="auto"/>
            <w:noWrap/>
          </w:tcPr>
          <w:p w14:paraId="5172E50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28,710.90</w:t>
            </w:r>
          </w:p>
        </w:tc>
        <w:tc>
          <w:tcPr>
            <w:tcW w:w="420" w:type="pct"/>
            <w:shd w:val="clear" w:color="auto" w:fill="auto"/>
            <w:noWrap/>
          </w:tcPr>
          <w:p w14:paraId="3FCA32C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28,710.90</w:t>
            </w:r>
          </w:p>
        </w:tc>
        <w:tc>
          <w:tcPr>
            <w:tcW w:w="506" w:type="pct"/>
            <w:shd w:val="clear" w:color="auto" w:fill="auto"/>
            <w:noWrap/>
          </w:tcPr>
          <w:p w14:paraId="4B0A4A2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28,710.90</w:t>
            </w:r>
          </w:p>
        </w:tc>
        <w:tc>
          <w:tcPr>
            <w:tcW w:w="425" w:type="pct"/>
            <w:shd w:val="clear" w:color="auto" w:fill="auto"/>
            <w:noWrap/>
          </w:tcPr>
          <w:p w14:paraId="64CC199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0" w:type="pct"/>
          </w:tcPr>
          <w:p w14:paraId="04FF1BD0">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15" w:type="pct"/>
          </w:tcPr>
          <w:p w14:paraId="49DABF7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91" w:type="pct"/>
          </w:tcPr>
          <w:p w14:paraId="67F1492B">
            <w:pPr>
              <w:spacing w:line="240" w:lineRule="exact"/>
              <w:ind w:firstLine="0" w:firstLineChars="0"/>
              <w:rPr>
                <w:rFonts w:hint="eastAsia" w:ascii="宋体" w:hAnsi="宋体" w:cs="宋体"/>
                <w:color w:val="000000"/>
                <w:kern w:val="0"/>
                <w:sz w:val="18"/>
                <w:szCs w:val="18"/>
              </w:rPr>
            </w:pPr>
          </w:p>
        </w:tc>
        <w:tc>
          <w:tcPr>
            <w:tcW w:w="476" w:type="pct"/>
          </w:tcPr>
          <w:p w14:paraId="2E90F540">
            <w:pPr>
              <w:spacing w:line="240" w:lineRule="exact"/>
              <w:ind w:firstLine="0" w:firstLineChars="0"/>
              <w:rPr>
                <w:rFonts w:hint="eastAsia" w:ascii="宋体" w:hAnsi="宋体" w:cs="宋体"/>
                <w:color w:val="000000"/>
                <w:kern w:val="0"/>
                <w:sz w:val="18"/>
                <w:szCs w:val="18"/>
              </w:rPr>
            </w:pPr>
          </w:p>
        </w:tc>
      </w:tr>
      <w:tr w14:paraId="441D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230" w:type="pct"/>
            <w:shd w:val="clear" w:color="auto" w:fill="auto"/>
            <w:vAlign w:val="center"/>
          </w:tcPr>
          <w:p w14:paraId="26866FD7">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w:t>
            </w:r>
          </w:p>
        </w:tc>
        <w:tc>
          <w:tcPr>
            <w:tcW w:w="633" w:type="pct"/>
            <w:shd w:val="clear" w:color="auto" w:fill="auto"/>
            <w:vAlign w:val="center"/>
          </w:tcPr>
          <w:p w14:paraId="0E7D5177">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融资活动现金流入</w:t>
            </w:r>
          </w:p>
        </w:tc>
        <w:tc>
          <w:tcPr>
            <w:tcW w:w="522" w:type="pct"/>
            <w:shd w:val="clear" w:color="auto" w:fill="auto"/>
          </w:tcPr>
          <w:p w14:paraId="78AB0B3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55" w:type="pct"/>
            <w:shd w:val="clear" w:color="auto" w:fill="auto"/>
          </w:tcPr>
          <w:p w14:paraId="54D9ED4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0" w:type="pct"/>
            <w:shd w:val="clear" w:color="auto" w:fill="auto"/>
          </w:tcPr>
          <w:p w14:paraId="4771CFA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06" w:type="pct"/>
            <w:shd w:val="clear" w:color="auto" w:fill="auto"/>
          </w:tcPr>
          <w:p w14:paraId="74393A3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5" w:type="pct"/>
            <w:shd w:val="clear" w:color="auto" w:fill="auto"/>
          </w:tcPr>
          <w:p w14:paraId="527A974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0" w:type="pct"/>
          </w:tcPr>
          <w:p w14:paraId="4409ABFF">
            <w:pPr>
              <w:spacing w:line="240" w:lineRule="exact"/>
              <w:ind w:firstLine="0" w:firstLineChars="0"/>
              <w:rPr>
                <w:rFonts w:hint="eastAsia" w:ascii="宋体" w:hAnsi="宋体" w:cs="宋体"/>
                <w:color w:val="000000"/>
                <w:kern w:val="0"/>
                <w:sz w:val="18"/>
                <w:szCs w:val="18"/>
              </w:rPr>
            </w:pPr>
          </w:p>
        </w:tc>
        <w:tc>
          <w:tcPr>
            <w:tcW w:w="415" w:type="pct"/>
          </w:tcPr>
          <w:p w14:paraId="42183A7E">
            <w:pPr>
              <w:spacing w:line="240" w:lineRule="exact"/>
              <w:ind w:firstLine="0" w:firstLineChars="0"/>
              <w:rPr>
                <w:rFonts w:hint="eastAsia" w:ascii="宋体" w:hAnsi="宋体" w:cs="宋体"/>
                <w:color w:val="000000"/>
                <w:kern w:val="0"/>
                <w:sz w:val="18"/>
                <w:szCs w:val="18"/>
              </w:rPr>
            </w:pPr>
          </w:p>
        </w:tc>
        <w:tc>
          <w:tcPr>
            <w:tcW w:w="491" w:type="pct"/>
          </w:tcPr>
          <w:p w14:paraId="3688B9FB">
            <w:pPr>
              <w:spacing w:line="240" w:lineRule="exact"/>
              <w:ind w:firstLine="0" w:firstLineChars="0"/>
              <w:rPr>
                <w:rFonts w:hint="eastAsia" w:ascii="宋体" w:hAnsi="宋体" w:cs="宋体"/>
                <w:color w:val="000000"/>
                <w:kern w:val="0"/>
                <w:sz w:val="18"/>
                <w:szCs w:val="18"/>
              </w:rPr>
            </w:pPr>
          </w:p>
        </w:tc>
        <w:tc>
          <w:tcPr>
            <w:tcW w:w="476" w:type="pct"/>
          </w:tcPr>
          <w:p w14:paraId="3653B397">
            <w:pPr>
              <w:spacing w:line="240" w:lineRule="exact"/>
              <w:ind w:firstLine="0" w:firstLineChars="0"/>
              <w:rPr>
                <w:rFonts w:hint="eastAsia" w:ascii="宋体" w:hAnsi="宋体" w:cs="宋体"/>
                <w:color w:val="000000"/>
                <w:kern w:val="0"/>
                <w:sz w:val="18"/>
                <w:szCs w:val="18"/>
              </w:rPr>
            </w:pPr>
          </w:p>
        </w:tc>
      </w:tr>
      <w:tr w14:paraId="2700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3BC8D28B">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2.1</w:t>
            </w:r>
          </w:p>
        </w:tc>
        <w:tc>
          <w:tcPr>
            <w:tcW w:w="633" w:type="pct"/>
            <w:shd w:val="clear" w:color="auto" w:fill="auto"/>
            <w:vAlign w:val="center"/>
          </w:tcPr>
          <w:p w14:paraId="2241EC33">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债券融资款</w:t>
            </w:r>
          </w:p>
        </w:tc>
        <w:tc>
          <w:tcPr>
            <w:tcW w:w="522" w:type="pct"/>
            <w:shd w:val="clear" w:color="auto" w:fill="auto"/>
          </w:tcPr>
          <w:p w14:paraId="560F21DD">
            <w:pPr>
              <w:spacing w:line="240" w:lineRule="exact"/>
              <w:ind w:firstLine="0" w:firstLineChars="0"/>
              <w:rPr>
                <w:rFonts w:hint="eastAsia" w:ascii="宋体" w:hAnsi="宋体" w:cs="宋体"/>
                <w:color w:val="000000"/>
                <w:kern w:val="0"/>
                <w:sz w:val="18"/>
                <w:szCs w:val="18"/>
              </w:rPr>
            </w:pPr>
          </w:p>
        </w:tc>
        <w:tc>
          <w:tcPr>
            <w:tcW w:w="455" w:type="pct"/>
            <w:shd w:val="clear" w:color="auto" w:fill="auto"/>
          </w:tcPr>
          <w:p w14:paraId="1D93041D">
            <w:pPr>
              <w:spacing w:line="240" w:lineRule="exact"/>
              <w:ind w:firstLine="0" w:firstLineChars="0"/>
              <w:rPr>
                <w:rFonts w:hint="eastAsia" w:ascii="宋体" w:hAnsi="宋体" w:cs="宋体"/>
                <w:color w:val="000000"/>
                <w:kern w:val="0"/>
                <w:sz w:val="18"/>
                <w:szCs w:val="18"/>
              </w:rPr>
            </w:pPr>
          </w:p>
        </w:tc>
        <w:tc>
          <w:tcPr>
            <w:tcW w:w="420" w:type="pct"/>
            <w:shd w:val="clear" w:color="auto" w:fill="auto"/>
          </w:tcPr>
          <w:p w14:paraId="2C11846F">
            <w:pPr>
              <w:spacing w:line="240" w:lineRule="exact"/>
              <w:ind w:firstLine="0" w:firstLineChars="0"/>
              <w:rPr>
                <w:rFonts w:hint="eastAsia" w:ascii="宋体" w:hAnsi="宋体" w:cs="宋体"/>
                <w:color w:val="000000"/>
                <w:kern w:val="0"/>
                <w:sz w:val="18"/>
                <w:szCs w:val="18"/>
              </w:rPr>
            </w:pPr>
          </w:p>
        </w:tc>
        <w:tc>
          <w:tcPr>
            <w:tcW w:w="506" w:type="pct"/>
            <w:shd w:val="clear" w:color="auto" w:fill="auto"/>
          </w:tcPr>
          <w:p w14:paraId="37125D22">
            <w:pPr>
              <w:spacing w:line="240" w:lineRule="exact"/>
              <w:ind w:firstLine="0" w:firstLineChars="0"/>
              <w:rPr>
                <w:rFonts w:hint="eastAsia" w:ascii="宋体" w:hAnsi="宋体" w:cs="宋体"/>
                <w:color w:val="000000"/>
                <w:kern w:val="0"/>
                <w:sz w:val="18"/>
                <w:szCs w:val="18"/>
              </w:rPr>
            </w:pPr>
          </w:p>
        </w:tc>
        <w:tc>
          <w:tcPr>
            <w:tcW w:w="425" w:type="pct"/>
            <w:shd w:val="clear" w:color="auto" w:fill="auto"/>
          </w:tcPr>
          <w:p w14:paraId="568BADC7">
            <w:pPr>
              <w:spacing w:line="240" w:lineRule="exact"/>
              <w:ind w:firstLine="0" w:firstLineChars="0"/>
              <w:rPr>
                <w:rFonts w:hint="eastAsia" w:ascii="宋体" w:hAnsi="宋体" w:cs="宋体"/>
                <w:color w:val="000000"/>
                <w:kern w:val="0"/>
                <w:sz w:val="18"/>
                <w:szCs w:val="18"/>
              </w:rPr>
            </w:pPr>
          </w:p>
        </w:tc>
        <w:tc>
          <w:tcPr>
            <w:tcW w:w="420" w:type="pct"/>
          </w:tcPr>
          <w:p w14:paraId="47968F9F">
            <w:pPr>
              <w:spacing w:line="240" w:lineRule="exact"/>
              <w:ind w:firstLine="0" w:firstLineChars="0"/>
              <w:rPr>
                <w:rFonts w:hint="eastAsia" w:ascii="宋体" w:hAnsi="宋体" w:cs="宋体"/>
                <w:color w:val="000000"/>
                <w:kern w:val="0"/>
                <w:sz w:val="18"/>
                <w:szCs w:val="18"/>
              </w:rPr>
            </w:pPr>
          </w:p>
        </w:tc>
        <w:tc>
          <w:tcPr>
            <w:tcW w:w="415" w:type="pct"/>
          </w:tcPr>
          <w:p w14:paraId="7610A8EA">
            <w:pPr>
              <w:spacing w:line="240" w:lineRule="exact"/>
              <w:ind w:firstLine="0" w:firstLineChars="0"/>
              <w:rPr>
                <w:rFonts w:hint="eastAsia" w:ascii="宋体" w:hAnsi="宋体" w:cs="宋体"/>
                <w:color w:val="000000"/>
                <w:kern w:val="0"/>
                <w:sz w:val="18"/>
                <w:szCs w:val="18"/>
              </w:rPr>
            </w:pPr>
          </w:p>
        </w:tc>
        <w:tc>
          <w:tcPr>
            <w:tcW w:w="491" w:type="pct"/>
          </w:tcPr>
          <w:p w14:paraId="782D1742">
            <w:pPr>
              <w:spacing w:line="240" w:lineRule="exact"/>
              <w:ind w:firstLine="0" w:firstLineChars="0"/>
              <w:rPr>
                <w:rFonts w:hint="eastAsia" w:ascii="宋体" w:hAnsi="宋体" w:cs="宋体"/>
                <w:color w:val="000000"/>
                <w:kern w:val="0"/>
                <w:sz w:val="18"/>
                <w:szCs w:val="18"/>
              </w:rPr>
            </w:pPr>
          </w:p>
        </w:tc>
        <w:tc>
          <w:tcPr>
            <w:tcW w:w="476" w:type="pct"/>
          </w:tcPr>
          <w:p w14:paraId="74E241B9">
            <w:pPr>
              <w:spacing w:line="240" w:lineRule="exact"/>
              <w:ind w:firstLine="0" w:firstLineChars="0"/>
              <w:rPr>
                <w:rFonts w:hint="eastAsia" w:ascii="宋体" w:hAnsi="宋体" w:cs="宋体"/>
                <w:color w:val="000000"/>
                <w:kern w:val="0"/>
                <w:sz w:val="18"/>
                <w:szCs w:val="18"/>
              </w:rPr>
            </w:pPr>
          </w:p>
        </w:tc>
      </w:tr>
      <w:tr w14:paraId="6B18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52CC0E38">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2.2</w:t>
            </w:r>
          </w:p>
        </w:tc>
        <w:tc>
          <w:tcPr>
            <w:tcW w:w="633" w:type="pct"/>
            <w:shd w:val="clear" w:color="auto" w:fill="auto"/>
            <w:vAlign w:val="center"/>
          </w:tcPr>
          <w:p w14:paraId="794A5827">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其他融资款</w:t>
            </w:r>
          </w:p>
        </w:tc>
        <w:tc>
          <w:tcPr>
            <w:tcW w:w="522" w:type="pct"/>
            <w:shd w:val="clear" w:color="auto" w:fill="auto"/>
          </w:tcPr>
          <w:p w14:paraId="3424B9E5">
            <w:pPr>
              <w:spacing w:line="240" w:lineRule="exact"/>
              <w:ind w:firstLine="0" w:firstLineChars="0"/>
              <w:rPr>
                <w:rFonts w:hint="eastAsia" w:ascii="宋体" w:hAnsi="宋体" w:cs="宋体"/>
                <w:color w:val="000000"/>
                <w:kern w:val="0"/>
                <w:sz w:val="18"/>
                <w:szCs w:val="18"/>
              </w:rPr>
            </w:pPr>
          </w:p>
        </w:tc>
        <w:tc>
          <w:tcPr>
            <w:tcW w:w="455" w:type="pct"/>
            <w:shd w:val="clear" w:color="auto" w:fill="auto"/>
          </w:tcPr>
          <w:p w14:paraId="7FFC450D">
            <w:pPr>
              <w:spacing w:line="240" w:lineRule="exact"/>
              <w:ind w:firstLine="0" w:firstLineChars="0"/>
              <w:rPr>
                <w:rFonts w:hint="eastAsia" w:ascii="宋体" w:hAnsi="宋体" w:cs="宋体"/>
                <w:color w:val="000000"/>
                <w:kern w:val="0"/>
                <w:sz w:val="18"/>
                <w:szCs w:val="18"/>
              </w:rPr>
            </w:pPr>
          </w:p>
        </w:tc>
        <w:tc>
          <w:tcPr>
            <w:tcW w:w="420" w:type="pct"/>
            <w:shd w:val="clear" w:color="auto" w:fill="auto"/>
          </w:tcPr>
          <w:p w14:paraId="0BF21324">
            <w:pPr>
              <w:spacing w:line="240" w:lineRule="exact"/>
              <w:ind w:firstLine="0" w:firstLineChars="0"/>
              <w:rPr>
                <w:rFonts w:hint="eastAsia" w:ascii="宋体" w:hAnsi="宋体" w:cs="宋体"/>
                <w:color w:val="000000"/>
                <w:kern w:val="0"/>
                <w:sz w:val="18"/>
                <w:szCs w:val="18"/>
              </w:rPr>
            </w:pPr>
          </w:p>
        </w:tc>
        <w:tc>
          <w:tcPr>
            <w:tcW w:w="506" w:type="pct"/>
            <w:shd w:val="clear" w:color="auto" w:fill="auto"/>
          </w:tcPr>
          <w:p w14:paraId="60D4F2AA">
            <w:pPr>
              <w:spacing w:line="240" w:lineRule="exact"/>
              <w:ind w:firstLine="0" w:firstLineChars="0"/>
              <w:rPr>
                <w:rFonts w:hint="eastAsia" w:ascii="宋体" w:hAnsi="宋体" w:cs="宋体"/>
                <w:color w:val="000000"/>
                <w:kern w:val="0"/>
                <w:sz w:val="18"/>
                <w:szCs w:val="18"/>
              </w:rPr>
            </w:pPr>
          </w:p>
        </w:tc>
        <w:tc>
          <w:tcPr>
            <w:tcW w:w="425" w:type="pct"/>
            <w:shd w:val="clear" w:color="auto" w:fill="auto"/>
          </w:tcPr>
          <w:p w14:paraId="646E5280">
            <w:pPr>
              <w:spacing w:line="240" w:lineRule="exact"/>
              <w:ind w:firstLine="0" w:firstLineChars="0"/>
              <w:rPr>
                <w:rFonts w:hint="eastAsia" w:ascii="宋体" w:hAnsi="宋体" w:cs="宋体"/>
                <w:color w:val="000000"/>
                <w:kern w:val="0"/>
                <w:sz w:val="18"/>
                <w:szCs w:val="18"/>
              </w:rPr>
            </w:pPr>
          </w:p>
        </w:tc>
        <w:tc>
          <w:tcPr>
            <w:tcW w:w="420" w:type="pct"/>
          </w:tcPr>
          <w:p w14:paraId="775FE42B">
            <w:pPr>
              <w:spacing w:line="240" w:lineRule="exact"/>
              <w:ind w:firstLine="0" w:firstLineChars="0"/>
              <w:rPr>
                <w:rFonts w:hint="eastAsia" w:ascii="宋体" w:hAnsi="宋体" w:cs="宋体"/>
                <w:color w:val="000000"/>
                <w:kern w:val="0"/>
                <w:sz w:val="18"/>
                <w:szCs w:val="18"/>
              </w:rPr>
            </w:pPr>
          </w:p>
        </w:tc>
        <w:tc>
          <w:tcPr>
            <w:tcW w:w="415" w:type="pct"/>
          </w:tcPr>
          <w:p w14:paraId="34C14680">
            <w:pPr>
              <w:spacing w:line="240" w:lineRule="exact"/>
              <w:ind w:firstLine="0" w:firstLineChars="0"/>
              <w:rPr>
                <w:rFonts w:hint="eastAsia" w:ascii="宋体" w:hAnsi="宋体" w:cs="宋体"/>
                <w:color w:val="000000"/>
                <w:kern w:val="0"/>
                <w:sz w:val="18"/>
                <w:szCs w:val="18"/>
              </w:rPr>
            </w:pPr>
          </w:p>
        </w:tc>
        <w:tc>
          <w:tcPr>
            <w:tcW w:w="491" w:type="pct"/>
          </w:tcPr>
          <w:p w14:paraId="75BA6028">
            <w:pPr>
              <w:spacing w:line="240" w:lineRule="exact"/>
              <w:ind w:firstLine="0" w:firstLineChars="0"/>
              <w:rPr>
                <w:rFonts w:hint="eastAsia" w:ascii="宋体" w:hAnsi="宋体" w:cs="宋体"/>
                <w:color w:val="000000"/>
                <w:kern w:val="0"/>
                <w:sz w:val="18"/>
                <w:szCs w:val="18"/>
              </w:rPr>
            </w:pPr>
          </w:p>
        </w:tc>
        <w:tc>
          <w:tcPr>
            <w:tcW w:w="476" w:type="pct"/>
          </w:tcPr>
          <w:p w14:paraId="0A07DF90">
            <w:pPr>
              <w:spacing w:line="240" w:lineRule="exact"/>
              <w:ind w:firstLine="0" w:firstLineChars="0"/>
              <w:rPr>
                <w:rFonts w:hint="eastAsia" w:ascii="宋体" w:hAnsi="宋体" w:cs="宋体"/>
                <w:color w:val="000000"/>
                <w:kern w:val="0"/>
                <w:sz w:val="18"/>
                <w:szCs w:val="18"/>
              </w:rPr>
            </w:pPr>
          </w:p>
        </w:tc>
      </w:tr>
      <w:tr w14:paraId="464F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1CC38706">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w:t>
            </w:r>
          </w:p>
        </w:tc>
        <w:tc>
          <w:tcPr>
            <w:tcW w:w="633" w:type="pct"/>
            <w:shd w:val="clear" w:color="auto" w:fill="auto"/>
            <w:vAlign w:val="center"/>
          </w:tcPr>
          <w:p w14:paraId="141FBB70">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资本金投入</w:t>
            </w:r>
          </w:p>
        </w:tc>
        <w:tc>
          <w:tcPr>
            <w:tcW w:w="522" w:type="pct"/>
            <w:shd w:val="clear" w:color="auto" w:fill="auto"/>
          </w:tcPr>
          <w:p w14:paraId="20666B64">
            <w:pPr>
              <w:spacing w:line="240" w:lineRule="exact"/>
              <w:ind w:firstLine="0" w:firstLineChars="0"/>
              <w:rPr>
                <w:rFonts w:hint="eastAsia" w:ascii="宋体" w:hAnsi="宋体" w:cs="宋体"/>
                <w:color w:val="000000"/>
                <w:kern w:val="0"/>
                <w:sz w:val="18"/>
                <w:szCs w:val="18"/>
              </w:rPr>
            </w:pPr>
          </w:p>
        </w:tc>
        <w:tc>
          <w:tcPr>
            <w:tcW w:w="455" w:type="pct"/>
            <w:shd w:val="clear" w:color="auto" w:fill="auto"/>
          </w:tcPr>
          <w:p w14:paraId="14329B8B">
            <w:pPr>
              <w:spacing w:line="240" w:lineRule="exact"/>
              <w:ind w:firstLine="0" w:firstLineChars="0"/>
              <w:rPr>
                <w:rFonts w:hint="eastAsia" w:ascii="宋体" w:hAnsi="宋体" w:cs="宋体"/>
                <w:color w:val="000000"/>
                <w:kern w:val="0"/>
                <w:sz w:val="18"/>
                <w:szCs w:val="18"/>
              </w:rPr>
            </w:pPr>
          </w:p>
        </w:tc>
        <w:tc>
          <w:tcPr>
            <w:tcW w:w="420" w:type="pct"/>
            <w:shd w:val="clear" w:color="auto" w:fill="auto"/>
          </w:tcPr>
          <w:p w14:paraId="7485F085">
            <w:pPr>
              <w:spacing w:line="240" w:lineRule="exact"/>
              <w:ind w:firstLine="0" w:firstLineChars="0"/>
              <w:rPr>
                <w:rFonts w:hint="eastAsia" w:ascii="宋体" w:hAnsi="宋体" w:cs="宋体"/>
                <w:color w:val="000000"/>
                <w:kern w:val="0"/>
                <w:sz w:val="18"/>
                <w:szCs w:val="18"/>
              </w:rPr>
            </w:pPr>
          </w:p>
        </w:tc>
        <w:tc>
          <w:tcPr>
            <w:tcW w:w="506" w:type="pct"/>
            <w:shd w:val="clear" w:color="auto" w:fill="auto"/>
          </w:tcPr>
          <w:p w14:paraId="51691407">
            <w:pPr>
              <w:spacing w:line="240" w:lineRule="exact"/>
              <w:ind w:firstLine="0" w:firstLineChars="0"/>
              <w:rPr>
                <w:rFonts w:hint="eastAsia" w:ascii="宋体" w:hAnsi="宋体" w:cs="宋体"/>
                <w:color w:val="000000"/>
                <w:kern w:val="0"/>
                <w:sz w:val="18"/>
                <w:szCs w:val="18"/>
              </w:rPr>
            </w:pPr>
          </w:p>
        </w:tc>
        <w:tc>
          <w:tcPr>
            <w:tcW w:w="425" w:type="pct"/>
            <w:shd w:val="clear" w:color="auto" w:fill="auto"/>
          </w:tcPr>
          <w:p w14:paraId="4732382B">
            <w:pPr>
              <w:spacing w:line="240" w:lineRule="exact"/>
              <w:ind w:firstLine="0" w:firstLineChars="0"/>
              <w:rPr>
                <w:rFonts w:hint="eastAsia" w:ascii="宋体" w:hAnsi="宋体" w:cs="宋体"/>
                <w:color w:val="000000"/>
                <w:kern w:val="0"/>
                <w:sz w:val="18"/>
                <w:szCs w:val="18"/>
              </w:rPr>
            </w:pPr>
          </w:p>
        </w:tc>
        <w:tc>
          <w:tcPr>
            <w:tcW w:w="420" w:type="pct"/>
          </w:tcPr>
          <w:p w14:paraId="6CA1AB7A">
            <w:pPr>
              <w:spacing w:line="240" w:lineRule="exact"/>
              <w:ind w:firstLine="0" w:firstLineChars="0"/>
              <w:rPr>
                <w:rFonts w:hint="eastAsia" w:ascii="宋体" w:hAnsi="宋体" w:cs="宋体"/>
                <w:color w:val="000000"/>
                <w:kern w:val="0"/>
                <w:sz w:val="18"/>
                <w:szCs w:val="18"/>
              </w:rPr>
            </w:pPr>
          </w:p>
        </w:tc>
        <w:tc>
          <w:tcPr>
            <w:tcW w:w="415" w:type="pct"/>
          </w:tcPr>
          <w:p w14:paraId="113C49B4">
            <w:pPr>
              <w:spacing w:line="240" w:lineRule="exact"/>
              <w:ind w:firstLine="0" w:firstLineChars="0"/>
              <w:rPr>
                <w:rFonts w:hint="eastAsia" w:ascii="宋体" w:hAnsi="宋体" w:cs="宋体"/>
                <w:color w:val="000000"/>
                <w:kern w:val="0"/>
                <w:sz w:val="18"/>
                <w:szCs w:val="18"/>
              </w:rPr>
            </w:pPr>
          </w:p>
        </w:tc>
        <w:tc>
          <w:tcPr>
            <w:tcW w:w="491" w:type="pct"/>
          </w:tcPr>
          <w:p w14:paraId="50E444E6">
            <w:pPr>
              <w:spacing w:line="240" w:lineRule="exact"/>
              <w:ind w:firstLine="0" w:firstLineChars="0"/>
              <w:rPr>
                <w:rFonts w:hint="eastAsia" w:ascii="宋体" w:hAnsi="宋体" w:cs="宋体"/>
                <w:color w:val="000000"/>
                <w:kern w:val="0"/>
                <w:sz w:val="18"/>
                <w:szCs w:val="18"/>
              </w:rPr>
            </w:pPr>
          </w:p>
        </w:tc>
        <w:tc>
          <w:tcPr>
            <w:tcW w:w="476" w:type="pct"/>
          </w:tcPr>
          <w:p w14:paraId="60340278">
            <w:pPr>
              <w:spacing w:line="240" w:lineRule="exact"/>
              <w:ind w:firstLine="0" w:firstLineChars="0"/>
              <w:rPr>
                <w:rFonts w:hint="eastAsia" w:ascii="宋体" w:hAnsi="宋体" w:cs="宋体"/>
                <w:color w:val="000000"/>
                <w:kern w:val="0"/>
                <w:sz w:val="18"/>
                <w:szCs w:val="18"/>
              </w:rPr>
            </w:pPr>
          </w:p>
        </w:tc>
      </w:tr>
      <w:tr w14:paraId="63D05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79493870">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二</w:t>
            </w:r>
          </w:p>
        </w:tc>
        <w:tc>
          <w:tcPr>
            <w:tcW w:w="633" w:type="pct"/>
            <w:shd w:val="clear" w:color="auto" w:fill="auto"/>
            <w:vAlign w:val="center"/>
          </w:tcPr>
          <w:p w14:paraId="090706AB">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现金流出</w:t>
            </w:r>
          </w:p>
        </w:tc>
        <w:tc>
          <w:tcPr>
            <w:tcW w:w="522" w:type="pct"/>
            <w:shd w:val="clear" w:color="auto" w:fill="auto"/>
          </w:tcPr>
          <w:p w14:paraId="6D9789D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36,963.69</w:t>
            </w:r>
          </w:p>
        </w:tc>
        <w:tc>
          <w:tcPr>
            <w:tcW w:w="455" w:type="pct"/>
            <w:shd w:val="clear" w:color="auto" w:fill="auto"/>
          </w:tcPr>
          <w:p w14:paraId="698FCE0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36,474.69</w:t>
            </w:r>
          </w:p>
        </w:tc>
        <w:tc>
          <w:tcPr>
            <w:tcW w:w="420" w:type="pct"/>
            <w:shd w:val="clear" w:color="auto" w:fill="auto"/>
          </w:tcPr>
          <w:p w14:paraId="4CDFC2F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36,162.29</w:t>
            </w:r>
          </w:p>
        </w:tc>
        <w:tc>
          <w:tcPr>
            <w:tcW w:w="506" w:type="pct"/>
            <w:shd w:val="clear" w:color="auto" w:fill="auto"/>
          </w:tcPr>
          <w:p w14:paraId="3F47C1E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35,574.29</w:t>
            </w:r>
          </w:p>
        </w:tc>
        <w:tc>
          <w:tcPr>
            <w:tcW w:w="425" w:type="pct"/>
            <w:shd w:val="clear" w:color="auto" w:fill="auto"/>
          </w:tcPr>
          <w:p w14:paraId="3EE6363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109,198.02</w:t>
            </w:r>
          </w:p>
        </w:tc>
        <w:tc>
          <w:tcPr>
            <w:tcW w:w="420" w:type="pct"/>
          </w:tcPr>
          <w:p w14:paraId="20BA0B5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15,663.35</w:t>
            </w:r>
          </w:p>
        </w:tc>
        <w:tc>
          <w:tcPr>
            <w:tcW w:w="415" w:type="pct"/>
          </w:tcPr>
          <w:p w14:paraId="1C52912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15,075.35</w:t>
            </w:r>
          </w:p>
        </w:tc>
        <w:tc>
          <w:tcPr>
            <w:tcW w:w="491" w:type="pct"/>
          </w:tcPr>
          <w:p w14:paraId="26985380">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14,487.35</w:t>
            </w:r>
          </w:p>
        </w:tc>
        <w:tc>
          <w:tcPr>
            <w:tcW w:w="476" w:type="pct"/>
          </w:tcPr>
          <w:p w14:paraId="3CC81B6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4,700.28</w:t>
            </w:r>
          </w:p>
        </w:tc>
      </w:tr>
      <w:tr w14:paraId="21A06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30" w:type="pct"/>
            <w:shd w:val="clear" w:color="auto" w:fill="auto"/>
            <w:vAlign w:val="center"/>
          </w:tcPr>
          <w:p w14:paraId="49B3EC44">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w:t>
            </w:r>
          </w:p>
        </w:tc>
        <w:tc>
          <w:tcPr>
            <w:tcW w:w="633" w:type="pct"/>
            <w:shd w:val="clear" w:color="auto" w:fill="auto"/>
            <w:vAlign w:val="center"/>
          </w:tcPr>
          <w:p w14:paraId="167BCA5E">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业务活动现金流出</w:t>
            </w:r>
          </w:p>
        </w:tc>
        <w:tc>
          <w:tcPr>
            <w:tcW w:w="522" w:type="pct"/>
            <w:shd w:val="clear" w:color="auto" w:fill="auto"/>
          </w:tcPr>
          <w:p w14:paraId="260F2D9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15,235.01</w:t>
            </w:r>
          </w:p>
        </w:tc>
        <w:tc>
          <w:tcPr>
            <w:tcW w:w="455" w:type="pct"/>
            <w:shd w:val="clear" w:color="auto" w:fill="auto"/>
          </w:tcPr>
          <w:p w14:paraId="2F542770">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15,334.01</w:t>
            </w:r>
          </w:p>
        </w:tc>
        <w:tc>
          <w:tcPr>
            <w:tcW w:w="420" w:type="pct"/>
            <w:shd w:val="clear" w:color="auto" w:fill="auto"/>
          </w:tcPr>
          <w:p w14:paraId="4A79AEA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15,609.61</w:t>
            </w:r>
          </w:p>
        </w:tc>
        <w:tc>
          <w:tcPr>
            <w:tcW w:w="506" w:type="pct"/>
            <w:shd w:val="clear" w:color="auto" w:fill="auto"/>
          </w:tcPr>
          <w:p w14:paraId="392E3AF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15,609.61</w:t>
            </w:r>
          </w:p>
        </w:tc>
        <w:tc>
          <w:tcPr>
            <w:tcW w:w="425" w:type="pct"/>
            <w:shd w:val="clear" w:color="auto" w:fill="auto"/>
          </w:tcPr>
          <w:p w14:paraId="3D9A2BE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0" w:type="pct"/>
          </w:tcPr>
          <w:p w14:paraId="5E93A3B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15" w:type="pct"/>
          </w:tcPr>
          <w:p w14:paraId="60FBCEE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91" w:type="pct"/>
          </w:tcPr>
          <w:p w14:paraId="373CB18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76" w:type="pct"/>
          </w:tcPr>
          <w:p w14:paraId="2E738ACB">
            <w:pPr>
              <w:spacing w:line="240" w:lineRule="exact"/>
              <w:ind w:firstLine="0" w:firstLineChars="0"/>
              <w:rPr>
                <w:rFonts w:hint="eastAsia" w:ascii="宋体" w:hAnsi="宋体" w:cs="宋体"/>
                <w:color w:val="000000"/>
                <w:kern w:val="0"/>
                <w:sz w:val="18"/>
                <w:szCs w:val="18"/>
              </w:rPr>
            </w:pPr>
          </w:p>
        </w:tc>
      </w:tr>
      <w:tr w14:paraId="7A7AE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217C19A0">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1.1</w:t>
            </w:r>
          </w:p>
        </w:tc>
        <w:tc>
          <w:tcPr>
            <w:tcW w:w="633" w:type="pct"/>
            <w:shd w:val="clear" w:color="auto" w:fill="auto"/>
            <w:vAlign w:val="center"/>
          </w:tcPr>
          <w:p w14:paraId="30EFC3BA">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运营成本</w:t>
            </w:r>
          </w:p>
        </w:tc>
        <w:tc>
          <w:tcPr>
            <w:tcW w:w="522" w:type="pct"/>
            <w:shd w:val="clear" w:color="auto" w:fill="auto"/>
          </w:tcPr>
          <w:p w14:paraId="79347DA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15,235.01</w:t>
            </w:r>
          </w:p>
        </w:tc>
        <w:tc>
          <w:tcPr>
            <w:tcW w:w="455" w:type="pct"/>
            <w:shd w:val="clear" w:color="auto" w:fill="auto"/>
            <w:noWrap/>
          </w:tcPr>
          <w:p w14:paraId="6DC63E2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15,334.01</w:t>
            </w:r>
          </w:p>
        </w:tc>
        <w:tc>
          <w:tcPr>
            <w:tcW w:w="420" w:type="pct"/>
            <w:shd w:val="clear" w:color="auto" w:fill="auto"/>
            <w:noWrap/>
          </w:tcPr>
          <w:p w14:paraId="694B0BA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15,609.61</w:t>
            </w:r>
          </w:p>
        </w:tc>
        <w:tc>
          <w:tcPr>
            <w:tcW w:w="506" w:type="pct"/>
            <w:shd w:val="clear" w:color="auto" w:fill="auto"/>
            <w:noWrap/>
          </w:tcPr>
          <w:p w14:paraId="7F0AC30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15,609.61</w:t>
            </w:r>
          </w:p>
        </w:tc>
        <w:tc>
          <w:tcPr>
            <w:tcW w:w="425" w:type="pct"/>
            <w:shd w:val="clear" w:color="auto" w:fill="auto"/>
            <w:noWrap/>
          </w:tcPr>
          <w:p w14:paraId="5AE9010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0" w:type="pct"/>
          </w:tcPr>
          <w:p w14:paraId="37D9D5A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15" w:type="pct"/>
          </w:tcPr>
          <w:p w14:paraId="3AE5DBD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91" w:type="pct"/>
          </w:tcPr>
          <w:p w14:paraId="1F2F3965">
            <w:pPr>
              <w:spacing w:line="240" w:lineRule="exact"/>
              <w:ind w:firstLine="0" w:firstLineChars="0"/>
              <w:rPr>
                <w:rFonts w:hint="eastAsia" w:ascii="宋体" w:hAnsi="宋体" w:cs="宋体"/>
                <w:color w:val="000000"/>
                <w:kern w:val="0"/>
                <w:sz w:val="18"/>
                <w:szCs w:val="18"/>
              </w:rPr>
            </w:pPr>
          </w:p>
        </w:tc>
        <w:tc>
          <w:tcPr>
            <w:tcW w:w="476" w:type="pct"/>
          </w:tcPr>
          <w:p w14:paraId="71B9A850">
            <w:pPr>
              <w:spacing w:line="240" w:lineRule="exact"/>
              <w:ind w:firstLine="0" w:firstLineChars="0"/>
              <w:rPr>
                <w:rFonts w:hint="eastAsia" w:ascii="宋体" w:hAnsi="宋体" w:cs="宋体"/>
                <w:color w:val="000000"/>
                <w:kern w:val="0"/>
                <w:sz w:val="18"/>
                <w:szCs w:val="18"/>
              </w:rPr>
            </w:pPr>
          </w:p>
        </w:tc>
      </w:tr>
      <w:tr w14:paraId="61347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230" w:type="pct"/>
            <w:shd w:val="clear" w:color="auto" w:fill="auto"/>
            <w:vAlign w:val="center"/>
          </w:tcPr>
          <w:p w14:paraId="5955782D">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1.2</w:t>
            </w:r>
          </w:p>
        </w:tc>
        <w:tc>
          <w:tcPr>
            <w:tcW w:w="633" w:type="pct"/>
            <w:shd w:val="clear" w:color="auto" w:fill="auto"/>
            <w:vAlign w:val="center"/>
          </w:tcPr>
          <w:p w14:paraId="3EF04A43">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税金支出</w:t>
            </w:r>
          </w:p>
        </w:tc>
        <w:tc>
          <w:tcPr>
            <w:tcW w:w="522" w:type="pct"/>
            <w:shd w:val="clear" w:color="auto" w:fill="auto"/>
          </w:tcPr>
          <w:p w14:paraId="235DC61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55" w:type="pct"/>
            <w:shd w:val="clear" w:color="auto" w:fill="auto"/>
            <w:noWrap/>
          </w:tcPr>
          <w:p w14:paraId="5F85C48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0" w:type="pct"/>
            <w:shd w:val="clear" w:color="auto" w:fill="auto"/>
            <w:noWrap/>
          </w:tcPr>
          <w:p w14:paraId="29D0B31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06" w:type="pct"/>
            <w:shd w:val="clear" w:color="auto" w:fill="auto"/>
            <w:noWrap/>
          </w:tcPr>
          <w:p w14:paraId="4673BA4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5" w:type="pct"/>
            <w:shd w:val="clear" w:color="auto" w:fill="auto"/>
            <w:noWrap/>
          </w:tcPr>
          <w:p w14:paraId="60BEC4E2">
            <w:pPr>
              <w:spacing w:line="240" w:lineRule="exact"/>
              <w:ind w:firstLine="0" w:firstLineChars="0"/>
              <w:rPr>
                <w:rFonts w:hint="eastAsia" w:ascii="宋体" w:hAnsi="宋体" w:cs="宋体"/>
                <w:color w:val="000000"/>
                <w:kern w:val="0"/>
                <w:sz w:val="18"/>
                <w:szCs w:val="18"/>
              </w:rPr>
            </w:pPr>
          </w:p>
        </w:tc>
        <w:tc>
          <w:tcPr>
            <w:tcW w:w="420" w:type="pct"/>
          </w:tcPr>
          <w:p w14:paraId="1193F2B0">
            <w:pPr>
              <w:spacing w:line="240" w:lineRule="exact"/>
              <w:ind w:firstLine="0" w:firstLineChars="0"/>
              <w:rPr>
                <w:rFonts w:hint="eastAsia" w:ascii="宋体" w:hAnsi="宋体" w:cs="宋体"/>
                <w:color w:val="000000"/>
                <w:kern w:val="0"/>
                <w:sz w:val="18"/>
                <w:szCs w:val="18"/>
              </w:rPr>
            </w:pPr>
          </w:p>
        </w:tc>
        <w:tc>
          <w:tcPr>
            <w:tcW w:w="415" w:type="pct"/>
          </w:tcPr>
          <w:p w14:paraId="73D20295">
            <w:pPr>
              <w:spacing w:line="240" w:lineRule="exact"/>
              <w:ind w:firstLine="0" w:firstLineChars="0"/>
              <w:rPr>
                <w:rFonts w:hint="eastAsia" w:ascii="宋体" w:hAnsi="宋体" w:cs="宋体"/>
                <w:color w:val="000000"/>
                <w:kern w:val="0"/>
                <w:sz w:val="18"/>
                <w:szCs w:val="18"/>
              </w:rPr>
            </w:pPr>
          </w:p>
        </w:tc>
        <w:tc>
          <w:tcPr>
            <w:tcW w:w="491" w:type="pct"/>
          </w:tcPr>
          <w:p w14:paraId="5AB9F441">
            <w:pPr>
              <w:spacing w:line="240" w:lineRule="exact"/>
              <w:ind w:firstLine="0" w:firstLineChars="0"/>
              <w:rPr>
                <w:rFonts w:hint="eastAsia" w:ascii="宋体" w:hAnsi="宋体" w:cs="宋体"/>
                <w:color w:val="000000"/>
                <w:kern w:val="0"/>
                <w:sz w:val="18"/>
                <w:szCs w:val="18"/>
              </w:rPr>
            </w:pPr>
          </w:p>
        </w:tc>
        <w:tc>
          <w:tcPr>
            <w:tcW w:w="476" w:type="pct"/>
          </w:tcPr>
          <w:p w14:paraId="2ADC51A2">
            <w:pPr>
              <w:spacing w:line="240" w:lineRule="exact"/>
              <w:ind w:firstLine="0" w:firstLineChars="0"/>
              <w:rPr>
                <w:rFonts w:hint="eastAsia" w:ascii="宋体" w:hAnsi="宋体" w:cs="宋体"/>
                <w:color w:val="000000"/>
                <w:kern w:val="0"/>
                <w:sz w:val="18"/>
                <w:szCs w:val="18"/>
              </w:rPr>
            </w:pPr>
          </w:p>
        </w:tc>
      </w:tr>
      <w:tr w14:paraId="32759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trPr>
        <w:tc>
          <w:tcPr>
            <w:tcW w:w="230" w:type="pct"/>
            <w:shd w:val="clear" w:color="auto" w:fill="auto"/>
            <w:vAlign w:val="center"/>
          </w:tcPr>
          <w:p w14:paraId="359A4E97">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2</w:t>
            </w:r>
          </w:p>
        </w:tc>
        <w:tc>
          <w:tcPr>
            <w:tcW w:w="633" w:type="pct"/>
            <w:shd w:val="clear" w:color="auto" w:fill="auto"/>
            <w:vAlign w:val="center"/>
          </w:tcPr>
          <w:p w14:paraId="7BC5C0E2">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建设投资现金流出</w:t>
            </w:r>
          </w:p>
        </w:tc>
        <w:tc>
          <w:tcPr>
            <w:tcW w:w="522" w:type="pct"/>
            <w:shd w:val="clear" w:color="auto" w:fill="auto"/>
          </w:tcPr>
          <w:p w14:paraId="6C85899F">
            <w:pPr>
              <w:spacing w:line="240" w:lineRule="exact"/>
              <w:ind w:firstLine="0" w:firstLineChars="0"/>
              <w:rPr>
                <w:rFonts w:hint="eastAsia" w:ascii="宋体" w:hAnsi="宋体" w:cs="宋体"/>
                <w:color w:val="000000"/>
                <w:kern w:val="0"/>
                <w:sz w:val="18"/>
                <w:szCs w:val="18"/>
              </w:rPr>
            </w:pPr>
          </w:p>
        </w:tc>
        <w:tc>
          <w:tcPr>
            <w:tcW w:w="455" w:type="pct"/>
            <w:shd w:val="clear" w:color="auto" w:fill="auto"/>
          </w:tcPr>
          <w:p w14:paraId="59FD8BC7">
            <w:pPr>
              <w:spacing w:line="240" w:lineRule="exact"/>
              <w:ind w:firstLine="0" w:firstLineChars="0"/>
              <w:rPr>
                <w:rFonts w:hint="eastAsia" w:ascii="宋体" w:hAnsi="宋体" w:cs="宋体"/>
                <w:color w:val="000000"/>
                <w:kern w:val="0"/>
                <w:sz w:val="18"/>
                <w:szCs w:val="18"/>
              </w:rPr>
            </w:pPr>
          </w:p>
        </w:tc>
        <w:tc>
          <w:tcPr>
            <w:tcW w:w="420" w:type="pct"/>
            <w:shd w:val="clear" w:color="auto" w:fill="auto"/>
          </w:tcPr>
          <w:p w14:paraId="6EE8243C">
            <w:pPr>
              <w:spacing w:line="240" w:lineRule="exact"/>
              <w:ind w:firstLine="0" w:firstLineChars="0"/>
              <w:rPr>
                <w:rFonts w:hint="eastAsia" w:ascii="宋体" w:hAnsi="宋体" w:cs="宋体"/>
                <w:color w:val="000000"/>
                <w:kern w:val="0"/>
                <w:sz w:val="18"/>
                <w:szCs w:val="18"/>
              </w:rPr>
            </w:pPr>
          </w:p>
        </w:tc>
        <w:tc>
          <w:tcPr>
            <w:tcW w:w="506" w:type="pct"/>
            <w:shd w:val="clear" w:color="auto" w:fill="auto"/>
          </w:tcPr>
          <w:p w14:paraId="5AC314EC">
            <w:pPr>
              <w:spacing w:line="240" w:lineRule="exact"/>
              <w:ind w:firstLine="0" w:firstLineChars="0"/>
              <w:rPr>
                <w:rFonts w:hint="eastAsia" w:ascii="宋体" w:hAnsi="宋体" w:cs="宋体"/>
                <w:color w:val="000000"/>
                <w:kern w:val="0"/>
                <w:sz w:val="18"/>
                <w:szCs w:val="18"/>
              </w:rPr>
            </w:pPr>
          </w:p>
        </w:tc>
        <w:tc>
          <w:tcPr>
            <w:tcW w:w="425" w:type="pct"/>
            <w:shd w:val="clear" w:color="auto" w:fill="auto"/>
          </w:tcPr>
          <w:p w14:paraId="090676C8">
            <w:pPr>
              <w:spacing w:line="240" w:lineRule="exact"/>
              <w:ind w:firstLine="0" w:firstLineChars="0"/>
              <w:rPr>
                <w:rFonts w:hint="eastAsia" w:ascii="宋体" w:hAnsi="宋体" w:cs="宋体"/>
                <w:color w:val="000000"/>
                <w:kern w:val="0"/>
                <w:sz w:val="18"/>
                <w:szCs w:val="18"/>
              </w:rPr>
            </w:pPr>
          </w:p>
        </w:tc>
        <w:tc>
          <w:tcPr>
            <w:tcW w:w="420" w:type="pct"/>
          </w:tcPr>
          <w:p w14:paraId="5807905A">
            <w:pPr>
              <w:spacing w:line="240" w:lineRule="exact"/>
              <w:ind w:firstLine="0" w:firstLineChars="0"/>
              <w:rPr>
                <w:rFonts w:hint="eastAsia" w:ascii="宋体" w:hAnsi="宋体" w:cs="宋体"/>
                <w:color w:val="000000"/>
                <w:kern w:val="0"/>
                <w:sz w:val="18"/>
                <w:szCs w:val="18"/>
              </w:rPr>
            </w:pPr>
          </w:p>
        </w:tc>
        <w:tc>
          <w:tcPr>
            <w:tcW w:w="415" w:type="pct"/>
          </w:tcPr>
          <w:p w14:paraId="3539A14A">
            <w:pPr>
              <w:spacing w:line="240" w:lineRule="exact"/>
              <w:ind w:firstLine="0" w:firstLineChars="0"/>
              <w:rPr>
                <w:rFonts w:hint="eastAsia" w:ascii="宋体" w:hAnsi="宋体" w:cs="宋体"/>
                <w:color w:val="000000"/>
                <w:kern w:val="0"/>
                <w:sz w:val="18"/>
                <w:szCs w:val="18"/>
              </w:rPr>
            </w:pPr>
          </w:p>
        </w:tc>
        <w:tc>
          <w:tcPr>
            <w:tcW w:w="491" w:type="pct"/>
          </w:tcPr>
          <w:p w14:paraId="7EED707E">
            <w:pPr>
              <w:spacing w:line="240" w:lineRule="exact"/>
              <w:ind w:firstLine="0" w:firstLineChars="0"/>
              <w:rPr>
                <w:rFonts w:hint="eastAsia" w:ascii="宋体" w:hAnsi="宋体" w:cs="宋体"/>
                <w:color w:val="000000"/>
                <w:kern w:val="0"/>
                <w:sz w:val="18"/>
                <w:szCs w:val="18"/>
              </w:rPr>
            </w:pPr>
          </w:p>
        </w:tc>
        <w:tc>
          <w:tcPr>
            <w:tcW w:w="476" w:type="pct"/>
          </w:tcPr>
          <w:p w14:paraId="76017F17">
            <w:pPr>
              <w:spacing w:line="240" w:lineRule="exact"/>
              <w:ind w:firstLine="0" w:firstLineChars="0"/>
              <w:rPr>
                <w:rFonts w:hint="eastAsia" w:ascii="宋体" w:hAnsi="宋体" w:cs="宋体"/>
                <w:color w:val="000000"/>
                <w:kern w:val="0"/>
                <w:sz w:val="18"/>
                <w:szCs w:val="18"/>
              </w:rPr>
            </w:pPr>
          </w:p>
        </w:tc>
      </w:tr>
      <w:tr w14:paraId="0A91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230" w:type="pct"/>
            <w:shd w:val="clear" w:color="auto" w:fill="auto"/>
            <w:vAlign w:val="center"/>
          </w:tcPr>
          <w:p w14:paraId="640E5FA9">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w:t>
            </w:r>
          </w:p>
        </w:tc>
        <w:tc>
          <w:tcPr>
            <w:tcW w:w="633" w:type="pct"/>
            <w:shd w:val="clear" w:color="auto" w:fill="auto"/>
            <w:vAlign w:val="center"/>
          </w:tcPr>
          <w:p w14:paraId="1678BC26">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融资活动现金流出</w:t>
            </w:r>
          </w:p>
        </w:tc>
        <w:tc>
          <w:tcPr>
            <w:tcW w:w="522" w:type="pct"/>
            <w:shd w:val="clear" w:color="auto" w:fill="auto"/>
          </w:tcPr>
          <w:p w14:paraId="30D6CAE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21,728.68</w:t>
            </w:r>
          </w:p>
        </w:tc>
        <w:tc>
          <w:tcPr>
            <w:tcW w:w="455" w:type="pct"/>
            <w:shd w:val="clear" w:color="auto" w:fill="auto"/>
          </w:tcPr>
          <w:p w14:paraId="3B32FC9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21,140.68</w:t>
            </w:r>
          </w:p>
        </w:tc>
        <w:tc>
          <w:tcPr>
            <w:tcW w:w="420" w:type="pct"/>
            <w:shd w:val="clear" w:color="auto" w:fill="auto"/>
          </w:tcPr>
          <w:p w14:paraId="2E115D0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20,552.68</w:t>
            </w:r>
          </w:p>
        </w:tc>
        <w:tc>
          <w:tcPr>
            <w:tcW w:w="506" w:type="pct"/>
            <w:shd w:val="clear" w:color="auto" w:fill="auto"/>
          </w:tcPr>
          <w:p w14:paraId="6B2A175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19,964.68</w:t>
            </w:r>
          </w:p>
        </w:tc>
        <w:tc>
          <w:tcPr>
            <w:tcW w:w="425" w:type="pct"/>
            <w:shd w:val="clear" w:color="auto" w:fill="auto"/>
          </w:tcPr>
          <w:p w14:paraId="48CEBAA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109,198.02</w:t>
            </w:r>
          </w:p>
        </w:tc>
        <w:tc>
          <w:tcPr>
            <w:tcW w:w="420" w:type="pct"/>
          </w:tcPr>
          <w:p w14:paraId="3DDC56B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15,663.35</w:t>
            </w:r>
          </w:p>
        </w:tc>
        <w:tc>
          <w:tcPr>
            <w:tcW w:w="415" w:type="pct"/>
          </w:tcPr>
          <w:p w14:paraId="48F86CF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15,075.35</w:t>
            </w:r>
          </w:p>
        </w:tc>
        <w:tc>
          <w:tcPr>
            <w:tcW w:w="491" w:type="pct"/>
          </w:tcPr>
          <w:p w14:paraId="7D795DE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14,487.35</w:t>
            </w:r>
          </w:p>
        </w:tc>
        <w:tc>
          <w:tcPr>
            <w:tcW w:w="476" w:type="pct"/>
          </w:tcPr>
          <w:p w14:paraId="341451C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4,700.28</w:t>
            </w:r>
          </w:p>
        </w:tc>
      </w:tr>
      <w:tr w14:paraId="0C123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230" w:type="pct"/>
            <w:shd w:val="clear" w:color="auto" w:fill="auto"/>
            <w:vAlign w:val="center"/>
          </w:tcPr>
          <w:p w14:paraId="10BE441F">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3.1</w:t>
            </w:r>
          </w:p>
        </w:tc>
        <w:tc>
          <w:tcPr>
            <w:tcW w:w="633" w:type="pct"/>
            <w:shd w:val="clear" w:color="auto" w:fill="auto"/>
            <w:vAlign w:val="center"/>
          </w:tcPr>
          <w:p w14:paraId="6E480132">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债券发行费用</w:t>
            </w:r>
          </w:p>
        </w:tc>
        <w:tc>
          <w:tcPr>
            <w:tcW w:w="522" w:type="pct"/>
            <w:shd w:val="clear" w:color="auto" w:fill="auto"/>
          </w:tcPr>
          <w:p w14:paraId="5B62D43F">
            <w:pPr>
              <w:spacing w:line="240" w:lineRule="exact"/>
              <w:ind w:firstLine="0" w:firstLineChars="0"/>
              <w:rPr>
                <w:rFonts w:hint="eastAsia" w:ascii="宋体" w:hAnsi="宋体" w:cs="宋体"/>
                <w:color w:val="000000"/>
                <w:kern w:val="0"/>
                <w:sz w:val="18"/>
                <w:szCs w:val="18"/>
              </w:rPr>
            </w:pPr>
          </w:p>
        </w:tc>
        <w:tc>
          <w:tcPr>
            <w:tcW w:w="455" w:type="pct"/>
            <w:shd w:val="clear" w:color="auto" w:fill="auto"/>
          </w:tcPr>
          <w:p w14:paraId="7975631A">
            <w:pPr>
              <w:spacing w:line="240" w:lineRule="exact"/>
              <w:ind w:firstLine="0" w:firstLineChars="0"/>
              <w:rPr>
                <w:rFonts w:hint="eastAsia" w:ascii="宋体" w:hAnsi="宋体" w:cs="宋体"/>
                <w:color w:val="000000"/>
                <w:kern w:val="0"/>
                <w:sz w:val="18"/>
                <w:szCs w:val="18"/>
              </w:rPr>
            </w:pPr>
          </w:p>
        </w:tc>
        <w:tc>
          <w:tcPr>
            <w:tcW w:w="420" w:type="pct"/>
            <w:shd w:val="clear" w:color="auto" w:fill="auto"/>
          </w:tcPr>
          <w:p w14:paraId="2767E411">
            <w:pPr>
              <w:spacing w:line="240" w:lineRule="exact"/>
              <w:ind w:firstLine="0" w:firstLineChars="0"/>
              <w:rPr>
                <w:rFonts w:hint="eastAsia" w:ascii="宋体" w:hAnsi="宋体" w:cs="宋体"/>
                <w:color w:val="000000"/>
                <w:kern w:val="0"/>
                <w:sz w:val="18"/>
                <w:szCs w:val="18"/>
              </w:rPr>
            </w:pPr>
          </w:p>
        </w:tc>
        <w:tc>
          <w:tcPr>
            <w:tcW w:w="506" w:type="pct"/>
            <w:shd w:val="clear" w:color="auto" w:fill="auto"/>
          </w:tcPr>
          <w:p w14:paraId="57A53152">
            <w:pPr>
              <w:spacing w:line="240" w:lineRule="exact"/>
              <w:ind w:firstLine="0" w:firstLineChars="0"/>
              <w:rPr>
                <w:rFonts w:hint="eastAsia" w:ascii="宋体" w:hAnsi="宋体" w:cs="宋体"/>
                <w:color w:val="000000"/>
                <w:kern w:val="0"/>
                <w:sz w:val="18"/>
                <w:szCs w:val="18"/>
              </w:rPr>
            </w:pPr>
          </w:p>
        </w:tc>
        <w:tc>
          <w:tcPr>
            <w:tcW w:w="425" w:type="pct"/>
            <w:shd w:val="clear" w:color="auto" w:fill="auto"/>
          </w:tcPr>
          <w:p w14:paraId="77620C20">
            <w:pPr>
              <w:spacing w:line="240" w:lineRule="exact"/>
              <w:ind w:firstLine="0" w:firstLineChars="0"/>
              <w:rPr>
                <w:rFonts w:hint="eastAsia" w:ascii="宋体" w:hAnsi="宋体" w:cs="宋体"/>
                <w:color w:val="000000"/>
                <w:kern w:val="0"/>
                <w:sz w:val="18"/>
                <w:szCs w:val="18"/>
              </w:rPr>
            </w:pPr>
          </w:p>
        </w:tc>
        <w:tc>
          <w:tcPr>
            <w:tcW w:w="420" w:type="pct"/>
          </w:tcPr>
          <w:p w14:paraId="077812B4">
            <w:pPr>
              <w:spacing w:line="240" w:lineRule="exact"/>
              <w:ind w:firstLine="0" w:firstLineChars="0"/>
              <w:rPr>
                <w:rFonts w:hint="eastAsia" w:ascii="宋体" w:hAnsi="宋体" w:cs="宋体"/>
                <w:color w:val="000000"/>
                <w:kern w:val="0"/>
                <w:sz w:val="18"/>
                <w:szCs w:val="18"/>
              </w:rPr>
            </w:pPr>
          </w:p>
        </w:tc>
        <w:tc>
          <w:tcPr>
            <w:tcW w:w="415" w:type="pct"/>
          </w:tcPr>
          <w:p w14:paraId="2472263C">
            <w:pPr>
              <w:spacing w:line="240" w:lineRule="exact"/>
              <w:ind w:firstLine="0" w:firstLineChars="0"/>
              <w:rPr>
                <w:rFonts w:hint="eastAsia" w:ascii="宋体" w:hAnsi="宋体" w:cs="宋体"/>
                <w:color w:val="000000"/>
                <w:kern w:val="0"/>
                <w:sz w:val="18"/>
                <w:szCs w:val="18"/>
              </w:rPr>
            </w:pPr>
          </w:p>
        </w:tc>
        <w:tc>
          <w:tcPr>
            <w:tcW w:w="491" w:type="pct"/>
          </w:tcPr>
          <w:p w14:paraId="4A319108">
            <w:pPr>
              <w:spacing w:line="240" w:lineRule="exact"/>
              <w:ind w:firstLine="0" w:firstLineChars="0"/>
              <w:rPr>
                <w:rFonts w:hint="eastAsia" w:ascii="宋体" w:hAnsi="宋体" w:cs="宋体"/>
                <w:color w:val="000000"/>
                <w:kern w:val="0"/>
                <w:sz w:val="18"/>
                <w:szCs w:val="18"/>
              </w:rPr>
            </w:pPr>
          </w:p>
        </w:tc>
        <w:tc>
          <w:tcPr>
            <w:tcW w:w="476" w:type="pct"/>
          </w:tcPr>
          <w:p w14:paraId="6A95B373">
            <w:pPr>
              <w:spacing w:line="240" w:lineRule="exact"/>
              <w:ind w:firstLine="0" w:firstLineChars="0"/>
              <w:rPr>
                <w:rFonts w:hint="eastAsia" w:ascii="宋体" w:hAnsi="宋体" w:cs="宋体"/>
                <w:color w:val="000000"/>
                <w:kern w:val="0"/>
                <w:sz w:val="18"/>
                <w:szCs w:val="18"/>
              </w:rPr>
            </w:pPr>
          </w:p>
        </w:tc>
      </w:tr>
      <w:tr w14:paraId="32356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30EBA806">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3.2</w:t>
            </w:r>
          </w:p>
        </w:tc>
        <w:tc>
          <w:tcPr>
            <w:tcW w:w="633" w:type="pct"/>
            <w:shd w:val="clear" w:color="auto" w:fill="auto"/>
            <w:vAlign w:val="center"/>
          </w:tcPr>
          <w:p w14:paraId="5B99C34C">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偿还债券本金</w:t>
            </w:r>
          </w:p>
        </w:tc>
        <w:tc>
          <w:tcPr>
            <w:tcW w:w="522" w:type="pct"/>
            <w:shd w:val="clear" w:color="auto" w:fill="auto"/>
          </w:tcPr>
          <w:p w14:paraId="34E621A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55" w:type="pct"/>
            <w:shd w:val="clear" w:color="auto" w:fill="auto"/>
          </w:tcPr>
          <w:p w14:paraId="7BA53AA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0" w:type="pct"/>
            <w:shd w:val="clear" w:color="auto" w:fill="auto"/>
          </w:tcPr>
          <w:p w14:paraId="0CC94EE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506" w:type="pct"/>
            <w:shd w:val="clear" w:color="auto" w:fill="auto"/>
          </w:tcPr>
          <w:p w14:paraId="21E59D9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25" w:type="pct"/>
            <w:shd w:val="clear" w:color="auto" w:fill="auto"/>
          </w:tcPr>
          <w:p w14:paraId="00DC366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91,384.00</w:t>
            </w:r>
          </w:p>
        </w:tc>
        <w:tc>
          <w:tcPr>
            <w:tcW w:w="420" w:type="pct"/>
          </w:tcPr>
          <w:p w14:paraId="1B1FC0E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15" w:type="pct"/>
          </w:tcPr>
          <w:p w14:paraId="2C37E2D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91" w:type="pct"/>
          </w:tcPr>
          <w:p w14:paraId="77071D2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76" w:type="pct"/>
          </w:tcPr>
          <w:p w14:paraId="66F72438">
            <w:pPr>
              <w:spacing w:line="240" w:lineRule="exact"/>
              <w:ind w:firstLine="0" w:firstLineChars="0"/>
              <w:rPr>
                <w:rFonts w:hint="eastAsia" w:ascii="宋体" w:hAnsi="宋体" w:cs="宋体"/>
                <w:color w:val="000000"/>
                <w:kern w:val="0"/>
                <w:sz w:val="18"/>
                <w:szCs w:val="18"/>
              </w:rPr>
            </w:pPr>
          </w:p>
        </w:tc>
      </w:tr>
      <w:tr w14:paraId="250D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46533C12">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3.3</w:t>
            </w:r>
          </w:p>
        </w:tc>
        <w:tc>
          <w:tcPr>
            <w:tcW w:w="633" w:type="pct"/>
            <w:shd w:val="clear" w:color="auto" w:fill="auto"/>
            <w:vAlign w:val="center"/>
          </w:tcPr>
          <w:p w14:paraId="023446B3">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支付债券利息</w:t>
            </w:r>
          </w:p>
        </w:tc>
        <w:tc>
          <w:tcPr>
            <w:tcW w:w="522" w:type="pct"/>
            <w:shd w:val="clear" w:color="auto" w:fill="auto"/>
          </w:tcPr>
          <w:p w14:paraId="2A88F16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3,125.33</w:t>
            </w:r>
          </w:p>
        </w:tc>
        <w:tc>
          <w:tcPr>
            <w:tcW w:w="455" w:type="pct"/>
            <w:shd w:val="clear" w:color="auto" w:fill="auto"/>
            <w:noWrap/>
          </w:tcPr>
          <w:p w14:paraId="62A2EFD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3,125.33</w:t>
            </w:r>
          </w:p>
        </w:tc>
        <w:tc>
          <w:tcPr>
            <w:tcW w:w="420" w:type="pct"/>
            <w:shd w:val="clear" w:color="auto" w:fill="auto"/>
            <w:noWrap/>
          </w:tcPr>
          <w:p w14:paraId="1FD7E4A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3,125.33</w:t>
            </w:r>
          </w:p>
        </w:tc>
        <w:tc>
          <w:tcPr>
            <w:tcW w:w="506" w:type="pct"/>
            <w:shd w:val="clear" w:color="auto" w:fill="auto"/>
            <w:noWrap/>
          </w:tcPr>
          <w:p w14:paraId="386B6A1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3,125.33</w:t>
            </w:r>
          </w:p>
        </w:tc>
        <w:tc>
          <w:tcPr>
            <w:tcW w:w="425" w:type="pct"/>
            <w:shd w:val="clear" w:color="auto" w:fill="auto"/>
            <w:noWrap/>
          </w:tcPr>
          <w:p w14:paraId="0BD2515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1,562.67</w:t>
            </w:r>
          </w:p>
        </w:tc>
        <w:tc>
          <w:tcPr>
            <w:tcW w:w="420" w:type="pct"/>
          </w:tcPr>
          <w:p w14:paraId="1E86838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15" w:type="pct"/>
          </w:tcPr>
          <w:p w14:paraId="297038C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91" w:type="pct"/>
          </w:tcPr>
          <w:p w14:paraId="513F956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w:t>
            </w:r>
          </w:p>
        </w:tc>
        <w:tc>
          <w:tcPr>
            <w:tcW w:w="476" w:type="pct"/>
          </w:tcPr>
          <w:p w14:paraId="0F540344">
            <w:pPr>
              <w:spacing w:line="240" w:lineRule="exact"/>
              <w:ind w:firstLine="0" w:firstLineChars="0"/>
              <w:rPr>
                <w:rFonts w:hint="eastAsia" w:ascii="宋体" w:hAnsi="宋体" w:cs="宋体"/>
                <w:color w:val="000000"/>
                <w:kern w:val="0"/>
                <w:sz w:val="18"/>
                <w:szCs w:val="18"/>
              </w:rPr>
            </w:pPr>
          </w:p>
        </w:tc>
      </w:tr>
      <w:tr w14:paraId="5CCE5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230" w:type="pct"/>
            <w:shd w:val="clear" w:color="auto" w:fill="auto"/>
            <w:vAlign w:val="center"/>
          </w:tcPr>
          <w:p w14:paraId="22AC596E">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3.4</w:t>
            </w:r>
          </w:p>
        </w:tc>
        <w:tc>
          <w:tcPr>
            <w:tcW w:w="633" w:type="pct"/>
            <w:shd w:val="clear" w:color="auto" w:fill="auto"/>
            <w:vAlign w:val="center"/>
          </w:tcPr>
          <w:p w14:paraId="48EF9CF0">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偿还其他融资本金</w:t>
            </w:r>
          </w:p>
        </w:tc>
        <w:tc>
          <w:tcPr>
            <w:tcW w:w="522" w:type="pct"/>
            <w:shd w:val="clear" w:color="auto" w:fill="auto"/>
          </w:tcPr>
          <w:p w14:paraId="2B64841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c>
          <w:tcPr>
            <w:tcW w:w="455" w:type="pct"/>
            <w:shd w:val="clear" w:color="auto" w:fill="auto"/>
          </w:tcPr>
          <w:p w14:paraId="4A2B7B0F">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c>
          <w:tcPr>
            <w:tcW w:w="420" w:type="pct"/>
            <w:shd w:val="clear" w:color="auto" w:fill="auto"/>
          </w:tcPr>
          <w:p w14:paraId="011CC41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c>
          <w:tcPr>
            <w:tcW w:w="506" w:type="pct"/>
            <w:shd w:val="clear" w:color="auto" w:fill="auto"/>
          </w:tcPr>
          <w:p w14:paraId="479B97C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c>
          <w:tcPr>
            <w:tcW w:w="425" w:type="pct"/>
            <w:shd w:val="clear" w:color="auto" w:fill="auto"/>
          </w:tcPr>
          <w:p w14:paraId="371B471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c>
          <w:tcPr>
            <w:tcW w:w="420" w:type="pct"/>
          </w:tcPr>
          <w:p w14:paraId="2C83752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c>
          <w:tcPr>
            <w:tcW w:w="415" w:type="pct"/>
          </w:tcPr>
          <w:p w14:paraId="4A3248A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c>
          <w:tcPr>
            <w:tcW w:w="491" w:type="pct"/>
          </w:tcPr>
          <w:p w14:paraId="061A600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14,000.00</w:t>
            </w:r>
          </w:p>
        </w:tc>
        <w:tc>
          <w:tcPr>
            <w:tcW w:w="476" w:type="pct"/>
          </w:tcPr>
          <w:p w14:paraId="3CE29DD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4,603.60</w:t>
            </w:r>
          </w:p>
        </w:tc>
      </w:tr>
      <w:tr w14:paraId="769C0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30" w:type="pct"/>
            <w:shd w:val="clear" w:color="auto" w:fill="auto"/>
            <w:vAlign w:val="center"/>
          </w:tcPr>
          <w:p w14:paraId="72A8E2F8">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3.5</w:t>
            </w:r>
          </w:p>
        </w:tc>
        <w:tc>
          <w:tcPr>
            <w:tcW w:w="633" w:type="pct"/>
            <w:shd w:val="clear" w:color="auto" w:fill="auto"/>
            <w:vAlign w:val="center"/>
          </w:tcPr>
          <w:p w14:paraId="54182DD1">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支付其他融资利息</w:t>
            </w:r>
          </w:p>
        </w:tc>
        <w:tc>
          <w:tcPr>
            <w:tcW w:w="522" w:type="pct"/>
            <w:shd w:val="clear" w:color="auto" w:fill="auto"/>
          </w:tcPr>
          <w:p w14:paraId="3EA29028">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4,603.35</w:t>
            </w:r>
          </w:p>
        </w:tc>
        <w:tc>
          <w:tcPr>
            <w:tcW w:w="455" w:type="pct"/>
            <w:shd w:val="clear" w:color="auto" w:fill="auto"/>
          </w:tcPr>
          <w:p w14:paraId="7D81113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4,015.35</w:t>
            </w:r>
          </w:p>
        </w:tc>
        <w:tc>
          <w:tcPr>
            <w:tcW w:w="420" w:type="pct"/>
            <w:shd w:val="clear" w:color="auto" w:fill="auto"/>
          </w:tcPr>
          <w:p w14:paraId="5B7E5E2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3,427.35</w:t>
            </w:r>
          </w:p>
        </w:tc>
        <w:tc>
          <w:tcPr>
            <w:tcW w:w="506" w:type="pct"/>
            <w:shd w:val="clear" w:color="auto" w:fill="auto"/>
          </w:tcPr>
          <w:p w14:paraId="19EE925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2,839.35</w:t>
            </w:r>
          </w:p>
        </w:tc>
        <w:tc>
          <w:tcPr>
            <w:tcW w:w="425" w:type="pct"/>
            <w:shd w:val="clear" w:color="auto" w:fill="auto"/>
          </w:tcPr>
          <w:p w14:paraId="70704EA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2,251.35</w:t>
            </w:r>
          </w:p>
        </w:tc>
        <w:tc>
          <w:tcPr>
            <w:tcW w:w="420" w:type="pct"/>
          </w:tcPr>
          <w:p w14:paraId="1F86F22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1,663.35</w:t>
            </w:r>
          </w:p>
        </w:tc>
        <w:tc>
          <w:tcPr>
            <w:tcW w:w="415" w:type="pct"/>
          </w:tcPr>
          <w:p w14:paraId="1703A72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1,075.35</w:t>
            </w:r>
          </w:p>
        </w:tc>
        <w:tc>
          <w:tcPr>
            <w:tcW w:w="491" w:type="pct"/>
          </w:tcPr>
          <w:p w14:paraId="022FF10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487.35</w:t>
            </w:r>
          </w:p>
        </w:tc>
        <w:tc>
          <w:tcPr>
            <w:tcW w:w="476" w:type="pct"/>
          </w:tcPr>
          <w:p w14:paraId="043EC1C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96.68</w:t>
            </w:r>
          </w:p>
        </w:tc>
      </w:tr>
      <w:tr w14:paraId="29E68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59DF3F72">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三</w:t>
            </w:r>
          </w:p>
        </w:tc>
        <w:tc>
          <w:tcPr>
            <w:tcW w:w="633" w:type="pct"/>
            <w:shd w:val="clear" w:color="auto" w:fill="auto"/>
            <w:vAlign w:val="center"/>
          </w:tcPr>
          <w:p w14:paraId="6491DD0A">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当期现金结余</w:t>
            </w:r>
          </w:p>
        </w:tc>
        <w:tc>
          <w:tcPr>
            <w:tcW w:w="522" w:type="pct"/>
            <w:shd w:val="clear" w:color="auto" w:fill="auto"/>
          </w:tcPr>
          <w:p w14:paraId="4AD9C6A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51,373.29</w:t>
            </w:r>
          </w:p>
        </w:tc>
        <w:tc>
          <w:tcPr>
            <w:tcW w:w="455" w:type="pct"/>
            <w:shd w:val="clear" w:color="auto" w:fill="auto"/>
          </w:tcPr>
          <w:p w14:paraId="1FA72F2B">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52,236.21</w:t>
            </w:r>
          </w:p>
        </w:tc>
        <w:tc>
          <w:tcPr>
            <w:tcW w:w="420" w:type="pct"/>
            <w:shd w:val="clear" w:color="auto" w:fill="auto"/>
          </w:tcPr>
          <w:p w14:paraId="6BC93C1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52,548.61</w:t>
            </w:r>
          </w:p>
        </w:tc>
        <w:tc>
          <w:tcPr>
            <w:tcW w:w="506" w:type="pct"/>
            <w:shd w:val="clear" w:color="auto" w:fill="auto"/>
          </w:tcPr>
          <w:p w14:paraId="221241E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93,136.61</w:t>
            </w:r>
          </w:p>
        </w:tc>
        <w:tc>
          <w:tcPr>
            <w:tcW w:w="425" w:type="pct"/>
            <w:shd w:val="clear" w:color="auto" w:fill="auto"/>
          </w:tcPr>
          <w:p w14:paraId="3176F9C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-109,198.02</w:t>
            </w:r>
          </w:p>
        </w:tc>
        <w:tc>
          <w:tcPr>
            <w:tcW w:w="420" w:type="pct"/>
          </w:tcPr>
          <w:p w14:paraId="3C5956B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-15,663.35</w:t>
            </w:r>
          </w:p>
        </w:tc>
        <w:tc>
          <w:tcPr>
            <w:tcW w:w="415" w:type="pct"/>
          </w:tcPr>
          <w:p w14:paraId="4A602A8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-15,075.35</w:t>
            </w:r>
          </w:p>
        </w:tc>
        <w:tc>
          <w:tcPr>
            <w:tcW w:w="491" w:type="pct"/>
          </w:tcPr>
          <w:p w14:paraId="664D6A6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-14,487.35</w:t>
            </w:r>
          </w:p>
        </w:tc>
        <w:tc>
          <w:tcPr>
            <w:tcW w:w="476" w:type="pct"/>
          </w:tcPr>
          <w:p w14:paraId="42F7723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-4,700.28</w:t>
            </w:r>
          </w:p>
        </w:tc>
      </w:tr>
      <w:tr w14:paraId="4696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30" w:type="pct"/>
            <w:shd w:val="clear" w:color="auto" w:fill="auto"/>
            <w:vAlign w:val="center"/>
          </w:tcPr>
          <w:p w14:paraId="0CED7797">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四</w:t>
            </w:r>
          </w:p>
        </w:tc>
        <w:tc>
          <w:tcPr>
            <w:tcW w:w="633" w:type="pct"/>
            <w:shd w:val="clear" w:color="auto" w:fill="auto"/>
            <w:vAlign w:val="center"/>
          </w:tcPr>
          <w:p w14:paraId="0D119302">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期初现金</w:t>
            </w:r>
          </w:p>
        </w:tc>
        <w:tc>
          <w:tcPr>
            <w:tcW w:w="522" w:type="pct"/>
            <w:shd w:val="clear" w:color="auto" w:fill="auto"/>
          </w:tcPr>
          <w:p w14:paraId="76415B3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730,628.17</w:t>
            </w:r>
          </w:p>
        </w:tc>
        <w:tc>
          <w:tcPr>
            <w:tcW w:w="455" w:type="pct"/>
            <w:shd w:val="clear" w:color="auto" w:fill="auto"/>
          </w:tcPr>
          <w:p w14:paraId="44551C4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782,001.46</w:t>
            </w:r>
          </w:p>
        </w:tc>
        <w:tc>
          <w:tcPr>
            <w:tcW w:w="420" w:type="pct"/>
            <w:shd w:val="clear" w:color="auto" w:fill="auto"/>
          </w:tcPr>
          <w:p w14:paraId="1029CA5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834,237.67</w:t>
            </w:r>
          </w:p>
        </w:tc>
        <w:tc>
          <w:tcPr>
            <w:tcW w:w="506" w:type="pct"/>
            <w:shd w:val="clear" w:color="auto" w:fill="auto"/>
          </w:tcPr>
          <w:p w14:paraId="2E447EE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886,786.28</w:t>
            </w:r>
          </w:p>
        </w:tc>
        <w:tc>
          <w:tcPr>
            <w:tcW w:w="425" w:type="pct"/>
            <w:shd w:val="clear" w:color="auto" w:fill="auto"/>
          </w:tcPr>
          <w:p w14:paraId="14C5B4E5">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979,922.89</w:t>
            </w:r>
          </w:p>
        </w:tc>
        <w:tc>
          <w:tcPr>
            <w:tcW w:w="420" w:type="pct"/>
          </w:tcPr>
          <w:p w14:paraId="7FB97F84">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870,724.87</w:t>
            </w:r>
          </w:p>
        </w:tc>
        <w:tc>
          <w:tcPr>
            <w:tcW w:w="415" w:type="pct"/>
          </w:tcPr>
          <w:p w14:paraId="0A5DF25A">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855,061.52</w:t>
            </w:r>
          </w:p>
        </w:tc>
        <w:tc>
          <w:tcPr>
            <w:tcW w:w="491" w:type="pct"/>
          </w:tcPr>
          <w:p w14:paraId="512722DD">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839,986.17</w:t>
            </w:r>
          </w:p>
        </w:tc>
        <w:tc>
          <w:tcPr>
            <w:tcW w:w="476" w:type="pct"/>
          </w:tcPr>
          <w:p w14:paraId="65714CA7">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825,498.82</w:t>
            </w:r>
          </w:p>
        </w:tc>
      </w:tr>
      <w:tr w14:paraId="2AED7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trPr>
        <w:tc>
          <w:tcPr>
            <w:tcW w:w="230" w:type="pct"/>
            <w:shd w:val="clear" w:color="auto" w:fill="auto"/>
            <w:vAlign w:val="center"/>
          </w:tcPr>
          <w:p w14:paraId="193B75FC">
            <w:pPr>
              <w:widowControl/>
              <w:spacing w:after="0" w:line="240" w:lineRule="exact"/>
              <w:ind w:firstLine="0" w:firstLineChars="0"/>
              <w:rPr>
                <w:rFonts w:hint="eastAsia" w:ascii="宋体" w:hAnsi="宋体" w:cs="宋体"/>
                <w:b/>
                <w:bCs/>
                <w:color w:val="000000"/>
                <w:kern w:val="0"/>
                <w:sz w:val="18"/>
                <w:szCs w:val="18"/>
              </w:rPr>
            </w:pPr>
            <w:r>
              <w:rPr>
                <w:rFonts w:hint="eastAsia" w:ascii="宋体" w:hAnsi="宋体" w:cs="宋体"/>
                <w:b/>
                <w:bCs/>
                <w:color w:val="000000"/>
                <w:kern w:val="0"/>
                <w:sz w:val="18"/>
                <w:szCs w:val="18"/>
              </w:rPr>
              <w:t>五</w:t>
            </w:r>
          </w:p>
        </w:tc>
        <w:tc>
          <w:tcPr>
            <w:tcW w:w="633" w:type="pct"/>
            <w:shd w:val="clear" w:color="auto" w:fill="auto"/>
            <w:vAlign w:val="center"/>
          </w:tcPr>
          <w:p w14:paraId="1929F76D">
            <w:pPr>
              <w:widowControl/>
              <w:spacing w:after="0" w:line="240" w:lineRule="exact"/>
              <w:ind w:firstLine="0" w:firstLineChars="0"/>
              <w:jc w:val="center"/>
              <w:rPr>
                <w:rFonts w:hint="eastAsia" w:ascii="宋体" w:hAnsi="宋体" w:cs="宋体"/>
                <w:bCs/>
                <w:color w:val="000000"/>
                <w:kern w:val="0"/>
                <w:sz w:val="18"/>
                <w:szCs w:val="18"/>
              </w:rPr>
            </w:pPr>
            <w:r>
              <w:rPr>
                <w:rFonts w:hint="eastAsia" w:ascii="宋体" w:hAnsi="宋体" w:cs="宋体"/>
                <w:bCs/>
                <w:color w:val="000000"/>
                <w:kern w:val="0"/>
                <w:sz w:val="18"/>
                <w:szCs w:val="18"/>
              </w:rPr>
              <w:t>期末现金</w:t>
            </w:r>
          </w:p>
        </w:tc>
        <w:tc>
          <w:tcPr>
            <w:tcW w:w="522" w:type="pct"/>
            <w:shd w:val="clear" w:color="auto" w:fill="auto"/>
          </w:tcPr>
          <w:p w14:paraId="7A05D0E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782,001.46</w:t>
            </w:r>
          </w:p>
        </w:tc>
        <w:tc>
          <w:tcPr>
            <w:tcW w:w="455" w:type="pct"/>
            <w:shd w:val="clear" w:color="auto" w:fill="auto"/>
          </w:tcPr>
          <w:p w14:paraId="4C2B6876">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834,237.67</w:t>
            </w:r>
          </w:p>
        </w:tc>
        <w:tc>
          <w:tcPr>
            <w:tcW w:w="420" w:type="pct"/>
            <w:shd w:val="clear" w:color="auto" w:fill="auto"/>
          </w:tcPr>
          <w:p w14:paraId="3853422C">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886,786.28</w:t>
            </w:r>
          </w:p>
        </w:tc>
        <w:tc>
          <w:tcPr>
            <w:tcW w:w="506" w:type="pct"/>
            <w:shd w:val="clear" w:color="auto" w:fill="auto"/>
          </w:tcPr>
          <w:p w14:paraId="6D1E5A8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979,922.89</w:t>
            </w:r>
          </w:p>
        </w:tc>
        <w:tc>
          <w:tcPr>
            <w:tcW w:w="425" w:type="pct"/>
            <w:shd w:val="clear" w:color="auto" w:fill="auto"/>
          </w:tcPr>
          <w:p w14:paraId="40834D33">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870,724.87</w:t>
            </w:r>
          </w:p>
        </w:tc>
        <w:tc>
          <w:tcPr>
            <w:tcW w:w="420" w:type="pct"/>
          </w:tcPr>
          <w:p w14:paraId="08356FE1">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855,061.52</w:t>
            </w:r>
          </w:p>
        </w:tc>
        <w:tc>
          <w:tcPr>
            <w:tcW w:w="415" w:type="pct"/>
          </w:tcPr>
          <w:p w14:paraId="0511AFC2">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839,986.17</w:t>
            </w:r>
          </w:p>
        </w:tc>
        <w:tc>
          <w:tcPr>
            <w:tcW w:w="491" w:type="pct"/>
          </w:tcPr>
          <w:p w14:paraId="12904E9E">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825,498.82</w:t>
            </w:r>
          </w:p>
        </w:tc>
        <w:tc>
          <w:tcPr>
            <w:tcW w:w="476" w:type="pct"/>
          </w:tcPr>
          <w:p w14:paraId="4524AC29">
            <w:pPr>
              <w:spacing w:line="240" w:lineRule="exact"/>
              <w:ind w:firstLine="0" w:firstLineChars="0"/>
              <w:rPr>
                <w:rFonts w:hint="eastAsia" w:ascii="宋体" w:hAnsi="宋体" w:cs="宋体"/>
                <w:color w:val="000000"/>
                <w:kern w:val="0"/>
                <w:sz w:val="18"/>
                <w:szCs w:val="18"/>
              </w:rPr>
            </w:pPr>
            <w:r>
              <w:rPr>
                <w:rFonts w:ascii="宋体" w:hAnsi="宋体" w:cs="宋体"/>
                <w:color w:val="000000"/>
                <w:kern w:val="0"/>
                <w:sz w:val="18"/>
                <w:szCs w:val="18"/>
              </w:rPr>
              <w:t>820,798.54</w:t>
            </w:r>
          </w:p>
        </w:tc>
      </w:tr>
      <w:tr w14:paraId="7109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262" w:type="pct"/>
            <w:gridSpan w:val="5"/>
            <w:shd w:val="clear" w:color="auto" w:fill="auto"/>
            <w:vAlign w:val="center"/>
          </w:tcPr>
          <w:p w14:paraId="72765C62">
            <w:pPr>
              <w:spacing w:line="240" w:lineRule="exact"/>
              <w:ind w:firstLine="361"/>
              <w:jc w:val="center"/>
              <w:rPr>
                <w:rFonts w:hint="eastAsia" w:ascii="宋体" w:hAnsi="宋体" w:cs="宋体"/>
                <w:b/>
                <w:color w:val="000000"/>
                <w:kern w:val="0"/>
                <w:sz w:val="18"/>
                <w:szCs w:val="18"/>
              </w:rPr>
            </w:pPr>
            <w:r>
              <w:rPr>
                <w:rFonts w:hint="eastAsia" w:ascii="宋体" w:hAnsi="宋体" w:cs="宋体"/>
                <w:b/>
                <w:color w:val="000000"/>
                <w:kern w:val="0"/>
                <w:sz w:val="18"/>
                <w:szCs w:val="18"/>
              </w:rPr>
              <w:t>债券资金覆盖倍数</w:t>
            </w:r>
          </w:p>
        </w:tc>
        <w:tc>
          <w:tcPr>
            <w:tcW w:w="2737" w:type="pct"/>
            <w:gridSpan w:val="6"/>
            <w:shd w:val="clear" w:color="auto" w:fill="auto"/>
            <w:vAlign w:val="center"/>
          </w:tcPr>
          <w:p w14:paraId="41C300FB">
            <w:pPr>
              <w:spacing w:line="240" w:lineRule="exact"/>
              <w:ind w:firstLine="361"/>
              <w:jc w:val="center"/>
              <w:rPr>
                <w:rFonts w:hint="eastAsia" w:ascii="宋体" w:hAnsi="宋体" w:cs="宋体"/>
                <w:b/>
                <w:color w:val="000000"/>
                <w:kern w:val="0"/>
                <w:sz w:val="18"/>
                <w:szCs w:val="18"/>
              </w:rPr>
            </w:pPr>
            <w:r>
              <w:rPr>
                <w:rFonts w:hint="eastAsia" w:ascii="宋体" w:hAnsi="宋体" w:cs="宋体"/>
                <w:b/>
                <w:color w:val="000000"/>
                <w:kern w:val="0"/>
                <w:sz w:val="18"/>
                <w:szCs w:val="18"/>
              </w:rPr>
              <w:t>1</w:t>
            </w:r>
            <w:r>
              <w:rPr>
                <w:rFonts w:ascii="宋体" w:hAnsi="宋体" w:cs="宋体"/>
                <w:b/>
                <w:color w:val="000000"/>
                <w:kern w:val="0"/>
                <w:sz w:val="18"/>
                <w:szCs w:val="18"/>
              </w:rPr>
              <w:t>.75</w:t>
            </w:r>
          </w:p>
        </w:tc>
      </w:tr>
    </w:tbl>
    <w:p w14:paraId="11C942A2">
      <w:pPr>
        <w:pStyle w:val="23"/>
        <w:spacing w:after="156" w:afterLines="50" w:afterAutospacing="0" w:line="440" w:lineRule="exact"/>
        <w:ind w:firstLine="360" w:firstLineChars="200"/>
        <w:jc w:val="both"/>
        <w:rPr>
          <w:rFonts w:hint="eastAsia"/>
          <w:color w:val="000000" w:themeColor="text1"/>
          <w:sz w:val="18"/>
          <w:szCs w:val="18"/>
        </w:rPr>
      </w:pPr>
      <w:r>
        <w:rPr>
          <w:rFonts w:hint="eastAsia"/>
          <w:color w:val="000000" w:themeColor="text1"/>
          <w:sz w:val="18"/>
          <w:szCs w:val="18"/>
        </w:rPr>
        <w:t>注：</w:t>
      </w:r>
      <w:r>
        <w:rPr>
          <w:color w:val="000000" w:themeColor="text1"/>
          <w:sz w:val="18"/>
          <w:szCs w:val="18"/>
        </w:rPr>
        <w:t>1</w:t>
      </w:r>
      <w:r>
        <w:rPr>
          <w:rFonts w:hint="eastAsia"/>
          <w:color w:val="000000" w:themeColor="text1"/>
          <w:sz w:val="18"/>
          <w:szCs w:val="18"/>
        </w:rPr>
        <w:t>.按照南昌轨道交通集团有限公司在存续期内预期收入和预期支出测算，该项目在存续期间能够产生持续稳定的净现金流。按照预计条件的资金测算平衡结果，项目存续期内可达到的债券资金覆盖率为</w:t>
      </w:r>
      <w:r>
        <w:rPr>
          <w:color w:val="000000" w:themeColor="text1"/>
          <w:sz w:val="18"/>
          <w:szCs w:val="18"/>
        </w:rPr>
        <w:t>1.75</w:t>
      </w:r>
      <w:r>
        <w:rPr>
          <w:rFonts w:hint="eastAsia"/>
          <w:color w:val="000000" w:themeColor="text1"/>
          <w:sz w:val="18"/>
          <w:szCs w:val="18"/>
        </w:rPr>
        <w:t>倍，还本付息资金有充分保障。</w:t>
      </w:r>
      <w:r>
        <w:rPr>
          <w:color w:val="000000" w:themeColor="text1"/>
          <w:sz w:val="18"/>
          <w:szCs w:val="18"/>
        </w:rPr>
        <w:t>2</w:t>
      </w:r>
      <w:r>
        <w:rPr>
          <w:rFonts w:hint="eastAsia"/>
          <w:color w:val="000000" w:themeColor="text1"/>
          <w:sz w:val="18"/>
          <w:szCs w:val="18"/>
        </w:rPr>
        <w:t>.2</w:t>
      </w:r>
      <w:r>
        <w:rPr>
          <w:color w:val="000000" w:themeColor="text1"/>
          <w:sz w:val="18"/>
          <w:szCs w:val="18"/>
        </w:rPr>
        <w:t>021</w:t>
      </w:r>
      <w:r>
        <w:rPr>
          <w:rFonts w:hint="eastAsia"/>
          <w:color w:val="000000" w:themeColor="text1"/>
          <w:sz w:val="18"/>
          <w:szCs w:val="18"/>
        </w:rPr>
        <w:t>-</w:t>
      </w:r>
      <w:r>
        <w:rPr>
          <w:color w:val="000000" w:themeColor="text1"/>
          <w:sz w:val="18"/>
          <w:szCs w:val="18"/>
        </w:rPr>
        <w:t>2026</w:t>
      </w:r>
      <w:r>
        <w:rPr>
          <w:rFonts w:hint="eastAsia"/>
          <w:color w:val="000000" w:themeColor="text1"/>
          <w:sz w:val="18"/>
          <w:szCs w:val="18"/>
        </w:rPr>
        <w:t>年期末现金为负数的原因系建设期的债券发行费及利息及借款利息，该部分资金由项目单位自筹解决。</w:t>
      </w:r>
    </w:p>
    <w:p w14:paraId="3BA91F4E">
      <w:pPr>
        <w:widowControl/>
        <w:spacing w:after="156" w:afterLines="50" w:line="440" w:lineRule="exact"/>
        <w:ind w:firstLine="360"/>
        <w:jc w:val="left"/>
        <w:rPr>
          <w:rFonts w:hint="eastAsia" w:ascii="宋体" w:hAnsi="宋体" w:eastAsia="宋体" w:cs="宋体"/>
          <w:color w:val="000000"/>
          <w:kern w:val="0"/>
          <w:sz w:val="18"/>
          <w:szCs w:val="18"/>
        </w:rPr>
        <w:sectPr>
          <w:pgSz w:w="16838" w:h="11906" w:orient="landscape"/>
          <w:pgMar w:top="1701" w:right="1531" w:bottom="1701" w:left="1418" w:header="851" w:footer="992" w:gutter="0"/>
          <w:cols w:space="425" w:num="1"/>
          <w:docGrid w:type="linesAndChars" w:linePitch="312" w:charSpace="0"/>
        </w:sectPr>
      </w:pPr>
    </w:p>
    <w:bookmarkEnd w:id="31"/>
    <w:p w14:paraId="3FED05FB">
      <w:pPr>
        <w:pStyle w:val="23"/>
        <w:spacing w:before="0" w:beforeAutospacing="0" w:after="120" w:afterLines="50" w:afterAutospacing="0" w:line="440" w:lineRule="exact"/>
        <w:ind w:firstLine="420" w:firstLineChars="200"/>
        <w:jc w:val="both"/>
        <w:rPr>
          <w:rFonts w:hint="eastAsia"/>
          <w:color w:val="000000" w:themeColor="text1"/>
          <w:sz w:val="21"/>
          <w:szCs w:val="21"/>
        </w:rPr>
      </w:pPr>
      <w:r>
        <w:rPr>
          <w:rFonts w:hint="eastAsia"/>
          <w:color w:val="000000" w:themeColor="text1"/>
          <w:sz w:val="21"/>
          <w:szCs w:val="21"/>
        </w:rPr>
        <w:t>本次发行专项债券各项目预期业务活动现金流入合计</w:t>
      </w:r>
      <w:r>
        <w:rPr>
          <w:color w:val="000000" w:themeColor="text1"/>
          <w:sz w:val="21"/>
          <w:szCs w:val="21"/>
        </w:rPr>
        <w:t>2,271,373.36</w:t>
      </w:r>
      <w:r>
        <w:rPr>
          <w:rFonts w:hint="eastAsia"/>
          <w:color w:val="000000" w:themeColor="text1"/>
          <w:sz w:val="21"/>
          <w:szCs w:val="21"/>
        </w:rPr>
        <w:t>万元，各项业务活动现金流出合计</w:t>
      </w:r>
      <w:r>
        <w:rPr>
          <w:color w:val="000000" w:themeColor="text1"/>
          <w:sz w:val="21"/>
          <w:szCs w:val="21"/>
        </w:rPr>
        <w:t>357,073.57</w:t>
      </w:r>
      <w:r>
        <w:rPr>
          <w:rFonts w:hint="eastAsia"/>
          <w:color w:val="000000" w:themeColor="text1"/>
          <w:sz w:val="21"/>
          <w:szCs w:val="21"/>
        </w:rPr>
        <w:t>万元，债券存续期内债券本金与利息合计</w:t>
      </w:r>
      <w:r>
        <w:rPr>
          <w:color w:val="000000" w:themeColor="text1"/>
          <w:sz w:val="21"/>
          <w:szCs w:val="21"/>
        </w:rPr>
        <w:t>3</w:t>
      </w:r>
      <w:r>
        <w:rPr>
          <w:rFonts w:hint="eastAsia"/>
          <w:color w:val="000000" w:themeColor="text1"/>
          <w:sz w:val="21"/>
          <w:szCs w:val="21"/>
        </w:rPr>
        <w:t>61</w:t>
      </w:r>
      <w:r>
        <w:rPr>
          <w:color w:val="000000" w:themeColor="text1"/>
          <w:sz w:val="21"/>
          <w:szCs w:val="21"/>
        </w:rPr>
        <w:t>,</w:t>
      </w:r>
      <w:r>
        <w:rPr>
          <w:rFonts w:hint="eastAsia"/>
          <w:color w:val="000000" w:themeColor="text1"/>
          <w:sz w:val="21"/>
          <w:szCs w:val="21"/>
        </w:rPr>
        <w:t>699</w:t>
      </w:r>
      <w:r>
        <w:rPr>
          <w:color w:val="000000" w:themeColor="text1"/>
          <w:sz w:val="21"/>
          <w:szCs w:val="21"/>
        </w:rPr>
        <w:t>.</w:t>
      </w:r>
      <w:r>
        <w:rPr>
          <w:rFonts w:hint="eastAsia"/>
          <w:color w:val="000000" w:themeColor="text1"/>
          <w:sz w:val="21"/>
          <w:szCs w:val="21"/>
        </w:rPr>
        <w:t>11万元，借款本金与利息合计731</w:t>
      </w:r>
      <w:r>
        <w:rPr>
          <w:color w:val="000000" w:themeColor="text1"/>
          <w:sz w:val="21"/>
          <w:szCs w:val="21"/>
        </w:rPr>
        <w:t>,</w:t>
      </w:r>
      <w:r>
        <w:rPr>
          <w:rFonts w:hint="eastAsia"/>
          <w:color w:val="000000" w:themeColor="text1"/>
          <w:sz w:val="21"/>
          <w:szCs w:val="21"/>
        </w:rPr>
        <w:t>592</w:t>
      </w:r>
      <w:r>
        <w:rPr>
          <w:color w:val="000000" w:themeColor="text1"/>
          <w:sz w:val="21"/>
          <w:szCs w:val="21"/>
        </w:rPr>
        <w:t>.</w:t>
      </w:r>
      <w:r>
        <w:rPr>
          <w:rFonts w:hint="eastAsia"/>
          <w:color w:val="000000" w:themeColor="text1"/>
          <w:sz w:val="21"/>
          <w:szCs w:val="21"/>
        </w:rPr>
        <w:t>14万元。项目存续期内偿债资金覆盖倍数为</w:t>
      </w:r>
      <w:r>
        <w:rPr>
          <w:color w:val="000000" w:themeColor="text1"/>
          <w:sz w:val="21"/>
          <w:szCs w:val="21"/>
        </w:rPr>
        <w:t>1.75</w:t>
      </w:r>
      <w:r>
        <w:rPr>
          <w:rFonts w:hint="eastAsia"/>
          <w:color w:val="000000" w:themeColor="text1"/>
          <w:sz w:val="21"/>
          <w:szCs w:val="21"/>
        </w:rPr>
        <w:t>倍，还本付息资金有充分保障，项目实施方案资金计划能够满足发行专项债券资金充足性要求。债券存续期间整体资金流入、流出情况及期末现金如下图所示：</w:t>
      </w:r>
    </w:p>
    <w:p w14:paraId="030B41BC">
      <w:pPr>
        <w:pStyle w:val="23"/>
        <w:spacing w:before="0" w:beforeAutospacing="0" w:after="0" w:afterAutospacing="0" w:line="440" w:lineRule="exact"/>
        <w:ind w:firstLine="440" w:firstLineChars="200"/>
        <w:jc w:val="right"/>
        <w:rPr>
          <w:rFonts w:hint="eastAsia"/>
          <w:color w:val="000000" w:themeColor="text1"/>
          <w:sz w:val="18"/>
          <w:szCs w:val="18"/>
        </w:rPr>
      </w:pPr>
      <w:r>
        <w:drawing>
          <wp:anchor distT="0" distB="0" distL="114300" distR="114300" simplePos="0" relativeHeight="251662336" behindDoc="0" locked="0" layoutInCell="1" allowOverlap="1">
            <wp:simplePos x="0" y="0"/>
            <wp:positionH relativeFrom="margin">
              <wp:posOffset>100965</wp:posOffset>
            </wp:positionH>
            <wp:positionV relativeFrom="paragraph">
              <wp:posOffset>268605</wp:posOffset>
            </wp:positionV>
            <wp:extent cx="5299075" cy="2842895"/>
            <wp:effectExtent l="4445" t="4445" r="11430" b="10160"/>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Pr>
          <w:color w:val="000000" w:themeColor="text1"/>
        </w:rPr>
        <w:t xml:space="preserve"> </w:t>
      </w:r>
      <w:r>
        <w:rPr>
          <w:rFonts w:hint="eastAsia"/>
          <w:color w:val="000000" w:themeColor="text1"/>
          <w:sz w:val="18"/>
          <w:szCs w:val="18"/>
        </w:rPr>
        <w:t>单位：万元</w:t>
      </w:r>
    </w:p>
    <w:p w14:paraId="61E56AB7">
      <w:pPr>
        <w:pStyle w:val="23"/>
        <w:spacing w:before="0" w:beforeAutospacing="0" w:after="120" w:afterLines="50" w:afterAutospacing="0" w:line="440" w:lineRule="exact"/>
        <w:ind w:firstLine="420" w:firstLineChars="200"/>
        <w:jc w:val="center"/>
        <w:rPr>
          <w:rFonts w:hint="eastAsia"/>
          <w:color w:val="000000" w:themeColor="text1"/>
          <w:sz w:val="21"/>
          <w:szCs w:val="21"/>
        </w:rPr>
      </w:pPr>
      <w:r>
        <w:rPr>
          <w:rFonts w:hint="eastAsia"/>
          <w:color w:val="000000" w:themeColor="text1"/>
          <w:sz w:val="21"/>
          <w:szCs w:val="21"/>
        </w:rPr>
        <w:t>图3-</w:t>
      </w:r>
      <w:r>
        <w:rPr>
          <w:color w:val="000000" w:themeColor="text1"/>
          <w:sz w:val="21"/>
          <w:szCs w:val="21"/>
        </w:rPr>
        <w:t xml:space="preserve">1  </w:t>
      </w:r>
      <w:r>
        <w:rPr>
          <w:rFonts w:hint="eastAsia"/>
          <w:color w:val="000000" w:themeColor="text1"/>
          <w:sz w:val="21"/>
          <w:szCs w:val="21"/>
        </w:rPr>
        <w:t>债券存续期间现金流情况图</w:t>
      </w:r>
    </w:p>
    <w:p w14:paraId="393BC8C6">
      <w:pPr>
        <w:pStyle w:val="23"/>
        <w:spacing w:before="0" w:beforeAutospacing="0" w:after="120" w:afterLines="50" w:afterAutospacing="0" w:line="440" w:lineRule="exact"/>
        <w:ind w:firstLine="420" w:firstLineChars="200"/>
        <w:jc w:val="center"/>
        <w:rPr>
          <w:rFonts w:hint="eastAsia"/>
          <w:color w:val="000000" w:themeColor="text1"/>
          <w:sz w:val="21"/>
          <w:szCs w:val="21"/>
        </w:rPr>
      </w:pPr>
    </w:p>
    <w:p w14:paraId="459219B0">
      <w:pPr>
        <w:spacing w:line="440" w:lineRule="exact"/>
        <w:ind w:firstLine="482"/>
        <w:rPr>
          <w:rFonts w:hint="eastAsia" w:ascii="仿宋" w:hAnsi="仿宋" w:eastAsia="仿宋" w:cs="仿宋"/>
          <w:b/>
          <w:bCs/>
          <w:szCs w:val="24"/>
        </w:rPr>
      </w:pPr>
      <w:r>
        <w:rPr>
          <w:rFonts w:hint="eastAsia" w:ascii="仿宋" w:hAnsi="仿宋" w:eastAsia="仿宋" w:cs="仿宋"/>
          <w:b/>
          <w:bCs/>
          <w:szCs w:val="24"/>
        </w:rPr>
        <w:br w:type="page"/>
      </w:r>
    </w:p>
    <w:p w14:paraId="10F052E7">
      <w:pPr>
        <w:spacing w:line="440" w:lineRule="exact"/>
        <w:ind w:firstLine="482"/>
        <w:rPr>
          <w:rFonts w:hint="eastAsia" w:ascii="仿宋" w:hAnsi="仿宋" w:eastAsia="仿宋" w:cs="仿宋"/>
          <w:b/>
          <w:bCs/>
          <w:szCs w:val="24"/>
        </w:rPr>
      </w:pPr>
      <w:r>
        <w:rPr>
          <w:rFonts w:hint="eastAsia" w:ascii="仿宋" w:hAnsi="仿宋" w:eastAsia="仿宋" w:cs="仿宋"/>
          <w:b/>
          <w:bCs/>
          <w:szCs w:val="24"/>
        </w:rPr>
        <w:t>四、事前绩效评价</w:t>
      </w:r>
    </w:p>
    <w:p w14:paraId="6EA912D9">
      <w:pPr>
        <w:spacing w:line="440" w:lineRule="exact"/>
        <w:ind w:firstLine="480"/>
        <w:rPr>
          <w:rFonts w:hint="eastAsia" w:ascii="仿宋" w:hAnsi="仿宋" w:eastAsia="仿宋" w:cs="仿宋"/>
          <w:szCs w:val="24"/>
        </w:rPr>
      </w:pPr>
      <w:r>
        <w:rPr>
          <w:rFonts w:hint="eastAsia" w:ascii="仿宋" w:hAnsi="仿宋" w:eastAsia="仿宋" w:cs="仿宋"/>
          <w:szCs w:val="24"/>
        </w:rPr>
        <w:t>1、项目实施的必要性、公益性、收益性</w:t>
      </w:r>
    </w:p>
    <w:p w14:paraId="6745121B">
      <w:pPr>
        <w:spacing w:line="440" w:lineRule="exact"/>
        <w:ind w:firstLine="130" w:firstLineChars="62"/>
        <w:rPr>
          <w:rFonts w:hint="eastAsia" w:ascii="仿宋" w:hAnsi="仿宋" w:eastAsia="仿宋" w:cs="仿宋"/>
          <w:szCs w:val="24"/>
        </w:rPr>
      </w:pPr>
      <w:r>
        <w:rPr>
          <w:rFonts w:hint="eastAsia" w:ascii="仿宋" w:hAnsi="仿宋" w:eastAsia="仿宋" w:cs="仿宋"/>
          <w:szCs w:val="24"/>
        </w:rPr>
        <w:t>（1）必要性</w:t>
      </w:r>
    </w:p>
    <w:p w14:paraId="5FD478A3">
      <w:pPr>
        <w:spacing w:line="440" w:lineRule="exact"/>
        <w:ind w:firstLine="480"/>
        <w:rPr>
          <w:rFonts w:hint="eastAsia" w:ascii="仿宋" w:hAnsi="仿宋" w:eastAsia="仿宋" w:cs="仿宋"/>
          <w:szCs w:val="24"/>
        </w:rPr>
      </w:pPr>
      <w:r>
        <w:rPr>
          <w:rFonts w:hint="eastAsia" w:ascii="仿宋" w:hAnsi="仿宋" w:eastAsia="仿宋" w:cs="仿宋"/>
          <w:szCs w:val="24"/>
        </w:rPr>
        <w:t>1）本工程的建设是解决交通问题，切实落实南昌市民出行的需要。</w:t>
      </w:r>
    </w:p>
    <w:p w14:paraId="7524F574">
      <w:pPr>
        <w:spacing w:line="440" w:lineRule="exact"/>
        <w:ind w:firstLine="480"/>
        <w:rPr>
          <w:rFonts w:hint="eastAsia" w:ascii="仿宋" w:hAnsi="仿宋" w:eastAsia="仿宋" w:cs="仿宋"/>
          <w:szCs w:val="24"/>
        </w:rPr>
      </w:pPr>
      <w:r>
        <w:rPr>
          <w:rFonts w:hint="eastAsia" w:ascii="仿宋" w:hAnsi="仿宋" w:eastAsia="仿宋" w:cs="仿宋"/>
          <w:szCs w:val="24"/>
        </w:rPr>
        <w:t>2）本工程的建设是维护生态平衡，构建可持续发展、绿色生态体系的重要保障。</w:t>
      </w:r>
    </w:p>
    <w:p w14:paraId="25E96717">
      <w:pPr>
        <w:spacing w:line="440" w:lineRule="exact"/>
        <w:ind w:firstLine="480"/>
        <w:rPr>
          <w:rFonts w:hint="eastAsia" w:ascii="仿宋" w:hAnsi="仿宋" w:eastAsia="仿宋" w:cs="仿宋"/>
          <w:szCs w:val="24"/>
        </w:rPr>
      </w:pPr>
      <w:r>
        <w:rPr>
          <w:rFonts w:hint="eastAsia" w:ascii="仿宋" w:hAnsi="仿宋" w:eastAsia="仿宋" w:cs="仿宋"/>
          <w:szCs w:val="24"/>
        </w:rPr>
        <w:t>3）本工程的建设有利于保证南昌青云谱区及青山湖区周边经济安全和生态稳定，有利于促进当地经济的可持续发展。</w:t>
      </w:r>
    </w:p>
    <w:p w14:paraId="0624B241">
      <w:pPr>
        <w:spacing w:line="440" w:lineRule="exact"/>
        <w:ind w:firstLine="480"/>
        <w:rPr>
          <w:rFonts w:hint="eastAsia" w:ascii="仿宋" w:hAnsi="仿宋" w:eastAsia="仿宋" w:cs="仿宋"/>
          <w:szCs w:val="24"/>
        </w:rPr>
      </w:pPr>
      <w:r>
        <w:rPr>
          <w:rFonts w:hint="eastAsia" w:ascii="仿宋" w:hAnsi="仿宋" w:eastAsia="仿宋" w:cs="仿宋"/>
          <w:szCs w:val="24"/>
        </w:rPr>
        <w:t>（2）公益性</w:t>
      </w:r>
    </w:p>
    <w:p w14:paraId="48D7135F">
      <w:pPr>
        <w:spacing w:line="440" w:lineRule="exact"/>
        <w:ind w:firstLine="480"/>
        <w:rPr>
          <w:rFonts w:hint="eastAsia" w:ascii="仿宋" w:hAnsi="仿宋" w:eastAsia="仿宋" w:cs="仿宋"/>
          <w:szCs w:val="24"/>
        </w:rPr>
      </w:pPr>
      <w:r>
        <w:rPr>
          <w:rFonts w:hint="eastAsia" w:ascii="仿宋" w:hAnsi="仿宋" w:eastAsia="仿宋" w:cs="仿宋"/>
          <w:szCs w:val="24"/>
        </w:rPr>
        <w:t>本工程建成后可实现完善南昌市轨道交通网络，完善交通基础设施，缓解交通压力，促进城市加快发展。具有重要作用。</w:t>
      </w:r>
    </w:p>
    <w:p w14:paraId="7E0F0058">
      <w:pPr>
        <w:spacing w:line="440" w:lineRule="exact"/>
        <w:ind w:firstLine="480"/>
        <w:rPr>
          <w:rFonts w:hint="eastAsia" w:ascii="仿宋" w:hAnsi="仿宋" w:eastAsia="仿宋" w:cs="仿宋"/>
          <w:szCs w:val="24"/>
        </w:rPr>
      </w:pPr>
      <w:r>
        <w:rPr>
          <w:rFonts w:hint="eastAsia" w:ascii="仿宋" w:hAnsi="仿宋" w:eastAsia="仿宋" w:cs="仿宋"/>
          <w:szCs w:val="24"/>
        </w:rPr>
        <w:t>本工程的建设将推动关联产业的发展，给周边地区的建筑、旅游业、房地产、对外贸易、商贸、酒店、文化娱乐等经营企业带来巨大商机。</w:t>
      </w:r>
    </w:p>
    <w:p w14:paraId="208D3232">
      <w:pPr>
        <w:spacing w:line="440" w:lineRule="exact"/>
        <w:ind w:firstLine="480"/>
        <w:rPr>
          <w:rFonts w:hint="eastAsia" w:ascii="仿宋" w:hAnsi="仿宋" w:eastAsia="仿宋" w:cs="仿宋"/>
          <w:szCs w:val="24"/>
        </w:rPr>
      </w:pPr>
      <w:r>
        <w:rPr>
          <w:rFonts w:hint="eastAsia" w:ascii="仿宋" w:hAnsi="仿宋" w:eastAsia="仿宋" w:cs="仿宋"/>
          <w:szCs w:val="24"/>
        </w:rPr>
        <w:t>（3</w:t>
      </w:r>
      <w:r>
        <w:rPr>
          <w:rFonts w:ascii="仿宋" w:hAnsi="仿宋" w:eastAsia="仿宋" w:cs="仿宋"/>
          <w:szCs w:val="24"/>
        </w:rPr>
        <w:t>）</w:t>
      </w:r>
      <w:r>
        <w:rPr>
          <w:rFonts w:hint="eastAsia" w:ascii="仿宋" w:hAnsi="仿宋" w:eastAsia="仿宋" w:cs="仿宋"/>
          <w:szCs w:val="24"/>
        </w:rPr>
        <w:t>收益性</w:t>
      </w:r>
    </w:p>
    <w:p w14:paraId="63CB7650">
      <w:pPr>
        <w:spacing w:line="440" w:lineRule="exact"/>
        <w:ind w:firstLine="480"/>
        <w:rPr>
          <w:rFonts w:hint="eastAsia" w:ascii="仿宋" w:hAnsi="仿宋" w:eastAsia="仿宋" w:cs="仿宋"/>
          <w:szCs w:val="24"/>
        </w:rPr>
      </w:pPr>
      <w:r>
        <w:rPr>
          <w:rFonts w:hint="eastAsia" w:ascii="仿宋" w:hAnsi="仿宋" w:eastAsia="仿宋" w:cs="仿宋"/>
          <w:szCs w:val="24"/>
        </w:rPr>
        <w:t>间接经济收益。通过建设延长线，可实现完善南昌市轨道交通网络，完善交通基础设施，缓解交通压力，促进城市加快发展。具有重要作用。</w:t>
      </w:r>
    </w:p>
    <w:p w14:paraId="0F86C637">
      <w:pPr>
        <w:spacing w:line="440" w:lineRule="exact"/>
        <w:ind w:firstLine="480"/>
        <w:rPr>
          <w:rFonts w:hint="eastAsia" w:ascii="仿宋" w:hAnsi="仿宋" w:eastAsia="仿宋" w:cs="仿宋"/>
          <w:szCs w:val="24"/>
        </w:rPr>
      </w:pPr>
      <w:r>
        <w:rPr>
          <w:rFonts w:hint="eastAsia" w:ascii="仿宋" w:hAnsi="仿宋" w:eastAsia="仿宋" w:cs="仿宋"/>
          <w:szCs w:val="24"/>
        </w:rPr>
        <w:t>直接收益。本项目实施后，可产生收益，本息覆盖倍数超1</w:t>
      </w:r>
      <w:r>
        <w:rPr>
          <w:rFonts w:ascii="仿宋" w:hAnsi="仿宋" w:eastAsia="仿宋" w:cs="仿宋"/>
          <w:szCs w:val="24"/>
        </w:rPr>
        <w:t>.2</w:t>
      </w:r>
      <w:r>
        <w:rPr>
          <w:rFonts w:hint="eastAsia" w:ascii="仿宋" w:hAnsi="仿宋" w:eastAsia="仿宋" w:cs="仿宋"/>
          <w:szCs w:val="24"/>
        </w:rPr>
        <w:t>倍，满足资金平衡需求。</w:t>
      </w:r>
    </w:p>
    <w:p w14:paraId="406ED5B7">
      <w:pPr>
        <w:spacing w:line="440" w:lineRule="exact"/>
        <w:ind w:firstLine="480"/>
        <w:rPr>
          <w:rFonts w:hint="eastAsia" w:ascii="仿宋" w:hAnsi="仿宋" w:eastAsia="仿宋" w:cs="仿宋"/>
          <w:szCs w:val="24"/>
        </w:rPr>
      </w:pPr>
      <w:r>
        <w:rPr>
          <w:rFonts w:hint="eastAsia" w:ascii="仿宋" w:hAnsi="仿宋" w:eastAsia="仿宋" w:cs="仿宋"/>
          <w:szCs w:val="24"/>
        </w:rPr>
        <w:t>2、项目建设投资合规性与项目成熟度</w:t>
      </w:r>
    </w:p>
    <w:p w14:paraId="7709ADFC">
      <w:pPr>
        <w:spacing w:line="440" w:lineRule="exact"/>
        <w:ind w:firstLine="480"/>
      </w:pPr>
      <w:r>
        <w:rPr>
          <w:rFonts w:hint="eastAsia" w:ascii="仿宋" w:hAnsi="仿宋" w:eastAsia="仿宋" w:cs="仿宋"/>
          <w:szCs w:val="24"/>
        </w:rPr>
        <w:t>项目于已获得江西省发改委《江西省发展改革委关于南昌市轨道交通2号线东延工程初步设计的批复》（赣发改投资[2021]834号）。</w:t>
      </w:r>
    </w:p>
    <w:p w14:paraId="49649AF3">
      <w:pPr>
        <w:spacing w:line="440" w:lineRule="exact"/>
        <w:ind w:firstLine="480"/>
        <w:rPr>
          <w:rFonts w:hint="eastAsia" w:ascii="仿宋" w:hAnsi="仿宋" w:eastAsia="仿宋" w:cs="仿宋"/>
          <w:szCs w:val="24"/>
        </w:rPr>
      </w:pPr>
      <w:r>
        <w:rPr>
          <w:rFonts w:hint="eastAsia" w:ascii="仿宋" w:hAnsi="仿宋" w:eastAsia="仿宋" w:cs="仿宋"/>
          <w:szCs w:val="24"/>
        </w:rPr>
        <w:t>项目建设有期充分的必要性，前期手续完善，项目资金为部分项目资本金，部分申请政府专项债券资金，部分其他方式融资。项目成熟度、可靠度较高。</w:t>
      </w:r>
    </w:p>
    <w:p w14:paraId="3399469A">
      <w:pPr>
        <w:spacing w:line="440" w:lineRule="exact"/>
        <w:ind w:firstLine="480"/>
        <w:rPr>
          <w:rFonts w:hint="eastAsia" w:ascii="仿宋" w:hAnsi="仿宋" w:eastAsia="仿宋" w:cs="仿宋"/>
          <w:szCs w:val="24"/>
        </w:rPr>
      </w:pPr>
      <w:r>
        <w:rPr>
          <w:rFonts w:hint="eastAsia" w:ascii="仿宋" w:hAnsi="仿宋" w:eastAsia="仿宋" w:cs="仿宋"/>
          <w:szCs w:val="24"/>
        </w:rPr>
        <w:t>3、债券资金需求合理性</w:t>
      </w:r>
    </w:p>
    <w:p w14:paraId="1A36521F">
      <w:pPr>
        <w:spacing w:line="440" w:lineRule="exact"/>
        <w:ind w:firstLine="480"/>
        <w:rPr>
          <w:rFonts w:hint="eastAsia" w:ascii="仿宋" w:hAnsi="仿宋" w:eastAsia="仿宋" w:cs="仿宋"/>
          <w:szCs w:val="24"/>
        </w:rPr>
      </w:pPr>
      <w:r>
        <w:rPr>
          <w:rFonts w:hint="eastAsia" w:ascii="仿宋" w:hAnsi="仿宋" w:eastAsia="仿宋" w:cs="仿宋"/>
          <w:szCs w:val="24"/>
        </w:rPr>
        <w:t>项目自2026年起可实现收益，可满足后续债券各年利息偿还，结余资金转账管理，用于到期一次还本，偿债计划可行。项目风险具体详见如下第五点。</w:t>
      </w:r>
    </w:p>
    <w:p w14:paraId="30F93060">
      <w:pPr>
        <w:spacing w:line="440" w:lineRule="exact"/>
        <w:ind w:firstLine="480"/>
        <w:rPr>
          <w:rFonts w:hint="eastAsia" w:ascii="仿宋" w:hAnsi="仿宋" w:eastAsia="仿宋" w:cs="仿宋"/>
          <w:szCs w:val="24"/>
        </w:rPr>
      </w:pPr>
      <w:r>
        <w:rPr>
          <w:rFonts w:hint="eastAsia" w:ascii="仿宋" w:hAnsi="仿宋" w:eastAsia="仿宋" w:cs="仿宋"/>
          <w:szCs w:val="24"/>
        </w:rPr>
        <w:t>4、绩效目标合理性</w:t>
      </w:r>
    </w:p>
    <w:p w14:paraId="62C1A6CB">
      <w:pPr>
        <w:spacing w:line="440" w:lineRule="exact"/>
        <w:ind w:firstLine="480"/>
        <w:rPr>
          <w:rFonts w:hint="eastAsia" w:ascii="仿宋" w:hAnsi="仿宋" w:eastAsia="仿宋" w:cs="仿宋"/>
          <w:szCs w:val="24"/>
        </w:rPr>
      </w:pPr>
      <w:r>
        <w:rPr>
          <w:rFonts w:hint="eastAsia" w:ascii="仿宋" w:hAnsi="仿宋" w:eastAsia="仿宋" w:cs="仿宋"/>
          <w:szCs w:val="24"/>
        </w:rPr>
        <w:t>本次事前绩效评估根据财预〔2020〕10号事前绩效评估管理办法相关原则，并结合本项目特点，按照“注重规范</w:t>
      </w:r>
      <w:r>
        <w:rPr>
          <w:rFonts w:ascii="仿宋" w:hAnsi="仿宋" w:eastAsia="仿宋" w:cs="仿宋"/>
          <w:szCs w:val="24"/>
        </w:rPr>
        <w:t>、突出效果</w:t>
      </w:r>
      <w:r>
        <w:rPr>
          <w:rFonts w:hint="eastAsia" w:ascii="仿宋" w:hAnsi="仿宋" w:eastAsia="仿宋" w:cs="仿宋"/>
          <w:szCs w:val="24"/>
        </w:rPr>
        <w:t>”的原则设计本项目个性评价指标，确保绩效目标可评、可量、可用于指导项目实施阶段绩效评价。</w:t>
      </w:r>
    </w:p>
    <w:p w14:paraId="3A28A45F">
      <w:pPr>
        <w:spacing w:line="440" w:lineRule="exact"/>
        <w:ind w:firstLine="482"/>
        <w:rPr>
          <w:rFonts w:hint="eastAsia" w:ascii="仿宋" w:hAnsi="仿宋" w:eastAsia="仿宋" w:cs="仿宋"/>
          <w:b/>
          <w:bCs/>
          <w:szCs w:val="24"/>
        </w:rPr>
      </w:pPr>
      <w:r>
        <w:rPr>
          <w:rFonts w:hint="eastAsia" w:ascii="仿宋" w:hAnsi="仿宋" w:eastAsia="仿宋" w:cs="仿宋"/>
          <w:b/>
          <w:bCs/>
          <w:szCs w:val="24"/>
        </w:rPr>
        <w:br w:type="page"/>
      </w:r>
    </w:p>
    <w:p w14:paraId="44369632">
      <w:pPr>
        <w:spacing w:line="440" w:lineRule="exact"/>
        <w:ind w:firstLine="482"/>
        <w:rPr>
          <w:rFonts w:hint="eastAsia" w:ascii="仿宋" w:hAnsi="仿宋" w:eastAsia="仿宋" w:cs="仿宋"/>
          <w:b/>
          <w:bCs/>
          <w:szCs w:val="24"/>
        </w:rPr>
      </w:pPr>
      <w:r>
        <w:rPr>
          <w:rFonts w:hint="eastAsia" w:ascii="仿宋" w:hAnsi="仿宋" w:eastAsia="仿宋" w:cs="仿宋"/>
          <w:b/>
          <w:bCs/>
          <w:szCs w:val="24"/>
        </w:rPr>
        <w:t>五、项目风险分析</w:t>
      </w:r>
    </w:p>
    <w:p w14:paraId="7D2CD327">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1、投资估算风险</w:t>
      </w:r>
    </w:p>
    <w:p w14:paraId="3BAD7AF3">
      <w:pPr>
        <w:spacing w:line="440" w:lineRule="exact"/>
        <w:ind w:firstLine="480"/>
        <w:rPr>
          <w:rFonts w:hint="eastAsia" w:ascii="仿宋" w:hAnsi="仿宋" w:eastAsia="仿宋" w:cs="仿宋"/>
          <w:szCs w:val="24"/>
        </w:rPr>
      </w:pPr>
      <w:r>
        <w:rPr>
          <w:rFonts w:hint="eastAsia" w:ascii="仿宋" w:hAnsi="仿宋" w:eastAsia="仿宋" w:cs="仿宋"/>
          <w:szCs w:val="24"/>
        </w:rPr>
        <w:t>诸多项目尚处于规划与可行性研究阶段，项目预算尚不太准确，部分收入或支出可能还未列入，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095298D1">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2、工程风险</w:t>
      </w:r>
    </w:p>
    <w:p w14:paraId="40BD49EA">
      <w:pPr>
        <w:spacing w:line="440" w:lineRule="exact"/>
        <w:ind w:firstLine="480"/>
        <w:rPr>
          <w:rFonts w:hint="eastAsia" w:ascii="仿宋" w:hAnsi="仿宋" w:eastAsia="仿宋" w:cs="仿宋"/>
          <w:szCs w:val="24"/>
        </w:rPr>
      </w:pPr>
      <w:r>
        <w:rPr>
          <w:rFonts w:hint="eastAsia" w:ascii="仿宋" w:hAnsi="仿宋" w:eastAsia="仿宋" w:cs="仿宋"/>
          <w:szCs w:val="24"/>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38C9747E">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3、融资风险</w:t>
      </w:r>
    </w:p>
    <w:p w14:paraId="2386E17D">
      <w:pPr>
        <w:spacing w:line="440" w:lineRule="exact"/>
        <w:ind w:firstLine="480"/>
        <w:rPr>
          <w:rFonts w:hint="eastAsia" w:ascii="仿宋" w:hAnsi="仿宋" w:eastAsia="仿宋" w:cs="仿宋"/>
          <w:szCs w:val="24"/>
        </w:rPr>
      </w:pPr>
      <w:r>
        <w:rPr>
          <w:rFonts w:hint="eastAsia" w:ascii="仿宋" w:hAnsi="仿宋" w:eastAsia="仿宋" w:cs="仿宋"/>
          <w:szCs w:val="24"/>
        </w:rPr>
        <w:t>资金供应不畅是影响一个项目建设及以后经营的重要风险。本次申请债券项目一旦遇到资金供应不畅，将直接影响到项目的建设。因此要积极争取各方的支持，</w:t>
      </w:r>
      <w:r>
        <w:rPr>
          <w:rFonts w:hint="eastAsia" w:ascii="仿宋" w:hAnsi="仿宋" w:eastAsia="仿宋" w:cs="仿宋"/>
          <w:szCs w:val="24"/>
          <w:lang w:val="en-GB"/>
        </w:rPr>
        <w:t>做好期限配比、还款计划和准备，加快资金周转，适当增大流动比率，充分盘活资金，</w:t>
      </w:r>
      <w:r>
        <w:rPr>
          <w:rFonts w:hint="eastAsia" w:ascii="仿宋" w:hAnsi="仿宋" w:eastAsia="仿宋" w:cs="仿宋"/>
          <w:szCs w:val="24"/>
        </w:rPr>
        <w:t>在条件许可的情况下要多渠道进行融资，落实资金来源，为项目整体的建设和经营提供良好的资金保障。</w:t>
      </w:r>
    </w:p>
    <w:p w14:paraId="0885387A">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4、财务风险</w:t>
      </w:r>
    </w:p>
    <w:p w14:paraId="79D45F68">
      <w:pPr>
        <w:spacing w:line="440" w:lineRule="exact"/>
        <w:ind w:firstLine="480"/>
        <w:rPr>
          <w:rFonts w:hint="eastAsia" w:ascii="仿宋" w:hAnsi="仿宋" w:eastAsia="仿宋" w:cs="仿宋"/>
          <w:szCs w:val="24"/>
        </w:rPr>
      </w:pPr>
      <w:r>
        <w:rPr>
          <w:rFonts w:hint="eastAsia" w:ascii="仿宋" w:hAnsi="仿宋" w:eastAsia="仿宋" w:cs="仿宋"/>
          <w:szCs w:val="24"/>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规范项目资金管理，按照项目进度合理合规使用债券资金，并使资金收益最大化。根据项目建设进度合理规划资金使用，建立报备报批制度，确保债券资金合规使用。债券资金及项目对应收入不得用于项目之外的其他投资。同时，在确保资金安全的前提下，应做好财务规划，提高资金收益，减轻还本付息压力。</w:t>
      </w:r>
    </w:p>
    <w:p w14:paraId="635D16BC">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5、自然风险</w:t>
      </w:r>
    </w:p>
    <w:p w14:paraId="053E112D">
      <w:pPr>
        <w:spacing w:line="440" w:lineRule="exact"/>
        <w:ind w:firstLine="480"/>
        <w:rPr>
          <w:rFonts w:hint="eastAsia" w:ascii="仿宋" w:hAnsi="仿宋" w:eastAsia="仿宋" w:cs="仿宋"/>
          <w:szCs w:val="24"/>
        </w:rPr>
      </w:pPr>
      <w:r>
        <w:rPr>
          <w:rFonts w:hint="eastAsia" w:ascii="仿宋" w:hAnsi="仿宋" w:eastAsia="仿宋" w:cs="仿宋"/>
          <w:szCs w:val="24"/>
        </w:rPr>
        <w:t>本项目在经营期间遇到人力不可抗拒的自然灾害是完全可能的，为了降低此间风险，要根据项目的特点制定的相应的措施，以便使不可抗拒自然灾害的风险降到最低。</w:t>
      </w:r>
    </w:p>
    <w:p w14:paraId="3925ADE2">
      <w:pPr>
        <w:spacing w:line="440" w:lineRule="exact"/>
        <w:ind w:firstLine="482"/>
        <w:rPr>
          <w:rFonts w:hint="eastAsia" w:ascii="仿宋" w:hAnsi="仿宋" w:eastAsia="仿宋" w:cs="仿宋"/>
          <w:b/>
          <w:bCs/>
          <w:szCs w:val="24"/>
        </w:rPr>
      </w:pPr>
      <w:r>
        <w:rPr>
          <w:rFonts w:hint="eastAsia" w:ascii="仿宋" w:hAnsi="仿宋" w:eastAsia="仿宋" w:cs="仿宋"/>
          <w:b/>
          <w:bCs/>
          <w:szCs w:val="24"/>
        </w:rPr>
        <w:t>六、专项债发行方案</w:t>
      </w:r>
    </w:p>
    <w:p w14:paraId="758C9C54">
      <w:pPr>
        <w:pStyle w:val="4"/>
        <w:spacing w:line="440" w:lineRule="exact"/>
        <w:ind w:firstLine="480"/>
        <w:rPr>
          <w:rFonts w:hint="eastAsia" w:ascii="仿宋" w:hAnsi="仿宋" w:eastAsia="仿宋" w:cs="仿宋"/>
          <w:sz w:val="24"/>
          <w:szCs w:val="24"/>
        </w:rPr>
      </w:pPr>
      <w:r>
        <w:rPr>
          <w:rFonts w:ascii="仿宋" w:hAnsi="仿宋" w:eastAsia="仿宋" w:cs="仿宋"/>
          <w:sz w:val="24"/>
          <w:szCs w:val="24"/>
        </w:rPr>
        <w:t>1、发行主体资格:根据</w:t>
      </w:r>
      <w:r>
        <w:rPr>
          <w:rFonts w:hint="eastAsia" w:ascii="仿宋" w:hAnsi="仿宋" w:eastAsia="仿宋" w:cs="仿宋"/>
          <w:sz w:val="24"/>
          <w:szCs w:val="24"/>
        </w:rPr>
        <w:t>《关于试点发展项目收益与融资自求平衡的地方政府专项债券品种的通知》</w:t>
      </w:r>
      <w:r>
        <w:rPr>
          <w:rFonts w:ascii="仿宋" w:hAnsi="仿宋" w:eastAsia="仿宋" w:cs="仿宋"/>
          <w:sz w:val="24"/>
          <w:szCs w:val="24"/>
        </w:rPr>
        <w:t>（财预[2017]89号）之规定，地方政府专项债券需由</w:t>
      </w:r>
      <w:r>
        <w:rPr>
          <w:rFonts w:hint="eastAsia" w:ascii="仿宋" w:hAnsi="仿宋" w:eastAsia="仿宋" w:cs="仿宋"/>
          <w:sz w:val="24"/>
          <w:szCs w:val="24"/>
        </w:rPr>
        <w:t>江西</w:t>
      </w:r>
      <w:r>
        <w:rPr>
          <w:rFonts w:ascii="仿宋" w:hAnsi="仿宋" w:eastAsia="仿宋" w:cs="仿宋"/>
          <w:sz w:val="24"/>
          <w:szCs w:val="24"/>
        </w:rPr>
        <w:t>省人民政府作为发行主体。本项目的实施机构</w:t>
      </w:r>
      <w:r>
        <w:rPr>
          <w:rFonts w:hint="eastAsia" w:ascii="仿宋" w:hAnsi="仿宋" w:eastAsia="仿宋" w:cs="仿宋"/>
          <w:sz w:val="24"/>
          <w:szCs w:val="24"/>
        </w:rPr>
        <w:t>为南昌市交通运输局，是依法批准设立的机关单位，具备机关单位法人资格，具有相应的民事权利能力和民事行为能力；</w:t>
      </w:r>
      <w:r>
        <w:rPr>
          <w:rFonts w:ascii="仿宋" w:hAnsi="仿宋" w:eastAsia="仿宋" w:cs="仿宋"/>
          <w:sz w:val="24"/>
          <w:szCs w:val="24"/>
        </w:rPr>
        <w:t>项目业主</w:t>
      </w:r>
      <w:r>
        <w:rPr>
          <w:rFonts w:hint="eastAsia" w:ascii="仿宋" w:hAnsi="仿宋" w:eastAsia="仿宋" w:cs="仿宋"/>
          <w:sz w:val="24"/>
          <w:szCs w:val="24"/>
        </w:rPr>
        <w:t>为南昌轨道交通集团有限公司,</w:t>
      </w:r>
      <w:r>
        <w:rPr>
          <w:rFonts w:ascii="仿宋" w:hAnsi="仿宋" w:eastAsia="仿宋" w:cs="仿宋"/>
          <w:sz w:val="24"/>
          <w:szCs w:val="24"/>
        </w:rPr>
        <w:t>是依法批准设立的</w:t>
      </w:r>
      <w:r>
        <w:rPr>
          <w:rFonts w:hint="eastAsia" w:ascii="仿宋" w:hAnsi="仿宋" w:eastAsia="仿宋" w:cs="仿宋"/>
          <w:sz w:val="24"/>
          <w:szCs w:val="24"/>
        </w:rPr>
        <w:t>企业法人</w:t>
      </w:r>
      <w:r>
        <w:rPr>
          <w:rFonts w:ascii="仿宋" w:hAnsi="仿宋" w:eastAsia="仿宋" w:cs="仿宋"/>
          <w:sz w:val="24"/>
          <w:szCs w:val="24"/>
        </w:rPr>
        <w:t>，具备</w:t>
      </w:r>
      <w:r>
        <w:rPr>
          <w:rFonts w:hint="eastAsia" w:ascii="仿宋" w:hAnsi="仿宋" w:eastAsia="仿宋" w:cs="仿宋"/>
          <w:sz w:val="24"/>
          <w:szCs w:val="24"/>
        </w:rPr>
        <w:t>作为项目业主的资格。</w:t>
      </w:r>
    </w:p>
    <w:p w14:paraId="2E562B91">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2、</w:t>
      </w:r>
      <w:r>
        <w:rPr>
          <w:rFonts w:ascii="仿宋" w:hAnsi="仿宋" w:eastAsia="仿宋" w:cs="仿宋"/>
          <w:sz w:val="24"/>
          <w:szCs w:val="24"/>
        </w:rPr>
        <w:t>发行计划:</w:t>
      </w:r>
      <w:r>
        <w:rPr>
          <w:rFonts w:hint="eastAsia" w:ascii="仿宋" w:hAnsi="仿宋" w:eastAsia="仿宋" w:cs="仿宋"/>
          <w:sz w:val="24"/>
          <w:szCs w:val="24"/>
        </w:rPr>
        <w:t xml:space="preserve"> 南昌市轨道交通</w:t>
      </w:r>
      <w:r>
        <w:rPr>
          <w:rFonts w:ascii="仿宋" w:hAnsi="仿宋" w:eastAsia="仿宋" w:cs="仿宋"/>
          <w:sz w:val="24"/>
          <w:szCs w:val="24"/>
        </w:rPr>
        <w:t>2</w:t>
      </w:r>
      <w:r>
        <w:rPr>
          <w:rFonts w:hint="eastAsia" w:ascii="仿宋" w:hAnsi="仿宋" w:eastAsia="仿宋" w:cs="仿宋"/>
          <w:sz w:val="24"/>
          <w:szCs w:val="24"/>
        </w:rPr>
        <w:t>号线东延工程目本期</w:t>
      </w:r>
      <w:r>
        <w:rPr>
          <w:rFonts w:ascii="仿宋" w:hAnsi="仿宋" w:eastAsia="仿宋" w:cs="仿宋"/>
          <w:sz w:val="24"/>
          <w:szCs w:val="24"/>
        </w:rPr>
        <w:t>申请发行</w:t>
      </w:r>
      <w:r>
        <w:rPr>
          <w:rFonts w:hint="eastAsia" w:ascii="仿宋" w:hAnsi="仿宋" w:eastAsia="仿宋" w:cs="仿宋"/>
          <w:sz w:val="24"/>
          <w:szCs w:val="24"/>
        </w:rPr>
        <w:t>地方政府</w:t>
      </w:r>
      <w:r>
        <w:rPr>
          <w:rFonts w:ascii="仿宋" w:hAnsi="仿宋" w:eastAsia="仿宋" w:cs="仿宋"/>
          <w:sz w:val="24"/>
          <w:szCs w:val="24"/>
        </w:rPr>
        <w:t>专项债券</w:t>
      </w:r>
      <w:r>
        <w:rPr>
          <w:rFonts w:hint="eastAsia" w:ascii="仿宋" w:hAnsi="仿宋" w:eastAsia="仿宋" w:cs="仿宋"/>
          <w:sz w:val="24"/>
          <w:szCs w:val="24"/>
        </w:rPr>
        <w:t>1</w:t>
      </w:r>
      <w:r>
        <w:rPr>
          <w:rFonts w:ascii="仿宋" w:hAnsi="仿宋" w:eastAsia="仿宋" w:cs="仿宋"/>
          <w:sz w:val="24"/>
          <w:szCs w:val="24"/>
        </w:rPr>
        <w:t>亿元，</w:t>
      </w:r>
      <w:r>
        <w:rPr>
          <w:rFonts w:hint="eastAsia" w:ascii="仿宋" w:hAnsi="仿宋" w:eastAsia="仿宋" w:cs="仿宋"/>
          <w:sz w:val="24"/>
          <w:szCs w:val="24"/>
        </w:rPr>
        <w:t>期限</w:t>
      </w:r>
      <w:r>
        <w:rPr>
          <w:rFonts w:ascii="仿宋" w:hAnsi="仿宋" w:eastAsia="仿宋" w:cs="仿宋"/>
          <w:sz w:val="24"/>
          <w:szCs w:val="24"/>
        </w:rPr>
        <w:t>15年</w:t>
      </w:r>
      <w:r>
        <w:rPr>
          <w:rFonts w:hint="eastAsia" w:ascii="仿宋" w:hAnsi="仿宋" w:eastAsia="仿宋" w:cs="仿宋"/>
          <w:sz w:val="24"/>
          <w:szCs w:val="24"/>
        </w:rPr>
        <w:t>，</w:t>
      </w:r>
      <w:r>
        <w:rPr>
          <w:rFonts w:ascii="仿宋" w:hAnsi="仿宋" w:eastAsia="仿宋" w:cs="仿宋"/>
          <w:sz w:val="24"/>
          <w:szCs w:val="24"/>
        </w:rPr>
        <w:t>专项债券融资成本按</w:t>
      </w:r>
      <w:r>
        <w:rPr>
          <w:rFonts w:hint="eastAsia" w:ascii="仿宋" w:hAnsi="仿宋" w:eastAsia="仿宋" w:cs="仿宋"/>
          <w:sz w:val="24"/>
          <w:szCs w:val="24"/>
        </w:rPr>
        <w:t>4.</w:t>
      </w:r>
      <w:r>
        <w:rPr>
          <w:rFonts w:ascii="仿宋" w:hAnsi="仿宋" w:eastAsia="仿宋" w:cs="仿宋"/>
          <w:sz w:val="24"/>
          <w:szCs w:val="24"/>
        </w:rPr>
        <w:t>3%估算</w:t>
      </w:r>
      <w:r>
        <w:rPr>
          <w:rFonts w:hint="eastAsia" w:ascii="仿宋" w:hAnsi="仿宋" w:eastAsia="仿宋" w:cs="仿宋"/>
          <w:sz w:val="24"/>
          <w:szCs w:val="24"/>
        </w:rPr>
        <w:t>。</w:t>
      </w:r>
    </w:p>
    <w:p w14:paraId="3AD226A1">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3、</w:t>
      </w:r>
      <w:r>
        <w:rPr>
          <w:rFonts w:ascii="仿宋" w:hAnsi="仿宋" w:eastAsia="仿宋" w:cs="仿宋"/>
          <w:sz w:val="24"/>
          <w:szCs w:val="24"/>
        </w:rPr>
        <w:t>发行场所:通过全国银行间债券市场、证券交易所债券市场发行。将来条件具备时也可在银行柜台债券市场发行。</w:t>
      </w:r>
    </w:p>
    <w:p w14:paraId="2B20B6DF">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4、信息披露：在专项债发行日前5个工作日通过</w:t>
      </w:r>
      <w:r>
        <w:rPr>
          <w:rFonts w:ascii="仿宋" w:hAnsi="仿宋" w:eastAsia="仿宋" w:cs="仿宋"/>
          <w:sz w:val="24"/>
          <w:szCs w:val="24"/>
        </w:rPr>
        <w:fldChar w:fldCharType="begin"/>
      </w:r>
      <w:r>
        <w:rPr>
          <w:rFonts w:ascii="仿宋" w:hAnsi="仿宋" w:eastAsia="仿宋" w:cs="仿宋"/>
          <w:sz w:val="24"/>
          <w:szCs w:val="24"/>
        </w:rPr>
        <w:instrText xml:space="preserve"> HYPERLINK "https://www.sogou.com/link?url=DSOYnZeCC_pzE53eXNhcqFoov_MuMQYQreaVHN88tHY." \t "https://www.sogou.com/_blank" </w:instrText>
      </w:r>
      <w:r>
        <w:rPr>
          <w:rFonts w:ascii="仿宋" w:hAnsi="仿宋" w:eastAsia="仿宋" w:cs="仿宋"/>
          <w:sz w:val="24"/>
          <w:szCs w:val="24"/>
        </w:rPr>
        <w:fldChar w:fldCharType="separate"/>
      </w:r>
      <w:r>
        <w:rPr>
          <w:rFonts w:ascii="仿宋" w:hAnsi="仿宋" w:eastAsia="仿宋" w:cs="仿宋"/>
          <w:sz w:val="24"/>
          <w:szCs w:val="24"/>
        </w:rPr>
        <w:t>中国地方政府债券信息公开平台</w:t>
      </w:r>
      <w:r>
        <w:rPr>
          <w:rFonts w:ascii="仿宋" w:hAnsi="仿宋" w:eastAsia="仿宋" w:cs="仿宋"/>
          <w:sz w:val="24"/>
          <w:szCs w:val="24"/>
        </w:rPr>
        <w:fldChar w:fldCharType="end"/>
      </w:r>
      <w:r>
        <w:rPr>
          <w:rFonts w:hint="eastAsia" w:ascii="仿宋" w:hAnsi="仿宋" w:eastAsia="仿宋" w:cs="仿宋"/>
          <w:sz w:val="24"/>
          <w:szCs w:val="24"/>
        </w:rPr>
        <w:t>、</w:t>
      </w:r>
      <w:r>
        <w:rPr>
          <w:rFonts w:ascii="仿宋" w:hAnsi="仿宋" w:eastAsia="仿宋" w:cs="仿宋"/>
          <w:sz w:val="24"/>
          <w:szCs w:val="24"/>
        </w:rPr>
        <w:t>江西</w:t>
      </w:r>
      <w:r>
        <w:rPr>
          <w:rFonts w:hint="eastAsia" w:ascii="仿宋" w:hAnsi="仿宋" w:eastAsia="仿宋" w:cs="仿宋"/>
          <w:sz w:val="24"/>
          <w:szCs w:val="24"/>
        </w:rPr>
        <w:t>省财政厅官方网站和</w:t>
      </w:r>
      <w:r>
        <w:rPr>
          <w:rFonts w:ascii="仿宋" w:hAnsi="仿宋" w:eastAsia="仿宋" w:cs="仿宋"/>
          <w:sz w:val="24"/>
          <w:szCs w:val="24"/>
        </w:rPr>
        <w:t>中国债券信息网-中央结算公司官方网站</w:t>
      </w:r>
      <w:r>
        <w:rPr>
          <w:rFonts w:hint="eastAsia" w:ascii="仿宋" w:hAnsi="仿宋" w:eastAsia="仿宋" w:cs="仿宋"/>
          <w:sz w:val="24"/>
          <w:szCs w:val="24"/>
        </w:rPr>
        <w:t>披露</w:t>
      </w:r>
      <w:r>
        <w:rPr>
          <w:rFonts w:ascii="仿宋" w:hAnsi="仿宋" w:eastAsia="仿宋" w:cs="仿宋"/>
          <w:sz w:val="24"/>
          <w:szCs w:val="24"/>
        </w:rPr>
        <w:t>（http：//www.chinabond.com.cn/）详细披露</w:t>
      </w:r>
      <w:r>
        <w:rPr>
          <w:rFonts w:hint="eastAsia" w:ascii="仿宋" w:hAnsi="仿宋" w:eastAsia="仿宋" w:cs="仿宋"/>
          <w:sz w:val="24"/>
          <w:szCs w:val="24"/>
        </w:rPr>
        <w:t>债券发行全套信息披露文件。</w:t>
      </w:r>
    </w:p>
    <w:p w14:paraId="21144E53">
      <w:pPr>
        <w:pStyle w:val="4"/>
        <w:spacing w:line="440" w:lineRule="exact"/>
        <w:ind w:firstLine="480"/>
        <w:rPr>
          <w:rFonts w:hint="eastAsia" w:ascii="仿宋" w:hAnsi="仿宋" w:eastAsia="仿宋" w:cs="仿宋"/>
          <w:sz w:val="24"/>
          <w:szCs w:val="24"/>
        </w:rPr>
      </w:pPr>
      <w:r>
        <w:rPr>
          <w:rFonts w:hint="eastAsia" w:ascii="仿宋" w:hAnsi="仿宋" w:eastAsia="仿宋" w:cs="仿宋"/>
          <w:sz w:val="24"/>
          <w:szCs w:val="24"/>
        </w:rPr>
        <w:t>总体而言，南昌市轨道交通</w:t>
      </w:r>
      <w:r>
        <w:rPr>
          <w:rFonts w:ascii="仿宋" w:hAnsi="仿宋" w:eastAsia="仿宋" w:cs="仿宋"/>
          <w:sz w:val="24"/>
          <w:szCs w:val="24"/>
        </w:rPr>
        <w:t>2</w:t>
      </w:r>
      <w:r>
        <w:rPr>
          <w:rFonts w:hint="eastAsia" w:ascii="仿宋" w:hAnsi="仿宋" w:eastAsia="仿宋" w:cs="仿宋"/>
          <w:sz w:val="24"/>
          <w:szCs w:val="24"/>
        </w:rPr>
        <w:t>号线东延工程通过发行专项债可以降低项目融资成本，是现阶段解决建设资金问题的推荐方案。且基于财政部对地方政府发行项目收益与融资自求平衡专项债券的要求，并根据项目重大建设意义，南昌市轨道交通</w:t>
      </w:r>
      <w:r>
        <w:rPr>
          <w:rFonts w:ascii="仿宋" w:hAnsi="仿宋" w:eastAsia="仿宋" w:cs="仿宋"/>
          <w:sz w:val="24"/>
          <w:szCs w:val="24"/>
        </w:rPr>
        <w:t>2</w:t>
      </w:r>
      <w:r>
        <w:rPr>
          <w:rFonts w:hint="eastAsia" w:ascii="仿宋" w:hAnsi="仿宋" w:eastAsia="仿宋" w:cs="仿宋"/>
          <w:sz w:val="24"/>
          <w:szCs w:val="24"/>
        </w:rPr>
        <w:t>号线东延工程可以通过申请专项债券的方式进行融资以完成资金筹措。</w:t>
      </w:r>
    </w:p>
    <w:p w14:paraId="230D7A4E">
      <w:pPr>
        <w:spacing w:line="440" w:lineRule="exact"/>
        <w:ind w:firstLine="480"/>
        <w:rPr>
          <w:rFonts w:hint="eastAsia" w:ascii="仿宋" w:hAnsi="仿宋" w:eastAsia="仿宋" w:cs="仿宋"/>
          <w:szCs w:val="24"/>
        </w:rPr>
      </w:pPr>
    </w:p>
    <w:p w14:paraId="5719C5FF">
      <w:pPr>
        <w:pStyle w:val="3"/>
        <w:spacing w:before="120" w:after="120" w:line="440" w:lineRule="exact"/>
        <w:ind w:firstLine="482"/>
        <w:rPr>
          <w:rFonts w:hint="eastAsia" w:ascii="仿宋" w:hAnsi="仿宋" w:eastAsia="仿宋" w:cs="仿宋"/>
          <w:sz w:val="24"/>
          <w:szCs w:val="24"/>
        </w:rPr>
      </w:pPr>
    </w:p>
    <w:p w14:paraId="14342015">
      <w:pPr>
        <w:jc w:val="center"/>
        <w:rPr>
          <w:rFonts w:hint="eastAsia" w:ascii="楷体" w:eastAsia="楷体"/>
          <w:b/>
          <w:sz w:val="36"/>
          <w:szCs w:val="48"/>
        </w:rPr>
      </w:pPr>
      <w:r>
        <w:rPr>
          <w:rFonts w:hint="eastAsia" w:ascii="楷体" w:eastAsia="楷体"/>
          <w:b/>
          <w:sz w:val="36"/>
          <w:szCs w:val="48"/>
        </w:rPr>
        <w:t xml:space="preserve"> </w:t>
      </w:r>
    </w:p>
    <w:p w14:paraId="732D41F3">
      <w:pPr>
        <w:jc w:val="center"/>
        <w:rPr>
          <w:rFonts w:hint="eastAsia" w:ascii="楷体" w:eastAsia="楷体"/>
          <w:b/>
          <w:sz w:val="36"/>
          <w:szCs w:val="48"/>
        </w:rPr>
      </w:pPr>
    </w:p>
    <w:p w14:paraId="28B5409B">
      <w:pPr>
        <w:jc w:val="center"/>
        <w:rPr>
          <w:rFonts w:hint="eastAsia" w:ascii="楷体" w:eastAsia="楷体"/>
          <w:b/>
          <w:sz w:val="36"/>
          <w:szCs w:val="48"/>
        </w:rPr>
      </w:pPr>
    </w:p>
    <w:p w14:paraId="07A04849">
      <w:pPr>
        <w:jc w:val="center"/>
        <w:rPr>
          <w:rFonts w:hint="eastAsia" w:ascii="楷体" w:eastAsia="楷体"/>
          <w:b/>
          <w:sz w:val="36"/>
          <w:szCs w:val="48"/>
        </w:rPr>
      </w:pPr>
    </w:p>
    <w:p w14:paraId="4FEEC076">
      <w:pPr>
        <w:ind w:firstLine="723"/>
        <w:jc w:val="center"/>
        <w:rPr>
          <w:rFonts w:ascii="仿宋" w:hAnsi="仿宋" w:eastAsia="仿宋"/>
          <w:b/>
          <w:sz w:val="36"/>
          <w:szCs w:val="48"/>
        </w:rPr>
      </w:pPr>
    </w:p>
    <w:p w14:paraId="17F081EA">
      <w:pPr>
        <w:widowControl/>
        <w:spacing w:line="480" w:lineRule="auto"/>
        <w:jc w:val="center"/>
        <w:rPr>
          <w:rFonts w:hint="eastAsia" w:ascii="楷体" w:eastAsia="楷体" w:cs="Arial"/>
          <w:b/>
          <w:sz w:val="44"/>
          <w:szCs w:val="44"/>
          <w:lang w:eastAsia="zh-CN"/>
        </w:rPr>
      </w:pPr>
    </w:p>
    <w:p w14:paraId="0E7E40D6">
      <w:pPr>
        <w:widowControl/>
        <w:spacing w:line="480" w:lineRule="auto"/>
        <w:jc w:val="center"/>
        <w:rPr>
          <w:rFonts w:hint="eastAsia" w:ascii="楷体" w:eastAsia="楷体" w:cs="Arial"/>
          <w:b/>
          <w:sz w:val="44"/>
          <w:szCs w:val="44"/>
          <w:lang w:eastAsia="zh-CN"/>
        </w:rPr>
      </w:pPr>
    </w:p>
    <w:p w14:paraId="07B52789">
      <w:pPr>
        <w:widowControl/>
        <w:spacing w:line="480" w:lineRule="auto"/>
        <w:jc w:val="center"/>
        <w:rPr>
          <w:rFonts w:hint="eastAsia" w:ascii="楷体" w:eastAsia="楷体" w:cs="Arial"/>
          <w:b/>
          <w:sz w:val="44"/>
          <w:szCs w:val="44"/>
          <w:lang w:eastAsia="zh-CN"/>
        </w:rPr>
      </w:pPr>
    </w:p>
    <w:p w14:paraId="1BF22AB3">
      <w:pPr>
        <w:jc w:val="center"/>
        <w:rPr>
          <w:rFonts w:ascii="楷体" w:hAnsi="楷体" w:eastAsia="楷体"/>
          <w:b/>
          <w:color w:val="auto"/>
          <w:sz w:val="44"/>
          <w:szCs w:val="44"/>
        </w:rPr>
      </w:pPr>
    </w:p>
    <w:p w14:paraId="7FE922FE">
      <w:pPr>
        <w:spacing w:line="360" w:lineRule="auto"/>
        <w:jc w:val="center"/>
        <w:outlineLvl w:val="0"/>
        <w:rPr>
          <w:rFonts w:hint="eastAsia" w:ascii="仿宋" w:hAnsi="仿宋" w:eastAsia="楷体"/>
          <w:b/>
          <w:sz w:val="44"/>
          <w:szCs w:val="44"/>
          <w:lang w:eastAsia="zh-CN"/>
        </w:rPr>
      </w:pPr>
      <w:r>
        <w:rPr>
          <w:rFonts w:hint="eastAsia" w:ascii="楷体" w:hAnsi="楷体" w:eastAsia="楷体"/>
          <w:b/>
          <w:color w:val="auto"/>
          <w:sz w:val="44"/>
          <w:szCs w:val="44"/>
        </w:rPr>
        <w:t>南昌市西湖区数智西湖建设项目</w:t>
      </w:r>
      <w:r>
        <w:rPr>
          <w:rFonts w:hint="eastAsia" w:ascii="仿宋" w:hAnsi="仿宋" w:eastAsia="楷体"/>
          <w:b/>
          <w:sz w:val="44"/>
          <w:szCs w:val="44"/>
          <w:lang w:eastAsia="zh-CN"/>
        </w:rPr>
        <w:t>实施方案</w:t>
      </w:r>
    </w:p>
    <w:p w14:paraId="3028D2F9">
      <w:pPr>
        <w:spacing w:line="360" w:lineRule="auto"/>
        <w:jc w:val="center"/>
        <w:outlineLvl w:val="0"/>
        <w:rPr>
          <w:rFonts w:hint="eastAsia" w:ascii="仿宋" w:hAnsi="仿宋" w:eastAsia="楷体"/>
          <w:b/>
          <w:sz w:val="44"/>
          <w:szCs w:val="44"/>
          <w:lang w:eastAsia="zh-CN"/>
        </w:rPr>
      </w:pPr>
    </w:p>
    <w:p w14:paraId="3C584F24">
      <w:pPr>
        <w:ind w:left="-141" w:leftChars="-67" w:right="-99" w:rightChars="-47" w:firstLine="439" w:firstLineChars="157"/>
        <w:jc w:val="center"/>
        <w:rPr>
          <w:rFonts w:ascii="宋体" w:hAnsi="宋体" w:eastAsia="宋体"/>
          <w:color w:val="auto"/>
          <w:sz w:val="28"/>
          <w:szCs w:val="28"/>
        </w:rPr>
      </w:pPr>
    </w:p>
    <w:p w14:paraId="4A76EB8F">
      <w:pPr>
        <w:ind w:left="-141" w:leftChars="-67" w:right="-99" w:rightChars="-47" w:firstLine="439" w:firstLineChars="157"/>
        <w:rPr>
          <w:rFonts w:ascii="宋体" w:hAnsi="宋体" w:eastAsia="宋体"/>
          <w:color w:val="auto"/>
          <w:sz w:val="28"/>
          <w:szCs w:val="28"/>
        </w:rPr>
      </w:pPr>
    </w:p>
    <w:p w14:paraId="5854E16D">
      <w:pPr>
        <w:ind w:left="-141" w:leftChars="-67" w:right="-99" w:rightChars="-47" w:firstLine="439" w:firstLineChars="157"/>
        <w:rPr>
          <w:rFonts w:ascii="宋体" w:hAnsi="宋体" w:eastAsia="宋体"/>
          <w:color w:val="auto"/>
          <w:sz w:val="28"/>
          <w:szCs w:val="28"/>
        </w:rPr>
      </w:pPr>
    </w:p>
    <w:p w14:paraId="7F58176A">
      <w:pPr>
        <w:ind w:right="-99" w:rightChars="-47"/>
        <w:rPr>
          <w:rFonts w:ascii="宋体" w:hAnsi="宋体" w:eastAsia="宋体"/>
          <w:color w:val="auto"/>
          <w:sz w:val="28"/>
          <w:szCs w:val="28"/>
          <w:u w:val="single"/>
        </w:rPr>
      </w:pPr>
    </w:p>
    <w:p w14:paraId="75061A79">
      <w:pPr>
        <w:ind w:left="-141" w:leftChars="-67" w:right="-99" w:rightChars="-47" w:firstLine="502" w:firstLineChars="157"/>
        <w:rPr>
          <w:color w:val="auto"/>
          <w:sz w:val="32"/>
          <w:szCs w:val="32"/>
          <w:u w:val="single"/>
        </w:rPr>
      </w:pPr>
    </w:p>
    <w:p w14:paraId="1B63A091">
      <w:pPr>
        <w:ind w:left="-141" w:leftChars="-67" w:right="-99" w:rightChars="-47" w:firstLine="502" w:firstLineChars="157"/>
        <w:rPr>
          <w:color w:val="auto"/>
          <w:sz w:val="32"/>
          <w:szCs w:val="32"/>
          <w:u w:val="single"/>
        </w:rPr>
      </w:pPr>
    </w:p>
    <w:p w14:paraId="30D3F96A">
      <w:pPr>
        <w:ind w:left="-141" w:leftChars="-67" w:right="-99" w:rightChars="-47" w:firstLine="502" w:firstLineChars="157"/>
        <w:rPr>
          <w:color w:val="auto"/>
          <w:sz w:val="32"/>
          <w:szCs w:val="32"/>
          <w:u w:val="single"/>
        </w:rPr>
      </w:pPr>
    </w:p>
    <w:p w14:paraId="3D115DBE">
      <w:pPr>
        <w:ind w:left="-141" w:leftChars="-67" w:right="-99" w:rightChars="-47" w:firstLine="502" w:firstLineChars="157"/>
        <w:rPr>
          <w:color w:val="auto"/>
          <w:sz w:val="32"/>
          <w:szCs w:val="32"/>
          <w:u w:val="single"/>
        </w:rPr>
      </w:pPr>
    </w:p>
    <w:p w14:paraId="3BCEC90A">
      <w:pPr>
        <w:spacing w:line="360" w:lineRule="auto"/>
        <w:jc w:val="center"/>
        <w:rPr>
          <w:rFonts w:ascii="仿宋" w:hAnsi="仿宋" w:eastAsia="楷体"/>
          <w:b/>
          <w:color w:val="auto"/>
          <w:sz w:val="44"/>
          <w:szCs w:val="44"/>
        </w:rPr>
      </w:pPr>
    </w:p>
    <w:p w14:paraId="19B3AE81">
      <w:pPr>
        <w:spacing w:line="360" w:lineRule="auto"/>
        <w:jc w:val="center"/>
        <w:rPr>
          <w:rFonts w:ascii="仿宋" w:hAnsi="仿宋" w:eastAsia="楷体"/>
          <w:b/>
          <w:color w:val="auto"/>
          <w:sz w:val="44"/>
          <w:szCs w:val="44"/>
        </w:rPr>
      </w:pPr>
    </w:p>
    <w:p w14:paraId="72C2F2FF">
      <w:pPr>
        <w:pStyle w:val="35"/>
        <w:rPr>
          <w:rFonts w:hint="eastAsia"/>
          <w:color w:val="auto"/>
        </w:rPr>
      </w:pPr>
    </w:p>
    <w:p w14:paraId="7D455A1E">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南昌</w:t>
      </w:r>
      <w:r>
        <w:rPr>
          <w:rFonts w:hint="eastAsia" w:ascii="仿宋" w:hAnsi="仿宋" w:eastAsia="楷体"/>
          <w:b/>
          <w:color w:val="auto"/>
          <w:sz w:val="44"/>
          <w:szCs w:val="44"/>
          <w:lang w:val="en-US" w:eastAsia="zh-CN"/>
        </w:rPr>
        <w:t>市</w:t>
      </w:r>
      <w:r>
        <w:rPr>
          <w:rFonts w:hint="eastAsia" w:ascii="仿宋" w:hAnsi="仿宋" w:eastAsia="楷体"/>
          <w:b/>
          <w:color w:val="auto"/>
          <w:sz w:val="44"/>
          <w:szCs w:val="44"/>
        </w:rPr>
        <w:t>财政局</w:t>
      </w:r>
    </w:p>
    <w:p w14:paraId="435D49EC">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二〇二</w:t>
      </w:r>
      <w:r>
        <w:rPr>
          <w:rFonts w:hint="eastAsia" w:ascii="仿宋" w:hAnsi="仿宋" w:eastAsia="楷体"/>
          <w:b/>
          <w:color w:val="auto"/>
          <w:sz w:val="44"/>
          <w:szCs w:val="44"/>
          <w:lang w:val="en-US" w:eastAsia="zh-CN"/>
        </w:rPr>
        <w:t>四</w:t>
      </w:r>
      <w:r>
        <w:rPr>
          <w:rFonts w:hint="eastAsia" w:ascii="仿宋" w:hAnsi="仿宋" w:eastAsia="楷体"/>
          <w:b/>
          <w:color w:val="auto"/>
          <w:sz w:val="44"/>
          <w:szCs w:val="44"/>
        </w:rPr>
        <w:t>年</w:t>
      </w:r>
      <w:r>
        <w:rPr>
          <w:rFonts w:hint="eastAsia" w:ascii="仿宋" w:hAnsi="仿宋" w:eastAsia="楷体"/>
          <w:b/>
          <w:color w:val="auto"/>
          <w:sz w:val="44"/>
          <w:szCs w:val="44"/>
          <w:lang w:val="en-US" w:eastAsia="zh-CN"/>
        </w:rPr>
        <w:t>九</w:t>
      </w:r>
      <w:r>
        <w:rPr>
          <w:rFonts w:hint="eastAsia" w:ascii="仿宋" w:hAnsi="仿宋" w:eastAsia="楷体"/>
          <w:b/>
          <w:color w:val="auto"/>
          <w:sz w:val="44"/>
          <w:szCs w:val="44"/>
        </w:rPr>
        <w:t>月</w:t>
      </w:r>
    </w:p>
    <w:p w14:paraId="55C2AC56">
      <w:pPr>
        <w:rPr>
          <w:rFonts w:ascii="楷体" w:hAnsi="楷体" w:eastAsia="楷体"/>
          <w:b/>
          <w:color w:val="auto"/>
          <w:sz w:val="44"/>
          <w:szCs w:val="44"/>
        </w:rPr>
      </w:pPr>
      <w:r>
        <w:rPr>
          <w:rFonts w:ascii="楷体" w:hAnsi="楷体" w:eastAsia="楷体"/>
          <w:b/>
          <w:color w:val="auto"/>
          <w:sz w:val="44"/>
          <w:szCs w:val="44"/>
        </w:rPr>
        <w:br w:type="page"/>
      </w:r>
    </w:p>
    <w:p w14:paraId="374E610F">
      <w:pPr>
        <w:jc w:val="center"/>
        <w:rPr>
          <w:rFonts w:hint="eastAsia" w:ascii="楷体" w:eastAsia="楷体"/>
          <w:b/>
          <w:sz w:val="44"/>
          <w:szCs w:val="44"/>
        </w:rPr>
      </w:pPr>
    </w:p>
    <w:p w14:paraId="3B7FA324">
      <w:pPr>
        <w:jc w:val="center"/>
        <w:rPr>
          <w:rFonts w:hint="eastAsia" w:ascii="楷体" w:eastAsia="楷体"/>
          <w:b/>
          <w:sz w:val="44"/>
          <w:szCs w:val="44"/>
        </w:rPr>
      </w:pPr>
      <w:r>
        <w:rPr>
          <w:rFonts w:hint="eastAsia" w:ascii="楷体" w:eastAsia="楷体"/>
          <w:b/>
          <w:sz w:val="44"/>
          <w:szCs w:val="44"/>
        </w:rPr>
        <w:t>前言</w:t>
      </w:r>
    </w:p>
    <w:p w14:paraId="517DBFAA">
      <w:pPr>
        <w:pStyle w:val="14"/>
        <w:spacing w:line="600" w:lineRule="exact"/>
        <w:ind w:firstLine="560" w:firstLineChars="200"/>
        <w:rPr>
          <w:rFonts w:hint="eastAsia" w:ascii="楷体" w:eastAsia="楷体" w:cs="楷体"/>
          <w:bCs/>
          <w:sz w:val="28"/>
          <w:szCs w:val="28"/>
          <w:lang w:val="en-GB" w:eastAsia="zh-CN" w:bidi="ar-SA"/>
        </w:rPr>
      </w:pPr>
      <w:r>
        <w:rPr>
          <w:rFonts w:hint="eastAsia" w:ascii="楷体" w:eastAsia="楷体" w:cs="楷体"/>
          <w:bCs/>
          <w:sz w:val="28"/>
          <w:szCs w:val="28"/>
          <w:lang w:val="en-GB" w:bidi="ar-SA"/>
        </w:rPr>
        <w:t>202</w:t>
      </w:r>
      <w:r>
        <w:rPr>
          <w:rFonts w:hint="eastAsia" w:ascii="楷体" w:eastAsia="楷体" w:cs="楷体"/>
          <w:bCs/>
          <w:sz w:val="28"/>
          <w:szCs w:val="28"/>
          <w:lang w:val="en-US" w:eastAsia="zh-CN" w:bidi="ar-SA"/>
        </w:rPr>
        <w:t>4</w:t>
      </w:r>
      <w:r>
        <w:rPr>
          <w:rFonts w:hint="eastAsia" w:ascii="楷体" w:eastAsia="楷体" w:cs="楷体"/>
          <w:bCs/>
          <w:sz w:val="28"/>
          <w:szCs w:val="28"/>
          <w:lang w:val="en-GB" w:bidi="ar-SA"/>
        </w:rPr>
        <w:t>年</w:t>
      </w:r>
      <w:r>
        <w:rPr>
          <w:rFonts w:hint="default" w:ascii="楷体" w:eastAsia="楷体" w:cs="楷体"/>
          <w:bCs/>
          <w:sz w:val="28"/>
          <w:szCs w:val="28"/>
          <w:lang w:val="en-GB" w:bidi="ar-SA"/>
        </w:rPr>
        <w:t>是全面贯彻落实党的二十大精神的关键之年,是深入实施“十四五“规划的攻坚之年</w:t>
      </w:r>
      <w:r>
        <w:rPr>
          <w:rFonts w:hint="eastAsia" w:ascii="楷体" w:eastAsia="楷体" w:cs="楷体"/>
          <w:bCs/>
          <w:sz w:val="28"/>
          <w:szCs w:val="28"/>
          <w:lang w:val="en-GB" w:bidi="ar-SA"/>
        </w:rPr>
        <w:t>，稳基建、扩内需仍是主基调</w:t>
      </w:r>
      <w:r>
        <w:rPr>
          <w:rFonts w:hint="eastAsia" w:ascii="楷体" w:eastAsia="楷体" w:cs="楷体"/>
          <w:bCs/>
          <w:sz w:val="28"/>
          <w:szCs w:val="28"/>
          <w:lang w:val="en-GB" w:eastAsia="zh-CN" w:bidi="ar-SA"/>
        </w:rPr>
        <w:t>。</w:t>
      </w:r>
    </w:p>
    <w:p w14:paraId="46B6BB16">
      <w:pPr>
        <w:widowControl/>
        <w:spacing w:line="480" w:lineRule="auto"/>
        <w:ind w:firstLine="560" w:firstLineChars="200"/>
        <w:jc w:val="left"/>
        <w:rPr>
          <w:rFonts w:hint="eastAsia" w:ascii="楷体" w:eastAsia="楷体" w:cs="楷体"/>
          <w:bCs/>
          <w:sz w:val="28"/>
          <w:szCs w:val="28"/>
          <w:lang w:bidi="ar-SA"/>
        </w:rPr>
      </w:pPr>
      <w:r>
        <w:rPr>
          <w:rFonts w:hint="eastAsia" w:ascii="楷体" w:eastAsia="楷体" w:cs="楷体"/>
          <w:bCs/>
          <w:sz w:val="28"/>
          <w:szCs w:val="28"/>
          <w:lang w:bidi="ar-SA"/>
        </w:rPr>
        <w:t>本次申请发行的专项债券项目，符合地方政府重大基础设施建设领域，是纳政府性基金收入（或有）及专项收入预算管理的收入偿还的地方政府专项债券。在风险可控的前提下，按照依法依规适度举债，保障重点领域合理融资需</w:t>
      </w:r>
      <w:r>
        <w:rPr>
          <w:rFonts w:hint="eastAsia" w:ascii="楷体" w:eastAsia="楷体" w:cs="楷体"/>
          <w:bCs/>
          <w:sz w:val="28"/>
          <w:szCs w:val="28"/>
          <w:lang w:bidi="ar-SA"/>
        </w:rPr>
        <w:t>求的原则。</w:t>
      </w:r>
      <w:r>
        <w:rPr>
          <w:rFonts w:hint="eastAsia" w:ascii="楷体" w:eastAsia="楷体" w:cs="楷体"/>
          <w:bCs/>
          <w:sz w:val="28"/>
          <w:szCs w:val="28"/>
          <w:lang w:eastAsia="zh-CN" w:bidi="ar-SA"/>
        </w:rPr>
        <w:t>南昌市西湖区数智西湖建设项目</w:t>
      </w:r>
      <w:r>
        <w:rPr>
          <w:rFonts w:hint="eastAsia" w:ascii="楷体" w:eastAsia="楷体" w:cs="楷体"/>
          <w:bCs/>
          <w:sz w:val="28"/>
          <w:szCs w:val="28"/>
          <w:lang w:bidi="ar-SA"/>
        </w:rPr>
        <w:t>专项债券</w:t>
      </w:r>
      <w:r>
        <w:rPr>
          <w:rFonts w:hint="eastAsia" w:ascii="楷体" w:eastAsia="楷体" w:cs="楷体"/>
          <w:bCs/>
          <w:sz w:val="28"/>
          <w:szCs w:val="28"/>
          <w:lang w:bidi="ar-SA"/>
        </w:rPr>
        <w:t>拟于本期发行地方政府专项债融资</w:t>
      </w:r>
      <w:r>
        <w:rPr>
          <w:rFonts w:hint="eastAsia" w:ascii="楷体" w:eastAsia="楷体" w:cs="楷体"/>
          <w:bCs/>
          <w:sz w:val="28"/>
          <w:szCs w:val="28"/>
          <w:lang w:val="en-US" w:eastAsia="zh-CN" w:bidi="ar-SA"/>
        </w:rPr>
        <w:t>6000</w:t>
      </w:r>
      <w:r>
        <w:rPr>
          <w:rFonts w:hint="eastAsia" w:ascii="楷体" w:eastAsia="楷体" w:cs="楷体"/>
          <w:bCs/>
          <w:sz w:val="28"/>
          <w:szCs w:val="28"/>
          <w:lang w:bidi="ar-SA"/>
        </w:rPr>
        <w:t>万元。</w:t>
      </w:r>
    </w:p>
    <w:p w14:paraId="62673094">
      <w:pPr>
        <w:widowControl/>
        <w:autoSpaceDE w:val="0"/>
        <w:autoSpaceDN w:val="0"/>
        <w:spacing w:after="240" w:line="360" w:lineRule="auto"/>
        <w:ind w:firstLine="640"/>
        <w:jc w:val="left"/>
        <w:rPr>
          <w:rFonts w:hint="eastAsia" w:ascii="宋体" w:eastAsia="楷体"/>
          <w:sz w:val="28"/>
          <w:szCs w:val="28"/>
          <w:lang w:eastAsia="zh-CN"/>
        </w:rPr>
        <w:sectPr>
          <w:headerReference r:id="rId8" w:type="default"/>
          <w:footerReference r:id="rId9" w:type="default"/>
          <w:pgSz w:w="11906" w:h="16838"/>
          <w:pgMar w:top="1440" w:right="1133" w:bottom="1440" w:left="1800" w:header="851" w:footer="992" w:gutter="0"/>
          <w:cols w:space="425" w:num="1"/>
          <w:docGrid w:type="lines" w:linePitch="312" w:charSpace="0"/>
        </w:sectPr>
      </w:pPr>
      <w:r>
        <w:rPr>
          <w:rFonts w:hint="eastAsia" w:ascii="楷体" w:eastAsia="楷体" w:cs="楷体"/>
          <w:bCs/>
          <w:sz w:val="28"/>
          <w:szCs w:val="28"/>
          <w:lang w:bidi="ar-SA"/>
        </w:rPr>
        <w:t>项目实施过程中，将按照市场规则向投资者进行详细的项目信息披露，保障投资者权益，更好地发挥专项债券对地方稳增长、促改革、调结构、惠民生、防风险的支持作用</w:t>
      </w:r>
      <w:r>
        <w:rPr>
          <w:rFonts w:hint="eastAsia" w:ascii="楷体" w:eastAsia="楷体" w:cs="楷体"/>
          <w:bCs/>
          <w:sz w:val="28"/>
          <w:szCs w:val="28"/>
          <w:lang w:eastAsia="zh-CN" w:bidi="ar-SA"/>
        </w:rPr>
        <w:t>。</w:t>
      </w:r>
    </w:p>
    <w:p w14:paraId="1B4899C4">
      <w:pPr>
        <w:pStyle w:val="2"/>
      </w:pPr>
      <w:bookmarkStart w:id="32" w:name="_Toc14520"/>
      <w:r>
        <w:rPr>
          <w:rFonts w:hint="eastAsia"/>
        </w:rPr>
        <w:t>一、项目概况</w:t>
      </w:r>
      <w:bookmarkEnd w:id="32"/>
    </w:p>
    <w:p w14:paraId="2BB345F6">
      <w:pPr>
        <w:pStyle w:val="3"/>
        <w:numPr>
          <w:ilvl w:val="0"/>
          <w:numId w:val="0"/>
        </w:numPr>
      </w:pPr>
      <w:bookmarkStart w:id="33" w:name="_Toc26749"/>
      <w:r>
        <w:rPr>
          <w:rFonts w:hint="eastAsia"/>
        </w:rPr>
        <w:t>（一）南昌市西湖区基本情况</w:t>
      </w:r>
      <w:bookmarkEnd w:id="33"/>
    </w:p>
    <w:p w14:paraId="4162B211">
      <w:pPr>
        <w:pStyle w:val="4"/>
        <w:spacing w:before="312" w:beforeLines="0" w:after="156" w:afterLines="0"/>
      </w:pPr>
      <w:bookmarkStart w:id="34" w:name="_Toc29087"/>
      <w:r>
        <w:rPr>
          <w:rFonts w:hint="eastAsia"/>
        </w:rPr>
        <w:t>1、当地情况</w:t>
      </w:r>
      <w:bookmarkEnd w:id="34"/>
    </w:p>
    <w:p w14:paraId="13EB0BB5">
      <w:pPr>
        <w:pStyle w:val="23"/>
        <w:widowControl/>
        <w:spacing w:before="0" w:beforeAutospacing="0" w:after="0" w:afterAutospacing="0" w:line="560" w:lineRule="exact"/>
        <w:ind w:firstLine="440" w:firstLineChars="200"/>
        <w:rPr>
          <w:rFonts w:hint="eastAsia" w:ascii="宋体" w:cs="Arial"/>
          <w:kern w:val="2"/>
          <w:szCs w:val="24"/>
          <w:lang w:bidi="ar-SA"/>
        </w:rPr>
      </w:pPr>
      <w:r>
        <w:rPr>
          <w:rFonts w:hint="eastAsia" w:ascii="宋体" w:cs="Arial"/>
          <w:kern w:val="2"/>
          <w:szCs w:val="24"/>
          <w:lang w:bidi="ar-SA"/>
        </w:rPr>
        <w:t>1）地理位置</w:t>
      </w:r>
    </w:p>
    <w:p w14:paraId="53B7718C">
      <w:pPr>
        <w:spacing w:line="560" w:lineRule="exact"/>
        <w:ind w:firstLine="480" w:firstLineChars="200"/>
        <w:jc w:val="left"/>
        <w:rPr>
          <w:rFonts w:hint="eastAsia" w:ascii="宋体"/>
          <w:sz w:val="24"/>
          <w:szCs w:val="24"/>
        </w:rPr>
      </w:pPr>
      <w:r>
        <w:rPr>
          <w:rFonts w:hint="eastAsia" w:ascii="宋体"/>
          <w:sz w:val="24"/>
          <w:szCs w:val="24"/>
        </w:rPr>
        <w:t>西湖区，江西省南昌市市辖区，是南昌市中心城区之一，位于南昌市中部，长江中下游南岸、赣江东侧，辖区总面积34.8平方公里，常住人口53万（2018年）。下辖11街道、1镇，区政府驻朝阳洲街道抚生路369号。西湖区有京九铁路线上的南昌火车站、和南昌市南昌汽车站，南昌主要出口南昌大桥和生米大桥均始于该区，出境车辆5分钟上高速，20分钟到达机场。</w:t>
      </w:r>
    </w:p>
    <w:p w14:paraId="27F04B60">
      <w:pPr>
        <w:spacing w:line="560" w:lineRule="exact"/>
        <w:ind w:firstLine="480" w:firstLineChars="200"/>
        <w:rPr>
          <w:rFonts w:hint="eastAsia" w:ascii="宋体"/>
          <w:sz w:val="24"/>
          <w:szCs w:val="24"/>
        </w:rPr>
      </w:pPr>
      <w:r>
        <w:rPr>
          <w:rFonts w:hint="eastAsia" w:ascii="宋体"/>
          <w:sz w:val="24"/>
          <w:szCs w:val="24"/>
        </w:rPr>
        <w:t>2）发展历史</w:t>
      </w:r>
    </w:p>
    <w:p w14:paraId="604084EF">
      <w:pPr>
        <w:spacing w:line="560" w:lineRule="exact"/>
        <w:ind w:firstLine="480" w:firstLineChars="200"/>
        <w:rPr>
          <w:rFonts w:hint="eastAsia" w:ascii="宋体"/>
          <w:sz w:val="24"/>
          <w:szCs w:val="24"/>
        </w:rPr>
      </w:pPr>
      <w:r>
        <w:rPr>
          <w:rFonts w:hint="eastAsia" w:ascii="宋体"/>
          <w:sz w:val="24"/>
          <w:szCs w:val="24"/>
        </w:rPr>
        <w:t>西湖原为汉代豫章群古太湖的一部分，唐贞元十五年（799年）洪恩桥（今羊子巷186号附近）的架设将东太湖分隔成东西两部分，洪恩桥以西谓之西湖，西湖区由此而得名。民国十五年（1926年），南昌设市后分别称第四、五部分，六、七部分。1980年，抚河区、西湖区合并称西湖区至今。</w:t>
      </w:r>
    </w:p>
    <w:p w14:paraId="7B879EE5">
      <w:pPr>
        <w:spacing w:line="560" w:lineRule="exact"/>
        <w:ind w:firstLine="480" w:firstLineChars="200"/>
        <w:rPr>
          <w:rFonts w:hint="eastAsia" w:ascii="宋体"/>
          <w:sz w:val="24"/>
          <w:szCs w:val="24"/>
        </w:rPr>
      </w:pPr>
      <w:r>
        <w:rPr>
          <w:rFonts w:hint="eastAsia" w:ascii="宋体"/>
          <w:sz w:val="24"/>
          <w:szCs w:val="24"/>
        </w:rPr>
        <w:t>3）区属人口</w:t>
      </w:r>
    </w:p>
    <w:p w14:paraId="54128AA5">
      <w:pPr>
        <w:spacing w:line="560" w:lineRule="exact"/>
        <w:ind w:firstLine="480" w:firstLineChars="200"/>
        <w:rPr>
          <w:rFonts w:hint="eastAsia" w:ascii="宋体"/>
          <w:sz w:val="24"/>
          <w:szCs w:val="24"/>
        </w:rPr>
      </w:pPr>
      <w:r>
        <w:rPr>
          <w:rFonts w:hint="eastAsia" w:ascii="宋体"/>
          <w:sz w:val="24"/>
          <w:szCs w:val="24"/>
        </w:rPr>
        <w:t>截止20</w:t>
      </w:r>
      <w:r>
        <w:rPr>
          <w:rFonts w:hint="eastAsia" w:ascii="宋体"/>
          <w:sz w:val="24"/>
          <w:szCs w:val="24"/>
          <w:lang w:val="en-US" w:eastAsia="zh-CN"/>
        </w:rPr>
        <w:t>23</w:t>
      </w:r>
      <w:r>
        <w:rPr>
          <w:rFonts w:hint="eastAsia" w:ascii="宋体"/>
          <w:sz w:val="24"/>
          <w:szCs w:val="24"/>
        </w:rPr>
        <w:t>年末</w:t>
      </w:r>
      <w:r>
        <w:rPr>
          <w:rFonts w:hint="eastAsia" w:ascii="宋体" w:eastAsia="宋体" w:cs="Arial"/>
          <w:sz w:val="24"/>
          <w:szCs w:val="24"/>
        </w:rPr>
        <w:t>，西湖全区户籍人口总户数163129 户</w:t>
      </w:r>
      <w:r>
        <w:rPr>
          <w:rFonts w:hint="eastAsia" w:ascii="宋体" w:eastAsia="宋体" w:cs="Arial"/>
          <w:sz w:val="24"/>
          <w:szCs w:val="24"/>
          <w:lang w:eastAsia="zh-CN"/>
        </w:rPr>
        <w:t>，</w:t>
      </w:r>
      <w:r>
        <w:rPr>
          <w:rFonts w:hint="eastAsia" w:ascii="宋体" w:eastAsia="宋体" w:cs="Arial"/>
          <w:sz w:val="24"/>
          <w:szCs w:val="24"/>
        </w:rPr>
        <w:t>总人口463612人</w:t>
      </w:r>
      <w:r>
        <w:rPr>
          <w:rFonts w:hint="eastAsia" w:ascii="宋体"/>
          <w:sz w:val="24"/>
          <w:szCs w:val="24"/>
        </w:rPr>
        <w:t>，截至2018年，西湖区常住人口</w:t>
      </w:r>
      <w:r>
        <w:rPr>
          <w:rFonts w:hint="eastAsia" w:ascii="宋体"/>
          <w:sz w:val="24"/>
          <w:szCs w:val="24"/>
          <w:lang w:val="en-US" w:eastAsia="zh-CN"/>
        </w:rPr>
        <w:t>48.5</w:t>
      </w:r>
      <w:r>
        <w:rPr>
          <w:rFonts w:hint="eastAsia" w:ascii="宋体"/>
          <w:sz w:val="24"/>
          <w:szCs w:val="24"/>
        </w:rPr>
        <w:t>万人，常住人口城镇化率100%，户籍人口城镇化率100%</w:t>
      </w:r>
    </w:p>
    <w:p w14:paraId="0B717C76">
      <w:pPr>
        <w:pStyle w:val="4"/>
        <w:spacing w:before="312" w:beforeLines="0" w:after="156" w:afterLines="0"/>
      </w:pPr>
      <w:bookmarkStart w:id="35" w:name="_Toc26391"/>
      <w:r>
        <w:rPr>
          <w:rFonts w:hint="eastAsia"/>
        </w:rPr>
        <w:t>2、当地财政收支情况</w:t>
      </w:r>
      <w:bookmarkEnd w:id="35"/>
    </w:p>
    <w:p w14:paraId="28A11420">
      <w:pPr>
        <w:widowControl/>
        <w:spacing w:line="560" w:lineRule="exact"/>
        <w:ind w:firstLine="480" w:firstLineChars="200"/>
        <w:jc w:val="left"/>
        <w:rPr>
          <w:rFonts w:hint="eastAsia" w:ascii="宋体" w:cs="楷体"/>
          <w:b/>
          <w:bCs/>
          <w:sz w:val="24"/>
          <w:szCs w:val="24"/>
          <w:lang w:bidi="ar-SA"/>
        </w:rPr>
      </w:pPr>
      <w:bookmarkStart w:id="36" w:name="_Toc1415"/>
      <w:r>
        <w:rPr>
          <w:rFonts w:hint="eastAsia" w:ascii="宋体"/>
          <w:sz w:val="24"/>
          <w:szCs w:val="24"/>
        </w:rPr>
        <w:t>20</w:t>
      </w:r>
      <w:r>
        <w:rPr>
          <w:rFonts w:hint="eastAsia" w:ascii="宋体"/>
          <w:sz w:val="24"/>
          <w:szCs w:val="24"/>
          <w:lang w:val="en-US" w:eastAsia="zh-CN"/>
        </w:rPr>
        <w:t>21</w:t>
      </w:r>
      <w:r>
        <w:rPr>
          <w:rFonts w:hint="eastAsia" w:ascii="宋体"/>
          <w:sz w:val="24"/>
          <w:szCs w:val="24"/>
        </w:rPr>
        <w:t>年西湖区实现地区生产总值</w:t>
      </w:r>
      <w:r>
        <w:rPr>
          <w:rFonts w:hint="eastAsia" w:ascii="宋体"/>
          <w:sz w:val="24"/>
          <w:szCs w:val="24"/>
          <w:lang w:val="en-US" w:eastAsia="zh-CN"/>
        </w:rPr>
        <w:t>670.68</w:t>
      </w:r>
      <w:r>
        <w:rPr>
          <w:rFonts w:hint="eastAsia" w:ascii="宋体"/>
          <w:sz w:val="24"/>
          <w:szCs w:val="24"/>
        </w:rPr>
        <w:t>亿元，财政总收入为1</w:t>
      </w:r>
      <w:r>
        <w:rPr>
          <w:rFonts w:hint="eastAsia" w:ascii="宋体"/>
          <w:sz w:val="24"/>
          <w:szCs w:val="24"/>
          <w:lang w:val="en-US" w:eastAsia="zh-CN"/>
        </w:rPr>
        <w:t>18.4</w:t>
      </w:r>
      <w:r>
        <w:rPr>
          <w:rFonts w:hint="eastAsia" w:ascii="宋体"/>
          <w:sz w:val="24"/>
          <w:szCs w:val="24"/>
        </w:rPr>
        <w:t>亿元，其中一般公共预算收入</w:t>
      </w:r>
      <w:r>
        <w:rPr>
          <w:rFonts w:hint="eastAsia" w:ascii="宋体"/>
          <w:sz w:val="24"/>
          <w:szCs w:val="24"/>
          <w:lang w:val="en-US" w:eastAsia="zh-CN"/>
        </w:rPr>
        <w:t>21.5</w:t>
      </w:r>
      <w:r>
        <w:rPr>
          <w:rFonts w:hint="eastAsia" w:ascii="宋体"/>
          <w:sz w:val="24"/>
          <w:szCs w:val="24"/>
        </w:rPr>
        <w:t>亿元，一般公共预算支出</w:t>
      </w:r>
      <w:r>
        <w:rPr>
          <w:rFonts w:hint="eastAsia" w:ascii="宋体"/>
          <w:sz w:val="24"/>
          <w:szCs w:val="24"/>
          <w:lang w:val="en-US" w:eastAsia="zh-CN"/>
        </w:rPr>
        <w:t>34.2</w:t>
      </w:r>
      <w:r>
        <w:rPr>
          <w:rFonts w:hint="eastAsia" w:ascii="宋体"/>
          <w:sz w:val="24"/>
          <w:szCs w:val="24"/>
        </w:rPr>
        <w:t>亿元。</w:t>
      </w:r>
    </w:p>
    <w:p w14:paraId="363EABB0">
      <w:pPr>
        <w:widowControl/>
        <w:spacing w:line="560" w:lineRule="exact"/>
        <w:ind w:firstLine="480" w:firstLineChars="200"/>
        <w:jc w:val="left"/>
        <w:rPr>
          <w:rFonts w:hint="eastAsia" w:ascii="宋体"/>
          <w:sz w:val="24"/>
          <w:szCs w:val="24"/>
        </w:rPr>
      </w:pPr>
      <w:r>
        <w:rPr>
          <w:rFonts w:hint="eastAsia" w:ascii="宋体"/>
          <w:sz w:val="24"/>
          <w:szCs w:val="24"/>
        </w:rPr>
        <w:t>202</w:t>
      </w:r>
      <w:r>
        <w:rPr>
          <w:rFonts w:hint="eastAsia" w:ascii="宋体"/>
          <w:sz w:val="24"/>
          <w:szCs w:val="24"/>
          <w:lang w:val="en-US" w:eastAsia="zh-CN"/>
        </w:rPr>
        <w:t>2</w:t>
      </w:r>
      <w:r>
        <w:rPr>
          <w:rFonts w:hint="eastAsia" w:ascii="宋体"/>
          <w:sz w:val="24"/>
          <w:szCs w:val="24"/>
        </w:rPr>
        <w:t xml:space="preserve"> 年，西湖区国内生产总值</w:t>
      </w:r>
      <w:r>
        <w:rPr>
          <w:rFonts w:hint="eastAsia" w:ascii="宋体"/>
          <w:sz w:val="24"/>
          <w:szCs w:val="24"/>
          <w:lang w:val="en-US" w:eastAsia="zh-CN"/>
        </w:rPr>
        <w:t>727</w:t>
      </w:r>
      <w:r>
        <w:rPr>
          <w:rFonts w:hint="eastAsia" w:ascii="宋体"/>
          <w:sz w:val="24"/>
          <w:szCs w:val="24"/>
        </w:rPr>
        <w:t>亿元，财政总收入</w:t>
      </w:r>
      <w:r>
        <w:rPr>
          <w:rFonts w:hint="eastAsia" w:ascii="宋体"/>
          <w:sz w:val="24"/>
          <w:szCs w:val="24"/>
          <w:lang w:val="en-US" w:eastAsia="zh-CN"/>
        </w:rPr>
        <w:t>119.5</w:t>
      </w:r>
      <w:r>
        <w:rPr>
          <w:rFonts w:hint="eastAsia" w:ascii="宋体"/>
          <w:sz w:val="24"/>
          <w:szCs w:val="24"/>
        </w:rPr>
        <w:t>亿元，其中一般公共预算收入</w:t>
      </w:r>
      <w:r>
        <w:rPr>
          <w:rFonts w:hint="eastAsia" w:ascii="宋体"/>
          <w:sz w:val="24"/>
          <w:szCs w:val="24"/>
          <w:lang w:val="en-US" w:eastAsia="zh-CN"/>
        </w:rPr>
        <w:t>22.61</w:t>
      </w:r>
      <w:r>
        <w:rPr>
          <w:rFonts w:hint="eastAsia" w:ascii="宋体"/>
          <w:sz w:val="24"/>
          <w:szCs w:val="24"/>
        </w:rPr>
        <w:t>亿元，一般预算支出</w:t>
      </w:r>
      <w:r>
        <w:rPr>
          <w:rFonts w:hint="eastAsia" w:ascii="宋体"/>
          <w:sz w:val="24"/>
          <w:szCs w:val="24"/>
          <w:lang w:val="en-US" w:eastAsia="zh-CN"/>
        </w:rPr>
        <w:t>23.30</w:t>
      </w:r>
      <w:r>
        <w:rPr>
          <w:rFonts w:hint="eastAsia" w:ascii="宋体"/>
          <w:sz w:val="24"/>
          <w:szCs w:val="24"/>
        </w:rPr>
        <w:t xml:space="preserve">亿元。 </w:t>
      </w:r>
    </w:p>
    <w:p w14:paraId="245DD658">
      <w:pPr>
        <w:widowControl/>
        <w:spacing w:line="560" w:lineRule="exact"/>
        <w:ind w:firstLine="480" w:firstLineChars="200"/>
        <w:jc w:val="left"/>
        <w:rPr>
          <w:rFonts w:hint="eastAsia" w:ascii="宋体"/>
          <w:sz w:val="24"/>
          <w:szCs w:val="24"/>
        </w:rPr>
      </w:pPr>
      <w:r>
        <w:rPr>
          <w:rFonts w:hint="eastAsia" w:ascii="宋体"/>
          <w:sz w:val="24"/>
          <w:szCs w:val="24"/>
        </w:rPr>
        <w:t>20</w:t>
      </w:r>
      <w:r>
        <w:rPr>
          <w:rFonts w:hint="eastAsia" w:ascii="宋体"/>
          <w:sz w:val="24"/>
          <w:szCs w:val="24"/>
          <w:lang w:val="en-US" w:eastAsia="zh-CN"/>
        </w:rPr>
        <w:t>23</w:t>
      </w:r>
      <w:r>
        <w:rPr>
          <w:rFonts w:hint="eastAsia" w:ascii="宋体"/>
          <w:sz w:val="24"/>
          <w:szCs w:val="24"/>
        </w:rPr>
        <w:t xml:space="preserve"> 年，西湖区国内生产总值</w:t>
      </w:r>
      <w:r>
        <w:rPr>
          <w:rFonts w:hint="eastAsia" w:ascii="宋体"/>
          <w:sz w:val="24"/>
          <w:szCs w:val="24"/>
          <w:lang w:val="en-US" w:eastAsia="zh-CN"/>
        </w:rPr>
        <w:t>750</w:t>
      </w:r>
      <w:r>
        <w:rPr>
          <w:rFonts w:hint="eastAsia" w:ascii="宋体"/>
          <w:sz w:val="24"/>
          <w:szCs w:val="24"/>
        </w:rPr>
        <w:t xml:space="preserve"> 亿元，财政总收入</w:t>
      </w:r>
      <w:r>
        <w:rPr>
          <w:rFonts w:hint="eastAsia" w:ascii="宋体"/>
          <w:sz w:val="24"/>
          <w:szCs w:val="24"/>
          <w:lang w:val="en-US" w:eastAsia="zh-CN"/>
        </w:rPr>
        <w:t>125.21</w:t>
      </w:r>
      <w:r>
        <w:rPr>
          <w:rFonts w:hint="eastAsia" w:ascii="宋体"/>
          <w:sz w:val="24"/>
          <w:szCs w:val="24"/>
        </w:rPr>
        <w:t>亿元，其中一般公共预算收入</w:t>
      </w:r>
      <w:r>
        <w:rPr>
          <w:rFonts w:hint="eastAsia" w:ascii="宋体"/>
          <w:sz w:val="24"/>
          <w:szCs w:val="24"/>
          <w:lang w:val="en-US" w:eastAsia="zh-CN"/>
        </w:rPr>
        <w:t>24.26</w:t>
      </w:r>
      <w:r>
        <w:rPr>
          <w:rFonts w:hint="eastAsia" w:ascii="宋体"/>
          <w:sz w:val="24"/>
          <w:szCs w:val="24"/>
        </w:rPr>
        <w:t xml:space="preserve"> 亿元，一般预算支出</w:t>
      </w:r>
      <w:r>
        <w:rPr>
          <w:rFonts w:hint="eastAsia" w:ascii="宋体"/>
          <w:sz w:val="24"/>
          <w:szCs w:val="24"/>
          <w:lang w:val="en-US" w:eastAsia="zh-CN"/>
        </w:rPr>
        <w:t>25.47</w:t>
      </w:r>
      <w:r>
        <w:rPr>
          <w:rFonts w:hint="eastAsia" w:ascii="宋体"/>
          <w:sz w:val="24"/>
          <w:szCs w:val="24"/>
        </w:rPr>
        <w:t>亿元。</w:t>
      </w:r>
    </w:p>
    <w:p w14:paraId="6B76C515">
      <w:pPr>
        <w:pStyle w:val="23"/>
        <w:widowControl/>
        <w:spacing w:before="0" w:beforeAutospacing="0" w:after="0" w:afterAutospacing="0" w:line="360" w:lineRule="auto"/>
        <w:ind w:firstLine="560" w:firstLineChars="200"/>
        <w:jc w:val="center"/>
        <w:rPr>
          <w:rFonts w:hint="eastAsia" w:ascii="仿宋_GB2312" w:eastAsia="仿宋_GB2312" w:cs="Arial"/>
          <w:kern w:val="2"/>
          <w:sz w:val="28"/>
          <w:szCs w:val="28"/>
          <w:lang w:bidi="ar-SA"/>
        </w:rPr>
      </w:pPr>
      <w:r>
        <w:rPr>
          <w:rFonts w:hint="eastAsia" w:ascii="仿宋_GB2312" w:eastAsia="仿宋_GB2312" w:cs="Arial"/>
          <w:kern w:val="2"/>
          <w:sz w:val="28"/>
          <w:szCs w:val="28"/>
          <w:lang w:bidi="ar-SA"/>
        </w:rPr>
        <w:t>西湖区经济状况</w:t>
      </w:r>
    </w:p>
    <w:tbl>
      <w:tblPr>
        <w:tblStyle w:val="28"/>
        <w:tblW w:w="8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96"/>
        <w:gridCol w:w="1540"/>
        <w:gridCol w:w="1540"/>
        <w:gridCol w:w="1540"/>
      </w:tblGrid>
      <w:tr w14:paraId="243C0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3496" w:type="dxa"/>
            <w:tcBorders>
              <w:top w:val="single" w:color="auto" w:sz="4" w:space="0"/>
              <w:left w:val="single" w:color="auto" w:sz="4" w:space="0"/>
              <w:bottom w:val="single" w:color="auto" w:sz="4" w:space="0"/>
              <w:right w:val="single" w:color="auto" w:sz="4" w:space="0"/>
            </w:tcBorders>
            <w:shd w:val="clear" w:color="auto" w:fill="B8CCE4"/>
            <w:noWrap w:val="0"/>
            <w:vAlign w:val="top"/>
          </w:tcPr>
          <w:p w14:paraId="4E10427B">
            <w:pPr>
              <w:jc w:val="center"/>
              <w:rPr>
                <w:rFonts w:hint="eastAsia" w:ascii="仿宋_GB2312" w:eastAsia="仿宋_GB2312"/>
                <w:bCs/>
                <w:sz w:val="24"/>
                <w:szCs w:val="28"/>
              </w:rPr>
            </w:pPr>
            <w:r>
              <w:rPr>
                <w:rFonts w:hint="eastAsia" w:ascii="仿宋_GB2312" w:eastAsia="仿宋_GB2312"/>
                <w:bCs/>
                <w:sz w:val="24"/>
                <w:szCs w:val="28"/>
              </w:rPr>
              <w:t>主要指标（亿元）</w:t>
            </w:r>
          </w:p>
        </w:tc>
        <w:tc>
          <w:tcPr>
            <w:tcW w:w="1540" w:type="dxa"/>
            <w:tcBorders>
              <w:top w:val="single" w:color="auto" w:sz="4" w:space="0"/>
              <w:left w:val="single" w:color="auto" w:sz="4" w:space="0"/>
              <w:bottom w:val="single" w:color="auto" w:sz="4" w:space="0"/>
              <w:right w:val="single" w:color="auto" w:sz="4" w:space="0"/>
            </w:tcBorders>
            <w:shd w:val="clear" w:color="auto" w:fill="B8CCE4"/>
            <w:noWrap w:val="0"/>
            <w:vAlign w:val="top"/>
          </w:tcPr>
          <w:p w14:paraId="64E3694A">
            <w:pPr>
              <w:jc w:val="center"/>
              <w:rPr>
                <w:rFonts w:hint="eastAsia" w:ascii="仿宋_GB2312" w:eastAsia="仿宋_GB2312"/>
                <w:bCs/>
                <w:sz w:val="24"/>
                <w:szCs w:val="28"/>
              </w:rPr>
            </w:pPr>
            <w:r>
              <w:rPr>
                <w:rFonts w:hint="eastAsia" w:ascii="仿宋_GB2312" w:eastAsia="仿宋_GB2312"/>
                <w:bCs/>
                <w:sz w:val="24"/>
                <w:szCs w:val="28"/>
                <w:lang w:val="en-US" w:eastAsia="zh-CN"/>
              </w:rPr>
              <w:t>2021</w:t>
            </w:r>
          </w:p>
        </w:tc>
        <w:tc>
          <w:tcPr>
            <w:tcW w:w="1540" w:type="dxa"/>
            <w:tcBorders>
              <w:top w:val="single" w:color="auto" w:sz="4" w:space="0"/>
              <w:left w:val="single" w:color="auto" w:sz="4" w:space="0"/>
              <w:bottom w:val="single" w:color="auto" w:sz="4" w:space="0"/>
              <w:right w:val="single" w:color="auto" w:sz="4" w:space="0"/>
            </w:tcBorders>
            <w:shd w:val="clear" w:color="auto" w:fill="B8CCE4"/>
            <w:noWrap w:val="0"/>
            <w:vAlign w:val="top"/>
          </w:tcPr>
          <w:p w14:paraId="691FC085">
            <w:pPr>
              <w:jc w:val="center"/>
              <w:rPr>
                <w:rFonts w:hint="eastAsia" w:ascii="仿宋_GB2312" w:eastAsia="仿宋_GB2312"/>
                <w:bCs/>
                <w:sz w:val="24"/>
                <w:szCs w:val="28"/>
              </w:rPr>
            </w:pPr>
            <w:r>
              <w:rPr>
                <w:rFonts w:hint="eastAsia" w:ascii="仿宋_GB2312" w:eastAsia="仿宋_GB2312"/>
                <w:bCs/>
                <w:sz w:val="24"/>
                <w:szCs w:val="28"/>
              </w:rPr>
              <w:t>202</w:t>
            </w:r>
            <w:r>
              <w:rPr>
                <w:rFonts w:hint="eastAsia" w:ascii="仿宋_GB2312" w:eastAsia="仿宋_GB2312"/>
                <w:bCs/>
                <w:sz w:val="24"/>
                <w:szCs w:val="28"/>
                <w:lang w:val="en-US" w:eastAsia="zh-CN"/>
              </w:rPr>
              <w:t>2</w:t>
            </w:r>
          </w:p>
        </w:tc>
        <w:tc>
          <w:tcPr>
            <w:tcW w:w="1540" w:type="dxa"/>
            <w:tcBorders>
              <w:top w:val="single" w:color="auto" w:sz="4" w:space="0"/>
              <w:left w:val="single" w:color="auto" w:sz="4" w:space="0"/>
              <w:bottom w:val="single" w:color="auto" w:sz="4" w:space="0"/>
              <w:right w:val="single" w:color="auto" w:sz="4" w:space="0"/>
            </w:tcBorders>
            <w:shd w:val="clear" w:color="auto" w:fill="B8CCE4"/>
            <w:noWrap w:val="0"/>
            <w:vAlign w:val="top"/>
          </w:tcPr>
          <w:p w14:paraId="7F2C7AFE">
            <w:pPr>
              <w:jc w:val="center"/>
              <w:rPr>
                <w:rFonts w:hint="default" w:ascii="仿宋_GB2312" w:eastAsia="仿宋_GB2312"/>
                <w:bCs/>
                <w:sz w:val="24"/>
                <w:szCs w:val="28"/>
                <w:lang w:val="en-US" w:eastAsia="zh-CN"/>
              </w:rPr>
            </w:pPr>
            <w:r>
              <w:rPr>
                <w:rFonts w:hint="eastAsia" w:ascii="仿宋_GB2312" w:eastAsia="仿宋_GB2312"/>
                <w:bCs/>
                <w:sz w:val="24"/>
                <w:szCs w:val="28"/>
                <w:lang w:val="en-US" w:eastAsia="zh-CN"/>
              </w:rPr>
              <w:t>2023</w:t>
            </w:r>
          </w:p>
        </w:tc>
      </w:tr>
      <w:tr w14:paraId="119BB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4CF6C60">
            <w:pPr>
              <w:pStyle w:val="23"/>
              <w:spacing w:before="0" w:beforeAutospacing="0" w:after="0" w:afterAutospacing="0"/>
              <w:rPr>
                <w:rFonts w:hint="eastAsia" w:ascii="仿宋_GB2312" w:eastAsia="仿宋_GB2312" w:cs="Arial"/>
                <w:bCs/>
                <w:kern w:val="2"/>
                <w:szCs w:val="28"/>
                <w:lang w:bidi="ar-SA"/>
              </w:rPr>
            </w:pPr>
            <w:r>
              <w:rPr>
                <w:rFonts w:hint="eastAsia" w:ascii="仿宋_GB2312" w:eastAsia="仿宋_GB2312" w:cs="Arial"/>
                <w:bCs/>
                <w:kern w:val="2"/>
                <w:szCs w:val="28"/>
                <w:lang w:bidi="ar-SA"/>
              </w:rPr>
              <w:t>GDP</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5B2925DE">
            <w:pPr>
              <w:pStyle w:val="23"/>
              <w:spacing w:before="0" w:beforeAutospacing="0" w:after="0" w:afterAutospacing="0"/>
              <w:jc w:val="center"/>
              <w:rPr>
                <w:rFonts w:hint="eastAsia" w:ascii="仿宋_GB2312" w:eastAsia="仿宋_GB2312" w:cs="Arial"/>
                <w:bCs/>
                <w:kern w:val="2"/>
                <w:szCs w:val="28"/>
                <w:lang w:bidi="ar-SA"/>
              </w:rPr>
            </w:pPr>
            <w:r>
              <w:rPr>
                <w:rFonts w:hint="eastAsia" w:ascii="仿宋_GB2312" w:eastAsia="仿宋_GB2312" w:cs="Arial"/>
                <w:bCs/>
                <w:kern w:val="2"/>
                <w:szCs w:val="28"/>
                <w:lang w:val="en-US" w:eastAsia="zh-CN" w:bidi="ar-SA"/>
              </w:rPr>
              <w:t>670.68</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761987DE">
            <w:pPr>
              <w:pStyle w:val="23"/>
              <w:spacing w:before="0" w:beforeAutospacing="0" w:after="0" w:afterAutospacing="0"/>
              <w:jc w:val="center"/>
              <w:rPr>
                <w:rFonts w:hint="default" w:ascii="仿宋_GB2312" w:eastAsia="仿宋_GB2312" w:cs="Arial"/>
                <w:bCs/>
                <w:kern w:val="2"/>
                <w:szCs w:val="28"/>
                <w:lang w:val="en-US" w:eastAsia="zh-CN" w:bidi="ar-SA"/>
              </w:rPr>
            </w:pPr>
            <w:r>
              <w:rPr>
                <w:rFonts w:hint="eastAsia" w:ascii="仿宋_GB2312" w:eastAsia="仿宋_GB2312" w:cs="Arial"/>
                <w:bCs/>
                <w:kern w:val="2"/>
                <w:szCs w:val="28"/>
                <w:lang w:val="en-US" w:eastAsia="zh-CN" w:bidi="ar-SA"/>
              </w:rPr>
              <w:t>727</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51E57C42">
            <w:pPr>
              <w:pStyle w:val="23"/>
              <w:spacing w:before="0" w:beforeAutospacing="0" w:after="0" w:afterAutospacing="0"/>
              <w:jc w:val="center"/>
              <w:rPr>
                <w:rFonts w:hint="default" w:ascii="仿宋_GB2312" w:eastAsia="仿宋_GB2312" w:cs="Arial"/>
                <w:bCs/>
                <w:kern w:val="2"/>
                <w:szCs w:val="28"/>
                <w:lang w:val="en-US" w:eastAsia="zh-CN" w:bidi="ar-SA"/>
              </w:rPr>
            </w:pPr>
            <w:r>
              <w:rPr>
                <w:rFonts w:hint="eastAsia" w:ascii="仿宋_GB2312" w:eastAsia="仿宋_GB2312" w:cs="Arial"/>
                <w:bCs/>
                <w:kern w:val="2"/>
                <w:szCs w:val="28"/>
                <w:lang w:val="en-US" w:eastAsia="zh-CN" w:bidi="ar-SA"/>
              </w:rPr>
              <w:t>750</w:t>
            </w:r>
          </w:p>
        </w:tc>
      </w:tr>
      <w:tr w14:paraId="749E9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6" w:type="dxa"/>
            <w:tcBorders>
              <w:top w:val="single" w:color="auto" w:sz="4" w:space="0"/>
              <w:left w:val="single" w:color="auto" w:sz="4" w:space="0"/>
              <w:bottom w:val="single" w:color="auto" w:sz="4" w:space="0"/>
              <w:right w:val="single" w:color="auto" w:sz="4" w:space="0"/>
            </w:tcBorders>
            <w:noWrap w:val="0"/>
            <w:vAlign w:val="center"/>
          </w:tcPr>
          <w:p w14:paraId="57C696E8">
            <w:pPr>
              <w:pStyle w:val="23"/>
              <w:spacing w:before="0" w:beforeAutospacing="0" w:after="0" w:afterAutospacing="0"/>
              <w:rPr>
                <w:rFonts w:hint="eastAsia" w:ascii="仿宋_GB2312" w:eastAsia="仿宋_GB2312" w:cs="Arial"/>
                <w:bCs/>
                <w:kern w:val="2"/>
                <w:szCs w:val="28"/>
                <w:lang w:bidi="ar-SA"/>
              </w:rPr>
            </w:pPr>
            <w:r>
              <w:rPr>
                <w:rFonts w:hint="eastAsia" w:ascii="仿宋_GB2312" w:eastAsia="仿宋_GB2312" w:cs="Arial"/>
                <w:bCs/>
                <w:kern w:val="2"/>
                <w:szCs w:val="28"/>
                <w:lang w:bidi="ar-SA"/>
              </w:rPr>
              <w:t>财政总收入</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73E9F677">
            <w:pPr>
              <w:pStyle w:val="23"/>
              <w:spacing w:before="0" w:beforeAutospacing="0" w:after="0" w:afterAutospacing="0"/>
              <w:jc w:val="center"/>
              <w:rPr>
                <w:rFonts w:hint="eastAsia" w:ascii="仿宋_GB2312" w:eastAsia="仿宋_GB2312" w:cs="Arial"/>
                <w:bCs/>
                <w:kern w:val="2"/>
                <w:szCs w:val="28"/>
                <w:lang w:bidi="ar-SA"/>
              </w:rPr>
            </w:pPr>
            <w:r>
              <w:rPr>
                <w:rFonts w:hint="eastAsia" w:ascii="仿宋_GB2312" w:eastAsia="仿宋_GB2312" w:cs="Arial"/>
                <w:bCs/>
                <w:kern w:val="2"/>
                <w:szCs w:val="28"/>
                <w:lang w:val="en-US" w:eastAsia="zh-CN" w:bidi="ar-SA"/>
              </w:rPr>
              <w:t>118.4</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33C8C1B2">
            <w:pPr>
              <w:pStyle w:val="23"/>
              <w:spacing w:before="0" w:beforeAutospacing="0" w:after="0" w:afterAutospacing="0"/>
              <w:jc w:val="center"/>
              <w:rPr>
                <w:rFonts w:hint="default" w:ascii="仿宋_GB2312" w:eastAsia="仿宋_GB2312" w:cs="Arial"/>
                <w:bCs/>
                <w:kern w:val="2"/>
                <w:szCs w:val="28"/>
                <w:lang w:val="en-US" w:eastAsia="zh-CN" w:bidi="ar-SA"/>
              </w:rPr>
            </w:pPr>
            <w:r>
              <w:rPr>
                <w:rFonts w:hint="eastAsia" w:ascii="仿宋_GB2312" w:eastAsia="仿宋_GB2312" w:cs="Arial"/>
                <w:bCs/>
                <w:kern w:val="2"/>
                <w:szCs w:val="28"/>
                <w:lang w:val="en-US" w:eastAsia="zh-CN" w:bidi="ar-SA"/>
              </w:rPr>
              <w:t>119.5</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049B7418">
            <w:pPr>
              <w:pStyle w:val="23"/>
              <w:spacing w:before="0" w:beforeAutospacing="0" w:after="0" w:afterAutospacing="0"/>
              <w:jc w:val="center"/>
              <w:rPr>
                <w:rFonts w:hint="default" w:ascii="仿宋_GB2312" w:eastAsia="仿宋_GB2312" w:cs="Arial"/>
                <w:bCs/>
                <w:kern w:val="2"/>
                <w:szCs w:val="28"/>
                <w:lang w:val="en-US" w:eastAsia="zh-CN" w:bidi="ar-SA"/>
              </w:rPr>
            </w:pPr>
            <w:r>
              <w:rPr>
                <w:rFonts w:hint="eastAsia" w:ascii="仿宋_GB2312" w:eastAsia="仿宋_GB2312" w:cs="Arial"/>
                <w:bCs/>
                <w:kern w:val="2"/>
                <w:szCs w:val="28"/>
                <w:lang w:val="en-US" w:eastAsia="zh-CN" w:bidi="ar-SA"/>
              </w:rPr>
              <w:t>125.21</w:t>
            </w:r>
          </w:p>
        </w:tc>
      </w:tr>
      <w:tr w14:paraId="5A7AB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3496" w:type="dxa"/>
            <w:tcBorders>
              <w:top w:val="single" w:color="auto" w:sz="4" w:space="0"/>
              <w:left w:val="single" w:color="auto" w:sz="4" w:space="0"/>
              <w:bottom w:val="single" w:color="auto" w:sz="4" w:space="0"/>
              <w:right w:val="single" w:color="auto" w:sz="4" w:space="0"/>
            </w:tcBorders>
            <w:noWrap w:val="0"/>
            <w:vAlign w:val="center"/>
          </w:tcPr>
          <w:p w14:paraId="205D5AB0">
            <w:pPr>
              <w:pStyle w:val="23"/>
              <w:spacing w:before="0" w:beforeAutospacing="0" w:after="0" w:afterAutospacing="0"/>
              <w:rPr>
                <w:rFonts w:hint="eastAsia" w:ascii="仿宋_GB2312" w:eastAsia="仿宋_GB2312" w:cs="Arial"/>
                <w:bCs/>
                <w:kern w:val="2"/>
                <w:szCs w:val="28"/>
                <w:lang w:bidi="ar-SA"/>
              </w:rPr>
            </w:pPr>
            <w:r>
              <w:rPr>
                <w:rFonts w:hint="eastAsia" w:ascii="仿宋_GB2312" w:eastAsia="仿宋_GB2312" w:cs="Arial"/>
                <w:bCs/>
                <w:kern w:val="2"/>
                <w:szCs w:val="28"/>
                <w:lang w:bidi="ar-SA"/>
              </w:rPr>
              <w:t>一般公共预算收入</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737A0DA0">
            <w:pPr>
              <w:pStyle w:val="23"/>
              <w:spacing w:before="0" w:beforeAutospacing="0" w:after="0" w:afterAutospacing="0"/>
              <w:jc w:val="center"/>
              <w:rPr>
                <w:rFonts w:hint="eastAsia" w:ascii="仿宋_GB2312" w:eastAsia="仿宋_GB2312" w:cs="Arial"/>
                <w:bCs/>
                <w:kern w:val="2"/>
                <w:szCs w:val="28"/>
                <w:lang w:bidi="ar-SA"/>
              </w:rPr>
            </w:pPr>
            <w:r>
              <w:rPr>
                <w:rFonts w:hint="eastAsia" w:ascii="仿宋_GB2312" w:eastAsia="仿宋_GB2312" w:cs="Arial"/>
                <w:bCs/>
                <w:kern w:val="2"/>
                <w:szCs w:val="28"/>
                <w:lang w:val="en-US" w:eastAsia="zh-CN" w:bidi="ar-SA"/>
              </w:rPr>
              <w:t>21.5</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7A9AC1DA">
            <w:pPr>
              <w:pStyle w:val="23"/>
              <w:spacing w:before="0" w:beforeAutospacing="0" w:after="0" w:afterAutospacing="0"/>
              <w:jc w:val="center"/>
              <w:rPr>
                <w:rFonts w:hint="default" w:ascii="仿宋_GB2312" w:eastAsia="仿宋_GB2312" w:cs="Arial"/>
                <w:bCs/>
                <w:kern w:val="2"/>
                <w:szCs w:val="28"/>
                <w:lang w:val="en-US" w:eastAsia="zh-CN" w:bidi="ar-SA"/>
              </w:rPr>
            </w:pPr>
            <w:r>
              <w:rPr>
                <w:rFonts w:hint="eastAsia" w:ascii="仿宋_GB2312" w:eastAsia="仿宋_GB2312" w:cs="Arial"/>
                <w:bCs/>
                <w:kern w:val="2"/>
                <w:szCs w:val="28"/>
                <w:lang w:val="en-US" w:eastAsia="zh-CN" w:bidi="ar-SA"/>
              </w:rPr>
              <w:t>22.61</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5EACA18A">
            <w:pPr>
              <w:pStyle w:val="23"/>
              <w:spacing w:before="0" w:beforeAutospacing="0" w:after="0" w:afterAutospacing="0"/>
              <w:jc w:val="center"/>
              <w:rPr>
                <w:rFonts w:hint="default" w:ascii="仿宋_GB2312" w:eastAsia="仿宋_GB2312" w:cs="Arial"/>
                <w:bCs/>
                <w:kern w:val="2"/>
                <w:szCs w:val="28"/>
                <w:lang w:val="en-US" w:eastAsia="zh-CN" w:bidi="ar-SA"/>
              </w:rPr>
            </w:pPr>
            <w:r>
              <w:rPr>
                <w:rFonts w:hint="eastAsia" w:ascii="仿宋_GB2312" w:eastAsia="仿宋_GB2312" w:cs="Arial"/>
                <w:bCs/>
                <w:kern w:val="2"/>
                <w:szCs w:val="28"/>
                <w:lang w:val="en-US" w:eastAsia="zh-CN" w:bidi="ar-SA"/>
              </w:rPr>
              <w:t>24.26</w:t>
            </w:r>
          </w:p>
        </w:tc>
      </w:tr>
      <w:tr w14:paraId="2FCD2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96" w:type="dxa"/>
            <w:tcBorders>
              <w:top w:val="single" w:color="auto" w:sz="4" w:space="0"/>
              <w:left w:val="single" w:color="auto" w:sz="4" w:space="0"/>
              <w:bottom w:val="single" w:color="auto" w:sz="4" w:space="0"/>
              <w:right w:val="single" w:color="auto" w:sz="4" w:space="0"/>
            </w:tcBorders>
            <w:noWrap w:val="0"/>
            <w:vAlign w:val="center"/>
          </w:tcPr>
          <w:p w14:paraId="2183CEDE">
            <w:pPr>
              <w:pStyle w:val="23"/>
              <w:spacing w:before="0" w:beforeAutospacing="0" w:after="0" w:afterAutospacing="0"/>
              <w:rPr>
                <w:rFonts w:hint="eastAsia" w:ascii="仿宋_GB2312" w:eastAsia="仿宋_GB2312" w:cs="Arial"/>
                <w:bCs/>
                <w:kern w:val="2"/>
                <w:szCs w:val="28"/>
                <w:lang w:bidi="ar-SA"/>
              </w:rPr>
            </w:pPr>
            <w:r>
              <w:rPr>
                <w:rFonts w:hint="eastAsia" w:ascii="仿宋_GB2312" w:eastAsia="仿宋_GB2312" w:cs="Arial"/>
                <w:bCs/>
                <w:kern w:val="2"/>
                <w:szCs w:val="28"/>
                <w:lang w:bidi="ar-SA"/>
              </w:rPr>
              <w:t>一般公共预算支出</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307FA1E1">
            <w:pPr>
              <w:pStyle w:val="23"/>
              <w:spacing w:before="0" w:beforeAutospacing="0" w:after="0" w:afterAutospacing="0"/>
              <w:jc w:val="center"/>
              <w:rPr>
                <w:rFonts w:hint="eastAsia" w:ascii="仿宋_GB2312" w:eastAsia="仿宋_GB2312" w:cs="Arial"/>
                <w:bCs/>
                <w:kern w:val="2"/>
                <w:szCs w:val="28"/>
                <w:lang w:bidi="ar-SA"/>
              </w:rPr>
            </w:pPr>
            <w:r>
              <w:rPr>
                <w:rFonts w:hint="eastAsia" w:ascii="仿宋_GB2312" w:eastAsia="仿宋_GB2312" w:cs="Arial"/>
                <w:bCs/>
                <w:kern w:val="2"/>
                <w:szCs w:val="28"/>
                <w:lang w:val="en-US" w:eastAsia="zh-CN" w:bidi="ar-SA"/>
              </w:rPr>
              <w:t>32.4</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69E826D2">
            <w:pPr>
              <w:pStyle w:val="23"/>
              <w:spacing w:before="0" w:beforeAutospacing="0" w:after="0" w:afterAutospacing="0"/>
              <w:jc w:val="center"/>
              <w:rPr>
                <w:rFonts w:hint="default" w:ascii="仿宋_GB2312" w:eastAsia="仿宋_GB2312" w:cs="Arial"/>
                <w:bCs/>
                <w:kern w:val="2"/>
                <w:szCs w:val="28"/>
                <w:lang w:val="en-US" w:eastAsia="zh-CN" w:bidi="ar-SA"/>
              </w:rPr>
            </w:pPr>
            <w:r>
              <w:rPr>
                <w:rFonts w:hint="eastAsia" w:ascii="仿宋_GB2312" w:eastAsia="仿宋_GB2312" w:cs="Arial"/>
                <w:bCs/>
                <w:kern w:val="2"/>
                <w:szCs w:val="28"/>
                <w:lang w:val="en-US" w:eastAsia="zh-CN" w:bidi="ar-SA"/>
              </w:rPr>
              <w:t>23.30</w:t>
            </w:r>
          </w:p>
        </w:tc>
        <w:tc>
          <w:tcPr>
            <w:tcW w:w="1540" w:type="dxa"/>
            <w:tcBorders>
              <w:top w:val="single" w:color="auto" w:sz="4" w:space="0"/>
              <w:left w:val="single" w:color="auto" w:sz="4" w:space="0"/>
              <w:bottom w:val="single" w:color="auto" w:sz="4" w:space="0"/>
              <w:right w:val="single" w:color="auto" w:sz="4" w:space="0"/>
            </w:tcBorders>
            <w:noWrap w:val="0"/>
            <w:vAlign w:val="center"/>
          </w:tcPr>
          <w:p w14:paraId="7C32A5FE">
            <w:pPr>
              <w:pStyle w:val="23"/>
              <w:spacing w:before="0" w:beforeAutospacing="0" w:after="0" w:afterAutospacing="0"/>
              <w:jc w:val="center"/>
              <w:rPr>
                <w:rFonts w:hint="default" w:ascii="仿宋_GB2312" w:eastAsia="仿宋_GB2312" w:cs="Arial"/>
                <w:bCs/>
                <w:kern w:val="2"/>
                <w:szCs w:val="28"/>
                <w:lang w:val="en-US" w:eastAsia="zh-CN" w:bidi="ar-SA"/>
              </w:rPr>
            </w:pPr>
            <w:r>
              <w:rPr>
                <w:rFonts w:hint="eastAsia" w:ascii="仿宋_GB2312" w:eastAsia="仿宋_GB2312" w:cs="Arial"/>
                <w:bCs/>
                <w:kern w:val="2"/>
                <w:szCs w:val="28"/>
                <w:lang w:val="en-US" w:eastAsia="zh-CN" w:bidi="ar-SA"/>
              </w:rPr>
              <w:t>25.47</w:t>
            </w:r>
          </w:p>
        </w:tc>
      </w:tr>
    </w:tbl>
    <w:p w14:paraId="6647874F">
      <w:pPr>
        <w:pStyle w:val="3"/>
        <w:numPr>
          <w:ilvl w:val="0"/>
          <w:numId w:val="0"/>
        </w:numPr>
      </w:pPr>
      <w:r>
        <w:rPr>
          <w:rFonts w:hint="eastAsia"/>
        </w:rPr>
        <w:t>（二）项目实施背景</w:t>
      </w:r>
      <w:bookmarkEnd w:id="36"/>
    </w:p>
    <w:p w14:paraId="1A9E1DD8">
      <w:pPr>
        <w:pStyle w:val="8"/>
        <w:bidi w:val="0"/>
        <w:rPr>
          <w:rFonts w:hint="eastAsia" w:ascii="宋体" w:hAnsi="宋体" w:eastAsia="仿宋_GB2312" w:cs="Times New Roman"/>
          <w:snapToGrid w:val="0"/>
          <w:color w:val="000000"/>
          <w:kern w:val="0"/>
          <w:sz w:val="28"/>
          <w:szCs w:val="28"/>
          <w:lang w:val="en-US" w:eastAsia="zh-CN" w:bidi="ar-SA"/>
        </w:rPr>
      </w:pPr>
      <w:bookmarkStart w:id="37" w:name="_Toc22880"/>
      <w:r>
        <w:rPr>
          <w:rFonts w:hint="eastAsia" w:ascii="宋体" w:hAnsi="宋体" w:eastAsia="仿宋_GB2312" w:cs="Times New Roman"/>
          <w:snapToGrid w:val="0"/>
          <w:color w:val="000000"/>
          <w:kern w:val="0"/>
          <w:sz w:val="28"/>
          <w:szCs w:val="28"/>
          <w:lang w:val="en-US" w:eastAsia="zh-CN" w:bidi="ar-SA"/>
        </w:rPr>
        <w:t>南昌市西湖区数智西湖建设项目的建设有利于全面推进南昌市西湖区政府数字化政务服务效率与质量，深度融合“互联网+政务服务”，提升南昌市西湖区数字政府的服务综合水平，符合《中华人民共和国国民经济和社会发展第十四个五年规划和2035年远景目标纲要》的要求。</w:t>
      </w:r>
    </w:p>
    <w:p w14:paraId="63F300E0">
      <w:pPr>
        <w:pStyle w:val="8"/>
        <w:bidi w:val="0"/>
        <w:rPr>
          <w:rFonts w:hint="eastAsia" w:ascii="宋体" w:hAnsi="宋体" w:eastAsia="仿宋_GB2312" w:cs="Times New Roman"/>
          <w:snapToGrid w:val="0"/>
          <w:color w:val="000000"/>
          <w:kern w:val="0"/>
          <w:sz w:val="28"/>
          <w:szCs w:val="28"/>
          <w:lang w:val="en-US" w:eastAsia="zh-CN" w:bidi="ar-SA"/>
        </w:rPr>
      </w:pPr>
      <w:r>
        <w:rPr>
          <w:rFonts w:hint="eastAsia" w:ascii="宋体" w:hAnsi="宋体" w:eastAsia="仿宋_GB2312" w:cs="Times New Roman"/>
          <w:snapToGrid w:val="0"/>
          <w:color w:val="000000"/>
          <w:kern w:val="0"/>
          <w:sz w:val="28"/>
          <w:szCs w:val="28"/>
          <w:lang w:val="en-US" w:eastAsia="zh-CN" w:bidi="ar-SA"/>
        </w:rPr>
        <w:t>本项目的建设可收集处理区域内不同类型的数据，做到以实际需求为导向直观显示分析结果，推动数据价值产品化、服务化，在保障数据安全的同时，提升城市数据运营和开发利用的水平，满足《“十四五”数字经济发展规划的通知》（国发〔2021〕29号）的要求。</w:t>
      </w:r>
    </w:p>
    <w:p w14:paraId="7E8A3CE6">
      <w:pPr>
        <w:pStyle w:val="8"/>
        <w:bidi w:val="0"/>
        <w:rPr>
          <w:rFonts w:hint="eastAsia" w:ascii="宋体" w:hAnsi="宋体" w:eastAsia="仿宋_GB2312" w:cs="Times New Roman"/>
          <w:snapToGrid w:val="0"/>
          <w:color w:val="000000"/>
          <w:kern w:val="0"/>
          <w:sz w:val="28"/>
          <w:szCs w:val="28"/>
          <w:lang w:val="en-US" w:eastAsia="zh-CN" w:bidi="ar-SA"/>
        </w:rPr>
      </w:pPr>
      <w:r>
        <w:rPr>
          <w:rFonts w:hint="eastAsia" w:ascii="宋体" w:hAnsi="宋体" w:eastAsia="仿宋_GB2312" w:cs="Times New Roman"/>
          <w:snapToGrid w:val="0"/>
          <w:color w:val="000000"/>
          <w:kern w:val="0"/>
          <w:sz w:val="28"/>
          <w:szCs w:val="28"/>
          <w:lang w:val="en-US" w:eastAsia="zh-CN" w:bidi="ar-SA"/>
        </w:rPr>
        <w:t>本项目的建设可促进《关于加强数字政府建设的指导意见》（国发〔2022〕14号）中提出目标的实现。具体目标为：“到2025年，与政府治理能力现代化相适应的数字政府顶层设计更加完善、统筹协调机制更加健全，政府履职数字化、智能化水平显著提升，政府决策科学化、社会治理精准化、公共服务高效化取得重要进展，数字政府建设在服务党和国家重大战略、促进经济社会高质量发展、建设人民满意的服务型政府等方面发挥重要作用”。</w:t>
      </w:r>
    </w:p>
    <w:p w14:paraId="07476AEC">
      <w:pPr>
        <w:pStyle w:val="8"/>
        <w:bidi w:val="0"/>
        <w:rPr>
          <w:rFonts w:hint="eastAsia" w:ascii="宋体" w:hAnsi="宋体" w:eastAsia="仿宋_GB2312" w:cs="Times New Roman"/>
          <w:snapToGrid w:val="0"/>
          <w:color w:val="000000"/>
          <w:kern w:val="0"/>
          <w:sz w:val="28"/>
          <w:szCs w:val="28"/>
          <w:lang w:val="en-US" w:eastAsia="zh-CN" w:bidi="ar-SA"/>
        </w:rPr>
      </w:pPr>
      <w:r>
        <w:rPr>
          <w:rFonts w:hint="eastAsia" w:ascii="宋体" w:hAnsi="宋体" w:eastAsia="仿宋_GB2312" w:cs="Times New Roman"/>
          <w:snapToGrid w:val="0"/>
          <w:color w:val="000000"/>
          <w:kern w:val="0"/>
          <w:sz w:val="28"/>
          <w:szCs w:val="28"/>
          <w:lang w:val="en-US" w:eastAsia="zh-CN" w:bidi="ar-SA"/>
        </w:rPr>
        <w:t>本项目的建设是推进西湖区城市空间“一张图”数字化管理和城市运行“一网统管”，构建城市健康高效运行系统和，提高突发事件快速智能响应力，符合《江西省数字政府建设三年行动计划（2022-2024年）》的相关要求。</w:t>
      </w:r>
    </w:p>
    <w:p w14:paraId="70910175">
      <w:pPr>
        <w:pStyle w:val="8"/>
        <w:bidi w:val="0"/>
        <w:rPr>
          <w:rFonts w:hint="eastAsia" w:ascii="宋体" w:hAnsi="宋体" w:eastAsia="仿宋_GB2312" w:cs="Times New Roman"/>
          <w:snapToGrid w:val="0"/>
          <w:color w:val="000000"/>
          <w:kern w:val="0"/>
          <w:sz w:val="28"/>
          <w:szCs w:val="28"/>
          <w:lang w:val="en-US" w:eastAsia="zh-CN" w:bidi="ar-SA"/>
        </w:rPr>
      </w:pPr>
      <w:r>
        <w:rPr>
          <w:rFonts w:hint="eastAsia" w:ascii="宋体" w:hAnsi="宋体" w:eastAsia="仿宋_GB2312" w:cs="Times New Roman"/>
          <w:snapToGrid w:val="0"/>
          <w:color w:val="000000"/>
          <w:kern w:val="0"/>
          <w:sz w:val="28"/>
          <w:szCs w:val="28"/>
          <w:lang w:val="en-US" w:eastAsia="zh-CN" w:bidi="ar-SA"/>
        </w:rPr>
        <w:t>本项目是以实际数据调研、收集、校验、转换、挖掘为基础，以政策研究、分析、决策、生成、评估为目标，搭建动态监测、统计分析、趋势研判、效果评估、风险防控等应用场景，提供数据汇聚、业务建模、决策效果评估的一体化智能服务，符合《江西省数字政府建设总体方案》（赣府发〔2023〕8号）的相关要求。</w:t>
      </w:r>
    </w:p>
    <w:p w14:paraId="46ED41C6">
      <w:pPr>
        <w:pStyle w:val="8"/>
        <w:bidi w:val="0"/>
        <w:rPr>
          <w:rFonts w:hint="eastAsia" w:ascii="宋体" w:hAnsi="宋体" w:eastAsia="仿宋_GB2312" w:cs="Times New Roman"/>
          <w:snapToGrid w:val="0"/>
          <w:color w:val="000000"/>
          <w:kern w:val="0"/>
          <w:sz w:val="28"/>
          <w:szCs w:val="28"/>
          <w:lang w:val="en-US" w:eastAsia="zh-CN" w:bidi="ar-SA"/>
        </w:rPr>
      </w:pPr>
      <w:r>
        <w:rPr>
          <w:rFonts w:hint="eastAsia" w:ascii="宋体" w:hAnsi="宋体" w:eastAsia="仿宋_GB2312" w:cs="Times New Roman"/>
          <w:snapToGrid w:val="0"/>
          <w:color w:val="000000"/>
          <w:kern w:val="0"/>
          <w:sz w:val="28"/>
          <w:szCs w:val="28"/>
          <w:lang w:val="en-US" w:eastAsia="zh-CN" w:bidi="ar-SA"/>
        </w:rPr>
        <w:t>本项目建设目标为保障数据安全的前提下，推进西湖区跨系统、跨部门、跨业务的协同治理，提高决策效率，符合《南昌市数字政府规划建设方案》提出的相关要求。</w:t>
      </w:r>
    </w:p>
    <w:p w14:paraId="4C312399">
      <w:pPr>
        <w:pStyle w:val="8"/>
        <w:bidi w:val="0"/>
        <w:rPr>
          <w:rFonts w:hint="eastAsia" w:ascii="宋体" w:hAnsi="宋体" w:eastAsia="仿宋_GB2312" w:cs="Times New Roman"/>
          <w:snapToGrid w:val="0"/>
          <w:color w:val="000000"/>
          <w:kern w:val="0"/>
          <w:sz w:val="28"/>
          <w:szCs w:val="28"/>
          <w:lang w:val="en-US" w:eastAsia="zh-CN" w:bidi="ar-SA"/>
        </w:rPr>
      </w:pPr>
    </w:p>
    <w:p w14:paraId="38580D82">
      <w:pPr>
        <w:pStyle w:val="3"/>
        <w:numPr>
          <w:ilvl w:val="0"/>
          <w:numId w:val="0"/>
        </w:numPr>
      </w:pPr>
      <w:r>
        <w:rPr>
          <w:rFonts w:hint="eastAsia"/>
        </w:rPr>
        <w:t>（三）项目基本情况</w:t>
      </w:r>
      <w:bookmarkEnd w:id="37"/>
    </w:p>
    <w:p w14:paraId="6FE19DF9">
      <w:pPr>
        <w:widowControl/>
        <w:spacing w:line="560" w:lineRule="exact"/>
        <w:jc w:val="left"/>
        <w:rPr>
          <w:rFonts w:hint="eastAsia" w:ascii="楷体" w:eastAsia="楷体" w:cs="楷体"/>
          <w:b/>
          <w:bCs/>
          <w:sz w:val="28"/>
          <w:szCs w:val="28"/>
          <w:lang w:bidi="ar-SA"/>
        </w:rPr>
      </w:pPr>
      <w:r>
        <w:rPr>
          <w:rFonts w:hint="eastAsia" w:ascii="楷体" w:eastAsia="楷体" w:cs="楷体"/>
          <w:b/>
          <w:bCs/>
          <w:sz w:val="28"/>
          <w:szCs w:val="28"/>
          <w:lang w:bidi="ar-SA"/>
        </w:rPr>
        <w:t>（名称、地点、建设单位、建设内容、项目建设期及运营期等情况）</w:t>
      </w:r>
    </w:p>
    <w:p w14:paraId="59CE7F7B">
      <w:pPr>
        <w:widowControl/>
        <w:spacing w:line="560" w:lineRule="exact"/>
        <w:jc w:val="left"/>
        <w:rPr>
          <w:rFonts w:hint="eastAsia" w:ascii="宋体" w:cs="楷体"/>
          <w:sz w:val="24"/>
          <w:szCs w:val="24"/>
          <w:lang w:bidi="ar-SA"/>
        </w:rPr>
      </w:pPr>
      <w:r>
        <w:rPr>
          <w:rFonts w:hint="eastAsia" w:ascii="宋体" w:cs="楷体"/>
          <w:sz w:val="24"/>
          <w:szCs w:val="24"/>
          <w:lang w:bidi="ar-SA"/>
        </w:rPr>
        <w:t>（1）参与主体</w:t>
      </w:r>
    </w:p>
    <w:p w14:paraId="5600FDFA">
      <w:pPr>
        <w:pStyle w:val="14"/>
        <w:spacing w:line="600" w:lineRule="exact"/>
        <w:ind w:firstLine="480" w:firstLineChars="200"/>
        <w:rPr>
          <w:rFonts w:hint="eastAsia" w:ascii="宋体" w:eastAsia="宋体" w:cs="楷体"/>
          <w:kern w:val="2"/>
          <w:sz w:val="24"/>
          <w:szCs w:val="24"/>
          <w:lang w:val="en-US" w:eastAsia="zh-CN" w:bidi="ar-SA"/>
        </w:rPr>
      </w:pPr>
      <w:r>
        <w:rPr>
          <w:rFonts w:hint="eastAsia" w:ascii="宋体" w:eastAsia="宋体" w:cs="楷体"/>
          <w:kern w:val="2"/>
          <w:sz w:val="24"/>
          <w:szCs w:val="24"/>
          <w:lang w:val="en-US" w:eastAsia="zh-CN" w:bidi="ar-SA"/>
        </w:rPr>
        <w:t>项目名称：南昌市西湖区数智西湖建设项目</w:t>
      </w:r>
    </w:p>
    <w:p w14:paraId="7FC32968">
      <w:pPr>
        <w:pStyle w:val="14"/>
        <w:spacing w:line="600" w:lineRule="exact"/>
        <w:ind w:firstLine="480" w:firstLineChars="200"/>
        <w:rPr>
          <w:rFonts w:hint="eastAsia" w:ascii="宋体" w:eastAsia="宋体" w:cs="楷体"/>
          <w:kern w:val="2"/>
          <w:sz w:val="24"/>
          <w:szCs w:val="24"/>
          <w:lang w:val="en-US" w:eastAsia="zh-CN" w:bidi="ar-SA"/>
        </w:rPr>
      </w:pPr>
      <w:r>
        <w:rPr>
          <w:rFonts w:hint="eastAsia" w:ascii="宋体" w:eastAsia="宋体" w:cs="楷体"/>
          <w:kern w:val="2"/>
          <w:sz w:val="24"/>
          <w:szCs w:val="24"/>
          <w:lang w:val="en-US" w:eastAsia="zh-CN" w:bidi="ar-SA"/>
        </w:rPr>
        <w:t>业主单位：西湖区政务服务数据管理局</w:t>
      </w:r>
    </w:p>
    <w:p w14:paraId="50E7C4FA">
      <w:pPr>
        <w:pStyle w:val="14"/>
        <w:spacing w:line="600" w:lineRule="exact"/>
        <w:ind w:firstLine="480" w:firstLineChars="200"/>
        <w:rPr>
          <w:rFonts w:hint="default" w:ascii="宋体" w:eastAsia="宋体" w:cs="楷体"/>
          <w:kern w:val="2"/>
          <w:sz w:val="24"/>
          <w:szCs w:val="24"/>
          <w:lang w:val="en-US" w:eastAsia="zh-CN" w:bidi="ar-SA"/>
        </w:rPr>
      </w:pPr>
      <w:r>
        <w:rPr>
          <w:rFonts w:hint="eastAsia" w:ascii="宋体" w:eastAsia="宋体" w:cs="楷体"/>
          <w:kern w:val="2"/>
          <w:sz w:val="24"/>
          <w:szCs w:val="24"/>
          <w:lang w:val="en-US" w:eastAsia="zh-CN" w:bidi="ar-SA"/>
        </w:rPr>
        <w:t>建设单位：</w:t>
      </w:r>
      <w:r>
        <w:rPr>
          <w:rFonts w:hint="eastAsia" w:ascii="宋体" w:eastAsia="宋体" w:cs="楷体"/>
          <w:kern w:val="2"/>
          <w:sz w:val="24"/>
          <w:szCs w:val="24"/>
          <w:lang w:val="en-US" w:eastAsia="zh-CN" w:bidi="ar-SA"/>
        </w:rPr>
        <w:t>西湖区政务服务数据管理局</w:t>
      </w:r>
    </w:p>
    <w:p w14:paraId="098EA64F">
      <w:pPr>
        <w:widowControl/>
        <w:spacing w:line="560" w:lineRule="exact"/>
        <w:jc w:val="left"/>
        <w:rPr>
          <w:rFonts w:hint="eastAsia" w:ascii="宋体" w:cs="楷体"/>
          <w:sz w:val="24"/>
          <w:szCs w:val="24"/>
          <w:lang w:bidi="ar-SA"/>
        </w:rPr>
      </w:pPr>
      <w:r>
        <w:rPr>
          <w:rFonts w:hint="eastAsia" w:ascii="宋体" w:cs="楷体"/>
          <w:sz w:val="24"/>
          <w:szCs w:val="24"/>
          <w:lang w:bidi="ar-SA"/>
        </w:rPr>
        <w:t>（2）建设地点</w:t>
      </w:r>
    </w:p>
    <w:p w14:paraId="1FBB572E">
      <w:pPr>
        <w:spacing w:before="156" w:beforeLines="50" w:after="156" w:afterLines="50" w:line="560" w:lineRule="exact"/>
        <w:ind w:firstLine="480" w:firstLineChars="200"/>
        <w:rPr>
          <w:rFonts w:hint="eastAsia" w:eastAsia="宋体" w:cs="Arial"/>
          <w:sz w:val="24"/>
          <w:szCs w:val="24"/>
          <w:lang w:val="en-US" w:eastAsia="zh-CN"/>
        </w:rPr>
      </w:pPr>
      <w:r>
        <w:rPr>
          <w:rFonts w:hint="eastAsia" w:eastAsia="宋体" w:cs="Arial"/>
          <w:sz w:val="24"/>
          <w:szCs w:val="24"/>
          <w:lang w:val="en-US" w:eastAsia="zh-CN"/>
        </w:rPr>
        <w:t>项目地址位于：本项目智慧系统位于江西省南昌市西湖区，后台指挥中心与机房设置于江西省南昌市西湖区市民中心，南一环路与云天路交界处</w:t>
      </w:r>
    </w:p>
    <w:p w14:paraId="171D836E">
      <w:pPr>
        <w:widowControl/>
        <w:spacing w:line="560" w:lineRule="exact"/>
        <w:jc w:val="left"/>
        <w:rPr>
          <w:rFonts w:hint="eastAsia" w:ascii="宋体" w:cs="楷体"/>
          <w:sz w:val="24"/>
          <w:szCs w:val="24"/>
          <w:lang w:bidi="ar-SA"/>
        </w:rPr>
      </w:pPr>
      <w:r>
        <w:rPr>
          <w:rFonts w:hint="eastAsia" w:ascii="宋体" w:cs="楷体"/>
          <w:sz w:val="24"/>
          <w:szCs w:val="24"/>
          <w:lang w:bidi="ar-SA"/>
        </w:rPr>
        <w:t>（3） 建设内容</w:t>
      </w:r>
    </w:p>
    <w:p w14:paraId="1E5B19DD">
      <w:pPr>
        <w:spacing w:before="156" w:beforeLines="50" w:after="156" w:afterLines="50" w:line="560" w:lineRule="exact"/>
        <w:ind w:firstLine="480" w:firstLineChars="200"/>
        <w:rPr>
          <w:rFonts w:hint="eastAsia" w:eastAsia="宋体" w:cs="Arial"/>
          <w:sz w:val="24"/>
          <w:szCs w:val="24"/>
          <w:lang w:val="en-US" w:eastAsia="zh-CN"/>
        </w:rPr>
      </w:pPr>
      <w:r>
        <w:rPr>
          <w:rFonts w:hint="eastAsia" w:eastAsia="宋体" w:cs="Arial"/>
          <w:sz w:val="24"/>
          <w:szCs w:val="24"/>
        </w:rPr>
        <w:t>本工程建设内容:</w:t>
      </w:r>
      <w:r>
        <w:rPr>
          <w:rFonts w:hint="eastAsia" w:eastAsia="宋体" w:cs="Arial"/>
          <w:sz w:val="24"/>
          <w:szCs w:val="24"/>
          <w:lang w:val="en-US" w:eastAsia="zh-CN"/>
        </w:rPr>
        <w:t>本项目为南昌市西湖区数智西湖建设项目，主要建设内容包括新建智慧平台系统、智慧停车系统、机架、传感器设备、新增算力和存储资源与设备，部分利旧信息化设备以及网络设备、摄像头与监控立杆、机房综合布线及服务器、场地准备等基础设施。</w:t>
      </w:r>
    </w:p>
    <w:p w14:paraId="66B97E43">
      <w:pPr>
        <w:pStyle w:val="14"/>
        <w:spacing w:line="600" w:lineRule="exact"/>
        <w:ind w:firstLine="560" w:firstLineChars="200"/>
        <w:rPr>
          <w:rFonts w:hint="eastAsia" w:ascii="华文楷体" w:hAnsi="华文楷体" w:eastAsia="楷体" w:cs="Times New Roman"/>
          <w:b/>
          <w:kern w:val="2"/>
          <w:sz w:val="28"/>
          <w:szCs w:val="22"/>
          <w:lang w:val="en-GB" w:eastAsia="en-GB" w:bidi="ar-SA"/>
        </w:rPr>
      </w:pPr>
      <w:r>
        <w:rPr>
          <w:rFonts w:hint="eastAsia" w:ascii="华文楷体" w:hAnsi="华文楷体" w:eastAsia="楷体" w:cs="Times New Roman"/>
          <w:b/>
          <w:kern w:val="2"/>
          <w:sz w:val="28"/>
          <w:szCs w:val="22"/>
          <w:lang w:val="en-GB" w:eastAsia="en-GB" w:bidi="ar-SA"/>
        </w:rPr>
        <w:t>二、项目投资估算及资金筹措方案</w:t>
      </w:r>
    </w:p>
    <w:p w14:paraId="66583691">
      <w:pPr>
        <w:pStyle w:val="3"/>
        <w:numPr>
          <w:ilvl w:val="0"/>
          <w:numId w:val="0"/>
        </w:numPr>
        <w:ind w:left="520"/>
      </w:pPr>
      <w:bookmarkStart w:id="38" w:name="_Toc3397"/>
      <w:r>
        <w:rPr>
          <w:rFonts w:hint="eastAsia"/>
        </w:rPr>
        <w:t>（一）</w:t>
      </w:r>
      <w:r>
        <w:rPr>
          <w:rStyle w:val="40"/>
          <w:rFonts w:hint="eastAsia"/>
          <w:b/>
        </w:rPr>
        <w:t>投资估算</w:t>
      </w:r>
      <w:bookmarkEnd w:id="38"/>
    </w:p>
    <w:p w14:paraId="2DB0255A">
      <w:pPr>
        <w:pStyle w:val="124"/>
        <w:autoSpaceDE w:val="0"/>
        <w:autoSpaceDN w:val="0"/>
        <w:spacing w:line="560" w:lineRule="exact"/>
        <w:rPr>
          <w:rFonts w:hint="default" w:ascii="宋体" w:hAnsi="Calibri" w:eastAsia="宋体" w:cs="宋体"/>
          <w:color w:val="000000"/>
          <w:kern w:val="2"/>
          <w:sz w:val="24"/>
          <w:szCs w:val="24"/>
          <w:lang w:val="en-US" w:eastAsia="zh-CN" w:bidi="ar-SA"/>
        </w:rPr>
      </w:pPr>
      <w:r>
        <w:rPr>
          <w:rFonts w:hint="eastAsia" w:ascii="宋体" w:hAnsi="Calibri" w:eastAsia="宋体" w:cs="宋体"/>
          <w:color w:val="000000"/>
          <w:kern w:val="2"/>
          <w:sz w:val="24"/>
          <w:szCs w:val="24"/>
          <w:lang w:val="en-US" w:eastAsia="zh-CN" w:bidi="ar-SA"/>
        </w:rPr>
        <w:t>1、估算依据</w:t>
      </w:r>
    </w:p>
    <w:p w14:paraId="2DBA7F55">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GB" w:eastAsia="zh-CN" w:bidi="ar-SA"/>
        </w:rPr>
        <w:t>1</w:t>
      </w:r>
      <w:r>
        <w:rPr>
          <w:rFonts w:hint="eastAsia" w:ascii="宋体" w:hAnsi="宋体" w:eastAsia="仿宋_GB2312" w:cs="Times New Roman"/>
          <w:snapToGrid/>
          <w:kern w:val="2"/>
          <w:sz w:val="28"/>
          <w:szCs w:val="28"/>
          <w:lang w:val="en-US" w:eastAsia="zh-CN" w:bidi="ar-SA"/>
        </w:rPr>
        <w:t>)</w:t>
      </w:r>
      <w:r>
        <w:rPr>
          <w:rFonts w:hint="eastAsia" w:ascii="宋体" w:hAnsi="宋体" w:eastAsia="仿宋_GB2312" w:cs="Times New Roman"/>
          <w:snapToGrid/>
          <w:kern w:val="2"/>
          <w:sz w:val="28"/>
          <w:szCs w:val="28"/>
          <w:lang w:val="en-GB" w:eastAsia="zh-CN" w:bidi="ar-SA"/>
        </w:rPr>
        <w:t>根据有关专业提供的图纸、设备清单、文字说明及相关资料；</w:t>
      </w:r>
    </w:p>
    <w:p w14:paraId="623895F9">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2)</w:t>
      </w:r>
      <w:r>
        <w:rPr>
          <w:rFonts w:hint="eastAsia" w:ascii="宋体" w:hAnsi="宋体" w:eastAsia="仿宋_GB2312" w:cs="Times New Roman"/>
          <w:snapToGrid/>
          <w:kern w:val="2"/>
          <w:sz w:val="28"/>
          <w:szCs w:val="28"/>
          <w:lang w:val="en-GB" w:eastAsia="zh-CN" w:bidi="ar-SA"/>
        </w:rPr>
        <w:t>工业和信息化部办公厅关于发布《电子建设工程概（预）算编制办法及计价依据》和《电子建设工程预算定额》（</w:t>
      </w:r>
      <w:r>
        <w:rPr>
          <w:rFonts w:hint="eastAsia" w:ascii="宋体" w:hAnsi="宋体" w:eastAsia="仿宋_GB2312" w:cs="Times New Roman"/>
          <w:snapToGrid/>
          <w:kern w:val="2"/>
          <w:sz w:val="28"/>
          <w:szCs w:val="28"/>
          <w:lang w:val="en-US" w:eastAsia="zh-CN" w:bidi="ar-SA"/>
        </w:rPr>
        <w:t>2015年</w:t>
      </w:r>
      <w:r>
        <w:rPr>
          <w:rFonts w:hint="eastAsia" w:ascii="宋体" w:hAnsi="宋体" w:eastAsia="仿宋_GB2312" w:cs="Times New Roman"/>
          <w:snapToGrid/>
          <w:kern w:val="2"/>
          <w:sz w:val="28"/>
          <w:szCs w:val="28"/>
          <w:lang w:val="en-GB" w:eastAsia="zh-CN" w:bidi="ar-SA"/>
        </w:rPr>
        <w:t>）；</w:t>
      </w:r>
    </w:p>
    <w:p w14:paraId="08C49C0F">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3)</w:t>
      </w:r>
      <w:r>
        <w:rPr>
          <w:rFonts w:hint="eastAsia" w:ascii="宋体" w:hAnsi="宋体" w:eastAsia="仿宋_GB2312" w:cs="Times New Roman"/>
          <w:snapToGrid/>
          <w:kern w:val="2"/>
          <w:sz w:val="28"/>
          <w:szCs w:val="28"/>
          <w:lang w:val="en-GB" w:eastAsia="zh-CN" w:bidi="ar-SA"/>
        </w:rPr>
        <w:t>中华人民共和国国家发展改革委员会《国家电子政务工程建设项目管理暂行办法》（2007年）；</w:t>
      </w:r>
    </w:p>
    <w:p w14:paraId="4F2D20E3">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4)</w:t>
      </w:r>
      <w:r>
        <w:rPr>
          <w:rFonts w:hint="eastAsia" w:ascii="宋体" w:hAnsi="宋体" w:eastAsia="仿宋_GB2312" w:cs="Times New Roman"/>
          <w:snapToGrid/>
          <w:kern w:val="2"/>
          <w:sz w:val="28"/>
          <w:szCs w:val="28"/>
          <w:lang w:val="en-GB" w:eastAsia="zh-CN" w:bidi="ar-SA"/>
        </w:rPr>
        <w:t>《江西省通用安装工程消耗量定额及统一基价表》（2017年）；</w:t>
      </w:r>
    </w:p>
    <w:p w14:paraId="18D2322F">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5)</w:t>
      </w:r>
      <w:r>
        <w:rPr>
          <w:rFonts w:hint="eastAsia" w:ascii="宋体" w:hAnsi="宋体" w:eastAsia="仿宋_GB2312" w:cs="Times New Roman"/>
          <w:snapToGrid/>
          <w:kern w:val="2"/>
          <w:sz w:val="28"/>
          <w:szCs w:val="28"/>
          <w:lang w:val="en-GB" w:eastAsia="zh-CN" w:bidi="ar-SA"/>
        </w:rPr>
        <w:t>《江西省建筑与装饰、通用安装、市政工程费用定额（试行）》；</w:t>
      </w:r>
    </w:p>
    <w:p w14:paraId="1031869C">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6</w:t>
      </w:r>
      <w:bookmarkStart w:id="39" w:name="_Hlk123032493"/>
      <w:r>
        <w:rPr>
          <w:rFonts w:hint="eastAsia" w:ascii="宋体" w:hAnsi="宋体" w:eastAsia="仿宋_GB2312" w:cs="Times New Roman"/>
          <w:snapToGrid/>
          <w:kern w:val="2"/>
          <w:sz w:val="28"/>
          <w:szCs w:val="28"/>
          <w:lang w:val="en-US" w:eastAsia="zh-CN" w:bidi="ar-SA"/>
        </w:rPr>
        <w:t>)</w:t>
      </w:r>
      <w:r>
        <w:rPr>
          <w:rFonts w:hint="eastAsia" w:ascii="宋体" w:hAnsi="宋体" w:eastAsia="仿宋_GB2312" w:cs="Times New Roman"/>
          <w:snapToGrid/>
          <w:kern w:val="2"/>
          <w:sz w:val="28"/>
          <w:szCs w:val="28"/>
          <w:lang w:val="en-GB" w:eastAsia="zh-CN" w:bidi="ar-SA"/>
        </w:rPr>
        <w:t>《关于重新调整江西省建设工程计价依据增值税税率的通知》赣建价[2019]1号文</w:t>
      </w:r>
      <w:bookmarkEnd w:id="39"/>
      <w:r>
        <w:rPr>
          <w:rFonts w:hint="eastAsia" w:ascii="宋体" w:hAnsi="宋体" w:eastAsia="仿宋_GB2312" w:cs="Times New Roman"/>
          <w:snapToGrid/>
          <w:kern w:val="2"/>
          <w:sz w:val="28"/>
          <w:szCs w:val="28"/>
          <w:lang w:val="en-GB" w:eastAsia="zh-CN" w:bidi="ar-SA"/>
        </w:rPr>
        <w:t>；</w:t>
      </w:r>
    </w:p>
    <w:p w14:paraId="74509EE2">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7)</w:t>
      </w:r>
      <w:r>
        <w:rPr>
          <w:rFonts w:hint="eastAsia" w:ascii="宋体" w:hAnsi="宋体" w:eastAsia="仿宋_GB2312" w:cs="Times New Roman"/>
          <w:snapToGrid/>
          <w:kern w:val="2"/>
          <w:sz w:val="28"/>
          <w:szCs w:val="28"/>
          <w:lang w:val="en-GB" w:eastAsia="zh-CN" w:bidi="ar-SA"/>
        </w:rPr>
        <w:t>《关于调整2017版《江西省建设工程定额》综合工日单价的通知》赣建价[2020]5号文；</w:t>
      </w:r>
    </w:p>
    <w:p w14:paraId="0597607A">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8)江西省</w:t>
      </w:r>
      <w:r>
        <w:rPr>
          <w:rFonts w:hint="eastAsia" w:ascii="宋体" w:hAnsi="宋体" w:eastAsia="仿宋_GB2312" w:cs="Times New Roman"/>
          <w:snapToGrid/>
          <w:kern w:val="2"/>
          <w:sz w:val="28"/>
          <w:szCs w:val="28"/>
          <w:lang w:val="en-GB" w:eastAsia="zh-CN" w:bidi="ar-SA"/>
        </w:rPr>
        <w:t>类似</w:t>
      </w:r>
      <w:r>
        <w:rPr>
          <w:rFonts w:hint="eastAsia" w:ascii="宋体" w:hAnsi="宋体" w:eastAsia="仿宋_GB2312" w:cs="Times New Roman"/>
          <w:snapToGrid/>
          <w:kern w:val="2"/>
          <w:sz w:val="28"/>
          <w:szCs w:val="28"/>
          <w:lang w:val="en-US" w:eastAsia="zh-CN" w:bidi="ar-SA"/>
        </w:rPr>
        <w:t>项目</w:t>
      </w:r>
      <w:r>
        <w:rPr>
          <w:rFonts w:hint="eastAsia" w:ascii="宋体" w:hAnsi="宋体" w:eastAsia="仿宋_GB2312" w:cs="Times New Roman"/>
          <w:snapToGrid/>
          <w:kern w:val="2"/>
          <w:sz w:val="28"/>
          <w:szCs w:val="28"/>
          <w:lang w:val="en-GB" w:eastAsia="zh-CN" w:bidi="ar-SA"/>
        </w:rPr>
        <w:t>造价指标；</w:t>
      </w:r>
    </w:p>
    <w:p w14:paraId="168C9F68">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9)中华人民共和国国家发展计划委员会、建设部《建设项目经济评价方法与参数(第三版)》；</w:t>
      </w:r>
    </w:p>
    <w:p w14:paraId="5AAA7586">
      <w:pPr>
        <w:pStyle w:val="8"/>
        <w:bidi w:val="0"/>
        <w:rPr>
          <w:rFonts w:hint="eastAsia" w:ascii="宋体" w:hAnsi="宋体" w:eastAsia="仿宋_GB2312" w:cs="Times New Roman"/>
          <w:snapToGrid/>
          <w:kern w:val="2"/>
          <w:sz w:val="28"/>
          <w:szCs w:val="28"/>
          <w:lang w:val="en-US" w:eastAsia="zh-CN" w:bidi="ar-SA"/>
        </w:rPr>
      </w:pPr>
      <w:r>
        <w:rPr>
          <w:rFonts w:hint="eastAsia" w:ascii="宋体" w:hAnsi="宋体" w:eastAsia="仿宋_GB2312" w:cs="Times New Roman"/>
          <w:snapToGrid/>
          <w:kern w:val="2"/>
          <w:sz w:val="28"/>
          <w:szCs w:val="28"/>
          <w:lang w:val="en-US" w:eastAsia="zh-CN" w:bidi="ar-SA"/>
        </w:rPr>
        <w:t>9)</w:t>
      </w:r>
      <w:r>
        <w:rPr>
          <w:rFonts w:hint="eastAsia" w:ascii="宋体" w:hAnsi="宋体" w:eastAsia="仿宋_GB2312" w:cs="Times New Roman"/>
          <w:snapToGrid/>
          <w:kern w:val="2"/>
          <w:sz w:val="28"/>
          <w:szCs w:val="28"/>
          <w:lang w:val="en-GB" w:eastAsia="zh-CN" w:bidi="ar-SA"/>
        </w:rPr>
        <w:t>设备购置费参</w:t>
      </w:r>
      <w:r>
        <w:rPr>
          <w:rFonts w:hint="eastAsia" w:ascii="宋体" w:hAnsi="宋体" w:eastAsia="仿宋_GB2312" w:cs="Times New Roman"/>
          <w:snapToGrid/>
          <w:kern w:val="2"/>
          <w:sz w:val="28"/>
          <w:szCs w:val="28"/>
          <w:lang w:val="en-US" w:eastAsia="zh-CN" w:bidi="ar-SA"/>
        </w:rPr>
        <w:t>照市场价格或有关部门核定的价格估算</w:t>
      </w:r>
      <w:r>
        <w:rPr>
          <w:rFonts w:hint="eastAsia" w:ascii="宋体" w:hAnsi="宋体" w:cs="Times New Roman"/>
          <w:snapToGrid/>
          <w:kern w:val="2"/>
          <w:sz w:val="28"/>
          <w:szCs w:val="28"/>
          <w:lang w:val="en-US" w:eastAsia="zh-CN" w:bidi="ar-SA"/>
        </w:rPr>
        <w:t>；</w:t>
      </w:r>
    </w:p>
    <w:p w14:paraId="56367888">
      <w:pPr>
        <w:pStyle w:val="8"/>
        <w:bidi w:val="0"/>
        <w:rPr>
          <w:rFonts w:hint="default" w:ascii="宋体" w:hAnsi="宋体" w:eastAsia="仿宋_GB2312" w:cs="Times New Roman"/>
          <w:snapToGrid/>
          <w:kern w:val="2"/>
          <w:sz w:val="28"/>
          <w:szCs w:val="28"/>
          <w:lang w:val="en-US" w:eastAsia="zh-CN" w:bidi="ar-SA"/>
        </w:rPr>
      </w:pPr>
      <w:r>
        <w:rPr>
          <w:rFonts w:hint="eastAsia" w:ascii="宋体" w:hAnsi="宋体" w:eastAsia="仿宋_GB2312" w:cs="Times New Roman"/>
          <w:snapToGrid/>
          <w:kern w:val="2"/>
          <w:sz w:val="28"/>
          <w:szCs w:val="28"/>
          <w:lang w:val="en-US" w:eastAsia="zh-CN" w:bidi="ar-SA"/>
        </w:rPr>
        <w:t>10)应用系统软件定制费，按定制各种应用系统软件需要的工作量和人工费用估算。人工费用参考《软件开发和服务项目价格构成及评估方法（中国软件行业协会发布）》的评估标准。</w:t>
      </w:r>
    </w:p>
    <w:p w14:paraId="06C557E2">
      <w:pPr>
        <w:pStyle w:val="4"/>
        <w:widowControl w:val="0"/>
        <w:kinsoku/>
        <w:autoSpaceDE/>
        <w:autoSpaceDN/>
        <w:bidi w:val="0"/>
        <w:adjustRightInd/>
        <w:snapToGrid/>
        <w:spacing w:beforeAutospacing="0" w:afterAutospacing="0"/>
        <w:ind w:left="0" w:firstLine="514"/>
        <w:jc w:val="both"/>
        <w:textAlignment w:val="auto"/>
        <w:rPr>
          <w:rFonts w:hint="eastAsia" w:ascii="Times New Roman" w:hAnsi="Times New Roman" w:eastAsia="楷体_GB2312" w:cs="Times New Roman"/>
          <w:bCs/>
          <w:snapToGrid/>
          <w:kern w:val="2"/>
          <w:szCs w:val="32"/>
          <w:lang w:val="en-US" w:eastAsia="zh-CN"/>
        </w:rPr>
      </w:pPr>
      <w:bookmarkStart w:id="40" w:name="_Toc3491"/>
      <w:bookmarkStart w:id="41" w:name="_Toc14570"/>
      <w:bookmarkStart w:id="42" w:name="_Toc13394"/>
      <w:bookmarkStart w:id="43" w:name="_Toc6131"/>
      <w:bookmarkStart w:id="44" w:name="_Toc8010"/>
      <w:bookmarkStart w:id="45" w:name="_Toc2592"/>
      <w:bookmarkStart w:id="46" w:name="_Toc3186"/>
      <w:r>
        <w:rPr>
          <w:rFonts w:hint="eastAsia" w:ascii="Times New Roman" w:hAnsi="Times New Roman" w:eastAsia="楷体_GB2312" w:cs="Times New Roman"/>
          <w:bCs/>
          <w:snapToGrid/>
          <w:kern w:val="2"/>
          <w:szCs w:val="32"/>
          <w:lang w:val="en-US" w:eastAsia="zh-CN"/>
        </w:rPr>
        <w:t>其他费用</w:t>
      </w:r>
      <w:bookmarkEnd w:id="40"/>
      <w:bookmarkEnd w:id="41"/>
      <w:bookmarkEnd w:id="42"/>
      <w:bookmarkEnd w:id="43"/>
      <w:bookmarkEnd w:id="44"/>
      <w:bookmarkEnd w:id="45"/>
      <w:bookmarkEnd w:id="46"/>
    </w:p>
    <w:p w14:paraId="4985A041">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GB" w:eastAsia="zh-CN" w:bidi="ar-SA"/>
        </w:rPr>
        <w:t>1</w:t>
      </w:r>
      <w:r>
        <w:rPr>
          <w:rFonts w:hint="eastAsia" w:ascii="宋体" w:hAnsi="宋体" w:eastAsia="仿宋_GB2312" w:cs="Times New Roman"/>
          <w:snapToGrid/>
          <w:kern w:val="2"/>
          <w:sz w:val="28"/>
          <w:szCs w:val="28"/>
          <w:lang w:val="en-US" w:eastAsia="zh-CN" w:bidi="ar-SA"/>
        </w:rPr>
        <w:t>)</w:t>
      </w:r>
      <w:r>
        <w:rPr>
          <w:rFonts w:hint="eastAsia" w:ascii="宋体" w:hAnsi="宋体" w:eastAsia="仿宋_GB2312" w:cs="Times New Roman"/>
          <w:snapToGrid/>
          <w:kern w:val="2"/>
          <w:sz w:val="28"/>
          <w:szCs w:val="28"/>
          <w:lang w:val="en-GB" w:eastAsia="zh-CN" w:bidi="ar-SA"/>
        </w:rPr>
        <w:t>建设单位管理费根据《财政部关于印发&lt;基本建设项目建设成本管理规定&gt;的通知》（财建[2016]504号文）标准与</w:t>
      </w:r>
      <w:r>
        <w:rPr>
          <w:rFonts w:hint="eastAsia" w:ascii="宋体" w:hAnsi="宋体" w:cs="Times New Roman"/>
          <w:snapToGrid/>
          <w:kern w:val="2"/>
          <w:sz w:val="28"/>
          <w:szCs w:val="28"/>
          <w:lang w:val="en-US" w:eastAsia="zh-CN" w:bidi="ar-SA"/>
        </w:rPr>
        <w:t>市场</w:t>
      </w:r>
      <w:r>
        <w:rPr>
          <w:rFonts w:hint="eastAsia" w:ascii="宋体" w:hAnsi="宋体" w:eastAsia="仿宋_GB2312" w:cs="Times New Roman"/>
          <w:snapToGrid/>
          <w:kern w:val="2"/>
          <w:sz w:val="28"/>
          <w:szCs w:val="28"/>
          <w:lang w:val="en-GB" w:eastAsia="zh-CN" w:bidi="ar-SA"/>
        </w:rPr>
        <w:t>实际情况计价；</w:t>
      </w:r>
    </w:p>
    <w:p w14:paraId="0C815FD4">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GB" w:eastAsia="zh-CN" w:bidi="ar-SA"/>
        </w:rPr>
        <w:t>2</w:t>
      </w:r>
      <w:r>
        <w:rPr>
          <w:rFonts w:hint="eastAsia" w:ascii="宋体" w:hAnsi="宋体" w:eastAsia="仿宋_GB2312" w:cs="Times New Roman"/>
          <w:snapToGrid/>
          <w:kern w:val="2"/>
          <w:sz w:val="28"/>
          <w:szCs w:val="28"/>
          <w:lang w:val="en-US" w:eastAsia="zh-CN" w:bidi="ar-SA"/>
        </w:rPr>
        <w:t>)</w:t>
      </w:r>
      <w:r>
        <w:rPr>
          <w:rFonts w:hint="eastAsia" w:ascii="宋体" w:hAnsi="宋体" w:eastAsia="仿宋_GB2312" w:cs="Times New Roman"/>
          <w:snapToGrid/>
          <w:kern w:val="2"/>
          <w:sz w:val="28"/>
          <w:szCs w:val="28"/>
          <w:lang w:val="en-GB" w:eastAsia="zh-CN" w:bidi="ar-SA"/>
        </w:rPr>
        <w:t>监理费参照国家发改委、建设部关于印发《建设工程监理与相关服务收费管理规定》（发改价格[2007]670号文）标准与</w:t>
      </w:r>
      <w:r>
        <w:rPr>
          <w:rFonts w:hint="eastAsia" w:ascii="宋体" w:hAnsi="宋体" w:cs="Times New Roman"/>
          <w:snapToGrid/>
          <w:kern w:val="2"/>
          <w:sz w:val="28"/>
          <w:szCs w:val="28"/>
          <w:lang w:val="en-US" w:eastAsia="zh-CN" w:bidi="ar-SA"/>
        </w:rPr>
        <w:t>市场</w:t>
      </w:r>
      <w:r>
        <w:rPr>
          <w:rFonts w:hint="eastAsia" w:ascii="宋体" w:hAnsi="宋体" w:eastAsia="仿宋_GB2312" w:cs="Times New Roman"/>
          <w:snapToGrid/>
          <w:kern w:val="2"/>
          <w:sz w:val="28"/>
          <w:szCs w:val="28"/>
          <w:lang w:val="en-GB" w:eastAsia="zh-CN" w:bidi="ar-SA"/>
        </w:rPr>
        <w:t>实际情况计价；</w:t>
      </w:r>
    </w:p>
    <w:p w14:paraId="3F79677F">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GB" w:eastAsia="zh-CN" w:bidi="ar-SA"/>
        </w:rPr>
        <w:t>3</w:t>
      </w:r>
      <w:r>
        <w:rPr>
          <w:rFonts w:hint="eastAsia" w:ascii="宋体" w:hAnsi="宋体" w:eastAsia="仿宋_GB2312" w:cs="Times New Roman"/>
          <w:snapToGrid/>
          <w:kern w:val="2"/>
          <w:sz w:val="28"/>
          <w:szCs w:val="28"/>
          <w:lang w:val="en-US" w:eastAsia="zh-CN" w:bidi="ar-SA"/>
        </w:rPr>
        <w:t>)</w:t>
      </w:r>
      <w:r>
        <w:rPr>
          <w:rFonts w:hint="eastAsia" w:ascii="宋体" w:hAnsi="宋体" w:eastAsia="仿宋_GB2312" w:cs="Times New Roman"/>
          <w:snapToGrid/>
          <w:kern w:val="2"/>
          <w:sz w:val="28"/>
          <w:szCs w:val="28"/>
          <w:lang w:val="en-GB" w:eastAsia="zh-CN" w:bidi="ar-SA"/>
        </w:rPr>
        <w:t>建设项目前期工作费依据国家价委计价格（1999）1283号文件标准与</w:t>
      </w:r>
      <w:r>
        <w:rPr>
          <w:rFonts w:hint="eastAsia" w:ascii="宋体" w:hAnsi="宋体" w:cs="Times New Roman"/>
          <w:snapToGrid/>
          <w:kern w:val="2"/>
          <w:sz w:val="28"/>
          <w:szCs w:val="28"/>
          <w:lang w:val="en-US" w:eastAsia="zh-CN" w:bidi="ar-SA"/>
        </w:rPr>
        <w:t>市场</w:t>
      </w:r>
      <w:r>
        <w:rPr>
          <w:rFonts w:hint="eastAsia" w:ascii="宋体" w:hAnsi="宋体" w:eastAsia="仿宋_GB2312" w:cs="Times New Roman"/>
          <w:snapToGrid/>
          <w:kern w:val="2"/>
          <w:sz w:val="28"/>
          <w:szCs w:val="28"/>
          <w:lang w:val="en-GB" w:eastAsia="zh-CN" w:bidi="ar-SA"/>
        </w:rPr>
        <w:t>实际情况计价；</w:t>
      </w:r>
    </w:p>
    <w:p w14:paraId="64DD4123">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4)</w:t>
      </w:r>
      <w:r>
        <w:rPr>
          <w:rFonts w:hint="eastAsia" w:ascii="宋体" w:hAnsi="宋体" w:eastAsia="仿宋_GB2312" w:cs="Times New Roman"/>
          <w:snapToGrid/>
          <w:kern w:val="2"/>
          <w:sz w:val="28"/>
          <w:szCs w:val="28"/>
          <w:lang w:val="en-GB" w:eastAsia="zh-CN" w:bidi="ar-SA"/>
        </w:rPr>
        <w:t>设计费</w:t>
      </w:r>
      <w:r>
        <w:rPr>
          <w:rFonts w:hint="eastAsia" w:ascii="宋体" w:hAnsi="宋体" w:eastAsia="仿宋_GB2312" w:cs="Times New Roman"/>
          <w:snapToGrid/>
          <w:kern w:val="2"/>
          <w:sz w:val="28"/>
          <w:szCs w:val="28"/>
          <w:lang w:val="en-US" w:eastAsia="zh-CN" w:bidi="ar-SA"/>
        </w:rPr>
        <w:t>根据同类项目实际收费情况，按照</w:t>
      </w:r>
      <w:r>
        <w:rPr>
          <w:rFonts w:hint="eastAsia" w:ascii="宋体" w:hAnsi="宋体" w:eastAsia="仿宋_GB2312" w:cs="Times New Roman"/>
          <w:snapToGrid/>
          <w:kern w:val="2"/>
          <w:sz w:val="28"/>
          <w:szCs w:val="28"/>
          <w:lang w:val="en-GB" w:eastAsia="zh-CN" w:bidi="ar-SA"/>
        </w:rPr>
        <w:t>计价格[2002]10号标准与</w:t>
      </w:r>
      <w:r>
        <w:rPr>
          <w:rFonts w:hint="eastAsia" w:ascii="宋体" w:hAnsi="宋体" w:cs="Times New Roman"/>
          <w:snapToGrid/>
          <w:kern w:val="2"/>
          <w:sz w:val="28"/>
          <w:szCs w:val="28"/>
          <w:lang w:val="en-US" w:eastAsia="zh-CN" w:bidi="ar-SA"/>
        </w:rPr>
        <w:t>市场</w:t>
      </w:r>
      <w:r>
        <w:rPr>
          <w:rFonts w:hint="eastAsia" w:ascii="宋体" w:hAnsi="宋体" w:eastAsia="仿宋_GB2312" w:cs="Times New Roman"/>
          <w:snapToGrid/>
          <w:kern w:val="2"/>
          <w:sz w:val="28"/>
          <w:szCs w:val="28"/>
          <w:lang w:val="en-GB" w:eastAsia="zh-CN" w:bidi="ar-SA"/>
        </w:rPr>
        <w:t>实际情况计价；</w:t>
      </w:r>
    </w:p>
    <w:p w14:paraId="1E7EDEF4">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5)</w:t>
      </w:r>
      <w:r>
        <w:rPr>
          <w:rFonts w:hint="eastAsia" w:ascii="宋体" w:hAnsi="宋体" w:eastAsia="仿宋_GB2312" w:cs="Times New Roman"/>
          <w:snapToGrid/>
          <w:kern w:val="2"/>
          <w:sz w:val="28"/>
          <w:szCs w:val="28"/>
          <w:lang w:val="en-GB" w:eastAsia="zh-CN" w:bidi="ar-SA"/>
        </w:rPr>
        <w:t>招标代理费参照《国家发展改革委关于降低部分建设项目收费标准规范收费行为等有关问题的通知》发改价格[2011]534号标准与</w:t>
      </w:r>
      <w:r>
        <w:rPr>
          <w:rFonts w:hint="eastAsia" w:ascii="宋体" w:hAnsi="宋体" w:cs="Times New Roman"/>
          <w:snapToGrid/>
          <w:kern w:val="2"/>
          <w:sz w:val="28"/>
          <w:szCs w:val="28"/>
          <w:lang w:val="en-US" w:eastAsia="zh-CN" w:bidi="ar-SA"/>
        </w:rPr>
        <w:t>市场</w:t>
      </w:r>
      <w:r>
        <w:rPr>
          <w:rFonts w:hint="eastAsia" w:ascii="宋体" w:hAnsi="宋体" w:eastAsia="仿宋_GB2312" w:cs="Times New Roman"/>
          <w:snapToGrid/>
          <w:kern w:val="2"/>
          <w:sz w:val="28"/>
          <w:szCs w:val="28"/>
          <w:lang w:val="en-GB" w:eastAsia="zh-CN" w:bidi="ar-SA"/>
        </w:rPr>
        <w:t>实际情况计价；；</w:t>
      </w:r>
    </w:p>
    <w:p w14:paraId="380E7159">
      <w:pPr>
        <w:pStyle w:val="8"/>
        <w:bidi w:val="0"/>
        <w:rPr>
          <w:rFonts w:hint="eastAsia" w:ascii="宋体" w:hAnsi="宋体" w:eastAsia="仿宋_GB2312" w:cs="Times New Roman"/>
          <w:snapToGrid/>
          <w:kern w:val="2"/>
          <w:sz w:val="28"/>
          <w:szCs w:val="28"/>
          <w:lang w:val="en-GB" w:eastAsia="zh-CN" w:bidi="ar-SA"/>
        </w:rPr>
      </w:pPr>
      <w:r>
        <w:rPr>
          <w:rFonts w:hint="eastAsia" w:ascii="宋体" w:hAnsi="宋体" w:eastAsia="仿宋_GB2312" w:cs="Times New Roman"/>
          <w:snapToGrid/>
          <w:kern w:val="2"/>
          <w:sz w:val="28"/>
          <w:szCs w:val="28"/>
          <w:lang w:val="en-US" w:eastAsia="zh-CN" w:bidi="ar-SA"/>
        </w:rPr>
        <w:t>6)</w:t>
      </w:r>
      <w:r>
        <w:rPr>
          <w:rFonts w:hint="eastAsia" w:ascii="宋体" w:hAnsi="宋体" w:eastAsia="仿宋_GB2312" w:cs="Times New Roman"/>
          <w:snapToGrid/>
          <w:kern w:val="2"/>
          <w:sz w:val="28"/>
          <w:szCs w:val="28"/>
          <w:lang w:val="en-GB" w:eastAsia="zh-CN" w:bidi="ar-SA"/>
        </w:rPr>
        <w:t>基本预备费按</w:t>
      </w:r>
      <w:r>
        <w:rPr>
          <w:rFonts w:hint="eastAsia" w:ascii="宋体" w:hAnsi="宋体" w:eastAsia="仿宋_GB2312" w:cs="Times New Roman"/>
          <w:snapToGrid/>
          <w:kern w:val="2"/>
          <w:sz w:val="28"/>
          <w:szCs w:val="28"/>
          <w:lang w:val="en-US" w:eastAsia="zh-CN" w:bidi="ar-SA"/>
        </w:rPr>
        <w:t>第一部分费用的</w:t>
      </w:r>
      <w:r>
        <w:rPr>
          <w:rFonts w:hint="eastAsia" w:ascii="宋体" w:hAnsi="宋体" w:cs="Times New Roman"/>
          <w:snapToGrid/>
          <w:kern w:val="2"/>
          <w:sz w:val="28"/>
          <w:szCs w:val="28"/>
          <w:lang w:val="en-US" w:eastAsia="zh-CN" w:bidi="ar-SA"/>
        </w:rPr>
        <w:t>2</w:t>
      </w:r>
      <w:r>
        <w:rPr>
          <w:rFonts w:hint="eastAsia" w:ascii="宋体" w:hAnsi="宋体" w:eastAsia="仿宋_GB2312" w:cs="Times New Roman"/>
          <w:snapToGrid/>
          <w:kern w:val="2"/>
          <w:sz w:val="28"/>
          <w:szCs w:val="28"/>
          <w:lang w:val="en-GB" w:eastAsia="zh-CN" w:bidi="ar-SA"/>
        </w:rPr>
        <w:t>%计取</w:t>
      </w:r>
      <w:r>
        <w:rPr>
          <w:rFonts w:hint="eastAsia" w:ascii="宋体" w:hAnsi="宋体" w:cs="Times New Roman"/>
          <w:snapToGrid/>
          <w:kern w:val="2"/>
          <w:sz w:val="28"/>
          <w:szCs w:val="28"/>
          <w:lang w:val="en-GB" w:eastAsia="zh-CN" w:bidi="ar-SA"/>
        </w:rPr>
        <w:t>（</w:t>
      </w:r>
      <w:r>
        <w:rPr>
          <w:rFonts w:hint="eastAsia" w:ascii="宋体" w:hAnsi="宋体" w:cs="Times New Roman"/>
          <w:snapToGrid/>
          <w:kern w:val="2"/>
          <w:sz w:val="28"/>
          <w:szCs w:val="28"/>
          <w:lang w:val="en-US" w:eastAsia="zh-CN" w:bidi="ar-SA"/>
        </w:rPr>
        <w:t>信息化项目预备费需求低于施工类项目</w:t>
      </w:r>
      <w:r>
        <w:rPr>
          <w:rFonts w:hint="eastAsia" w:ascii="宋体" w:hAnsi="宋体" w:cs="Times New Roman"/>
          <w:snapToGrid/>
          <w:kern w:val="2"/>
          <w:sz w:val="28"/>
          <w:szCs w:val="28"/>
          <w:lang w:val="en-GB" w:eastAsia="zh-CN" w:bidi="ar-SA"/>
        </w:rPr>
        <w:t>）</w:t>
      </w:r>
      <w:r>
        <w:rPr>
          <w:rFonts w:hint="eastAsia" w:ascii="宋体" w:hAnsi="宋体" w:eastAsia="仿宋_GB2312" w:cs="Times New Roman"/>
          <w:snapToGrid/>
          <w:kern w:val="2"/>
          <w:sz w:val="28"/>
          <w:szCs w:val="28"/>
          <w:lang w:val="en-GB" w:eastAsia="zh-CN" w:bidi="ar-SA"/>
        </w:rPr>
        <w:t>。</w:t>
      </w:r>
    </w:p>
    <w:p w14:paraId="0C24A8B8">
      <w:pPr>
        <w:spacing w:before="156" w:beforeLines="50" w:after="156" w:afterLines="50" w:line="560" w:lineRule="exact"/>
        <w:ind w:firstLine="480" w:firstLineChars="200"/>
        <w:rPr>
          <w:rFonts w:hint="eastAsia" w:ascii="宋体" w:eastAsia="宋体" w:cs="宋体"/>
          <w:color w:val="000000"/>
          <w:sz w:val="24"/>
          <w:szCs w:val="24"/>
          <w:lang w:val="zh-CN" w:eastAsia="zh-CN" w:bidi="ar-SA"/>
        </w:rPr>
      </w:pPr>
      <w:r>
        <w:rPr>
          <w:rFonts w:hint="eastAsia" w:ascii="宋体" w:eastAsia="宋体" w:cs="宋体"/>
          <w:color w:val="000000"/>
          <w:sz w:val="24"/>
          <w:szCs w:val="24"/>
          <w:lang w:val="en-US" w:eastAsia="zh-CN" w:bidi="ar-SA"/>
        </w:rPr>
        <w:t>2.</w:t>
      </w:r>
      <w:r>
        <w:rPr>
          <w:rFonts w:hint="eastAsia" w:ascii="宋体" w:eastAsia="宋体" w:cs="宋体"/>
          <w:color w:val="000000"/>
          <w:sz w:val="24"/>
          <w:szCs w:val="24"/>
          <w:lang w:val="zh-CN" w:eastAsia="zh-CN" w:bidi="ar-SA"/>
        </w:rPr>
        <w:t>估算总额</w:t>
      </w:r>
    </w:p>
    <w:p w14:paraId="04B9D0C6">
      <w:pPr>
        <w:spacing w:before="156" w:beforeLines="50" w:after="156" w:afterLines="50" w:line="560" w:lineRule="exact"/>
        <w:ind w:firstLine="480" w:firstLineChars="200"/>
        <w:rPr>
          <w:rFonts w:hint="eastAsia" w:eastAsia="宋体" w:cs="Arial"/>
          <w:sz w:val="24"/>
          <w:szCs w:val="24"/>
          <w:lang w:eastAsia="zh-CN"/>
        </w:rPr>
      </w:pPr>
      <w:r>
        <w:rPr>
          <w:rFonts w:hint="eastAsia" w:ascii="宋体" w:eastAsia="宋体" w:cs="宋体"/>
          <w:color w:val="000000"/>
          <w:sz w:val="24"/>
          <w:szCs w:val="24"/>
          <w:lang w:bidi="ar-SA"/>
        </w:rPr>
        <w:t>根据《</w:t>
      </w:r>
      <w:r>
        <w:rPr>
          <w:rFonts w:hint="eastAsia" w:ascii="宋体" w:eastAsia="宋体" w:cs="宋体"/>
          <w:color w:val="000000"/>
          <w:sz w:val="24"/>
          <w:szCs w:val="24"/>
          <w:lang w:eastAsia="zh-CN" w:bidi="ar-SA"/>
        </w:rPr>
        <w:t>南昌市西湖区数智西湖建设项目</w:t>
      </w:r>
      <w:r>
        <w:rPr>
          <w:rFonts w:hint="eastAsia" w:ascii="宋体" w:eastAsia="宋体" w:cs="宋体"/>
          <w:color w:val="000000"/>
          <w:sz w:val="24"/>
          <w:szCs w:val="24"/>
          <w:lang w:bidi="ar-SA"/>
        </w:rPr>
        <w:t>可行性研究报告》，项目估算总投资9,864.96万元，其中：项目建设及互联网服务费8,781.82万元，项目建设其他费</w:t>
      </w:r>
      <w:r>
        <w:rPr>
          <w:rFonts w:hint="eastAsia" w:ascii="宋体" w:eastAsia="宋体" w:cs="宋体"/>
          <w:color w:val="000000"/>
          <w:sz w:val="24"/>
          <w:szCs w:val="24"/>
          <w:lang w:bidi="ar-SA"/>
        </w:rPr>
        <w:t>743.00万元，预备费175.64万元，建设期利息157.5万元，债券发行手续费7.00万元。本次债券利息（包含建设期与运营期）我们按照统一标准进行预测，详见表3-2（专项债券还本付息情况预测表），因预计支付的债券利息与可行性研究报告的建设期利息存在差异，我们按照预计建设期利息及债券发行费用估算总投资额，详细见下表</w:t>
      </w:r>
      <w:r>
        <w:rPr>
          <w:rFonts w:hint="eastAsia" w:ascii="宋体" w:eastAsia="宋体" w:cs="宋体"/>
          <w:color w:val="000000"/>
          <w:sz w:val="24"/>
          <w:szCs w:val="24"/>
          <w:lang w:eastAsia="zh-CN" w:bidi="ar-SA"/>
        </w:rPr>
        <w:t>：</w:t>
      </w:r>
    </w:p>
    <w:tbl>
      <w:tblPr>
        <w:tblStyle w:val="2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8"/>
        <w:gridCol w:w="1355"/>
        <w:gridCol w:w="1355"/>
        <w:gridCol w:w="1356"/>
        <w:gridCol w:w="1356"/>
        <w:gridCol w:w="1356"/>
        <w:gridCol w:w="1359"/>
      </w:tblGrid>
      <w:tr w14:paraId="367AB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83" w:type="pct"/>
            <w:noWrap/>
            <w:vAlign w:val="center"/>
          </w:tcPr>
          <w:p w14:paraId="1B548D4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785" w:type="pct"/>
            <w:noWrap/>
            <w:vAlign w:val="center"/>
          </w:tcPr>
          <w:p w14:paraId="2D8F5D6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项目单位</w:t>
            </w:r>
          </w:p>
        </w:tc>
        <w:tc>
          <w:tcPr>
            <w:tcW w:w="785" w:type="pct"/>
            <w:noWrap/>
            <w:vAlign w:val="center"/>
          </w:tcPr>
          <w:p w14:paraId="39B0823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785" w:type="pct"/>
            <w:tcBorders>
              <w:bottom w:val="single" w:color="auto" w:sz="4" w:space="0"/>
            </w:tcBorders>
            <w:noWrap/>
            <w:vAlign w:val="center"/>
          </w:tcPr>
          <w:p w14:paraId="5131781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静态总投资额</w:t>
            </w:r>
          </w:p>
        </w:tc>
        <w:tc>
          <w:tcPr>
            <w:tcW w:w="785" w:type="pct"/>
            <w:tcBorders>
              <w:bottom w:val="single" w:color="auto" w:sz="4" w:space="0"/>
            </w:tcBorders>
            <w:noWrap/>
            <w:vAlign w:val="center"/>
          </w:tcPr>
          <w:p w14:paraId="5EF0AC0B">
            <w:pPr>
              <w:widowControl/>
              <w:jc w:val="center"/>
              <w:rPr>
                <w:rFonts w:hint="default" w:ascii="宋体" w:hAnsi="宋体" w:eastAsia="宋体" w:cs="宋体"/>
                <w:b/>
                <w:bCs/>
                <w:color w:val="000000"/>
                <w:kern w:val="0"/>
                <w:sz w:val="18"/>
                <w:szCs w:val="18"/>
                <w:lang w:val="en-US" w:eastAsia="zh-CN"/>
              </w:rPr>
            </w:pPr>
            <w:r>
              <w:rPr>
                <w:rFonts w:hint="eastAsia" w:ascii="宋体" w:hAnsi="宋体" w:cs="宋体"/>
                <w:b/>
                <w:bCs/>
                <w:color w:val="000000"/>
                <w:kern w:val="0"/>
                <w:sz w:val="18"/>
                <w:szCs w:val="18"/>
                <w:lang w:val="en-US" w:eastAsia="zh-CN"/>
              </w:rPr>
              <w:t>建设期利息</w:t>
            </w:r>
          </w:p>
        </w:tc>
        <w:tc>
          <w:tcPr>
            <w:tcW w:w="785" w:type="pct"/>
            <w:tcBorders>
              <w:bottom w:val="single" w:color="auto" w:sz="4" w:space="0"/>
            </w:tcBorders>
            <w:noWrap/>
            <w:vAlign w:val="center"/>
          </w:tcPr>
          <w:p w14:paraId="14067A6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发行费用</w:t>
            </w:r>
          </w:p>
        </w:tc>
        <w:tc>
          <w:tcPr>
            <w:tcW w:w="787" w:type="pct"/>
            <w:tcBorders>
              <w:bottom w:val="single" w:color="auto" w:sz="4" w:space="0"/>
            </w:tcBorders>
            <w:noWrap/>
            <w:vAlign w:val="center"/>
          </w:tcPr>
          <w:p w14:paraId="6F81691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r>
      <w:tr w14:paraId="1CCD2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283" w:type="pct"/>
            <w:noWrap/>
            <w:vAlign w:val="center"/>
          </w:tcPr>
          <w:p w14:paraId="7AB00359">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85" w:type="pct"/>
            <w:noWrap w:val="0"/>
            <w:vAlign w:val="center"/>
          </w:tcPr>
          <w:p w14:paraId="1415BAE7">
            <w:pPr>
              <w:widowControl/>
              <w:jc w:val="center"/>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rPr>
              <w:t>西湖区政务服务数据管理局</w:t>
            </w:r>
          </w:p>
        </w:tc>
        <w:tc>
          <w:tcPr>
            <w:tcW w:w="785" w:type="pct"/>
            <w:tcBorders>
              <w:right w:val="single" w:color="auto" w:sz="4" w:space="0"/>
            </w:tcBorders>
            <w:noWrap w:val="0"/>
            <w:vAlign w:val="center"/>
          </w:tcPr>
          <w:p w14:paraId="5A745FCF">
            <w:pPr>
              <w:widowControl/>
              <w:jc w:val="center"/>
              <w:rPr>
                <w:rFonts w:ascii="宋体" w:hAnsi="宋体" w:cs="宋体"/>
                <w:color w:val="000000"/>
                <w:kern w:val="0"/>
                <w:sz w:val="18"/>
                <w:szCs w:val="18"/>
              </w:rPr>
            </w:pPr>
            <w:r>
              <w:rPr>
                <w:rFonts w:hint="eastAsia" w:ascii="宋体" w:hAnsi="宋体" w:cs="宋体"/>
                <w:color w:val="000000"/>
                <w:kern w:val="0"/>
                <w:sz w:val="18"/>
                <w:szCs w:val="18"/>
                <w:lang w:eastAsia="zh-CN"/>
              </w:rPr>
              <w:t>南昌市西湖区数智西湖建设项目</w:t>
            </w:r>
          </w:p>
        </w:tc>
        <w:tc>
          <w:tcPr>
            <w:tcW w:w="1356" w:type="dxa"/>
            <w:tcBorders>
              <w:top w:val="single" w:color="auto" w:sz="4" w:space="0"/>
              <w:left w:val="single" w:color="auto" w:sz="4" w:space="0"/>
              <w:bottom w:val="single" w:color="auto" w:sz="4" w:space="0"/>
              <w:right w:val="single" w:color="auto" w:sz="4" w:space="0"/>
            </w:tcBorders>
            <w:noWrap/>
            <w:vAlign w:val="center"/>
          </w:tcPr>
          <w:p w14:paraId="496774FB">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9,600.96</w:t>
            </w:r>
          </w:p>
        </w:tc>
        <w:tc>
          <w:tcPr>
            <w:tcW w:w="1356" w:type="dxa"/>
            <w:tcBorders>
              <w:top w:val="single" w:color="auto" w:sz="4" w:space="0"/>
              <w:left w:val="single" w:color="auto" w:sz="4" w:space="0"/>
              <w:bottom w:val="single" w:color="auto" w:sz="4" w:space="0"/>
              <w:right w:val="single" w:color="auto" w:sz="4" w:space="0"/>
            </w:tcBorders>
            <w:noWrap w:val="0"/>
            <w:vAlign w:val="center"/>
          </w:tcPr>
          <w:p w14:paraId="0A7948DA">
            <w:pPr>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258.00</w:t>
            </w:r>
          </w:p>
        </w:tc>
        <w:tc>
          <w:tcPr>
            <w:tcW w:w="1356" w:type="dxa"/>
            <w:tcBorders>
              <w:top w:val="single" w:color="auto" w:sz="4" w:space="0"/>
              <w:left w:val="single" w:color="auto" w:sz="4" w:space="0"/>
              <w:bottom w:val="single" w:color="auto" w:sz="4" w:space="0"/>
              <w:right w:val="single" w:color="auto" w:sz="4" w:space="0"/>
            </w:tcBorders>
            <w:noWrap w:val="0"/>
            <w:vAlign w:val="center"/>
          </w:tcPr>
          <w:p w14:paraId="1CDE126A">
            <w:pPr>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6.00</w:t>
            </w:r>
          </w:p>
        </w:tc>
        <w:tc>
          <w:tcPr>
            <w:tcW w:w="1359" w:type="dxa"/>
            <w:tcBorders>
              <w:top w:val="single" w:color="auto" w:sz="4" w:space="0"/>
              <w:left w:val="single" w:color="auto" w:sz="4" w:space="0"/>
              <w:bottom w:val="single" w:color="auto" w:sz="4" w:space="0"/>
              <w:right w:val="single" w:color="auto" w:sz="4" w:space="0"/>
            </w:tcBorders>
            <w:noWrap/>
            <w:vAlign w:val="center"/>
          </w:tcPr>
          <w:p w14:paraId="051F4890">
            <w:pPr>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9,864.96</w:t>
            </w:r>
          </w:p>
        </w:tc>
      </w:tr>
    </w:tbl>
    <w:p w14:paraId="7FE1DD0F">
      <w:pPr>
        <w:spacing w:before="156" w:beforeLines="50" w:after="156" w:afterLines="50" w:line="560" w:lineRule="exact"/>
        <w:ind w:firstLine="480" w:firstLineChars="200"/>
        <w:rPr>
          <w:rFonts w:hint="eastAsia" w:eastAsia="宋体" w:cs="Arial"/>
          <w:sz w:val="24"/>
          <w:szCs w:val="24"/>
        </w:rPr>
      </w:pPr>
    </w:p>
    <w:p w14:paraId="228F9410">
      <w:pPr>
        <w:spacing w:before="156" w:beforeLines="50" w:after="156" w:afterLines="50" w:line="560" w:lineRule="exact"/>
        <w:ind w:firstLine="480" w:firstLineChars="200"/>
        <w:rPr>
          <w:rFonts w:eastAsia="宋体" w:cs="Arial"/>
          <w:sz w:val="24"/>
          <w:szCs w:val="24"/>
        </w:rPr>
      </w:pPr>
      <w:r>
        <w:rPr>
          <w:rFonts w:hint="eastAsia" w:eastAsia="宋体" w:cs="Arial"/>
          <w:sz w:val="24"/>
          <w:szCs w:val="24"/>
        </w:rPr>
        <w:t>按照发行方案及筹资计划，本次拟发行项目的总投资估算为</w:t>
      </w:r>
      <w:r>
        <w:rPr>
          <w:rFonts w:hint="eastAsia" w:eastAsia="宋体" w:cs="Arial"/>
          <w:sz w:val="24"/>
          <w:szCs w:val="24"/>
          <w:lang w:val="en-US" w:eastAsia="zh-CN"/>
        </w:rPr>
        <w:t>9,864.96</w:t>
      </w:r>
      <w:r>
        <w:rPr>
          <w:rFonts w:hint="eastAsia" w:eastAsia="宋体" w:cs="Arial"/>
          <w:sz w:val="24"/>
          <w:szCs w:val="24"/>
        </w:rPr>
        <w:t>万元，通过自筹资金、申请专项债券等途径解决，其一，自筹资金</w:t>
      </w:r>
      <w:r>
        <w:rPr>
          <w:rFonts w:hint="eastAsia" w:eastAsia="宋体" w:cs="Arial"/>
          <w:sz w:val="24"/>
          <w:szCs w:val="24"/>
          <w:lang w:val="en-US" w:eastAsia="zh-CN"/>
        </w:rPr>
        <w:t>3,864.96</w:t>
      </w:r>
      <w:r>
        <w:rPr>
          <w:rFonts w:hint="eastAsia" w:eastAsia="宋体" w:cs="Arial"/>
          <w:sz w:val="24"/>
          <w:szCs w:val="24"/>
        </w:rPr>
        <w:t>万元；其二，拟发行专项债券</w:t>
      </w:r>
      <w:r>
        <w:rPr>
          <w:rFonts w:hint="eastAsia" w:eastAsia="宋体" w:cs="Arial"/>
          <w:sz w:val="24"/>
          <w:szCs w:val="24"/>
          <w:lang w:val="en-US" w:eastAsia="zh-CN"/>
        </w:rPr>
        <w:t>6</w:t>
      </w:r>
      <w:r>
        <w:rPr>
          <w:rFonts w:hint="eastAsia" w:eastAsia="宋体" w:cs="Arial"/>
          <w:sz w:val="24"/>
          <w:szCs w:val="24"/>
        </w:rPr>
        <w:t>,</w:t>
      </w:r>
      <w:r>
        <w:rPr>
          <w:rFonts w:hint="eastAsia" w:eastAsia="宋体" w:cs="Arial"/>
          <w:sz w:val="24"/>
          <w:szCs w:val="24"/>
          <w:lang w:val="en-US" w:eastAsia="zh-CN"/>
        </w:rPr>
        <w:t>000</w:t>
      </w:r>
      <w:r>
        <w:rPr>
          <w:rFonts w:hint="eastAsia" w:eastAsia="宋体" w:cs="Arial"/>
          <w:sz w:val="24"/>
          <w:szCs w:val="24"/>
        </w:rPr>
        <w:t>.00万元，其中，202</w:t>
      </w:r>
      <w:r>
        <w:rPr>
          <w:rFonts w:hint="eastAsia" w:eastAsia="宋体" w:cs="Arial"/>
          <w:sz w:val="24"/>
          <w:szCs w:val="24"/>
          <w:lang w:val="en-US" w:eastAsia="zh-CN"/>
        </w:rPr>
        <w:t>4</w:t>
      </w:r>
      <w:r>
        <w:rPr>
          <w:rFonts w:hint="eastAsia" w:eastAsia="宋体" w:cs="Arial"/>
          <w:sz w:val="24"/>
          <w:szCs w:val="24"/>
        </w:rPr>
        <w:t>年</w:t>
      </w:r>
      <w:r>
        <w:rPr>
          <w:rFonts w:hint="eastAsia" w:eastAsia="宋体" w:cs="Arial"/>
          <w:sz w:val="24"/>
          <w:szCs w:val="24"/>
          <w:lang w:val="en-US" w:eastAsia="zh-CN"/>
        </w:rPr>
        <w:t>本期</w:t>
      </w:r>
      <w:r>
        <w:rPr>
          <w:rFonts w:hint="eastAsia" w:eastAsia="宋体" w:cs="Arial"/>
          <w:sz w:val="24"/>
          <w:szCs w:val="24"/>
        </w:rPr>
        <w:t>发行</w:t>
      </w:r>
      <w:r>
        <w:rPr>
          <w:rFonts w:hint="eastAsia" w:eastAsia="宋体" w:cs="Arial"/>
          <w:sz w:val="24"/>
          <w:szCs w:val="24"/>
          <w:lang w:val="en-US" w:eastAsia="zh-CN"/>
        </w:rPr>
        <w:t>6</w:t>
      </w:r>
      <w:r>
        <w:rPr>
          <w:rFonts w:hint="eastAsia" w:eastAsia="宋体" w:cs="Arial"/>
          <w:sz w:val="24"/>
          <w:szCs w:val="24"/>
        </w:rPr>
        <w:t>,</w:t>
      </w:r>
      <w:r>
        <w:rPr>
          <w:rFonts w:hint="eastAsia" w:eastAsia="宋体" w:cs="Arial"/>
          <w:sz w:val="24"/>
          <w:szCs w:val="24"/>
          <w:lang w:val="en-US" w:eastAsia="zh-CN"/>
        </w:rPr>
        <w:t>000</w:t>
      </w:r>
      <w:r>
        <w:rPr>
          <w:rFonts w:hint="eastAsia" w:eastAsia="宋体" w:cs="Arial"/>
          <w:sz w:val="24"/>
          <w:szCs w:val="24"/>
        </w:rPr>
        <w:t>.00万元，发行期限</w:t>
      </w:r>
      <w:r>
        <w:rPr>
          <w:rFonts w:hint="eastAsia" w:eastAsia="宋体" w:cs="Arial"/>
          <w:sz w:val="24"/>
          <w:szCs w:val="24"/>
          <w:lang w:val="en-US" w:eastAsia="zh-CN"/>
        </w:rPr>
        <w:t>15</w:t>
      </w:r>
      <w:r>
        <w:rPr>
          <w:rFonts w:hint="eastAsia" w:eastAsia="宋体" w:cs="Arial"/>
          <w:sz w:val="24"/>
          <w:szCs w:val="24"/>
        </w:rPr>
        <w:t>年</w:t>
      </w:r>
    </w:p>
    <w:p w14:paraId="27227AED">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4.项目分年度投资计划表</w:t>
      </w:r>
    </w:p>
    <w:p w14:paraId="0EC4F594">
      <w:pPr>
        <w:spacing w:before="156" w:beforeLines="50" w:after="156" w:afterLines="50" w:line="560" w:lineRule="exact"/>
        <w:ind w:firstLine="480" w:firstLineChars="200"/>
        <w:rPr>
          <w:rFonts w:hint="eastAsia" w:ascii="宋体" w:eastAsia="宋体" w:cs="宋体"/>
          <w:color w:val="000000"/>
          <w:sz w:val="24"/>
          <w:szCs w:val="24"/>
          <w:lang w:val="zh-CN" w:eastAsia="zh-CN" w:bidi="ar-SA"/>
        </w:rPr>
      </w:pPr>
      <w:r>
        <w:rPr>
          <w:rFonts w:hint="eastAsia" w:ascii="宋体" w:eastAsia="宋体" w:cs="楷体"/>
          <w:sz w:val="24"/>
          <w:szCs w:val="24"/>
          <w:lang w:eastAsia="zh-CN" w:bidi="ar-SA"/>
        </w:rPr>
        <w:t>南昌市西湖区数智西湖建设项目</w:t>
      </w:r>
      <w:r>
        <w:rPr>
          <w:rFonts w:hint="eastAsia" w:ascii="宋体" w:eastAsia="宋体" w:cs="宋体"/>
          <w:color w:val="000000"/>
          <w:sz w:val="24"/>
          <w:szCs w:val="24"/>
          <w:lang w:val="zh-CN" w:eastAsia="zh-CN" w:bidi="ar-SA"/>
        </w:rPr>
        <w:t>预计202</w:t>
      </w:r>
      <w:r>
        <w:rPr>
          <w:rFonts w:hint="eastAsia" w:ascii="宋体" w:eastAsia="宋体" w:cs="宋体"/>
          <w:color w:val="000000"/>
          <w:sz w:val="24"/>
          <w:szCs w:val="24"/>
          <w:lang w:val="en-US" w:eastAsia="zh-CN" w:bidi="ar-SA"/>
        </w:rPr>
        <w:t>4</w:t>
      </w:r>
      <w:r>
        <w:rPr>
          <w:rFonts w:hint="eastAsia" w:ascii="宋体" w:eastAsia="宋体" w:cs="宋体"/>
          <w:color w:val="000000"/>
          <w:sz w:val="24"/>
          <w:szCs w:val="24"/>
          <w:lang w:val="zh-CN" w:eastAsia="zh-CN" w:bidi="ar-SA"/>
        </w:rPr>
        <w:t>年</w:t>
      </w:r>
      <w:r>
        <w:rPr>
          <w:rFonts w:hint="eastAsia" w:ascii="宋体" w:eastAsia="宋体" w:cs="宋体"/>
          <w:color w:val="000000"/>
          <w:sz w:val="24"/>
          <w:szCs w:val="24"/>
          <w:lang w:val="en-US" w:eastAsia="zh-CN" w:bidi="ar-SA"/>
        </w:rPr>
        <w:t>9</w:t>
      </w:r>
      <w:r>
        <w:rPr>
          <w:rFonts w:hint="eastAsia" w:ascii="宋体" w:eastAsia="宋体" w:cs="宋体"/>
          <w:color w:val="000000"/>
          <w:sz w:val="24"/>
          <w:szCs w:val="24"/>
          <w:lang w:val="zh-CN" w:eastAsia="zh-CN" w:bidi="ar-SA"/>
        </w:rPr>
        <w:t>月开工，建设期</w:t>
      </w:r>
      <w:r>
        <w:rPr>
          <w:rFonts w:hint="eastAsia" w:ascii="宋体" w:eastAsia="宋体" w:cs="宋体"/>
          <w:color w:val="000000"/>
          <w:sz w:val="24"/>
          <w:szCs w:val="24"/>
          <w:lang w:val="en-US" w:eastAsia="zh-CN" w:bidi="ar-SA"/>
        </w:rPr>
        <w:t>12</w:t>
      </w:r>
      <w:r>
        <w:rPr>
          <w:rFonts w:hint="eastAsia" w:ascii="宋体" w:eastAsia="宋体" w:cs="宋体"/>
          <w:color w:val="000000"/>
          <w:sz w:val="24"/>
          <w:szCs w:val="24"/>
          <w:lang w:val="zh-CN" w:eastAsia="zh-CN" w:bidi="ar-SA"/>
        </w:rPr>
        <w:t>个月，预计202</w:t>
      </w:r>
      <w:r>
        <w:rPr>
          <w:rFonts w:hint="eastAsia" w:ascii="宋体" w:eastAsia="宋体" w:cs="宋体"/>
          <w:color w:val="000000"/>
          <w:sz w:val="24"/>
          <w:szCs w:val="24"/>
          <w:lang w:val="en-US" w:eastAsia="zh-CN" w:bidi="ar-SA"/>
        </w:rPr>
        <w:t>5</w:t>
      </w:r>
      <w:r>
        <w:rPr>
          <w:rFonts w:hint="eastAsia" w:ascii="宋体" w:eastAsia="宋体" w:cs="宋体"/>
          <w:color w:val="000000"/>
          <w:sz w:val="24"/>
          <w:szCs w:val="24"/>
          <w:lang w:val="zh-CN" w:eastAsia="zh-CN" w:bidi="ar-SA"/>
        </w:rPr>
        <w:t>年</w:t>
      </w:r>
      <w:r>
        <w:rPr>
          <w:rFonts w:hint="eastAsia" w:ascii="宋体" w:eastAsia="宋体" w:cs="宋体"/>
          <w:color w:val="000000"/>
          <w:sz w:val="24"/>
          <w:szCs w:val="24"/>
          <w:lang w:val="en-US" w:eastAsia="zh-CN" w:bidi="ar-SA"/>
        </w:rPr>
        <w:t>9</w:t>
      </w:r>
      <w:r>
        <w:rPr>
          <w:rFonts w:hint="eastAsia" w:ascii="宋体" w:eastAsia="宋体" w:cs="宋体"/>
          <w:color w:val="000000"/>
          <w:sz w:val="24"/>
          <w:szCs w:val="24"/>
          <w:lang w:val="zh-CN" w:eastAsia="zh-CN" w:bidi="ar-SA"/>
        </w:rPr>
        <w:t>月完工。</w:t>
      </w:r>
    </w:p>
    <w:p w14:paraId="396DC309">
      <w:pPr>
        <w:spacing w:before="156" w:beforeLines="50" w:line="360" w:lineRule="auto"/>
        <w:ind w:firstLine="420" w:firstLineChars="200"/>
        <w:jc w:val="center"/>
        <w:rPr>
          <w:rFonts w:ascii="宋体" w:hAnsi="宋体" w:cs="仿宋"/>
          <w:b/>
          <w:bCs/>
          <w:szCs w:val="28"/>
        </w:rPr>
      </w:pPr>
      <w:r>
        <w:rPr>
          <w:rFonts w:hint="eastAsia" w:ascii="宋体" w:hAnsi="宋体" w:cs="仿宋"/>
          <w:b/>
          <w:bCs/>
          <w:szCs w:val="28"/>
        </w:rPr>
        <w:t>表1-2项目分年度支出计划表</w:t>
      </w:r>
    </w:p>
    <w:p w14:paraId="4D025D6A">
      <w:pPr>
        <w:ind w:firstLine="360" w:firstLineChars="200"/>
        <w:jc w:val="right"/>
        <w:rPr>
          <w:rFonts w:ascii="宋体" w:hAnsi="宋体" w:cs="仿宋"/>
          <w:b/>
          <w:bCs/>
          <w:sz w:val="18"/>
          <w:szCs w:val="18"/>
        </w:rPr>
      </w:pPr>
      <w:r>
        <w:rPr>
          <w:rFonts w:hint="eastAsia"/>
          <w:sz w:val="18"/>
          <w:szCs w:val="18"/>
        </w:rPr>
        <w:t>单位：万元</w:t>
      </w:r>
    </w:p>
    <w:tbl>
      <w:tblPr>
        <w:tblStyle w:val="28"/>
        <w:tblW w:w="501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0"/>
        <w:gridCol w:w="2467"/>
        <w:gridCol w:w="2719"/>
        <w:gridCol w:w="2722"/>
      </w:tblGrid>
      <w:tr w14:paraId="1035F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369" w:type="pct"/>
            <w:noWrap w:val="0"/>
            <w:vAlign w:val="center"/>
          </w:tcPr>
          <w:p w14:paraId="146F3956">
            <w:pPr>
              <w:widowControl/>
              <w:jc w:val="center"/>
              <w:rPr>
                <w:rFonts w:ascii="宋体" w:hAnsi="宋体"/>
                <w:b/>
                <w:bCs/>
                <w:color w:val="000000"/>
                <w:kern w:val="0"/>
                <w:sz w:val="18"/>
                <w:szCs w:val="18"/>
              </w:rPr>
            </w:pPr>
            <w:r>
              <w:rPr>
                <w:rFonts w:hint="eastAsia" w:ascii="宋体" w:hAnsi="宋体"/>
                <w:b/>
                <w:bCs/>
                <w:color w:val="000000"/>
                <w:sz w:val="18"/>
                <w:szCs w:val="18"/>
              </w:rPr>
              <w:t>序号</w:t>
            </w:r>
          </w:p>
        </w:tc>
        <w:tc>
          <w:tcPr>
            <w:tcW w:w="1444" w:type="pct"/>
            <w:noWrap w:val="0"/>
            <w:vAlign w:val="center"/>
          </w:tcPr>
          <w:p w14:paraId="746B6CE0">
            <w:pPr>
              <w:jc w:val="center"/>
              <w:rPr>
                <w:rFonts w:ascii="宋体" w:hAnsi="宋体"/>
                <w:b/>
                <w:bCs/>
                <w:color w:val="000000"/>
                <w:sz w:val="18"/>
                <w:szCs w:val="18"/>
              </w:rPr>
            </w:pPr>
            <w:r>
              <w:rPr>
                <w:rFonts w:hint="eastAsia" w:ascii="宋体" w:hAnsi="宋体"/>
                <w:b/>
                <w:bCs/>
                <w:color w:val="000000"/>
                <w:sz w:val="18"/>
                <w:szCs w:val="18"/>
              </w:rPr>
              <w:t>费用类型</w:t>
            </w:r>
          </w:p>
        </w:tc>
        <w:tc>
          <w:tcPr>
            <w:tcW w:w="1592" w:type="pct"/>
            <w:noWrap w:val="0"/>
            <w:vAlign w:val="center"/>
          </w:tcPr>
          <w:p w14:paraId="2028FC09">
            <w:pPr>
              <w:jc w:val="center"/>
              <w:rPr>
                <w:rFonts w:ascii="宋体" w:hAnsi="宋体"/>
                <w:b/>
                <w:bCs/>
                <w:color w:val="000000"/>
                <w:sz w:val="18"/>
                <w:szCs w:val="18"/>
              </w:rPr>
            </w:pPr>
            <w:r>
              <w:rPr>
                <w:rFonts w:hint="eastAsia" w:ascii="宋体" w:hAnsi="宋体"/>
                <w:b/>
                <w:bCs/>
                <w:color w:val="000000"/>
                <w:sz w:val="18"/>
                <w:szCs w:val="18"/>
              </w:rPr>
              <w:t>小计</w:t>
            </w:r>
          </w:p>
        </w:tc>
        <w:tc>
          <w:tcPr>
            <w:tcW w:w="1593" w:type="pct"/>
            <w:noWrap w:val="0"/>
            <w:vAlign w:val="center"/>
          </w:tcPr>
          <w:p w14:paraId="2E83A115">
            <w:pPr>
              <w:jc w:val="center"/>
              <w:rPr>
                <w:rFonts w:ascii="宋体" w:hAnsi="宋体"/>
                <w:b/>
                <w:bCs/>
                <w:color w:val="000000"/>
                <w:sz w:val="18"/>
                <w:szCs w:val="18"/>
              </w:rPr>
            </w:pPr>
            <w:r>
              <w:rPr>
                <w:rFonts w:hint="eastAsia" w:ascii="宋体" w:hAnsi="宋体"/>
                <w:b/>
                <w:bCs/>
                <w:color w:val="000000"/>
                <w:sz w:val="18"/>
                <w:szCs w:val="18"/>
              </w:rPr>
              <w:t>2024年</w:t>
            </w:r>
          </w:p>
        </w:tc>
      </w:tr>
      <w:tr w14:paraId="2889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369" w:type="pct"/>
            <w:noWrap w:val="0"/>
            <w:vAlign w:val="center"/>
          </w:tcPr>
          <w:p w14:paraId="6DCDDB22">
            <w:pPr>
              <w:jc w:val="center"/>
              <w:rPr>
                <w:rFonts w:ascii="宋体" w:hAnsi="宋体"/>
                <w:b/>
                <w:bCs/>
                <w:color w:val="000000"/>
                <w:sz w:val="18"/>
                <w:szCs w:val="18"/>
              </w:rPr>
            </w:pPr>
            <w:r>
              <w:rPr>
                <w:rFonts w:hint="eastAsia" w:ascii="宋体" w:hAnsi="宋体"/>
                <w:b/>
                <w:bCs/>
                <w:color w:val="000000"/>
                <w:sz w:val="18"/>
                <w:szCs w:val="18"/>
              </w:rPr>
              <w:t>1</w:t>
            </w:r>
          </w:p>
        </w:tc>
        <w:tc>
          <w:tcPr>
            <w:tcW w:w="1444" w:type="pct"/>
            <w:noWrap w:val="0"/>
            <w:vAlign w:val="center"/>
          </w:tcPr>
          <w:p w14:paraId="70F0A965">
            <w:pPr>
              <w:jc w:val="center"/>
              <w:rPr>
                <w:rFonts w:ascii="宋体" w:hAnsi="宋体"/>
                <w:color w:val="000000"/>
                <w:sz w:val="18"/>
                <w:szCs w:val="18"/>
              </w:rPr>
            </w:pPr>
            <w:r>
              <w:rPr>
                <w:rFonts w:hint="eastAsia" w:ascii="宋体" w:hAnsi="宋体"/>
                <w:color w:val="000000"/>
                <w:sz w:val="18"/>
                <w:szCs w:val="18"/>
              </w:rPr>
              <w:t>工程费用</w:t>
            </w:r>
          </w:p>
        </w:tc>
        <w:tc>
          <w:tcPr>
            <w:tcW w:w="2719" w:type="dxa"/>
            <w:noWrap w:val="0"/>
            <w:vAlign w:val="center"/>
          </w:tcPr>
          <w:p w14:paraId="5603920B">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 xml:space="preserve"> 8,246.82 </w:t>
            </w:r>
          </w:p>
        </w:tc>
        <w:tc>
          <w:tcPr>
            <w:tcW w:w="2722" w:type="dxa"/>
            <w:noWrap/>
            <w:vAlign w:val="center"/>
          </w:tcPr>
          <w:p w14:paraId="29D435DB">
            <w:pPr>
              <w:keepNext w:val="0"/>
              <w:keepLines w:val="0"/>
              <w:widowControl/>
              <w:suppressLineNumbers w:val="0"/>
              <w:jc w:val="center"/>
              <w:textAlignment w:val="center"/>
              <w:rPr>
                <w:rFonts w:ascii="宋体" w:hAnsi="宋体"/>
                <w:bCs/>
                <w:color w:val="000000"/>
                <w:sz w:val="18"/>
                <w:szCs w:val="18"/>
              </w:rPr>
            </w:pPr>
            <w:r>
              <w:rPr>
                <w:rFonts w:hint="eastAsia" w:ascii="宋体" w:hAnsi="宋体" w:eastAsia="宋体" w:cs="宋体"/>
                <w:i w:val="0"/>
                <w:iCs w:val="0"/>
                <w:color w:val="000000"/>
                <w:kern w:val="0"/>
                <w:sz w:val="18"/>
                <w:szCs w:val="18"/>
                <w:u w:val="none"/>
                <w:lang w:val="en-US" w:eastAsia="zh-CN" w:bidi="ar"/>
              </w:rPr>
              <w:t xml:space="preserve"> 8,246.82 </w:t>
            </w:r>
          </w:p>
        </w:tc>
      </w:tr>
      <w:tr w14:paraId="0A8DB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369" w:type="pct"/>
            <w:noWrap w:val="0"/>
            <w:vAlign w:val="center"/>
          </w:tcPr>
          <w:p w14:paraId="0356EDEE">
            <w:pPr>
              <w:jc w:val="center"/>
              <w:rPr>
                <w:rFonts w:ascii="宋体" w:hAnsi="宋体" w:cs="宋体"/>
                <w:b/>
                <w:bCs/>
                <w:color w:val="000000"/>
                <w:sz w:val="18"/>
                <w:szCs w:val="18"/>
              </w:rPr>
            </w:pPr>
            <w:r>
              <w:rPr>
                <w:rFonts w:hint="eastAsia" w:ascii="宋体" w:hAnsi="宋体"/>
                <w:b/>
                <w:bCs/>
                <w:color w:val="000000"/>
                <w:sz w:val="18"/>
                <w:szCs w:val="18"/>
              </w:rPr>
              <w:t>2</w:t>
            </w:r>
          </w:p>
        </w:tc>
        <w:tc>
          <w:tcPr>
            <w:tcW w:w="1444" w:type="pct"/>
            <w:noWrap w:val="0"/>
            <w:vAlign w:val="center"/>
          </w:tcPr>
          <w:p w14:paraId="0714FE45">
            <w:pPr>
              <w:jc w:val="center"/>
              <w:rPr>
                <w:rFonts w:ascii="宋体" w:hAnsi="宋体"/>
                <w:color w:val="000000"/>
                <w:sz w:val="18"/>
                <w:szCs w:val="18"/>
              </w:rPr>
            </w:pPr>
            <w:r>
              <w:rPr>
                <w:rFonts w:hint="eastAsia" w:ascii="宋体" w:hAnsi="宋体"/>
                <w:color w:val="000000"/>
                <w:sz w:val="18"/>
                <w:szCs w:val="18"/>
              </w:rPr>
              <w:t>工程建设其他费用</w:t>
            </w:r>
          </w:p>
        </w:tc>
        <w:tc>
          <w:tcPr>
            <w:tcW w:w="2719" w:type="dxa"/>
            <w:noWrap w:val="0"/>
            <w:vAlign w:val="center"/>
          </w:tcPr>
          <w:p w14:paraId="22A478E8">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 xml:space="preserve"> 776.86 </w:t>
            </w:r>
          </w:p>
        </w:tc>
        <w:tc>
          <w:tcPr>
            <w:tcW w:w="2722" w:type="dxa"/>
            <w:noWrap/>
            <w:vAlign w:val="center"/>
          </w:tcPr>
          <w:p w14:paraId="4073AC24">
            <w:pPr>
              <w:keepNext w:val="0"/>
              <w:keepLines w:val="0"/>
              <w:widowControl/>
              <w:suppressLineNumbers w:val="0"/>
              <w:jc w:val="center"/>
              <w:textAlignment w:val="center"/>
              <w:rPr>
                <w:rFonts w:ascii="宋体" w:hAnsi="宋体"/>
                <w:bCs/>
                <w:color w:val="000000"/>
                <w:sz w:val="18"/>
                <w:szCs w:val="18"/>
              </w:rPr>
            </w:pPr>
            <w:r>
              <w:rPr>
                <w:rFonts w:hint="eastAsia" w:ascii="宋体" w:hAnsi="宋体" w:eastAsia="宋体" w:cs="宋体"/>
                <w:i w:val="0"/>
                <w:iCs w:val="0"/>
                <w:color w:val="000000"/>
                <w:kern w:val="0"/>
                <w:sz w:val="18"/>
                <w:szCs w:val="18"/>
                <w:u w:val="none"/>
                <w:lang w:val="en-US" w:eastAsia="zh-CN" w:bidi="ar"/>
              </w:rPr>
              <w:t xml:space="preserve"> 776.86 </w:t>
            </w:r>
          </w:p>
        </w:tc>
      </w:tr>
      <w:tr w14:paraId="4B19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 w:hRule="atLeast"/>
        </w:trPr>
        <w:tc>
          <w:tcPr>
            <w:tcW w:w="369" w:type="pct"/>
            <w:noWrap w:val="0"/>
            <w:vAlign w:val="center"/>
          </w:tcPr>
          <w:p w14:paraId="33C36B7D">
            <w:pPr>
              <w:jc w:val="center"/>
              <w:rPr>
                <w:rFonts w:ascii="宋体" w:hAnsi="宋体" w:cs="宋体"/>
                <w:b/>
                <w:bCs/>
                <w:color w:val="000000"/>
                <w:sz w:val="18"/>
                <w:szCs w:val="18"/>
              </w:rPr>
            </w:pPr>
            <w:r>
              <w:rPr>
                <w:rFonts w:hint="eastAsia" w:ascii="宋体" w:hAnsi="宋体"/>
                <w:b/>
                <w:bCs/>
                <w:color w:val="000000"/>
                <w:sz w:val="18"/>
                <w:szCs w:val="18"/>
              </w:rPr>
              <w:t>3</w:t>
            </w:r>
          </w:p>
        </w:tc>
        <w:tc>
          <w:tcPr>
            <w:tcW w:w="1444" w:type="pct"/>
            <w:noWrap w:val="0"/>
            <w:vAlign w:val="center"/>
          </w:tcPr>
          <w:p w14:paraId="700ACB3B">
            <w:pPr>
              <w:jc w:val="center"/>
              <w:rPr>
                <w:rFonts w:ascii="宋体" w:hAnsi="宋体"/>
                <w:color w:val="000000"/>
                <w:sz w:val="18"/>
                <w:szCs w:val="18"/>
              </w:rPr>
            </w:pPr>
            <w:r>
              <w:rPr>
                <w:rFonts w:hint="eastAsia" w:ascii="宋体" w:hAnsi="宋体"/>
                <w:color w:val="000000"/>
                <w:sz w:val="18"/>
                <w:szCs w:val="18"/>
              </w:rPr>
              <w:t>预备费</w:t>
            </w:r>
          </w:p>
        </w:tc>
        <w:tc>
          <w:tcPr>
            <w:tcW w:w="2719" w:type="dxa"/>
            <w:noWrap w:val="0"/>
            <w:vAlign w:val="center"/>
          </w:tcPr>
          <w:p w14:paraId="37C8A518">
            <w:pPr>
              <w:keepNext w:val="0"/>
              <w:keepLines w:val="0"/>
              <w:widowControl/>
              <w:suppressLineNumbers w:val="0"/>
              <w:jc w:val="center"/>
              <w:textAlignment w:val="center"/>
              <w:rPr>
                <w:rFonts w:ascii="宋体" w:hAnsi="宋体"/>
                <w:color w:val="000000"/>
                <w:sz w:val="18"/>
                <w:szCs w:val="18"/>
              </w:rPr>
            </w:pPr>
            <w:r>
              <w:rPr>
                <w:rFonts w:hint="eastAsia" w:ascii="宋体" w:hAnsi="宋体" w:eastAsia="宋体" w:cs="宋体"/>
                <w:i w:val="0"/>
                <w:iCs w:val="0"/>
                <w:color w:val="000000"/>
                <w:kern w:val="0"/>
                <w:sz w:val="18"/>
                <w:szCs w:val="18"/>
                <w:u w:val="none"/>
                <w:lang w:val="en-US" w:eastAsia="zh-CN" w:bidi="ar"/>
              </w:rPr>
              <w:t xml:space="preserve"> 577.28 </w:t>
            </w:r>
          </w:p>
        </w:tc>
        <w:tc>
          <w:tcPr>
            <w:tcW w:w="2722" w:type="dxa"/>
            <w:noWrap/>
            <w:vAlign w:val="center"/>
          </w:tcPr>
          <w:p w14:paraId="232B38A6">
            <w:pPr>
              <w:keepNext w:val="0"/>
              <w:keepLines w:val="0"/>
              <w:widowControl/>
              <w:suppressLineNumbers w:val="0"/>
              <w:jc w:val="center"/>
              <w:textAlignment w:val="center"/>
              <w:rPr>
                <w:rFonts w:ascii="宋体" w:hAnsi="宋体"/>
                <w:bCs/>
                <w:color w:val="000000"/>
                <w:sz w:val="18"/>
                <w:szCs w:val="18"/>
              </w:rPr>
            </w:pPr>
            <w:r>
              <w:rPr>
                <w:rFonts w:hint="eastAsia" w:ascii="宋体" w:hAnsi="宋体" w:eastAsia="宋体" w:cs="宋体"/>
                <w:i w:val="0"/>
                <w:iCs w:val="0"/>
                <w:color w:val="000000"/>
                <w:kern w:val="0"/>
                <w:sz w:val="18"/>
                <w:szCs w:val="18"/>
                <w:u w:val="none"/>
                <w:lang w:val="en-US" w:eastAsia="zh-CN" w:bidi="ar"/>
              </w:rPr>
              <w:t xml:space="preserve"> 577.28 </w:t>
            </w:r>
          </w:p>
        </w:tc>
      </w:tr>
      <w:tr w14:paraId="2CFF0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1813" w:type="pct"/>
            <w:gridSpan w:val="2"/>
            <w:noWrap w:val="0"/>
            <w:vAlign w:val="center"/>
          </w:tcPr>
          <w:p w14:paraId="07ADF980">
            <w:pPr>
              <w:jc w:val="center"/>
              <w:rPr>
                <w:rFonts w:ascii="宋体" w:hAnsi="宋体" w:cs="宋体"/>
                <w:b/>
                <w:bCs/>
                <w:color w:val="000000"/>
                <w:sz w:val="18"/>
                <w:szCs w:val="18"/>
              </w:rPr>
            </w:pPr>
            <w:r>
              <w:rPr>
                <w:rFonts w:hint="eastAsia" w:ascii="宋体" w:hAnsi="宋体"/>
                <w:b/>
                <w:bCs/>
                <w:color w:val="000000"/>
                <w:sz w:val="18"/>
                <w:szCs w:val="18"/>
              </w:rPr>
              <w:t>本次建设项目支出总计</w:t>
            </w:r>
          </w:p>
        </w:tc>
        <w:tc>
          <w:tcPr>
            <w:tcW w:w="2719" w:type="dxa"/>
            <w:noWrap w:val="0"/>
            <w:vAlign w:val="center"/>
          </w:tcPr>
          <w:p w14:paraId="2025970E">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 xml:space="preserve"> 9,600.96 </w:t>
            </w:r>
          </w:p>
        </w:tc>
        <w:tc>
          <w:tcPr>
            <w:tcW w:w="2722" w:type="dxa"/>
            <w:noWrap w:val="0"/>
            <w:vAlign w:val="center"/>
          </w:tcPr>
          <w:p w14:paraId="109CE49A">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 xml:space="preserve"> 9,600.96 </w:t>
            </w:r>
          </w:p>
        </w:tc>
      </w:tr>
    </w:tbl>
    <w:p w14:paraId="423FCF07">
      <w:pPr>
        <w:pStyle w:val="23"/>
        <w:spacing w:before="0" w:beforeAutospacing="0" w:after="156" w:afterLines="50" w:afterAutospacing="0" w:line="360" w:lineRule="exact"/>
        <w:ind w:firstLine="360" w:firstLineChars="200"/>
        <w:jc w:val="both"/>
        <w:rPr>
          <w:sz w:val="18"/>
          <w:szCs w:val="18"/>
        </w:rPr>
      </w:pPr>
      <w:r>
        <w:rPr>
          <w:rFonts w:hint="eastAsia"/>
          <w:sz w:val="18"/>
          <w:szCs w:val="18"/>
        </w:rPr>
        <w:t>注：1、项目建设期</w:t>
      </w:r>
      <w:r>
        <w:rPr>
          <w:rFonts w:hint="eastAsia"/>
          <w:sz w:val="18"/>
          <w:szCs w:val="18"/>
          <w:lang w:val="en-US" w:eastAsia="zh-CN"/>
        </w:rPr>
        <w:t>12</w:t>
      </w:r>
      <w:r>
        <w:rPr>
          <w:rFonts w:hint="eastAsia"/>
          <w:sz w:val="18"/>
          <w:szCs w:val="18"/>
        </w:rPr>
        <w:t>个月。</w:t>
      </w:r>
    </w:p>
    <w:p w14:paraId="360F1B8F">
      <w:pPr>
        <w:pStyle w:val="23"/>
        <w:spacing w:before="0" w:beforeAutospacing="0" w:after="156" w:afterLines="50" w:afterAutospacing="0" w:line="360" w:lineRule="exact"/>
        <w:ind w:firstLine="357"/>
        <w:jc w:val="both"/>
        <w:rPr>
          <w:rFonts w:hint="eastAsia" w:ascii="宋体" w:eastAsia="宋体" w:cs="宋体"/>
          <w:color w:val="000000"/>
          <w:sz w:val="24"/>
          <w:szCs w:val="24"/>
          <w:lang w:val="zh-CN" w:eastAsia="zh-CN" w:bidi="ar-SA"/>
        </w:rPr>
      </w:pPr>
      <w:r>
        <w:rPr>
          <w:sz w:val="18"/>
          <w:szCs w:val="18"/>
        </w:rPr>
        <w:t>2</w:t>
      </w:r>
      <w:r>
        <w:rPr>
          <w:rFonts w:hint="eastAsia"/>
          <w:sz w:val="18"/>
          <w:szCs w:val="18"/>
        </w:rPr>
        <w:t>、项目分年度支出计划上表中仅考虑静态总投资部分，建设期利息在资金充足性分析表中反映。</w:t>
      </w:r>
    </w:p>
    <w:p w14:paraId="305A6C8C">
      <w:pPr>
        <w:pStyle w:val="27"/>
        <w:rPr>
          <w:rFonts w:hint="eastAsia"/>
          <w:lang w:val="zh-CN" w:eastAsia="zh-CN"/>
        </w:rPr>
      </w:pPr>
    </w:p>
    <w:p w14:paraId="2A5193EB">
      <w:pPr>
        <w:pStyle w:val="3"/>
        <w:numPr>
          <w:ilvl w:val="0"/>
          <w:numId w:val="0"/>
        </w:numPr>
        <w:ind w:left="520"/>
      </w:pPr>
      <w:bookmarkStart w:id="47" w:name="_Toc27765"/>
      <w:r>
        <w:rPr>
          <w:rFonts w:hint="eastAsia"/>
        </w:rPr>
        <w:t>（二）资金筹措方案</w:t>
      </w:r>
      <w:bookmarkEnd w:id="47"/>
    </w:p>
    <w:p w14:paraId="703DB41F">
      <w:pPr>
        <w:pStyle w:val="4"/>
        <w:spacing w:before="312" w:beforeLines="0" w:after="156" w:afterLines="0"/>
      </w:pPr>
      <w:bookmarkStart w:id="48" w:name="_Toc700"/>
      <w:r>
        <w:rPr>
          <w:rFonts w:hint="eastAsia"/>
        </w:rPr>
        <w:t>1.资金筹措原则</w:t>
      </w:r>
      <w:bookmarkEnd w:id="48"/>
    </w:p>
    <w:p w14:paraId="5DC1078D">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本次资金筹措遵循以下原则：</w:t>
      </w:r>
    </w:p>
    <w:p w14:paraId="6310AD42">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（1）项目</w:t>
      </w:r>
      <w:r>
        <w:rPr>
          <w:rFonts w:hint="eastAsia" w:ascii="宋体" w:eastAsia="宋体" w:cs="宋体"/>
          <w:color w:val="000000"/>
          <w:sz w:val="24"/>
          <w:szCs w:val="24"/>
          <w:lang w:bidi="ar-SA"/>
        </w:rPr>
        <w:t>投入一定资本金，保证项目顺利开工及后续融资的可能（资本金来源、已有融资（或有）及后续融资请逐一说明）；</w:t>
      </w:r>
    </w:p>
    <w:p w14:paraId="517A3007">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（2）发行地方政府专项债券进行融资（如存在分期发行计划请与项目单位提供融资计划佐证材料、财务评估报告及政府相关单位明确）。</w:t>
      </w:r>
    </w:p>
    <w:p w14:paraId="36BBCF56">
      <w:pPr>
        <w:pStyle w:val="4"/>
        <w:spacing w:before="312" w:beforeLines="0" w:after="156" w:afterLines="0"/>
      </w:pPr>
      <w:bookmarkStart w:id="49" w:name="_Toc30487"/>
      <w:r>
        <w:rPr>
          <w:rFonts w:hint="eastAsia"/>
        </w:rPr>
        <w:t>2.资金筹措方案</w:t>
      </w:r>
      <w:bookmarkEnd w:id="49"/>
    </w:p>
    <w:p w14:paraId="3C0D0612">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考虑资金成本，结合本次发行项目实际情况，为降低资金成本，减轻财务负担，提高资金流动性，保障项目现金流最大化，本项目投资人根据国家相关规定，初步确定项目资金来源如下：</w:t>
      </w:r>
    </w:p>
    <w:p w14:paraId="15F15342">
      <w:pPr>
        <w:spacing w:line="520" w:lineRule="exact"/>
        <w:ind w:firstLine="480" w:firstLineChars="200"/>
        <w:rPr>
          <w:rFonts w:hint="eastAsia" w:ascii="宋体" w:eastAsia="宋体" w:cs="宋体"/>
          <w:color w:val="000000"/>
          <w:sz w:val="24"/>
          <w:szCs w:val="24"/>
          <w:lang w:bidi="ar-SA"/>
        </w:rPr>
      </w:pPr>
      <w:bookmarkStart w:id="50" w:name="_Toc258085323"/>
      <w:bookmarkStart w:id="51" w:name="_Toc258428422"/>
      <w:r>
        <w:rPr>
          <w:rFonts w:hint="eastAsia" w:ascii="宋体" w:eastAsia="宋体" w:cs="宋体"/>
          <w:color w:val="000000"/>
          <w:sz w:val="24"/>
          <w:szCs w:val="24"/>
          <w:lang w:bidi="ar-SA"/>
        </w:rPr>
        <w:t>本项目总投资为</w:t>
      </w:r>
      <w:r>
        <w:rPr>
          <w:rFonts w:hint="eastAsia" w:ascii="宋体" w:eastAsia="宋体" w:cs="楷体"/>
          <w:sz w:val="24"/>
          <w:szCs w:val="24"/>
          <w:lang w:eastAsia="zh-CN" w:bidi="ar-SA"/>
        </w:rPr>
        <w:t>9,864.96</w:t>
      </w:r>
      <w:r>
        <w:rPr>
          <w:rFonts w:hint="eastAsia" w:ascii="宋体" w:eastAsia="宋体" w:cs="宋体"/>
          <w:color w:val="000000"/>
          <w:sz w:val="24"/>
          <w:szCs w:val="24"/>
          <w:lang w:bidi="ar-SA"/>
        </w:rPr>
        <w:t>万元，其中</w:t>
      </w:r>
      <w:r>
        <w:rPr>
          <w:rFonts w:hint="eastAsia" w:ascii="宋体" w:eastAsia="宋体" w:cs="楷体"/>
          <w:sz w:val="24"/>
          <w:szCs w:val="24"/>
          <w:lang w:val="en-US" w:eastAsia="zh-CN" w:bidi="ar-SA"/>
        </w:rPr>
        <w:t>6000</w:t>
      </w:r>
      <w:r>
        <w:rPr>
          <w:rFonts w:hint="eastAsia" w:ascii="宋体" w:eastAsia="宋体" w:cs="宋体"/>
          <w:color w:val="000000"/>
          <w:sz w:val="24"/>
          <w:szCs w:val="24"/>
          <w:lang w:bidi="ar-SA"/>
        </w:rPr>
        <w:t>万元申请专项债，</w:t>
      </w:r>
      <w:r>
        <w:rPr>
          <w:rFonts w:hint="eastAsia" w:eastAsia="宋体" w:cs="Arial"/>
          <w:sz w:val="24"/>
          <w:szCs w:val="24"/>
          <w:lang w:val="en-US" w:eastAsia="zh-CN"/>
        </w:rPr>
        <w:t>3,864.96</w:t>
      </w:r>
      <w:r>
        <w:rPr>
          <w:rFonts w:hint="eastAsia" w:ascii="宋体" w:eastAsia="宋体" w:cs="楷体"/>
          <w:sz w:val="24"/>
          <w:szCs w:val="24"/>
          <w:lang w:bidi="ar-SA"/>
        </w:rPr>
        <w:t xml:space="preserve"> </w:t>
      </w:r>
      <w:r>
        <w:rPr>
          <w:rFonts w:hint="eastAsia" w:ascii="宋体" w:eastAsia="宋体" w:cs="宋体"/>
          <w:color w:val="000000"/>
          <w:sz w:val="24"/>
          <w:szCs w:val="24"/>
          <w:lang w:bidi="ar-SA"/>
        </w:rPr>
        <w:t>万元由区财政拨款解决。</w:t>
      </w:r>
    </w:p>
    <w:bookmarkEnd w:id="50"/>
    <w:bookmarkEnd w:id="51"/>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4"/>
        <w:gridCol w:w="2845"/>
        <w:gridCol w:w="2843"/>
      </w:tblGrid>
      <w:tr w14:paraId="2B25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noWrap w:val="0"/>
            <w:vAlign w:val="top"/>
          </w:tcPr>
          <w:p w14:paraId="3B3AB09B">
            <w:pPr>
              <w:spacing w:before="120" w:after="120" w:line="360" w:lineRule="auto"/>
              <w:rPr>
                <w:rFonts w:hint="eastAsia" w:ascii="宋体"/>
                <w:sz w:val="24"/>
                <w:szCs w:val="24"/>
              </w:rPr>
            </w:pPr>
            <w:r>
              <w:rPr>
                <w:rFonts w:hint="eastAsia" w:ascii="宋体"/>
                <w:sz w:val="24"/>
                <w:szCs w:val="24"/>
              </w:rPr>
              <w:t>资金来源</w:t>
            </w:r>
          </w:p>
        </w:tc>
        <w:tc>
          <w:tcPr>
            <w:tcW w:w="2845" w:type="dxa"/>
            <w:noWrap w:val="0"/>
            <w:vAlign w:val="top"/>
          </w:tcPr>
          <w:p w14:paraId="6CD1900A">
            <w:pPr>
              <w:spacing w:before="120" w:after="120" w:line="360" w:lineRule="auto"/>
              <w:rPr>
                <w:rFonts w:hint="eastAsia" w:ascii="宋体"/>
                <w:sz w:val="24"/>
                <w:szCs w:val="24"/>
              </w:rPr>
            </w:pPr>
            <w:r>
              <w:rPr>
                <w:rFonts w:hint="eastAsia" w:ascii="宋体"/>
                <w:sz w:val="24"/>
                <w:szCs w:val="24"/>
              </w:rPr>
              <w:t>金额（单位：万元）</w:t>
            </w:r>
          </w:p>
        </w:tc>
        <w:tc>
          <w:tcPr>
            <w:tcW w:w="2843" w:type="dxa"/>
            <w:noWrap w:val="0"/>
            <w:vAlign w:val="top"/>
          </w:tcPr>
          <w:p w14:paraId="4984A63E">
            <w:pPr>
              <w:spacing w:before="120" w:after="120" w:line="360" w:lineRule="auto"/>
              <w:rPr>
                <w:rFonts w:hint="eastAsia" w:ascii="宋体"/>
                <w:sz w:val="24"/>
                <w:szCs w:val="24"/>
              </w:rPr>
            </w:pPr>
            <w:r>
              <w:rPr>
                <w:rFonts w:hint="eastAsia" w:ascii="宋体"/>
                <w:sz w:val="24"/>
                <w:szCs w:val="24"/>
              </w:rPr>
              <w:t>比例</w:t>
            </w:r>
          </w:p>
        </w:tc>
      </w:tr>
      <w:tr w14:paraId="365F8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noWrap w:val="0"/>
            <w:vAlign w:val="top"/>
          </w:tcPr>
          <w:p w14:paraId="7B77AD96">
            <w:pPr>
              <w:spacing w:before="120" w:after="120" w:line="360" w:lineRule="auto"/>
              <w:rPr>
                <w:rFonts w:hint="eastAsia" w:ascii="宋体"/>
                <w:sz w:val="24"/>
                <w:szCs w:val="24"/>
              </w:rPr>
            </w:pPr>
            <w:r>
              <w:rPr>
                <w:rFonts w:hint="eastAsia" w:ascii="宋体"/>
                <w:sz w:val="24"/>
                <w:szCs w:val="24"/>
              </w:rPr>
              <w:t>项目自筹</w:t>
            </w:r>
          </w:p>
        </w:tc>
        <w:tc>
          <w:tcPr>
            <w:tcW w:w="2845" w:type="dxa"/>
            <w:noWrap w:val="0"/>
            <w:vAlign w:val="top"/>
          </w:tcPr>
          <w:p w14:paraId="5B21D2A0">
            <w:pPr>
              <w:spacing w:before="120" w:after="120" w:line="360" w:lineRule="auto"/>
              <w:rPr>
                <w:rFonts w:hint="eastAsia" w:ascii="仿宋" w:eastAsia="仿宋"/>
                <w:sz w:val="24"/>
                <w:szCs w:val="24"/>
              </w:rPr>
            </w:pPr>
            <w:r>
              <w:rPr>
                <w:rFonts w:hint="eastAsia" w:eastAsia="宋体" w:cs="Arial"/>
                <w:sz w:val="24"/>
                <w:szCs w:val="24"/>
                <w:lang w:val="en-US" w:eastAsia="zh-CN"/>
              </w:rPr>
              <w:t>3,864.96</w:t>
            </w:r>
          </w:p>
        </w:tc>
        <w:tc>
          <w:tcPr>
            <w:tcW w:w="2843" w:type="dxa"/>
            <w:noWrap w:val="0"/>
            <w:vAlign w:val="top"/>
          </w:tcPr>
          <w:p w14:paraId="24B8BBF6">
            <w:pPr>
              <w:spacing w:before="120" w:after="120" w:line="360" w:lineRule="auto"/>
              <w:rPr>
                <w:rFonts w:hint="eastAsia" w:ascii="仿宋" w:eastAsia="仿宋"/>
                <w:sz w:val="24"/>
                <w:szCs w:val="24"/>
              </w:rPr>
            </w:pPr>
            <w:r>
              <w:rPr>
                <w:rFonts w:hint="eastAsia" w:ascii="宋体" w:eastAsia="宋体" w:cs="楷体"/>
                <w:sz w:val="24"/>
                <w:szCs w:val="24"/>
                <w:lang w:eastAsia="zh-CN" w:bidi="ar-SA"/>
              </w:rPr>
              <w:t>39.18%</w:t>
            </w:r>
            <w:r>
              <w:rPr>
                <w:rFonts w:hint="eastAsia" w:ascii="宋体" w:eastAsia="宋体" w:cs="楷体"/>
                <w:sz w:val="24"/>
                <w:szCs w:val="24"/>
                <w:lang w:bidi="ar-SA"/>
              </w:rPr>
              <w:t>；</w:t>
            </w:r>
          </w:p>
        </w:tc>
      </w:tr>
      <w:tr w14:paraId="30D22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4" w:type="dxa"/>
            <w:noWrap w:val="0"/>
            <w:vAlign w:val="top"/>
          </w:tcPr>
          <w:p w14:paraId="5B0A1897">
            <w:pPr>
              <w:spacing w:before="120" w:after="120" w:line="360" w:lineRule="auto"/>
              <w:rPr>
                <w:rFonts w:hint="eastAsia" w:ascii="宋体"/>
                <w:sz w:val="24"/>
                <w:szCs w:val="24"/>
              </w:rPr>
            </w:pPr>
            <w:r>
              <w:rPr>
                <w:rFonts w:hint="eastAsia" w:ascii="宋体"/>
                <w:sz w:val="24"/>
                <w:szCs w:val="24"/>
              </w:rPr>
              <w:t>专项债</w:t>
            </w:r>
          </w:p>
        </w:tc>
        <w:tc>
          <w:tcPr>
            <w:tcW w:w="2845" w:type="dxa"/>
            <w:noWrap w:val="0"/>
            <w:vAlign w:val="top"/>
          </w:tcPr>
          <w:p w14:paraId="4C7A29E2">
            <w:pPr>
              <w:spacing w:before="120" w:after="120" w:line="360" w:lineRule="auto"/>
              <w:rPr>
                <w:rFonts w:hint="eastAsia" w:ascii="仿宋" w:eastAsia="仿宋"/>
                <w:sz w:val="24"/>
                <w:szCs w:val="24"/>
                <w:lang w:val="en-US" w:eastAsia="zh-CN"/>
              </w:rPr>
            </w:pPr>
            <w:r>
              <w:rPr>
                <w:rFonts w:hint="eastAsia" w:ascii="宋体" w:eastAsia="宋体" w:cs="楷体"/>
                <w:sz w:val="24"/>
                <w:szCs w:val="24"/>
                <w:lang w:eastAsia="zh-CN" w:bidi="ar-SA"/>
              </w:rPr>
              <w:t>6000</w:t>
            </w:r>
          </w:p>
        </w:tc>
        <w:tc>
          <w:tcPr>
            <w:tcW w:w="2843" w:type="dxa"/>
            <w:noWrap w:val="0"/>
            <w:vAlign w:val="top"/>
          </w:tcPr>
          <w:p w14:paraId="10CCA35D">
            <w:pPr>
              <w:spacing w:before="120" w:after="120" w:line="360" w:lineRule="auto"/>
              <w:rPr>
                <w:rFonts w:hint="eastAsia" w:ascii="仿宋" w:eastAsia="仿宋"/>
                <w:sz w:val="24"/>
                <w:szCs w:val="24"/>
              </w:rPr>
            </w:pPr>
            <w:r>
              <w:rPr>
                <w:rFonts w:hint="eastAsia" w:ascii="宋体" w:eastAsia="宋体" w:cs="楷体"/>
                <w:sz w:val="24"/>
                <w:szCs w:val="24"/>
                <w:lang w:eastAsia="zh-CN" w:bidi="ar-SA"/>
              </w:rPr>
              <w:t>60.82%</w:t>
            </w:r>
          </w:p>
        </w:tc>
      </w:tr>
    </w:tbl>
    <w:p w14:paraId="04D67B12">
      <w:pPr>
        <w:pStyle w:val="2"/>
        <w:rPr>
          <w:rFonts w:hint="eastAsia" w:ascii="黑体" w:cs="黑体"/>
          <w:szCs w:val="28"/>
          <w:lang w:bidi="ar-SA"/>
        </w:rPr>
      </w:pPr>
      <w:bookmarkStart w:id="52" w:name="_Toc15457"/>
      <w:r>
        <w:rPr>
          <w:rFonts w:hint="eastAsia" w:ascii="黑体" w:cs="黑体"/>
          <w:szCs w:val="28"/>
          <w:lang w:bidi="ar-SA"/>
        </w:rPr>
        <w:t>三、项目预期收益、成本及融资平衡情况</w:t>
      </w:r>
      <w:bookmarkEnd w:id="52"/>
    </w:p>
    <w:p w14:paraId="0DFE7923">
      <w:pPr>
        <w:spacing w:before="156" w:beforeLines="50" w:after="156" w:afterLines="50" w:line="560" w:lineRule="exact"/>
        <w:ind w:firstLine="480" w:firstLineChars="200"/>
        <w:rPr>
          <w:rFonts w:hint="eastAsia" w:ascii="宋体" w:eastAsia="宋体" w:cs="宋体"/>
          <w:color w:val="000000"/>
          <w:sz w:val="24"/>
          <w:szCs w:val="24"/>
          <w:lang w:val="en-US" w:eastAsia="zh-CN" w:bidi="ar-SA"/>
        </w:rPr>
      </w:pPr>
      <w:bookmarkStart w:id="53" w:name="_Toc8974"/>
      <w:r>
        <w:rPr>
          <w:rFonts w:hint="eastAsia" w:ascii="宋体" w:eastAsia="宋体" w:cs="宋体"/>
          <w:color w:val="000000"/>
          <w:sz w:val="24"/>
          <w:szCs w:val="24"/>
          <w:lang w:val="en-US" w:eastAsia="zh-CN" w:bidi="ar-SA"/>
        </w:rPr>
        <w:t>1.资金稳定性分析</w:t>
      </w:r>
    </w:p>
    <w:p w14:paraId="1B061E65">
      <w:pPr>
        <w:spacing w:before="156" w:beforeLines="50" w:after="156" w:afterLines="50" w:line="560" w:lineRule="exact"/>
        <w:ind w:firstLine="480" w:firstLineChars="200"/>
        <w:rPr>
          <w:rFonts w:hint="eastAsia" w:ascii="宋体" w:eastAsia="宋体" w:cs="宋体"/>
          <w:color w:val="000000"/>
          <w:sz w:val="24"/>
          <w:szCs w:val="24"/>
          <w:lang w:val="en-US" w:eastAsia="zh-CN" w:bidi="ar-SA"/>
        </w:rPr>
      </w:pPr>
      <w:r>
        <w:rPr>
          <w:rFonts w:hint="eastAsia" w:ascii="宋体" w:eastAsia="宋体" w:cs="宋体"/>
          <w:color w:val="000000"/>
          <w:sz w:val="24"/>
          <w:szCs w:val="24"/>
          <w:lang w:val="en-US" w:eastAsia="zh-CN" w:bidi="ar-SA"/>
        </w:rPr>
        <w:t>本次申请发行的江西省南昌市西湖区“数智西湖”指挥运营中心及城市治理应用体系建设项目，预计业务活动现金流入合计为22,740.60万元，其中企业数字服务费收入15,012.14万元，智能燃气监测服务费收入1,436.7万元，停车位收入5,646.16万元，广告费收入645.6万元。项目自运营期（2025年1月）开始至债券到期的项目收益年度分布情况如下：</w:t>
      </w:r>
    </w:p>
    <w:p w14:paraId="2E4F1404">
      <w:pPr>
        <w:pStyle w:val="23"/>
        <w:keepNext/>
        <w:spacing w:before="0" w:beforeAutospacing="0" w:after="0" w:afterAutospacing="0" w:line="360" w:lineRule="exact"/>
        <w:jc w:val="center"/>
        <w:rPr>
          <w:b/>
          <w:sz w:val="21"/>
          <w:szCs w:val="21"/>
        </w:rPr>
      </w:pPr>
      <w:r>
        <w:rPr>
          <w:rFonts w:hint="eastAsia"/>
          <w:b/>
          <w:sz w:val="21"/>
          <w:szCs w:val="21"/>
        </w:rPr>
        <w:t>表3-</w:t>
      </w:r>
      <w:r>
        <w:rPr>
          <w:b/>
          <w:sz w:val="21"/>
          <w:szCs w:val="21"/>
        </w:rPr>
        <w:t>1</w:t>
      </w:r>
      <w:r>
        <w:rPr>
          <w:rFonts w:hint="eastAsia"/>
          <w:b/>
          <w:sz w:val="21"/>
          <w:szCs w:val="21"/>
        </w:rPr>
        <w:t>项目收益年度分布情况分析</w:t>
      </w:r>
    </w:p>
    <w:p w14:paraId="33CFEAD9">
      <w:pPr>
        <w:pStyle w:val="23"/>
        <w:keepNext/>
        <w:spacing w:before="0" w:beforeAutospacing="0" w:after="0" w:afterAutospacing="0" w:line="360" w:lineRule="exact"/>
        <w:ind w:right="54" w:rightChars="26" w:firstLine="360" w:firstLineChars="200"/>
        <w:jc w:val="right"/>
        <w:rPr>
          <w:sz w:val="18"/>
          <w:szCs w:val="18"/>
        </w:rPr>
      </w:pPr>
      <w:r>
        <w:rPr>
          <w:rFonts w:hint="eastAsia"/>
          <w:sz w:val="18"/>
          <w:szCs w:val="18"/>
        </w:rPr>
        <w:t>单位：万元</w:t>
      </w:r>
    </w:p>
    <w:tbl>
      <w:tblPr>
        <w:tblStyle w:val="28"/>
        <w:tblW w:w="50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6"/>
        <w:gridCol w:w="1767"/>
        <w:gridCol w:w="1772"/>
        <w:gridCol w:w="1365"/>
        <w:gridCol w:w="1566"/>
        <w:gridCol w:w="1447"/>
      </w:tblGrid>
      <w:tr w14:paraId="48942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7856EF98">
            <w:pPr>
              <w:widowControl/>
              <w:jc w:val="center"/>
              <w:rPr>
                <w:rFonts w:ascii="宋体" w:hAnsi="宋体"/>
                <w:b/>
                <w:bCs/>
                <w:kern w:val="0"/>
                <w:sz w:val="18"/>
                <w:szCs w:val="18"/>
              </w:rPr>
            </w:pPr>
            <w:r>
              <w:rPr>
                <w:rFonts w:hint="eastAsia" w:ascii="宋体" w:hAnsi="宋体"/>
                <w:b/>
                <w:bCs/>
                <w:sz w:val="18"/>
                <w:szCs w:val="18"/>
              </w:rPr>
              <w:t>年份</w:t>
            </w:r>
          </w:p>
        </w:tc>
        <w:tc>
          <w:tcPr>
            <w:tcW w:w="1029" w:type="pct"/>
            <w:noWrap/>
            <w:vAlign w:val="center"/>
          </w:tcPr>
          <w:p w14:paraId="7389B5B4">
            <w:pPr>
              <w:widowControl/>
              <w:jc w:val="center"/>
              <w:rPr>
                <w:rFonts w:hint="eastAsia" w:ascii="宋体" w:hAnsi="宋体" w:eastAsia="宋体" w:cs="Times New Roman"/>
                <w:b/>
                <w:bCs/>
                <w:sz w:val="18"/>
                <w:szCs w:val="18"/>
              </w:rPr>
            </w:pPr>
            <w:r>
              <w:rPr>
                <w:rFonts w:hint="eastAsia" w:ascii="宋体" w:hAnsi="宋体" w:eastAsia="宋体" w:cs="Times New Roman"/>
                <w:b/>
                <w:bCs/>
                <w:sz w:val="18"/>
                <w:szCs w:val="18"/>
                <w:lang w:val="en-US" w:eastAsia="zh-CN"/>
              </w:rPr>
              <w:t>企业数字服务费</w:t>
            </w:r>
          </w:p>
        </w:tc>
        <w:tc>
          <w:tcPr>
            <w:tcW w:w="1032" w:type="pct"/>
            <w:noWrap/>
            <w:vAlign w:val="center"/>
          </w:tcPr>
          <w:p w14:paraId="28AB62B9">
            <w:pPr>
              <w:widowControl/>
              <w:jc w:val="center"/>
              <w:rPr>
                <w:rFonts w:hint="eastAsia" w:ascii="宋体" w:hAnsi="宋体" w:eastAsia="宋体" w:cs="Times New Roman"/>
                <w:b/>
                <w:bCs/>
                <w:sz w:val="18"/>
                <w:szCs w:val="18"/>
              </w:rPr>
            </w:pPr>
            <w:r>
              <w:rPr>
                <w:rFonts w:hint="eastAsia" w:ascii="宋体" w:hAnsi="宋体" w:eastAsia="宋体" w:cs="Times New Roman"/>
                <w:b/>
                <w:bCs/>
                <w:sz w:val="18"/>
                <w:szCs w:val="18"/>
                <w:lang w:val="en-US" w:eastAsia="zh-CN"/>
              </w:rPr>
              <w:t>智能燃气监测服务费</w:t>
            </w:r>
          </w:p>
        </w:tc>
        <w:tc>
          <w:tcPr>
            <w:tcW w:w="795" w:type="pct"/>
            <w:noWrap/>
            <w:vAlign w:val="center"/>
          </w:tcPr>
          <w:p w14:paraId="1D3E3043">
            <w:pPr>
              <w:widowControl/>
              <w:jc w:val="center"/>
              <w:rPr>
                <w:rFonts w:hint="eastAsia" w:ascii="宋体" w:hAnsi="宋体" w:eastAsia="宋体" w:cs="Times New Roman"/>
                <w:b/>
                <w:bCs/>
                <w:sz w:val="18"/>
                <w:szCs w:val="18"/>
              </w:rPr>
            </w:pPr>
            <w:r>
              <w:rPr>
                <w:rFonts w:hint="eastAsia" w:ascii="宋体" w:hAnsi="宋体" w:eastAsia="宋体" w:cs="Times New Roman"/>
                <w:b/>
                <w:bCs/>
                <w:sz w:val="18"/>
                <w:szCs w:val="18"/>
                <w:lang w:val="en-US" w:eastAsia="zh-CN"/>
              </w:rPr>
              <w:t>停车位收入</w:t>
            </w:r>
          </w:p>
        </w:tc>
        <w:tc>
          <w:tcPr>
            <w:tcW w:w="912" w:type="pct"/>
            <w:noWrap/>
            <w:vAlign w:val="center"/>
          </w:tcPr>
          <w:p w14:paraId="2EEFF1CC">
            <w:pPr>
              <w:widowControl/>
              <w:jc w:val="center"/>
              <w:rPr>
                <w:rFonts w:hint="eastAsia" w:ascii="宋体" w:hAnsi="宋体" w:eastAsia="宋体" w:cs="Times New Roman"/>
                <w:b/>
                <w:bCs/>
                <w:sz w:val="18"/>
                <w:szCs w:val="18"/>
              </w:rPr>
            </w:pPr>
            <w:r>
              <w:rPr>
                <w:rFonts w:hint="eastAsia" w:ascii="宋体" w:hAnsi="宋体" w:eastAsia="宋体" w:cs="Times New Roman"/>
                <w:b/>
                <w:bCs/>
                <w:sz w:val="18"/>
                <w:szCs w:val="18"/>
                <w:lang w:val="en-US" w:eastAsia="zh-CN"/>
              </w:rPr>
              <w:t>广告费</w:t>
            </w:r>
          </w:p>
        </w:tc>
        <w:tc>
          <w:tcPr>
            <w:tcW w:w="842" w:type="pct"/>
            <w:noWrap/>
            <w:vAlign w:val="center"/>
          </w:tcPr>
          <w:p w14:paraId="120429D4">
            <w:pPr>
              <w:widowControl/>
              <w:jc w:val="center"/>
              <w:rPr>
                <w:rFonts w:hint="eastAsia" w:ascii="宋体" w:hAnsi="宋体" w:eastAsia="宋体" w:cs="Times New Roman"/>
                <w:b/>
                <w:bCs/>
                <w:sz w:val="18"/>
                <w:szCs w:val="18"/>
              </w:rPr>
            </w:pPr>
            <w:r>
              <w:rPr>
                <w:rFonts w:hint="eastAsia" w:ascii="宋体" w:hAnsi="宋体" w:eastAsia="宋体" w:cs="Times New Roman"/>
                <w:b/>
                <w:bCs/>
                <w:sz w:val="18"/>
                <w:szCs w:val="18"/>
                <w:lang w:val="en-US" w:eastAsia="zh-CN"/>
              </w:rPr>
              <w:t>合计</w:t>
            </w:r>
          </w:p>
        </w:tc>
      </w:tr>
      <w:tr w14:paraId="538F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9" w:hRule="atLeast"/>
        </w:trPr>
        <w:tc>
          <w:tcPr>
            <w:tcW w:w="387" w:type="pct"/>
            <w:noWrap/>
            <w:vAlign w:val="center"/>
          </w:tcPr>
          <w:p w14:paraId="57516D52">
            <w:pPr>
              <w:jc w:val="center"/>
              <w:rPr>
                <w:rFonts w:hint="eastAsia" w:ascii="宋体" w:hAnsi="宋体" w:eastAsia="宋体"/>
                <w:sz w:val="18"/>
                <w:szCs w:val="18"/>
                <w:lang w:val="en-US" w:eastAsia="zh-CN"/>
              </w:rPr>
            </w:pPr>
            <w:r>
              <w:rPr>
                <w:rFonts w:hint="eastAsia" w:ascii="宋体" w:hAnsi="宋体"/>
                <w:sz w:val="18"/>
                <w:szCs w:val="18"/>
              </w:rPr>
              <w:t>202</w:t>
            </w:r>
            <w:r>
              <w:rPr>
                <w:rFonts w:hint="eastAsia" w:ascii="宋体" w:hAnsi="宋体"/>
                <w:sz w:val="18"/>
                <w:szCs w:val="18"/>
                <w:lang w:val="en-US" w:eastAsia="zh-CN"/>
              </w:rPr>
              <w:t>5</w:t>
            </w:r>
          </w:p>
        </w:tc>
        <w:tc>
          <w:tcPr>
            <w:tcW w:w="1029" w:type="pct"/>
            <w:noWrap/>
            <w:vAlign w:val="bottom"/>
          </w:tcPr>
          <w:p w14:paraId="59B71B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410.00 </w:t>
            </w:r>
          </w:p>
        </w:tc>
        <w:tc>
          <w:tcPr>
            <w:tcW w:w="1032" w:type="pct"/>
            <w:noWrap/>
            <w:vAlign w:val="bottom"/>
          </w:tcPr>
          <w:p w14:paraId="64C5879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98.00 </w:t>
            </w:r>
          </w:p>
        </w:tc>
        <w:tc>
          <w:tcPr>
            <w:tcW w:w="795" w:type="pct"/>
            <w:noWrap/>
            <w:vAlign w:val="bottom"/>
          </w:tcPr>
          <w:p w14:paraId="0B6199D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342.19 </w:t>
            </w:r>
          </w:p>
        </w:tc>
        <w:tc>
          <w:tcPr>
            <w:tcW w:w="912" w:type="pct"/>
            <w:noWrap/>
            <w:vAlign w:val="bottom"/>
          </w:tcPr>
          <w:p w14:paraId="3763B6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28.80 </w:t>
            </w:r>
          </w:p>
        </w:tc>
        <w:tc>
          <w:tcPr>
            <w:tcW w:w="842" w:type="pct"/>
            <w:noWrap/>
            <w:vAlign w:val="bottom"/>
          </w:tcPr>
          <w:p w14:paraId="56FDC90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878.99</w:t>
            </w:r>
          </w:p>
        </w:tc>
      </w:tr>
      <w:tr w14:paraId="75DC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3C97F426">
            <w:pPr>
              <w:jc w:val="center"/>
              <w:rPr>
                <w:rFonts w:ascii="宋体" w:hAnsi="宋体"/>
                <w:sz w:val="18"/>
                <w:szCs w:val="18"/>
              </w:rPr>
            </w:pPr>
            <w:r>
              <w:rPr>
                <w:rFonts w:hint="eastAsia" w:ascii="宋体" w:hAnsi="宋体"/>
                <w:sz w:val="18"/>
                <w:szCs w:val="18"/>
              </w:rPr>
              <w:t>2026</w:t>
            </w:r>
          </w:p>
        </w:tc>
        <w:tc>
          <w:tcPr>
            <w:tcW w:w="1029" w:type="pct"/>
            <w:noWrap/>
            <w:vAlign w:val="bottom"/>
          </w:tcPr>
          <w:p w14:paraId="62368A1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410.00 </w:t>
            </w:r>
          </w:p>
        </w:tc>
        <w:tc>
          <w:tcPr>
            <w:tcW w:w="1032" w:type="pct"/>
            <w:noWrap/>
            <w:vAlign w:val="bottom"/>
          </w:tcPr>
          <w:p w14:paraId="436824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98.00 </w:t>
            </w:r>
          </w:p>
        </w:tc>
        <w:tc>
          <w:tcPr>
            <w:tcW w:w="795" w:type="pct"/>
            <w:noWrap/>
            <w:vAlign w:val="bottom"/>
          </w:tcPr>
          <w:p w14:paraId="6E26DEC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376.41 </w:t>
            </w:r>
          </w:p>
        </w:tc>
        <w:tc>
          <w:tcPr>
            <w:tcW w:w="912" w:type="pct"/>
            <w:noWrap/>
            <w:vAlign w:val="bottom"/>
          </w:tcPr>
          <w:p w14:paraId="7031CDC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36.00 </w:t>
            </w:r>
          </w:p>
        </w:tc>
        <w:tc>
          <w:tcPr>
            <w:tcW w:w="842" w:type="pct"/>
            <w:noWrap/>
            <w:vAlign w:val="bottom"/>
          </w:tcPr>
          <w:p w14:paraId="75B801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920.41</w:t>
            </w:r>
          </w:p>
        </w:tc>
      </w:tr>
      <w:tr w14:paraId="1E84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7FC3BA8C">
            <w:pPr>
              <w:jc w:val="center"/>
              <w:rPr>
                <w:rFonts w:ascii="宋体" w:hAnsi="宋体"/>
                <w:sz w:val="18"/>
                <w:szCs w:val="18"/>
              </w:rPr>
            </w:pPr>
            <w:r>
              <w:rPr>
                <w:rFonts w:hint="eastAsia" w:ascii="宋体" w:hAnsi="宋体"/>
                <w:sz w:val="18"/>
                <w:szCs w:val="18"/>
              </w:rPr>
              <w:t>2027</w:t>
            </w:r>
          </w:p>
        </w:tc>
        <w:tc>
          <w:tcPr>
            <w:tcW w:w="1029" w:type="pct"/>
            <w:noWrap/>
            <w:vAlign w:val="bottom"/>
          </w:tcPr>
          <w:p w14:paraId="70527EE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796.00 </w:t>
            </w:r>
          </w:p>
        </w:tc>
        <w:tc>
          <w:tcPr>
            <w:tcW w:w="1032" w:type="pct"/>
            <w:noWrap/>
            <w:vAlign w:val="bottom"/>
          </w:tcPr>
          <w:p w14:paraId="391C15C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98.00 </w:t>
            </w:r>
          </w:p>
        </w:tc>
        <w:tc>
          <w:tcPr>
            <w:tcW w:w="795" w:type="pct"/>
            <w:noWrap/>
            <w:vAlign w:val="bottom"/>
          </w:tcPr>
          <w:p w14:paraId="664468B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17E74D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43.20 </w:t>
            </w:r>
          </w:p>
        </w:tc>
        <w:tc>
          <w:tcPr>
            <w:tcW w:w="842" w:type="pct"/>
            <w:noWrap/>
            <w:vAlign w:val="bottom"/>
          </w:tcPr>
          <w:p w14:paraId="19674D9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1,347.83</w:t>
            </w:r>
          </w:p>
        </w:tc>
      </w:tr>
      <w:tr w14:paraId="43638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3" w:hRule="atLeast"/>
        </w:trPr>
        <w:tc>
          <w:tcPr>
            <w:tcW w:w="387" w:type="pct"/>
            <w:noWrap/>
            <w:vAlign w:val="center"/>
          </w:tcPr>
          <w:p w14:paraId="0C510ED4">
            <w:pPr>
              <w:jc w:val="center"/>
              <w:rPr>
                <w:rFonts w:ascii="宋体" w:hAnsi="宋体"/>
                <w:sz w:val="18"/>
                <w:szCs w:val="18"/>
              </w:rPr>
            </w:pPr>
            <w:r>
              <w:rPr>
                <w:rFonts w:hint="eastAsia" w:ascii="宋体" w:hAnsi="宋体"/>
                <w:sz w:val="18"/>
                <w:szCs w:val="18"/>
              </w:rPr>
              <w:t>2028</w:t>
            </w:r>
          </w:p>
        </w:tc>
        <w:tc>
          <w:tcPr>
            <w:tcW w:w="1029" w:type="pct"/>
            <w:noWrap/>
            <w:vAlign w:val="bottom"/>
          </w:tcPr>
          <w:p w14:paraId="721D342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796.00 </w:t>
            </w:r>
          </w:p>
        </w:tc>
        <w:tc>
          <w:tcPr>
            <w:tcW w:w="1032" w:type="pct"/>
            <w:noWrap/>
            <w:vAlign w:val="bottom"/>
          </w:tcPr>
          <w:p w14:paraId="4008DF9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98.00 </w:t>
            </w:r>
          </w:p>
        </w:tc>
        <w:tc>
          <w:tcPr>
            <w:tcW w:w="795" w:type="pct"/>
            <w:noWrap/>
            <w:vAlign w:val="bottom"/>
          </w:tcPr>
          <w:p w14:paraId="566E84C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70BDC6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45.60 </w:t>
            </w:r>
          </w:p>
        </w:tc>
        <w:tc>
          <w:tcPr>
            <w:tcW w:w="842" w:type="pct"/>
            <w:noWrap/>
            <w:vAlign w:val="bottom"/>
          </w:tcPr>
          <w:p w14:paraId="37CD648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1,350.23</w:t>
            </w:r>
          </w:p>
        </w:tc>
      </w:tr>
      <w:tr w14:paraId="16DB5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6755A542">
            <w:pPr>
              <w:jc w:val="center"/>
              <w:rPr>
                <w:rFonts w:ascii="宋体" w:hAnsi="宋体"/>
                <w:sz w:val="18"/>
                <w:szCs w:val="18"/>
              </w:rPr>
            </w:pPr>
            <w:r>
              <w:rPr>
                <w:rFonts w:hint="eastAsia" w:ascii="宋体" w:hAnsi="宋体"/>
                <w:sz w:val="18"/>
                <w:szCs w:val="18"/>
              </w:rPr>
              <w:t>2029</w:t>
            </w:r>
          </w:p>
        </w:tc>
        <w:tc>
          <w:tcPr>
            <w:tcW w:w="1029" w:type="pct"/>
            <w:noWrap/>
            <w:vAlign w:val="bottom"/>
          </w:tcPr>
          <w:p w14:paraId="33EF82B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1,182.00 </w:t>
            </w:r>
          </w:p>
        </w:tc>
        <w:tc>
          <w:tcPr>
            <w:tcW w:w="1032" w:type="pct"/>
            <w:noWrap/>
            <w:vAlign w:val="bottom"/>
          </w:tcPr>
          <w:p w14:paraId="1DE5DBC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98.00 </w:t>
            </w:r>
          </w:p>
        </w:tc>
        <w:tc>
          <w:tcPr>
            <w:tcW w:w="795" w:type="pct"/>
            <w:noWrap/>
            <w:vAlign w:val="bottom"/>
          </w:tcPr>
          <w:p w14:paraId="4537E2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39F1B9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45.60 </w:t>
            </w:r>
          </w:p>
        </w:tc>
        <w:tc>
          <w:tcPr>
            <w:tcW w:w="842" w:type="pct"/>
            <w:noWrap/>
            <w:vAlign w:val="bottom"/>
          </w:tcPr>
          <w:p w14:paraId="73CB964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1,736.23</w:t>
            </w:r>
          </w:p>
        </w:tc>
      </w:tr>
      <w:tr w14:paraId="731BC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72E35110">
            <w:pPr>
              <w:jc w:val="center"/>
              <w:rPr>
                <w:rFonts w:ascii="宋体" w:hAnsi="宋体"/>
                <w:sz w:val="18"/>
                <w:szCs w:val="18"/>
              </w:rPr>
            </w:pPr>
            <w:r>
              <w:rPr>
                <w:rFonts w:hint="eastAsia" w:ascii="宋体" w:hAnsi="宋体"/>
                <w:sz w:val="18"/>
                <w:szCs w:val="18"/>
              </w:rPr>
              <w:t>2030</w:t>
            </w:r>
          </w:p>
        </w:tc>
        <w:tc>
          <w:tcPr>
            <w:tcW w:w="1029" w:type="pct"/>
            <w:noWrap/>
            <w:vAlign w:val="bottom"/>
          </w:tcPr>
          <w:p w14:paraId="7503F23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1,241.10 </w:t>
            </w:r>
          </w:p>
        </w:tc>
        <w:tc>
          <w:tcPr>
            <w:tcW w:w="1032" w:type="pct"/>
            <w:noWrap/>
            <w:vAlign w:val="bottom"/>
          </w:tcPr>
          <w:p w14:paraId="05A706D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102.90 </w:t>
            </w:r>
          </w:p>
        </w:tc>
        <w:tc>
          <w:tcPr>
            <w:tcW w:w="795" w:type="pct"/>
            <w:noWrap/>
            <w:vAlign w:val="bottom"/>
          </w:tcPr>
          <w:p w14:paraId="4AC0EC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1E3CF10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45.60 </w:t>
            </w:r>
          </w:p>
        </w:tc>
        <w:tc>
          <w:tcPr>
            <w:tcW w:w="842" w:type="pct"/>
            <w:noWrap/>
            <w:vAlign w:val="bottom"/>
          </w:tcPr>
          <w:p w14:paraId="2C45FD3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1,800.23</w:t>
            </w:r>
          </w:p>
        </w:tc>
      </w:tr>
      <w:tr w14:paraId="2F19A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9" w:hRule="atLeast"/>
        </w:trPr>
        <w:tc>
          <w:tcPr>
            <w:tcW w:w="387" w:type="pct"/>
            <w:noWrap/>
            <w:vAlign w:val="center"/>
          </w:tcPr>
          <w:p w14:paraId="5228BEA9">
            <w:pPr>
              <w:jc w:val="center"/>
              <w:rPr>
                <w:rFonts w:ascii="宋体" w:hAnsi="宋体"/>
                <w:sz w:val="18"/>
                <w:szCs w:val="18"/>
              </w:rPr>
            </w:pPr>
            <w:r>
              <w:rPr>
                <w:rFonts w:hint="eastAsia" w:ascii="宋体" w:hAnsi="宋体"/>
                <w:sz w:val="18"/>
                <w:szCs w:val="18"/>
              </w:rPr>
              <w:t>2031</w:t>
            </w:r>
          </w:p>
        </w:tc>
        <w:tc>
          <w:tcPr>
            <w:tcW w:w="1029" w:type="pct"/>
            <w:noWrap/>
            <w:vAlign w:val="bottom"/>
          </w:tcPr>
          <w:p w14:paraId="0F87221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1,241.10 </w:t>
            </w:r>
          </w:p>
        </w:tc>
        <w:tc>
          <w:tcPr>
            <w:tcW w:w="1032" w:type="pct"/>
            <w:noWrap/>
            <w:vAlign w:val="bottom"/>
          </w:tcPr>
          <w:p w14:paraId="493BF60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102.90 </w:t>
            </w:r>
          </w:p>
        </w:tc>
        <w:tc>
          <w:tcPr>
            <w:tcW w:w="795" w:type="pct"/>
            <w:noWrap/>
            <w:vAlign w:val="bottom"/>
          </w:tcPr>
          <w:p w14:paraId="2C0BF62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31947E0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48.00 </w:t>
            </w:r>
          </w:p>
        </w:tc>
        <w:tc>
          <w:tcPr>
            <w:tcW w:w="842" w:type="pct"/>
            <w:noWrap/>
            <w:vAlign w:val="bottom"/>
          </w:tcPr>
          <w:p w14:paraId="728C397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1,802.63</w:t>
            </w:r>
          </w:p>
        </w:tc>
      </w:tr>
      <w:tr w14:paraId="141AE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trPr>
        <w:tc>
          <w:tcPr>
            <w:tcW w:w="387" w:type="pct"/>
            <w:noWrap/>
            <w:vAlign w:val="center"/>
          </w:tcPr>
          <w:p w14:paraId="233537A5">
            <w:pPr>
              <w:jc w:val="center"/>
              <w:rPr>
                <w:rFonts w:ascii="宋体" w:hAnsi="宋体"/>
                <w:sz w:val="18"/>
                <w:szCs w:val="18"/>
              </w:rPr>
            </w:pPr>
            <w:r>
              <w:rPr>
                <w:rFonts w:hint="eastAsia" w:ascii="宋体" w:hAnsi="宋体"/>
                <w:sz w:val="18"/>
                <w:szCs w:val="18"/>
              </w:rPr>
              <w:t>2032</w:t>
            </w:r>
          </w:p>
        </w:tc>
        <w:tc>
          <w:tcPr>
            <w:tcW w:w="1029" w:type="pct"/>
            <w:noWrap/>
            <w:vAlign w:val="bottom"/>
          </w:tcPr>
          <w:p w14:paraId="7F8C9D2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1,241.10 </w:t>
            </w:r>
          </w:p>
        </w:tc>
        <w:tc>
          <w:tcPr>
            <w:tcW w:w="1032" w:type="pct"/>
            <w:noWrap/>
            <w:vAlign w:val="bottom"/>
          </w:tcPr>
          <w:p w14:paraId="6238140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102.90 </w:t>
            </w:r>
          </w:p>
        </w:tc>
        <w:tc>
          <w:tcPr>
            <w:tcW w:w="795" w:type="pct"/>
            <w:noWrap/>
            <w:vAlign w:val="bottom"/>
          </w:tcPr>
          <w:p w14:paraId="1238599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073C6E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48.00 </w:t>
            </w:r>
          </w:p>
        </w:tc>
        <w:tc>
          <w:tcPr>
            <w:tcW w:w="842" w:type="pct"/>
            <w:noWrap/>
            <w:vAlign w:val="bottom"/>
          </w:tcPr>
          <w:p w14:paraId="1C25E1F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1,802.63</w:t>
            </w:r>
          </w:p>
        </w:tc>
      </w:tr>
      <w:tr w14:paraId="0034D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3AC7C34F">
            <w:pPr>
              <w:jc w:val="center"/>
              <w:rPr>
                <w:rFonts w:ascii="宋体" w:hAnsi="宋体"/>
                <w:sz w:val="18"/>
                <w:szCs w:val="18"/>
              </w:rPr>
            </w:pPr>
            <w:r>
              <w:rPr>
                <w:rFonts w:hint="eastAsia" w:ascii="宋体" w:hAnsi="宋体"/>
                <w:sz w:val="18"/>
                <w:szCs w:val="18"/>
              </w:rPr>
              <w:t>2033</w:t>
            </w:r>
          </w:p>
        </w:tc>
        <w:tc>
          <w:tcPr>
            <w:tcW w:w="1029" w:type="pct"/>
            <w:noWrap/>
            <w:vAlign w:val="bottom"/>
          </w:tcPr>
          <w:p w14:paraId="749F1DE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1,241.10 </w:t>
            </w:r>
          </w:p>
        </w:tc>
        <w:tc>
          <w:tcPr>
            <w:tcW w:w="1032" w:type="pct"/>
            <w:noWrap/>
            <w:vAlign w:val="bottom"/>
          </w:tcPr>
          <w:p w14:paraId="595119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102.90 </w:t>
            </w:r>
          </w:p>
        </w:tc>
        <w:tc>
          <w:tcPr>
            <w:tcW w:w="795" w:type="pct"/>
            <w:noWrap/>
            <w:vAlign w:val="bottom"/>
          </w:tcPr>
          <w:p w14:paraId="6AF1CD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4765588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48.00 </w:t>
            </w:r>
          </w:p>
        </w:tc>
        <w:tc>
          <w:tcPr>
            <w:tcW w:w="842" w:type="pct"/>
            <w:noWrap/>
            <w:vAlign w:val="bottom"/>
          </w:tcPr>
          <w:p w14:paraId="34FCC4C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1,802.63</w:t>
            </w:r>
          </w:p>
        </w:tc>
      </w:tr>
      <w:tr w14:paraId="5AB4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46BFF30E">
            <w:pPr>
              <w:jc w:val="center"/>
              <w:rPr>
                <w:rFonts w:ascii="宋体" w:hAnsi="宋体"/>
                <w:sz w:val="18"/>
                <w:szCs w:val="18"/>
              </w:rPr>
            </w:pPr>
            <w:r>
              <w:rPr>
                <w:rFonts w:hint="eastAsia" w:ascii="宋体" w:hAnsi="宋体"/>
                <w:sz w:val="18"/>
                <w:szCs w:val="18"/>
              </w:rPr>
              <w:t>2034</w:t>
            </w:r>
          </w:p>
        </w:tc>
        <w:tc>
          <w:tcPr>
            <w:tcW w:w="1029" w:type="pct"/>
            <w:noWrap/>
            <w:vAlign w:val="bottom"/>
          </w:tcPr>
          <w:p w14:paraId="2B9843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1,241.10 </w:t>
            </w:r>
          </w:p>
        </w:tc>
        <w:tc>
          <w:tcPr>
            <w:tcW w:w="1032" w:type="pct"/>
            <w:noWrap/>
            <w:vAlign w:val="bottom"/>
          </w:tcPr>
          <w:p w14:paraId="03551D8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102.90 </w:t>
            </w:r>
          </w:p>
        </w:tc>
        <w:tc>
          <w:tcPr>
            <w:tcW w:w="795" w:type="pct"/>
            <w:noWrap/>
            <w:vAlign w:val="bottom"/>
          </w:tcPr>
          <w:p w14:paraId="2988268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459440A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50.40 </w:t>
            </w:r>
          </w:p>
        </w:tc>
        <w:tc>
          <w:tcPr>
            <w:tcW w:w="842" w:type="pct"/>
            <w:noWrap/>
            <w:vAlign w:val="bottom"/>
          </w:tcPr>
          <w:p w14:paraId="4EF7A3B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1,805.03</w:t>
            </w:r>
          </w:p>
        </w:tc>
      </w:tr>
      <w:tr w14:paraId="6442E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02294651">
            <w:pPr>
              <w:jc w:val="center"/>
              <w:rPr>
                <w:rFonts w:ascii="宋体" w:hAnsi="宋体"/>
                <w:sz w:val="18"/>
                <w:szCs w:val="18"/>
              </w:rPr>
            </w:pPr>
            <w:r>
              <w:rPr>
                <w:rFonts w:hint="eastAsia" w:ascii="宋体" w:hAnsi="宋体"/>
                <w:sz w:val="18"/>
                <w:szCs w:val="18"/>
              </w:rPr>
              <w:t>2035</w:t>
            </w:r>
          </w:p>
        </w:tc>
        <w:tc>
          <w:tcPr>
            <w:tcW w:w="1029" w:type="pct"/>
            <w:noWrap/>
            <w:vAlign w:val="bottom"/>
          </w:tcPr>
          <w:p w14:paraId="6D06A65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1,303.16 </w:t>
            </w:r>
          </w:p>
        </w:tc>
        <w:tc>
          <w:tcPr>
            <w:tcW w:w="1032" w:type="pct"/>
            <w:noWrap/>
            <w:vAlign w:val="bottom"/>
          </w:tcPr>
          <w:p w14:paraId="4287A16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108.05 </w:t>
            </w:r>
          </w:p>
        </w:tc>
        <w:tc>
          <w:tcPr>
            <w:tcW w:w="795" w:type="pct"/>
            <w:noWrap/>
            <w:vAlign w:val="bottom"/>
          </w:tcPr>
          <w:p w14:paraId="57416D4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1A5285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50.40 </w:t>
            </w:r>
          </w:p>
        </w:tc>
        <w:tc>
          <w:tcPr>
            <w:tcW w:w="842" w:type="pct"/>
            <w:noWrap/>
            <w:vAlign w:val="bottom"/>
          </w:tcPr>
          <w:p w14:paraId="2CFE47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1,872.24</w:t>
            </w:r>
          </w:p>
        </w:tc>
      </w:tr>
      <w:tr w14:paraId="5EED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74F7E556">
            <w:pPr>
              <w:jc w:val="center"/>
              <w:rPr>
                <w:rFonts w:ascii="宋体" w:hAnsi="宋体"/>
                <w:sz w:val="18"/>
                <w:szCs w:val="18"/>
              </w:rPr>
            </w:pPr>
            <w:r>
              <w:rPr>
                <w:rFonts w:hint="eastAsia" w:ascii="宋体" w:hAnsi="宋体"/>
                <w:sz w:val="18"/>
                <w:szCs w:val="18"/>
              </w:rPr>
              <w:t>2036</w:t>
            </w:r>
          </w:p>
        </w:tc>
        <w:tc>
          <w:tcPr>
            <w:tcW w:w="1029" w:type="pct"/>
            <w:noWrap/>
            <w:vAlign w:val="bottom"/>
          </w:tcPr>
          <w:p w14:paraId="4075077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1,303.16 </w:t>
            </w:r>
          </w:p>
        </w:tc>
        <w:tc>
          <w:tcPr>
            <w:tcW w:w="1032" w:type="pct"/>
            <w:noWrap/>
            <w:vAlign w:val="bottom"/>
          </w:tcPr>
          <w:p w14:paraId="3E689C0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108.05 </w:t>
            </w:r>
          </w:p>
        </w:tc>
        <w:tc>
          <w:tcPr>
            <w:tcW w:w="795" w:type="pct"/>
            <w:noWrap/>
            <w:vAlign w:val="bottom"/>
          </w:tcPr>
          <w:p w14:paraId="38B3B2A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2ECB2DC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50.40 </w:t>
            </w:r>
          </w:p>
        </w:tc>
        <w:tc>
          <w:tcPr>
            <w:tcW w:w="842" w:type="pct"/>
            <w:noWrap/>
            <w:vAlign w:val="bottom"/>
          </w:tcPr>
          <w:p w14:paraId="1CCC534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1,872.24</w:t>
            </w:r>
          </w:p>
        </w:tc>
      </w:tr>
      <w:tr w14:paraId="0DC65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03F7C6E3">
            <w:pPr>
              <w:jc w:val="center"/>
              <w:rPr>
                <w:rFonts w:ascii="宋体" w:hAnsi="宋体"/>
                <w:sz w:val="18"/>
                <w:szCs w:val="18"/>
              </w:rPr>
            </w:pPr>
            <w:r>
              <w:rPr>
                <w:rFonts w:hint="eastAsia" w:ascii="宋体" w:hAnsi="宋体"/>
                <w:sz w:val="18"/>
                <w:szCs w:val="18"/>
              </w:rPr>
              <w:t>2037</w:t>
            </w:r>
          </w:p>
        </w:tc>
        <w:tc>
          <w:tcPr>
            <w:tcW w:w="1029" w:type="pct"/>
            <w:noWrap/>
            <w:vAlign w:val="bottom"/>
          </w:tcPr>
          <w:p w14:paraId="281119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1,303.16 </w:t>
            </w:r>
          </w:p>
        </w:tc>
        <w:tc>
          <w:tcPr>
            <w:tcW w:w="1032" w:type="pct"/>
            <w:noWrap/>
            <w:vAlign w:val="bottom"/>
          </w:tcPr>
          <w:p w14:paraId="7EE03E9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108.05 </w:t>
            </w:r>
          </w:p>
        </w:tc>
        <w:tc>
          <w:tcPr>
            <w:tcW w:w="795" w:type="pct"/>
            <w:noWrap/>
            <w:vAlign w:val="bottom"/>
          </w:tcPr>
          <w:p w14:paraId="27BAA8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79DE271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52.80 </w:t>
            </w:r>
          </w:p>
        </w:tc>
        <w:tc>
          <w:tcPr>
            <w:tcW w:w="842" w:type="pct"/>
            <w:noWrap/>
            <w:vAlign w:val="bottom"/>
          </w:tcPr>
          <w:p w14:paraId="75A600C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1,874.64</w:t>
            </w:r>
          </w:p>
        </w:tc>
      </w:tr>
      <w:tr w14:paraId="6509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center"/>
          </w:tcPr>
          <w:p w14:paraId="0415602E">
            <w:pPr>
              <w:jc w:val="center"/>
              <w:rPr>
                <w:rFonts w:ascii="宋体" w:hAnsi="宋体"/>
                <w:sz w:val="18"/>
                <w:szCs w:val="18"/>
              </w:rPr>
            </w:pPr>
            <w:r>
              <w:rPr>
                <w:rFonts w:hint="eastAsia" w:ascii="宋体" w:hAnsi="宋体"/>
                <w:sz w:val="18"/>
                <w:szCs w:val="18"/>
              </w:rPr>
              <w:t>2038</w:t>
            </w:r>
          </w:p>
        </w:tc>
        <w:tc>
          <w:tcPr>
            <w:tcW w:w="1029" w:type="pct"/>
            <w:noWrap/>
            <w:vAlign w:val="bottom"/>
          </w:tcPr>
          <w:p w14:paraId="3465FBE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1,303.16 </w:t>
            </w:r>
          </w:p>
        </w:tc>
        <w:tc>
          <w:tcPr>
            <w:tcW w:w="1032" w:type="pct"/>
            <w:noWrap/>
            <w:vAlign w:val="bottom"/>
          </w:tcPr>
          <w:p w14:paraId="1D3102C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108.05 </w:t>
            </w:r>
          </w:p>
        </w:tc>
        <w:tc>
          <w:tcPr>
            <w:tcW w:w="795" w:type="pct"/>
            <w:noWrap/>
            <w:vAlign w:val="bottom"/>
          </w:tcPr>
          <w:p w14:paraId="10D2E4D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410.63 </w:t>
            </w:r>
          </w:p>
        </w:tc>
        <w:tc>
          <w:tcPr>
            <w:tcW w:w="912" w:type="pct"/>
            <w:noWrap/>
            <w:vAlign w:val="bottom"/>
          </w:tcPr>
          <w:p w14:paraId="3A5F9CC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52.80 </w:t>
            </w:r>
          </w:p>
        </w:tc>
        <w:tc>
          <w:tcPr>
            <w:tcW w:w="842" w:type="pct"/>
            <w:noWrap/>
            <w:vAlign w:val="bottom"/>
          </w:tcPr>
          <w:p w14:paraId="1E56BA5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1,874.64</w:t>
            </w:r>
          </w:p>
        </w:tc>
      </w:tr>
      <w:tr w14:paraId="7F58F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trPr>
        <w:tc>
          <w:tcPr>
            <w:tcW w:w="387" w:type="pct"/>
            <w:noWrap/>
            <w:vAlign w:val="bottom"/>
          </w:tcPr>
          <w:p w14:paraId="1DF270EA">
            <w:pPr>
              <w:keepNext w:val="0"/>
              <w:keepLines w:val="0"/>
              <w:widowControl/>
              <w:suppressLineNumbers w:val="0"/>
              <w:jc w:val="center"/>
              <w:textAlignment w:val="bottom"/>
              <w:rPr>
                <w:rFonts w:hint="eastAsia" w:ascii="宋体" w:hAnsi="宋体"/>
                <w:b/>
                <w:bCs/>
                <w:sz w:val="18"/>
                <w:szCs w:val="18"/>
              </w:rPr>
            </w:pPr>
            <w:r>
              <w:rPr>
                <w:rFonts w:hint="eastAsia" w:ascii="宋体" w:hAnsi="宋体" w:eastAsia="宋体" w:cs="宋体"/>
                <w:b/>
                <w:bCs/>
                <w:i w:val="0"/>
                <w:iCs w:val="0"/>
                <w:color w:val="000000"/>
                <w:kern w:val="0"/>
                <w:sz w:val="18"/>
                <w:szCs w:val="18"/>
                <w:u w:val="none"/>
                <w:lang w:val="en-US" w:eastAsia="zh-CN" w:bidi="ar"/>
              </w:rPr>
              <w:t>合计</w:t>
            </w:r>
          </w:p>
        </w:tc>
        <w:tc>
          <w:tcPr>
            <w:tcW w:w="1029" w:type="pct"/>
            <w:noWrap/>
            <w:vAlign w:val="center"/>
          </w:tcPr>
          <w:p w14:paraId="1C9A52B2">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15,012.14 </w:t>
            </w:r>
          </w:p>
        </w:tc>
        <w:tc>
          <w:tcPr>
            <w:tcW w:w="1032" w:type="pct"/>
            <w:noWrap/>
            <w:vAlign w:val="center"/>
          </w:tcPr>
          <w:p w14:paraId="0D9257B1">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1,436.70 </w:t>
            </w:r>
          </w:p>
        </w:tc>
        <w:tc>
          <w:tcPr>
            <w:tcW w:w="795" w:type="pct"/>
            <w:noWrap/>
            <w:vAlign w:val="center"/>
          </w:tcPr>
          <w:p w14:paraId="0C67FFD0">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5,646.16 </w:t>
            </w:r>
          </w:p>
        </w:tc>
        <w:tc>
          <w:tcPr>
            <w:tcW w:w="912" w:type="pct"/>
            <w:noWrap/>
            <w:vAlign w:val="center"/>
          </w:tcPr>
          <w:p w14:paraId="1BC87A4C">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645.60 </w:t>
            </w:r>
          </w:p>
        </w:tc>
        <w:tc>
          <w:tcPr>
            <w:tcW w:w="842" w:type="pct"/>
            <w:noWrap/>
            <w:vAlign w:val="center"/>
          </w:tcPr>
          <w:p w14:paraId="4F1E3DCF">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22,740.60 </w:t>
            </w:r>
          </w:p>
        </w:tc>
      </w:tr>
    </w:tbl>
    <w:p w14:paraId="4D7E489A">
      <w:pPr>
        <w:pStyle w:val="23"/>
        <w:spacing w:before="0" w:beforeAutospacing="0" w:after="156" w:afterLines="50" w:afterAutospacing="0" w:line="360" w:lineRule="exact"/>
        <w:ind w:firstLine="360" w:firstLineChars="200"/>
        <w:rPr>
          <w:sz w:val="18"/>
          <w:szCs w:val="18"/>
        </w:rPr>
      </w:pPr>
      <w:r>
        <w:rPr>
          <w:rFonts w:hint="eastAsia"/>
          <w:sz w:val="18"/>
          <w:szCs w:val="18"/>
        </w:rPr>
        <w:t>注：2024年发行债券，最后一期债券到期年份为2</w:t>
      </w:r>
      <w:r>
        <w:rPr>
          <w:sz w:val="18"/>
          <w:szCs w:val="18"/>
        </w:rPr>
        <w:t>0</w:t>
      </w:r>
      <w:r>
        <w:rPr>
          <w:rFonts w:hint="eastAsia"/>
          <w:sz w:val="18"/>
          <w:szCs w:val="18"/>
          <w:lang w:val="en-US" w:eastAsia="zh-CN"/>
        </w:rPr>
        <w:t>39</w:t>
      </w:r>
      <w:r>
        <w:rPr>
          <w:sz w:val="18"/>
          <w:szCs w:val="18"/>
        </w:rPr>
        <w:t>年</w:t>
      </w:r>
      <w:r>
        <w:rPr>
          <w:rFonts w:hint="eastAsia"/>
          <w:sz w:val="18"/>
          <w:szCs w:val="18"/>
        </w:rPr>
        <w:t>。因此，2</w:t>
      </w:r>
      <w:r>
        <w:rPr>
          <w:rFonts w:hint="eastAsia"/>
          <w:sz w:val="18"/>
          <w:szCs w:val="18"/>
          <w:lang w:val="en-US" w:eastAsia="zh-CN"/>
        </w:rPr>
        <w:t>039</w:t>
      </w:r>
      <w:r>
        <w:rPr>
          <w:sz w:val="18"/>
          <w:szCs w:val="18"/>
        </w:rPr>
        <w:t>年</w:t>
      </w:r>
      <w:r>
        <w:rPr>
          <w:rFonts w:hint="eastAsia"/>
          <w:sz w:val="18"/>
          <w:szCs w:val="18"/>
        </w:rPr>
        <w:t>及以后的收入成本暂忽略不计，故上表中仅列示从运营期（202</w:t>
      </w:r>
      <w:r>
        <w:rPr>
          <w:rFonts w:hint="eastAsia"/>
          <w:sz w:val="18"/>
          <w:szCs w:val="18"/>
          <w:lang w:val="en-US" w:eastAsia="zh-CN"/>
        </w:rPr>
        <w:t>5</w:t>
      </w:r>
      <w:r>
        <w:rPr>
          <w:rFonts w:hint="eastAsia"/>
          <w:sz w:val="18"/>
          <w:szCs w:val="18"/>
        </w:rPr>
        <w:t>年）开始至2</w:t>
      </w:r>
      <w:r>
        <w:rPr>
          <w:sz w:val="18"/>
          <w:szCs w:val="18"/>
        </w:rPr>
        <w:t>0</w:t>
      </w:r>
      <w:r>
        <w:rPr>
          <w:rFonts w:hint="eastAsia"/>
          <w:sz w:val="18"/>
          <w:szCs w:val="18"/>
          <w:lang w:val="en-US" w:eastAsia="zh-CN"/>
        </w:rPr>
        <w:t>38</w:t>
      </w:r>
      <w:r>
        <w:rPr>
          <w:sz w:val="18"/>
          <w:szCs w:val="18"/>
        </w:rPr>
        <w:t>年12</w:t>
      </w:r>
      <w:r>
        <w:rPr>
          <w:rFonts w:hint="eastAsia"/>
          <w:sz w:val="18"/>
          <w:szCs w:val="18"/>
        </w:rPr>
        <w:t>月的收入数据。</w:t>
      </w:r>
    </w:p>
    <w:p w14:paraId="470920EB">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本项目经营收入的估算依据如下：</w:t>
      </w:r>
    </w:p>
    <w:p w14:paraId="036BBC1A">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（1）企业数字服务费</w:t>
      </w:r>
    </w:p>
    <w:p w14:paraId="2A650455">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本项目可为西湖区规上企业、中小企业以及市场主体等对象提供招商服务、楼宇服务、金融服务等各类事项数字化咨询和办理的服务。截止2023年7月，南昌市西湖区有规上企业约2077个、中小企业约2.9万个、市场个体约6.5万户，针对不同类型的对象需求不同，本项目将提供不同侧重点的数字服务。</w:t>
      </w:r>
    </w:p>
    <w:p w14:paraId="255DA95D">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招商服务：主要为展示西湖区招商信息，企业可按需进招商项目搜索、招商情况查看，包括西湖区区情、招商流程、招商资源（地块、楼宇、园区、街区）、招商政策、重点招商项目、联系方式与诉求提交、数据填报等内容。</w:t>
      </w:r>
    </w:p>
    <w:p w14:paraId="3012C90C">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楼宇服务：主要包括企业房源租售服务、区域工业地产展示、载体精准查询、空间供需信息发布等，为全区103栋楼宇载体内企业提供良好的创业条件与环境等相关服务。</w:t>
      </w:r>
    </w:p>
    <w:p w14:paraId="5D0583BA">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金融服务：企业通过本项目平台还可获得财税服务、知识产权服务、金融服务等专业系统，覆盖企业日常需要的主要服务。为企业找到官方认证的服务进行一站式呈现，减轻企业的信息查询难、信息获取途径杂等问题进行服务。</w:t>
      </w:r>
    </w:p>
    <w:p w14:paraId="43D34CE5">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本项目共进行企业调查200份（部分调查问卷详见附件四），其中规上企业50个，中小企业100个，市场个体50个，根据市场调研的结果分析得出，其中规上企业超过60%具有购买数字服务意愿，规上企业平均支付意愿约为2000元/年；中小企业超过40%具有购买数字服务意愿，规上企业平均支付意愿约为1000元/年；市场个体超过30%具有购买数字服务意愿，规上企业平均支付意愿约为300元/年。</w:t>
      </w:r>
    </w:p>
    <w:p w14:paraId="64102DFF">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考虑到互联网技术更新换代迅速。本项目收入测算采取保守估计原则，规上企业服务单价按照1200元/年计算；使用概率每两年增长10%，由20%增长至40%后维持不变；中小企业服务单价按照800元/年计算，使用概率由10%每两年增长10%，增至30%后维持不变；市场个体服务单价按照200元/年计算，使用概率由10%每两年增长10%，增至30%后维持不变；各类型服务单价均按照每5年增长5%计算。</w:t>
      </w:r>
    </w:p>
    <w:p w14:paraId="287BA87B">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（2）智能燃气监测服务费</w:t>
      </w:r>
    </w:p>
    <w:p w14:paraId="0CB7A515">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本项目为西湖区1600个餐饮商家与4个大型燃气站提供智能燃气监测服务，其中平均每个商家收取50元/月，每5年增长5%；每个大型燃气站收取5000元/年，每5年增长5%。</w:t>
      </w:r>
    </w:p>
    <w:p w14:paraId="4C47791D">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（3）停车费</w:t>
      </w:r>
    </w:p>
    <w:p w14:paraId="74CB11B7">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本项目为西湖区5000个市政停车位提供统一的智慧停车系统，项目已与南昌市西湖区城市管理和综合执法局签订协议，南昌市西湖区城市管理和综合执法局将安排5000个市政停车位安装本项目智慧停车系统，部分收益用于南昌市西湖区数智西湖建设项目专项债还款，停车位不权属与南昌市西湖区政务服务数据管理局。</w:t>
      </w:r>
    </w:p>
    <w:p w14:paraId="088CE4AB">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根据，根据《关于印发[南昌市进一步完善机动车停放服务收费政策方案]的通知》（洪价字[2017]66 号）文件规定，本项目位于西湖区内，参照一类区域价格，临时占道机动车停放服务费用为第1小时5元，后续每小时增加3-5元。根据保守收益原则，本项目收费按照0.75元/小时/车位的标准计取，车位使用率由50%逐年增加至60%后维持不变，日均停车时长5小时。</w:t>
      </w:r>
    </w:p>
    <w:p w14:paraId="52051554">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（4）</w:t>
      </w:r>
      <w:r>
        <w:rPr>
          <w:rFonts w:hint="eastAsia" w:ascii="宋体" w:eastAsia="宋体" w:cs="宋体"/>
          <w:color w:val="000000"/>
          <w:sz w:val="24"/>
          <w:szCs w:val="24"/>
          <w:lang w:val="en-US" w:eastAsia="zh-CN" w:bidi="ar-SA"/>
        </w:rPr>
        <w:t>广告费</w:t>
      </w:r>
      <w:r>
        <w:rPr>
          <w:rFonts w:hint="eastAsia" w:ascii="宋体" w:eastAsia="宋体" w:cs="宋体"/>
          <w:color w:val="000000"/>
          <w:sz w:val="24"/>
          <w:szCs w:val="24"/>
          <w:lang w:bidi="ar-SA"/>
        </w:rPr>
        <w:t>收入</w:t>
      </w:r>
    </w:p>
    <w:p w14:paraId="197D4C7E">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本项目拟在西湖区区内朝阳大桥、南昌大桥、生米大桥、抚生路、灌婴路、八一大道、丁公路等各个重点节点新增前端设备杆400个，故本项目最少可设置400个广告位；赣州南康灯箱广告价格参考为每个3万元/年，本项目南昌市西湖区广告最低价格计算，本项目广告费按照150元/月计算，故平均广告位单价0.18万元/年，每3年增长5%；运营期第一年负荷率按照40%计算，往后增加至60%并维持不变。</w:t>
      </w:r>
    </w:p>
    <w:p w14:paraId="02682DD8">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eastAsia="zh-CN" w:bidi="ar-SA"/>
        </w:rPr>
        <w:t>西湖区政务服务数据管理局</w:t>
      </w:r>
      <w:r>
        <w:rPr>
          <w:rFonts w:hint="eastAsia" w:ascii="宋体" w:eastAsia="宋体" w:cs="宋体"/>
          <w:color w:val="000000"/>
          <w:sz w:val="24"/>
          <w:szCs w:val="24"/>
          <w:lang w:bidi="ar-SA"/>
        </w:rPr>
        <w:t>综合考虑适度增长因素，保守预测了202</w:t>
      </w:r>
      <w:r>
        <w:rPr>
          <w:rFonts w:hint="eastAsia" w:ascii="宋体" w:eastAsia="宋体" w:cs="宋体"/>
          <w:color w:val="000000"/>
          <w:sz w:val="24"/>
          <w:szCs w:val="24"/>
          <w:lang w:val="en-US" w:eastAsia="zh-CN" w:bidi="ar-SA"/>
        </w:rPr>
        <w:t>5</w:t>
      </w:r>
      <w:r>
        <w:rPr>
          <w:rFonts w:hint="eastAsia" w:ascii="宋体" w:eastAsia="宋体" w:cs="宋体"/>
          <w:color w:val="000000"/>
          <w:sz w:val="24"/>
          <w:szCs w:val="24"/>
          <w:lang w:bidi="ar-SA"/>
        </w:rPr>
        <w:t>-2053年的收入、支出，在本项目的实施过程中，可以产生持续稳定的收益，各年现金流入及现金流出均保持了稳定的增长，且保持了现金结余的总体增长。</w:t>
      </w:r>
    </w:p>
    <w:p w14:paraId="74F2C295">
      <w:pPr>
        <w:pStyle w:val="23"/>
        <w:spacing w:before="0" w:beforeAutospacing="0" w:after="156" w:afterLines="50" w:afterAutospacing="0" w:line="360" w:lineRule="exact"/>
        <w:ind w:firstLine="420" w:firstLineChars="200"/>
        <w:jc w:val="both"/>
        <w:outlineLvl w:val="1"/>
        <w:rPr>
          <w:b/>
          <w:sz w:val="21"/>
          <w:szCs w:val="21"/>
        </w:rPr>
      </w:pPr>
      <w:r>
        <w:rPr>
          <w:rFonts w:hint="eastAsia"/>
          <w:b/>
          <w:sz w:val="21"/>
          <w:szCs w:val="21"/>
        </w:rPr>
        <w:t>（二）资金充足性</w:t>
      </w:r>
    </w:p>
    <w:p w14:paraId="53CF69F6">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资金充足性分析情况表从项目开工年份开始编制，至债券存续期最后一年结束。</w:t>
      </w:r>
    </w:p>
    <w:p w14:paraId="6CBB7882">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1.债券还本付息分析</w:t>
      </w:r>
    </w:p>
    <w:p w14:paraId="6323F804">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按照《实施方案》，本次</w:t>
      </w:r>
      <w:r>
        <w:rPr>
          <w:rFonts w:hint="eastAsia" w:ascii="宋体" w:eastAsia="宋体" w:cs="宋体"/>
          <w:color w:val="000000"/>
          <w:sz w:val="24"/>
          <w:szCs w:val="24"/>
          <w:lang w:eastAsia="zh-CN" w:bidi="ar-SA"/>
        </w:rPr>
        <w:t>西湖区政务服务数据管理局</w:t>
      </w:r>
      <w:r>
        <w:rPr>
          <w:rFonts w:hint="eastAsia" w:ascii="宋体" w:eastAsia="宋体" w:cs="宋体"/>
          <w:color w:val="000000"/>
          <w:sz w:val="24"/>
          <w:szCs w:val="24"/>
          <w:lang w:bidi="ar-SA"/>
        </w:rPr>
        <w:t>组织申报发行南昌市</w:t>
      </w:r>
      <w:r>
        <w:rPr>
          <w:rFonts w:hint="eastAsia" w:ascii="宋体" w:eastAsia="宋体" w:cs="宋体"/>
          <w:color w:val="000000"/>
          <w:sz w:val="24"/>
          <w:szCs w:val="24"/>
          <w:lang w:eastAsia="zh-CN" w:bidi="ar-SA"/>
        </w:rPr>
        <w:t>西湖区“数智西湖”指挥运营中心及城市治理应用体系建设项目</w:t>
      </w:r>
      <w:r>
        <w:rPr>
          <w:rFonts w:hint="eastAsia" w:ascii="宋体" w:eastAsia="宋体" w:cs="宋体"/>
          <w:color w:val="000000"/>
          <w:sz w:val="24"/>
          <w:szCs w:val="24"/>
          <w:lang w:bidi="ar-SA"/>
        </w:rPr>
        <w:t>的总投资额</w:t>
      </w:r>
      <w:r>
        <w:rPr>
          <w:rFonts w:hint="eastAsia" w:ascii="宋体" w:eastAsia="宋体" w:cs="宋体"/>
          <w:color w:val="000000"/>
          <w:sz w:val="24"/>
          <w:szCs w:val="24"/>
          <w:lang w:val="en-US" w:eastAsia="zh-CN" w:bidi="ar-SA"/>
        </w:rPr>
        <w:t>9</w:t>
      </w:r>
      <w:r>
        <w:rPr>
          <w:rFonts w:hint="eastAsia" w:ascii="宋体" w:eastAsia="宋体" w:cs="宋体"/>
          <w:color w:val="000000"/>
          <w:sz w:val="24"/>
          <w:szCs w:val="24"/>
          <w:lang w:bidi="ar-SA"/>
        </w:rPr>
        <w:t>,</w:t>
      </w:r>
      <w:r>
        <w:rPr>
          <w:rFonts w:hint="eastAsia" w:ascii="宋体" w:eastAsia="宋体" w:cs="宋体"/>
          <w:color w:val="000000"/>
          <w:sz w:val="24"/>
          <w:szCs w:val="24"/>
          <w:lang w:val="en-US" w:eastAsia="zh-CN" w:bidi="ar-SA"/>
        </w:rPr>
        <w:t>864</w:t>
      </w:r>
      <w:r>
        <w:rPr>
          <w:rFonts w:hint="eastAsia" w:ascii="宋体" w:eastAsia="宋体" w:cs="宋体"/>
          <w:color w:val="000000"/>
          <w:sz w:val="24"/>
          <w:szCs w:val="24"/>
          <w:lang w:bidi="ar-SA"/>
        </w:rPr>
        <w:t>.</w:t>
      </w:r>
      <w:r>
        <w:rPr>
          <w:rFonts w:hint="eastAsia" w:ascii="宋体" w:eastAsia="宋体" w:cs="宋体"/>
          <w:color w:val="000000"/>
          <w:sz w:val="24"/>
          <w:szCs w:val="24"/>
          <w:lang w:val="en-US" w:eastAsia="zh-CN" w:bidi="ar-SA"/>
        </w:rPr>
        <w:t>96</w:t>
      </w:r>
      <w:r>
        <w:rPr>
          <w:rFonts w:hint="eastAsia" w:ascii="宋体" w:eastAsia="宋体" w:cs="宋体"/>
          <w:color w:val="000000"/>
          <w:sz w:val="24"/>
          <w:szCs w:val="24"/>
          <w:lang w:bidi="ar-SA"/>
        </w:rPr>
        <w:t>万元。计划发行专项债券金额</w:t>
      </w:r>
      <w:r>
        <w:rPr>
          <w:rFonts w:hint="eastAsia" w:ascii="宋体" w:eastAsia="宋体" w:cs="宋体"/>
          <w:color w:val="000000"/>
          <w:sz w:val="24"/>
          <w:szCs w:val="24"/>
          <w:lang w:val="en-US" w:eastAsia="zh-CN" w:bidi="ar-SA"/>
        </w:rPr>
        <w:t>6</w:t>
      </w:r>
      <w:r>
        <w:rPr>
          <w:rFonts w:hint="eastAsia" w:ascii="宋体" w:eastAsia="宋体" w:cs="宋体"/>
          <w:color w:val="000000"/>
          <w:sz w:val="24"/>
          <w:szCs w:val="24"/>
          <w:lang w:bidi="ar-SA"/>
        </w:rPr>
        <w:t>,</w:t>
      </w:r>
      <w:r>
        <w:rPr>
          <w:rFonts w:hint="eastAsia" w:ascii="宋体" w:eastAsia="宋体" w:cs="宋体"/>
          <w:color w:val="000000"/>
          <w:sz w:val="24"/>
          <w:szCs w:val="24"/>
          <w:lang w:val="en-US" w:eastAsia="zh-CN" w:bidi="ar-SA"/>
        </w:rPr>
        <w:t>000</w:t>
      </w:r>
      <w:r>
        <w:rPr>
          <w:rFonts w:hint="eastAsia" w:ascii="宋体" w:eastAsia="宋体" w:cs="宋体"/>
          <w:color w:val="000000"/>
          <w:sz w:val="24"/>
          <w:szCs w:val="24"/>
          <w:lang w:bidi="ar-SA"/>
        </w:rPr>
        <w:t>.00万元，其中：本次申请发行</w:t>
      </w:r>
      <w:r>
        <w:rPr>
          <w:rFonts w:hint="eastAsia" w:ascii="宋体" w:eastAsia="宋体" w:cs="宋体"/>
          <w:color w:val="000000"/>
          <w:sz w:val="24"/>
          <w:szCs w:val="24"/>
          <w:lang w:val="en-US" w:eastAsia="zh-CN" w:bidi="ar-SA"/>
        </w:rPr>
        <w:t>6</w:t>
      </w:r>
      <w:r>
        <w:rPr>
          <w:rFonts w:hint="eastAsia" w:ascii="宋体" w:eastAsia="宋体" w:cs="宋体"/>
          <w:color w:val="000000"/>
          <w:sz w:val="24"/>
          <w:szCs w:val="24"/>
          <w:lang w:bidi="ar-SA"/>
        </w:rPr>
        <w:t>,</w:t>
      </w:r>
      <w:r>
        <w:rPr>
          <w:rFonts w:hint="eastAsia" w:ascii="宋体" w:eastAsia="宋体" w:cs="宋体"/>
          <w:color w:val="000000"/>
          <w:sz w:val="24"/>
          <w:szCs w:val="24"/>
          <w:lang w:val="en-US" w:eastAsia="zh-CN" w:bidi="ar-SA"/>
        </w:rPr>
        <w:t>000</w:t>
      </w:r>
      <w:r>
        <w:rPr>
          <w:rFonts w:hint="eastAsia" w:ascii="宋体" w:eastAsia="宋体" w:cs="宋体"/>
          <w:color w:val="000000"/>
          <w:sz w:val="24"/>
          <w:szCs w:val="24"/>
          <w:lang w:bidi="ar-SA"/>
        </w:rPr>
        <w:t>.00万元。根据目前</w:t>
      </w:r>
      <w:r>
        <w:rPr>
          <w:rFonts w:hint="eastAsia" w:ascii="宋体" w:eastAsia="宋体" w:cs="宋体"/>
          <w:color w:val="000000"/>
          <w:sz w:val="24"/>
          <w:szCs w:val="24"/>
          <w:lang w:val="en-US" w:eastAsia="zh-CN" w:bidi="ar-SA"/>
        </w:rPr>
        <w:t>15</w:t>
      </w:r>
      <w:r>
        <w:rPr>
          <w:rFonts w:hint="eastAsia" w:ascii="宋体" w:eastAsia="宋体" w:cs="宋体"/>
          <w:color w:val="000000"/>
          <w:sz w:val="24"/>
          <w:szCs w:val="24"/>
          <w:lang w:bidi="ar-SA"/>
        </w:rPr>
        <w:t>年期国债利率4.</w:t>
      </w:r>
      <w:r>
        <w:rPr>
          <w:rFonts w:hint="eastAsia" w:ascii="宋体" w:eastAsia="宋体" w:cs="宋体"/>
          <w:color w:val="000000"/>
          <w:sz w:val="24"/>
          <w:szCs w:val="24"/>
          <w:lang w:val="en-US" w:eastAsia="zh-CN" w:bidi="ar-SA"/>
        </w:rPr>
        <w:t>3</w:t>
      </w:r>
      <w:r>
        <w:rPr>
          <w:rFonts w:hint="eastAsia" w:ascii="宋体" w:eastAsia="宋体" w:cs="宋体"/>
          <w:color w:val="000000"/>
          <w:sz w:val="24"/>
          <w:szCs w:val="24"/>
          <w:lang w:bidi="ar-SA"/>
        </w:rPr>
        <w:t>0%,从客观、谨慎角度出发，2024年发行的债券年利率暂取4.</w:t>
      </w:r>
      <w:r>
        <w:rPr>
          <w:rFonts w:hint="eastAsia" w:ascii="宋体" w:eastAsia="宋体" w:cs="宋体"/>
          <w:color w:val="000000"/>
          <w:sz w:val="24"/>
          <w:szCs w:val="24"/>
          <w:lang w:val="en-US" w:eastAsia="zh-CN" w:bidi="ar-SA"/>
        </w:rPr>
        <w:t>3</w:t>
      </w:r>
      <w:r>
        <w:rPr>
          <w:rFonts w:hint="eastAsia" w:ascii="宋体" w:eastAsia="宋体" w:cs="宋体"/>
          <w:color w:val="000000"/>
          <w:sz w:val="24"/>
          <w:szCs w:val="24"/>
          <w:lang w:bidi="ar-SA"/>
        </w:rPr>
        <w:t>0%,发行费率暂按照0.</w:t>
      </w:r>
      <w:r>
        <w:rPr>
          <w:rFonts w:hint="eastAsia" w:ascii="宋体" w:eastAsia="宋体" w:cs="宋体"/>
          <w:color w:val="000000"/>
          <w:sz w:val="24"/>
          <w:szCs w:val="24"/>
          <w:lang w:val="en-US" w:eastAsia="zh-CN" w:bidi="ar-SA"/>
        </w:rPr>
        <w:t>10</w:t>
      </w:r>
      <w:r>
        <w:rPr>
          <w:rFonts w:hint="eastAsia" w:ascii="宋体" w:eastAsia="宋体" w:cs="宋体"/>
          <w:color w:val="000000"/>
          <w:sz w:val="24"/>
          <w:szCs w:val="24"/>
          <w:lang w:bidi="ar-SA"/>
        </w:rPr>
        <w:t>%测算，据此预计专项债券利息合计为</w:t>
      </w:r>
      <w:r>
        <w:rPr>
          <w:rFonts w:hint="eastAsia" w:ascii="宋体" w:eastAsia="宋体" w:cs="宋体"/>
          <w:color w:val="000000"/>
          <w:sz w:val="24"/>
          <w:szCs w:val="24"/>
          <w:lang w:val="en-US" w:eastAsia="zh-CN" w:bidi="ar-SA"/>
        </w:rPr>
        <w:t>3</w:t>
      </w:r>
      <w:r>
        <w:rPr>
          <w:rFonts w:hint="eastAsia" w:ascii="宋体" w:eastAsia="宋体" w:cs="宋体"/>
          <w:color w:val="000000"/>
          <w:sz w:val="24"/>
          <w:szCs w:val="24"/>
          <w:lang w:bidi="ar-SA"/>
        </w:rPr>
        <w:t>,</w:t>
      </w:r>
      <w:r>
        <w:rPr>
          <w:rFonts w:hint="eastAsia" w:ascii="宋体" w:eastAsia="宋体" w:cs="宋体"/>
          <w:color w:val="000000"/>
          <w:sz w:val="24"/>
          <w:szCs w:val="24"/>
          <w:lang w:val="en-US" w:eastAsia="zh-CN" w:bidi="ar-SA"/>
        </w:rPr>
        <w:t>870</w:t>
      </w:r>
      <w:r>
        <w:rPr>
          <w:rFonts w:hint="eastAsia" w:ascii="宋体" w:eastAsia="宋体" w:cs="宋体"/>
          <w:color w:val="000000"/>
          <w:sz w:val="24"/>
          <w:szCs w:val="24"/>
          <w:lang w:bidi="ar-SA"/>
        </w:rPr>
        <w:t>.</w:t>
      </w:r>
      <w:r>
        <w:rPr>
          <w:rFonts w:hint="eastAsia" w:ascii="宋体" w:eastAsia="宋体" w:cs="宋体"/>
          <w:color w:val="000000"/>
          <w:sz w:val="24"/>
          <w:szCs w:val="24"/>
          <w:lang w:val="en-US" w:eastAsia="zh-CN" w:bidi="ar-SA"/>
        </w:rPr>
        <w:t>0</w:t>
      </w:r>
      <w:r>
        <w:rPr>
          <w:rFonts w:hint="eastAsia" w:ascii="宋体" w:eastAsia="宋体" w:cs="宋体"/>
          <w:color w:val="000000"/>
          <w:sz w:val="24"/>
          <w:szCs w:val="24"/>
          <w:lang w:bidi="ar-SA"/>
        </w:rPr>
        <w:t>0万元，预计发行费用为</w:t>
      </w:r>
      <w:r>
        <w:rPr>
          <w:rFonts w:hint="eastAsia" w:ascii="宋体" w:eastAsia="宋体" w:cs="宋体"/>
          <w:color w:val="000000"/>
          <w:sz w:val="24"/>
          <w:szCs w:val="24"/>
          <w:lang w:val="en-US" w:eastAsia="zh-CN" w:bidi="ar-SA"/>
        </w:rPr>
        <w:t>6.00</w:t>
      </w:r>
      <w:r>
        <w:rPr>
          <w:rFonts w:hint="eastAsia" w:ascii="宋体" w:eastAsia="宋体" w:cs="宋体"/>
          <w:color w:val="000000"/>
          <w:sz w:val="24"/>
          <w:szCs w:val="24"/>
          <w:lang w:bidi="ar-SA"/>
        </w:rPr>
        <w:t>万元。</w:t>
      </w:r>
    </w:p>
    <w:p w14:paraId="2AEAEDA2">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按照该项目专项债券发行计划，</w:t>
      </w:r>
      <w:r>
        <w:rPr>
          <w:rFonts w:hint="eastAsia" w:ascii="宋体" w:eastAsia="宋体" w:cs="宋体"/>
          <w:color w:val="000000"/>
          <w:sz w:val="24"/>
          <w:szCs w:val="24"/>
          <w:lang w:val="en-US" w:eastAsia="zh-CN" w:bidi="ar-SA"/>
        </w:rPr>
        <w:t>15</w:t>
      </w:r>
      <w:r>
        <w:rPr>
          <w:rFonts w:hint="eastAsia" w:ascii="宋体" w:eastAsia="宋体" w:cs="宋体"/>
          <w:color w:val="000000"/>
          <w:sz w:val="24"/>
          <w:szCs w:val="24"/>
          <w:lang w:bidi="ar-SA"/>
        </w:rPr>
        <w:t>年期债券以年利率4.</w:t>
      </w:r>
      <w:r>
        <w:rPr>
          <w:rFonts w:hint="eastAsia" w:ascii="宋体" w:eastAsia="宋体" w:cs="宋体"/>
          <w:color w:val="000000"/>
          <w:sz w:val="24"/>
          <w:szCs w:val="24"/>
          <w:lang w:val="en-US" w:eastAsia="zh-CN" w:bidi="ar-SA"/>
        </w:rPr>
        <w:t>3</w:t>
      </w:r>
      <w:r>
        <w:rPr>
          <w:rFonts w:hint="eastAsia" w:ascii="宋体" w:eastAsia="宋体" w:cs="宋体"/>
          <w:color w:val="000000"/>
          <w:sz w:val="24"/>
          <w:szCs w:val="24"/>
          <w:lang w:bidi="ar-SA"/>
        </w:rPr>
        <w:t>0%预计每年利息支出，每半年支付一次利息，到期一次还本，本项目专项债券还本付息情况如下表所示：</w:t>
      </w:r>
    </w:p>
    <w:p w14:paraId="0ED381A2">
      <w:pPr>
        <w:jc w:val="center"/>
        <w:rPr>
          <w:rFonts w:ascii="宋体" w:hAnsi="宋体" w:cs="仿宋"/>
          <w:b/>
          <w:szCs w:val="24"/>
        </w:rPr>
      </w:pPr>
      <w:r>
        <w:rPr>
          <w:rFonts w:hint="eastAsia" w:ascii="宋体" w:hAnsi="宋体" w:cs="仿宋"/>
          <w:b/>
          <w:szCs w:val="24"/>
        </w:rPr>
        <w:t>表3</w:t>
      </w:r>
      <w:r>
        <w:rPr>
          <w:rFonts w:hint="eastAsia" w:ascii="宋体" w:hAnsi="宋体"/>
          <w:b/>
          <w:szCs w:val="24"/>
        </w:rPr>
        <w:t>-</w:t>
      </w:r>
      <w:r>
        <w:rPr>
          <w:rFonts w:ascii="宋体" w:hAnsi="宋体"/>
          <w:b/>
          <w:szCs w:val="24"/>
        </w:rPr>
        <w:t>2</w:t>
      </w:r>
      <w:r>
        <w:rPr>
          <w:rFonts w:hint="eastAsia" w:ascii="宋体" w:hAnsi="宋体" w:cs="仿宋"/>
          <w:b/>
          <w:szCs w:val="24"/>
        </w:rPr>
        <w:t>专项债券还本付息情况预测表</w:t>
      </w:r>
    </w:p>
    <w:p w14:paraId="732AE4E1">
      <w:pPr>
        <w:jc w:val="right"/>
        <w:rPr>
          <w:rFonts w:ascii="宋体" w:hAnsi="宋体" w:cs="仿宋"/>
          <w:sz w:val="18"/>
          <w:szCs w:val="18"/>
        </w:rPr>
      </w:pPr>
      <w:r>
        <w:rPr>
          <w:rFonts w:hint="eastAsia" w:ascii="宋体" w:hAnsi="宋体" w:cs="仿宋"/>
          <w:sz w:val="18"/>
          <w:szCs w:val="18"/>
        </w:rPr>
        <w:t>单位：万元</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523"/>
        <w:gridCol w:w="1211"/>
        <w:gridCol w:w="1101"/>
        <w:gridCol w:w="1211"/>
        <w:gridCol w:w="1211"/>
        <w:gridCol w:w="1527"/>
      </w:tblGrid>
      <w:tr w14:paraId="1CB3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trPr>
        <w:tc>
          <w:tcPr>
            <w:tcW w:w="537" w:type="pct"/>
            <w:noWrap w:val="0"/>
            <w:vAlign w:val="center"/>
          </w:tcPr>
          <w:p w14:paraId="1CA25A6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873" w:type="pct"/>
            <w:noWrap w:val="0"/>
            <w:vAlign w:val="center"/>
          </w:tcPr>
          <w:p w14:paraId="0A1C120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期初债券余额</w:t>
            </w:r>
          </w:p>
        </w:tc>
        <w:tc>
          <w:tcPr>
            <w:tcW w:w="694" w:type="pct"/>
            <w:noWrap w:val="0"/>
            <w:vAlign w:val="center"/>
          </w:tcPr>
          <w:p w14:paraId="14FFF1C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本期发行</w:t>
            </w:r>
          </w:p>
        </w:tc>
        <w:tc>
          <w:tcPr>
            <w:tcW w:w="631" w:type="pct"/>
            <w:noWrap w:val="0"/>
            <w:vAlign w:val="center"/>
          </w:tcPr>
          <w:p w14:paraId="55A7F2F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发行费用</w:t>
            </w:r>
          </w:p>
        </w:tc>
        <w:tc>
          <w:tcPr>
            <w:tcW w:w="694" w:type="pct"/>
            <w:noWrap w:val="0"/>
            <w:vAlign w:val="center"/>
          </w:tcPr>
          <w:p w14:paraId="4EB1D8F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本期付息</w:t>
            </w:r>
          </w:p>
        </w:tc>
        <w:tc>
          <w:tcPr>
            <w:tcW w:w="694" w:type="pct"/>
            <w:noWrap w:val="0"/>
            <w:vAlign w:val="center"/>
          </w:tcPr>
          <w:p w14:paraId="3704B9A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本期还本</w:t>
            </w:r>
          </w:p>
        </w:tc>
        <w:tc>
          <w:tcPr>
            <w:tcW w:w="875" w:type="pct"/>
            <w:noWrap w:val="0"/>
            <w:vAlign w:val="center"/>
          </w:tcPr>
          <w:p w14:paraId="30FD230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期末债券余额</w:t>
            </w:r>
          </w:p>
        </w:tc>
      </w:tr>
      <w:tr w14:paraId="6734D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75D0FE5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2024年</w:t>
            </w:r>
          </w:p>
        </w:tc>
        <w:tc>
          <w:tcPr>
            <w:tcW w:w="1523" w:type="dxa"/>
            <w:noWrap w:val="0"/>
            <w:vAlign w:val="center"/>
          </w:tcPr>
          <w:p w14:paraId="5216476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   </w:t>
            </w:r>
          </w:p>
        </w:tc>
        <w:tc>
          <w:tcPr>
            <w:tcW w:w="1211" w:type="dxa"/>
            <w:noWrap w:val="0"/>
            <w:vAlign w:val="center"/>
          </w:tcPr>
          <w:p w14:paraId="1CDA2EC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101" w:type="dxa"/>
            <w:noWrap w:val="0"/>
            <w:vAlign w:val="center"/>
          </w:tcPr>
          <w:p w14:paraId="0D5038D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 </w:t>
            </w:r>
          </w:p>
        </w:tc>
        <w:tc>
          <w:tcPr>
            <w:tcW w:w="1211" w:type="dxa"/>
            <w:noWrap w:val="0"/>
            <w:vAlign w:val="center"/>
          </w:tcPr>
          <w:p w14:paraId="3906E8A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129.00 </w:t>
            </w:r>
          </w:p>
        </w:tc>
        <w:tc>
          <w:tcPr>
            <w:tcW w:w="1211" w:type="dxa"/>
            <w:noWrap w:val="0"/>
            <w:vAlign w:val="center"/>
          </w:tcPr>
          <w:p w14:paraId="0F2F1770">
            <w:pPr>
              <w:jc w:val="center"/>
              <w:rPr>
                <w:rFonts w:ascii="宋体" w:hAnsi="宋体" w:cs="宋体"/>
                <w:color w:val="000000"/>
                <w:kern w:val="0"/>
                <w:sz w:val="18"/>
                <w:szCs w:val="18"/>
              </w:rPr>
            </w:pPr>
          </w:p>
        </w:tc>
        <w:tc>
          <w:tcPr>
            <w:tcW w:w="1526" w:type="dxa"/>
            <w:noWrap w:val="0"/>
            <w:vAlign w:val="center"/>
          </w:tcPr>
          <w:p w14:paraId="22CF5C9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168B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33FFAFE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2025年</w:t>
            </w:r>
          </w:p>
        </w:tc>
        <w:tc>
          <w:tcPr>
            <w:tcW w:w="1523" w:type="dxa"/>
            <w:noWrap w:val="0"/>
            <w:vAlign w:val="center"/>
          </w:tcPr>
          <w:p w14:paraId="531D554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26E071F6">
            <w:pPr>
              <w:jc w:val="center"/>
              <w:rPr>
                <w:rFonts w:ascii="宋体" w:hAnsi="宋体" w:cs="宋体"/>
                <w:color w:val="000000"/>
                <w:kern w:val="0"/>
                <w:sz w:val="18"/>
                <w:szCs w:val="18"/>
              </w:rPr>
            </w:pPr>
          </w:p>
        </w:tc>
        <w:tc>
          <w:tcPr>
            <w:tcW w:w="1101" w:type="dxa"/>
            <w:noWrap w:val="0"/>
            <w:vAlign w:val="center"/>
          </w:tcPr>
          <w:p w14:paraId="60EC2A06">
            <w:pPr>
              <w:jc w:val="center"/>
              <w:rPr>
                <w:rFonts w:ascii="宋体" w:hAnsi="宋体" w:cs="宋体"/>
                <w:color w:val="000000"/>
                <w:kern w:val="0"/>
                <w:sz w:val="18"/>
                <w:szCs w:val="18"/>
              </w:rPr>
            </w:pPr>
          </w:p>
        </w:tc>
        <w:tc>
          <w:tcPr>
            <w:tcW w:w="1211" w:type="dxa"/>
            <w:noWrap w:val="0"/>
            <w:vAlign w:val="center"/>
          </w:tcPr>
          <w:p w14:paraId="085364C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7FC73A95">
            <w:pPr>
              <w:jc w:val="center"/>
              <w:rPr>
                <w:rFonts w:ascii="宋体" w:hAnsi="宋体" w:cs="宋体"/>
                <w:color w:val="000000"/>
                <w:kern w:val="0"/>
                <w:sz w:val="18"/>
                <w:szCs w:val="18"/>
              </w:rPr>
            </w:pPr>
          </w:p>
        </w:tc>
        <w:tc>
          <w:tcPr>
            <w:tcW w:w="1526" w:type="dxa"/>
            <w:noWrap w:val="0"/>
            <w:vAlign w:val="center"/>
          </w:tcPr>
          <w:p w14:paraId="20E05C6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286E5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59E47D3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2026年</w:t>
            </w:r>
          </w:p>
        </w:tc>
        <w:tc>
          <w:tcPr>
            <w:tcW w:w="1523" w:type="dxa"/>
            <w:noWrap w:val="0"/>
            <w:vAlign w:val="center"/>
          </w:tcPr>
          <w:p w14:paraId="46C9975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382F531D">
            <w:pPr>
              <w:jc w:val="center"/>
              <w:rPr>
                <w:rFonts w:ascii="宋体" w:hAnsi="宋体" w:cs="宋体"/>
                <w:color w:val="000000"/>
                <w:kern w:val="0"/>
                <w:sz w:val="18"/>
                <w:szCs w:val="18"/>
              </w:rPr>
            </w:pPr>
          </w:p>
        </w:tc>
        <w:tc>
          <w:tcPr>
            <w:tcW w:w="1101" w:type="dxa"/>
            <w:noWrap w:val="0"/>
            <w:vAlign w:val="center"/>
          </w:tcPr>
          <w:p w14:paraId="6A84EF59">
            <w:pPr>
              <w:jc w:val="center"/>
              <w:rPr>
                <w:rFonts w:ascii="宋体" w:hAnsi="宋体" w:cs="宋体"/>
                <w:color w:val="000000"/>
                <w:kern w:val="0"/>
                <w:sz w:val="18"/>
                <w:szCs w:val="18"/>
              </w:rPr>
            </w:pPr>
          </w:p>
        </w:tc>
        <w:tc>
          <w:tcPr>
            <w:tcW w:w="1211" w:type="dxa"/>
            <w:noWrap w:val="0"/>
            <w:vAlign w:val="center"/>
          </w:tcPr>
          <w:p w14:paraId="138CD77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3E4B254C">
            <w:pPr>
              <w:jc w:val="center"/>
              <w:rPr>
                <w:rFonts w:ascii="宋体" w:hAnsi="宋体" w:cs="宋体"/>
                <w:color w:val="000000"/>
                <w:kern w:val="0"/>
                <w:sz w:val="18"/>
                <w:szCs w:val="18"/>
              </w:rPr>
            </w:pPr>
          </w:p>
        </w:tc>
        <w:tc>
          <w:tcPr>
            <w:tcW w:w="1526" w:type="dxa"/>
            <w:noWrap w:val="0"/>
            <w:vAlign w:val="center"/>
          </w:tcPr>
          <w:p w14:paraId="4E27DDF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4B035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2ACDDF7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2027年</w:t>
            </w:r>
          </w:p>
        </w:tc>
        <w:tc>
          <w:tcPr>
            <w:tcW w:w="1523" w:type="dxa"/>
            <w:noWrap w:val="0"/>
            <w:vAlign w:val="center"/>
          </w:tcPr>
          <w:p w14:paraId="1B9DCEA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00607171">
            <w:pPr>
              <w:jc w:val="center"/>
              <w:rPr>
                <w:rFonts w:ascii="宋体" w:hAnsi="宋体" w:cs="宋体"/>
                <w:color w:val="000000"/>
                <w:kern w:val="0"/>
                <w:sz w:val="18"/>
                <w:szCs w:val="18"/>
              </w:rPr>
            </w:pPr>
          </w:p>
        </w:tc>
        <w:tc>
          <w:tcPr>
            <w:tcW w:w="1101" w:type="dxa"/>
            <w:noWrap w:val="0"/>
            <w:vAlign w:val="center"/>
          </w:tcPr>
          <w:p w14:paraId="2B7BC029">
            <w:pPr>
              <w:jc w:val="center"/>
              <w:rPr>
                <w:rFonts w:ascii="宋体" w:hAnsi="宋体" w:cs="宋体"/>
                <w:color w:val="000000"/>
                <w:kern w:val="0"/>
                <w:sz w:val="18"/>
                <w:szCs w:val="18"/>
              </w:rPr>
            </w:pPr>
          </w:p>
        </w:tc>
        <w:tc>
          <w:tcPr>
            <w:tcW w:w="1211" w:type="dxa"/>
            <w:noWrap w:val="0"/>
            <w:vAlign w:val="center"/>
          </w:tcPr>
          <w:p w14:paraId="3372228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536BA938">
            <w:pPr>
              <w:jc w:val="center"/>
              <w:rPr>
                <w:rFonts w:ascii="宋体" w:hAnsi="宋体" w:cs="宋体"/>
                <w:color w:val="000000"/>
                <w:kern w:val="0"/>
                <w:sz w:val="18"/>
                <w:szCs w:val="18"/>
              </w:rPr>
            </w:pPr>
          </w:p>
        </w:tc>
        <w:tc>
          <w:tcPr>
            <w:tcW w:w="1526" w:type="dxa"/>
            <w:noWrap w:val="0"/>
            <w:vAlign w:val="center"/>
          </w:tcPr>
          <w:p w14:paraId="346D225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4DEC0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289D01E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2028年</w:t>
            </w:r>
          </w:p>
        </w:tc>
        <w:tc>
          <w:tcPr>
            <w:tcW w:w="1523" w:type="dxa"/>
            <w:noWrap w:val="0"/>
            <w:vAlign w:val="center"/>
          </w:tcPr>
          <w:p w14:paraId="7F149D9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338ABD6F">
            <w:pPr>
              <w:jc w:val="center"/>
              <w:rPr>
                <w:rFonts w:ascii="宋体" w:hAnsi="宋体" w:cs="宋体"/>
                <w:color w:val="000000"/>
                <w:kern w:val="0"/>
                <w:sz w:val="18"/>
                <w:szCs w:val="18"/>
              </w:rPr>
            </w:pPr>
          </w:p>
        </w:tc>
        <w:tc>
          <w:tcPr>
            <w:tcW w:w="1101" w:type="dxa"/>
            <w:noWrap w:val="0"/>
            <w:vAlign w:val="center"/>
          </w:tcPr>
          <w:p w14:paraId="32599843">
            <w:pPr>
              <w:jc w:val="center"/>
              <w:rPr>
                <w:rFonts w:ascii="宋体" w:hAnsi="宋体" w:cs="宋体"/>
                <w:color w:val="000000"/>
                <w:kern w:val="0"/>
                <w:sz w:val="18"/>
                <w:szCs w:val="18"/>
              </w:rPr>
            </w:pPr>
          </w:p>
        </w:tc>
        <w:tc>
          <w:tcPr>
            <w:tcW w:w="1211" w:type="dxa"/>
            <w:noWrap w:val="0"/>
            <w:vAlign w:val="center"/>
          </w:tcPr>
          <w:p w14:paraId="0F3AF54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2B85CA4A">
            <w:pPr>
              <w:jc w:val="center"/>
              <w:rPr>
                <w:rFonts w:ascii="宋体" w:hAnsi="宋体" w:cs="宋体"/>
                <w:color w:val="000000"/>
                <w:kern w:val="0"/>
                <w:sz w:val="18"/>
                <w:szCs w:val="18"/>
              </w:rPr>
            </w:pPr>
          </w:p>
        </w:tc>
        <w:tc>
          <w:tcPr>
            <w:tcW w:w="1526" w:type="dxa"/>
            <w:noWrap w:val="0"/>
            <w:vAlign w:val="center"/>
          </w:tcPr>
          <w:p w14:paraId="04253A6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17FF7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3B3AE7D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2029年</w:t>
            </w:r>
          </w:p>
        </w:tc>
        <w:tc>
          <w:tcPr>
            <w:tcW w:w="1523" w:type="dxa"/>
            <w:noWrap w:val="0"/>
            <w:vAlign w:val="center"/>
          </w:tcPr>
          <w:p w14:paraId="59E84C1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4C598B14">
            <w:pPr>
              <w:jc w:val="center"/>
              <w:rPr>
                <w:rFonts w:ascii="宋体" w:hAnsi="宋体" w:cs="宋体"/>
                <w:color w:val="000000"/>
                <w:kern w:val="0"/>
                <w:sz w:val="18"/>
                <w:szCs w:val="18"/>
              </w:rPr>
            </w:pPr>
          </w:p>
        </w:tc>
        <w:tc>
          <w:tcPr>
            <w:tcW w:w="1101" w:type="dxa"/>
            <w:noWrap w:val="0"/>
            <w:vAlign w:val="center"/>
          </w:tcPr>
          <w:p w14:paraId="693B87FA">
            <w:pPr>
              <w:jc w:val="center"/>
              <w:rPr>
                <w:rFonts w:ascii="宋体" w:hAnsi="宋体" w:cs="宋体"/>
                <w:color w:val="000000"/>
                <w:kern w:val="0"/>
                <w:sz w:val="18"/>
                <w:szCs w:val="18"/>
              </w:rPr>
            </w:pPr>
          </w:p>
        </w:tc>
        <w:tc>
          <w:tcPr>
            <w:tcW w:w="1211" w:type="dxa"/>
            <w:noWrap w:val="0"/>
            <w:vAlign w:val="center"/>
          </w:tcPr>
          <w:p w14:paraId="72CF57E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4BEFD68B">
            <w:pPr>
              <w:jc w:val="center"/>
              <w:rPr>
                <w:rFonts w:ascii="宋体" w:hAnsi="宋体" w:cs="宋体"/>
                <w:color w:val="000000"/>
                <w:kern w:val="0"/>
                <w:sz w:val="18"/>
                <w:szCs w:val="18"/>
              </w:rPr>
            </w:pPr>
          </w:p>
        </w:tc>
        <w:tc>
          <w:tcPr>
            <w:tcW w:w="1526" w:type="dxa"/>
            <w:noWrap w:val="0"/>
            <w:vAlign w:val="center"/>
          </w:tcPr>
          <w:p w14:paraId="730CD471">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2325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1BA8814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2030年</w:t>
            </w:r>
          </w:p>
        </w:tc>
        <w:tc>
          <w:tcPr>
            <w:tcW w:w="1523" w:type="dxa"/>
            <w:noWrap w:val="0"/>
            <w:vAlign w:val="center"/>
          </w:tcPr>
          <w:p w14:paraId="78605BF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56D9042A">
            <w:pPr>
              <w:jc w:val="center"/>
              <w:rPr>
                <w:rFonts w:ascii="宋体" w:hAnsi="宋体" w:cs="宋体"/>
                <w:color w:val="000000"/>
                <w:kern w:val="0"/>
                <w:sz w:val="18"/>
                <w:szCs w:val="18"/>
              </w:rPr>
            </w:pPr>
          </w:p>
        </w:tc>
        <w:tc>
          <w:tcPr>
            <w:tcW w:w="1101" w:type="dxa"/>
            <w:noWrap w:val="0"/>
            <w:vAlign w:val="center"/>
          </w:tcPr>
          <w:p w14:paraId="3422F661">
            <w:pPr>
              <w:jc w:val="center"/>
              <w:rPr>
                <w:rFonts w:ascii="宋体" w:hAnsi="宋体" w:cs="宋体"/>
                <w:color w:val="000000"/>
                <w:kern w:val="0"/>
                <w:sz w:val="18"/>
                <w:szCs w:val="18"/>
              </w:rPr>
            </w:pPr>
          </w:p>
        </w:tc>
        <w:tc>
          <w:tcPr>
            <w:tcW w:w="1211" w:type="dxa"/>
            <w:noWrap w:val="0"/>
            <w:vAlign w:val="center"/>
          </w:tcPr>
          <w:p w14:paraId="7F82FA3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14AB114C">
            <w:pPr>
              <w:jc w:val="center"/>
              <w:rPr>
                <w:rFonts w:ascii="宋体" w:hAnsi="宋体" w:cs="宋体"/>
                <w:color w:val="000000"/>
                <w:kern w:val="0"/>
                <w:sz w:val="18"/>
                <w:szCs w:val="18"/>
              </w:rPr>
            </w:pPr>
          </w:p>
        </w:tc>
        <w:tc>
          <w:tcPr>
            <w:tcW w:w="1526" w:type="dxa"/>
            <w:noWrap w:val="0"/>
            <w:vAlign w:val="center"/>
          </w:tcPr>
          <w:p w14:paraId="15DDAACC">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0E05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458436B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2031年</w:t>
            </w:r>
          </w:p>
        </w:tc>
        <w:tc>
          <w:tcPr>
            <w:tcW w:w="1523" w:type="dxa"/>
            <w:noWrap w:val="0"/>
            <w:vAlign w:val="center"/>
          </w:tcPr>
          <w:p w14:paraId="770AB82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0CF7975A">
            <w:pPr>
              <w:jc w:val="center"/>
              <w:rPr>
                <w:rFonts w:ascii="宋体" w:hAnsi="宋体" w:cs="宋体"/>
                <w:color w:val="000000"/>
                <w:kern w:val="0"/>
                <w:sz w:val="18"/>
                <w:szCs w:val="18"/>
              </w:rPr>
            </w:pPr>
          </w:p>
        </w:tc>
        <w:tc>
          <w:tcPr>
            <w:tcW w:w="1101" w:type="dxa"/>
            <w:noWrap w:val="0"/>
            <w:vAlign w:val="center"/>
          </w:tcPr>
          <w:p w14:paraId="79917956">
            <w:pPr>
              <w:jc w:val="center"/>
              <w:rPr>
                <w:rFonts w:ascii="宋体" w:hAnsi="宋体" w:cs="宋体"/>
                <w:color w:val="000000"/>
                <w:kern w:val="0"/>
                <w:sz w:val="18"/>
                <w:szCs w:val="18"/>
              </w:rPr>
            </w:pPr>
          </w:p>
        </w:tc>
        <w:tc>
          <w:tcPr>
            <w:tcW w:w="1211" w:type="dxa"/>
            <w:noWrap w:val="0"/>
            <w:vAlign w:val="center"/>
          </w:tcPr>
          <w:p w14:paraId="3DC3E35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74DB37ED">
            <w:pPr>
              <w:jc w:val="center"/>
              <w:rPr>
                <w:rFonts w:ascii="宋体" w:hAnsi="宋体" w:cs="宋体"/>
                <w:color w:val="000000"/>
                <w:kern w:val="0"/>
                <w:sz w:val="18"/>
                <w:szCs w:val="18"/>
              </w:rPr>
            </w:pPr>
          </w:p>
        </w:tc>
        <w:tc>
          <w:tcPr>
            <w:tcW w:w="1526" w:type="dxa"/>
            <w:noWrap w:val="0"/>
            <w:vAlign w:val="center"/>
          </w:tcPr>
          <w:p w14:paraId="79B7DCD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38286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1DE931F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2032年</w:t>
            </w:r>
          </w:p>
        </w:tc>
        <w:tc>
          <w:tcPr>
            <w:tcW w:w="1523" w:type="dxa"/>
            <w:noWrap w:val="0"/>
            <w:vAlign w:val="center"/>
          </w:tcPr>
          <w:p w14:paraId="2D581BF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47024AC3">
            <w:pPr>
              <w:jc w:val="center"/>
              <w:rPr>
                <w:rFonts w:ascii="宋体" w:hAnsi="宋体" w:cs="宋体"/>
                <w:color w:val="000000"/>
                <w:kern w:val="0"/>
                <w:sz w:val="18"/>
                <w:szCs w:val="18"/>
              </w:rPr>
            </w:pPr>
          </w:p>
        </w:tc>
        <w:tc>
          <w:tcPr>
            <w:tcW w:w="1101" w:type="dxa"/>
            <w:noWrap w:val="0"/>
            <w:vAlign w:val="center"/>
          </w:tcPr>
          <w:p w14:paraId="0B4A7FF7">
            <w:pPr>
              <w:jc w:val="center"/>
              <w:rPr>
                <w:rFonts w:ascii="宋体" w:hAnsi="宋体" w:cs="宋体"/>
                <w:color w:val="000000"/>
                <w:kern w:val="0"/>
                <w:sz w:val="18"/>
                <w:szCs w:val="18"/>
              </w:rPr>
            </w:pPr>
          </w:p>
        </w:tc>
        <w:tc>
          <w:tcPr>
            <w:tcW w:w="1211" w:type="dxa"/>
            <w:noWrap w:val="0"/>
            <w:vAlign w:val="center"/>
          </w:tcPr>
          <w:p w14:paraId="1CCED66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4D89A040">
            <w:pPr>
              <w:jc w:val="center"/>
              <w:rPr>
                <w:rFonts w:ascii="宋体" w:hAnsi="宋体" w:cs="宋体"/>
                <w:color w:val="000000"/>
                <w:kern w:val="0"/>
                <w:sz w:val="18"/>
                <w:szCs w:val="18"/>
              </w:rPr>
            </w:pPr>
          </w:p>
        </w:tc>
        <w:tc>
          <w:tcPr>
            <w:tcW w:w="1526" w:type="dxa"/>
            <w:noWrap w:val="0"/>
            <w:vAlign w:val="center"/>
          </w:tcPr>
          <w:p w14:paraId="329BE94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1B1E2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4872EAE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2033年</w:t>
            </w:r>
          </w:p>
        </w:tc>
        <w:tc>
          <w:tcPr>
            <w:tcW w:w="1523" w:type="dxa"/>
            <w:noWrap w:val="0"/>
            <w:vAlign w:val="center"/>
          </w:tcPr>
          <w:p w14:paraId="761E332B">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148B4011">
            <w:pPr>
              <w:jc w:val="center"/>
              <w:rPr>
                <w:rFonts w:ascii="宋体" w:hAnsi="宋体" w:cs="宋体"/>
                <w:color w:val="000000"/>
                <w:kern w:val="0"/>
                <w:sz w:val="18"/>
                <w:szCs w:val="18"/>
              </w:rPr>
            </w:pPr>
          </w:p>
        </w:tc>
        <w:tc>
          <w:tcPr>
            <w:tcW w:w="1101" w:type="dxa"/>
            <w:noWrap w:val="0"/>
            <w:vAlign w:val="center"/>
          </w:tcPr>
          <w:p w14:paraId="70758AFB">
            <w:pPr>
              <w:jc w:val="center"/>
              <w:rPr>
                <w:rFonts w:ascii="宋体" w:hAnsi="宋体" w:cs="宋体"/>
                <w:color w:val="000000"/>
                <w:kern w:val="0"/>
                <w:sz w:val="18"/>
                <w:szCs w:val="18"/>
              </w:rPr>
            </w:pPr>
          </w:p>
        </w:tc>
        <w:tc>
          <w:tcPr>
            <w:tcW w:w="1211" w:type="dxa"/>
            <w:noWrap w:val="0"/>
            <w:vAlign w:val="center"/>
          </w:tcPr>
          <w:p w14:paraId="6AF3339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598DE56A">
            <w:pPr>
              <w:jc w:val="center"/>
              <w:rPr>
                <w:rFonts w:ascii="宋体" w:hAnsi="宋体" w:cs="宋体"/>
                <w:color w:val="000000"/>
                <w:kern w:val="0"/>
                <w:sz w:val="18"/>
                <w:szCs w:val="18"/>
              </w:rPr>
            </w:pPr>
          </w:p>
        </w:tc>
        <w:tc>
          <w:tcPr>
            <w:tcW w:w="1526" w:type="dxa"/>
            <w:noWrap w:val="0"/>
            <w:vAlign w:val="center"/>
          </w:tcPr>
          <w:p w14:paraId="605DDC9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5CD2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0529E46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2034年</w:t>
            </w:r>
          </w:p>
        </w:tc>
        <w:tc>
          <w:tcPr>
            <w:tcW w:w="1523" w:type="dxa"/>
            <w:noWrap w:val="0"/>
            <w:vAlign w:val="center"/>
          </w:tcPr>
          <w:p w14:paraId="4ABDBB0D">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3BA24753">
            <w:pPr>
              <w:jc w:val="center"/>
              <w:rPr>
                <w:rFonts w:ascii="宋体" w:hAnsi="宋体" w:cs="宋体"/>
                <w:color w:val="000000"/>
                <w:kern w:val="0"/>
                <w:sz w:val="18"/>
                <w:szCs w:val="18"/>
              </w:rPr>
            </w:pPr>
          </w:p>
        </w:tc>
        <w:tc>
          <w:tcPr>
            <w:tcW w:w="1101" w:type="dxa"/>
            <w:noWrap w:val="0"/>
            <w:vAlign w:val="center"/>
          </w:tcPr>
          <w:p w14:paraId="5C99F84D">
            <w:pPr>
              <w:jc w:val="center"/>
              <w:rPr>
                <w:rFonts w:ascii="宋体" w:hAnsi="宋体" w:cs="宋体"/>
                <w:color w:val="000000"/>
                <w:kern w:val="0"/>
                <w:sz w:val="18"/>
                <w:szCs w:val="18"/>
              </w:rPr>
            </w:pPr>
          </w:p>
        </w:tc>
        <w:tc>
          <w:tcPr>
            <w:tcW w:w="1211" w:type="dxa"/>
            <w:noWrap w:val="0"/>
            <w:vAlign w:val="center"/>
          </w:tcPr>
          <w:p w14:paraId="5A4A2EB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3B516B3F">
            <w:pPr>
              <w:jc w:val="center"/>
              <w:rPr>
                <w:rFonts w:ascii="宋体" w:hAnsi="宋体" w:cs="宋体"/>
                <w:color w:val="000000"/>
                <w:kern w:val="0"/>
                <w:sz w:val="18"/>
                <w:szCs w:val="18"/>
              </w:rPr>
            </w:pPr>
          </w:p>
        </w:tc>
        <w:tc>
          <w:tcPr>
            <w:tcW w:w="1526" w:type="dxa"/>
            <w:noWrap w:val="0"/>
            <w:vAlign w:val="center"/>
          </w:tcPr>
          <w:p w14:paraId="696AD57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659B5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3747217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2035年</w:t>
            </w:r>
          </w:p>
        </w:tc>
        <w:tc>
          <w:tcPr>
            <w:tcW w:w="1523" w:type="dxa"/>
            <w:noWrap w:val="0"/>
            <w:vAlign w:val="center"/>
          </w:tcPr>
          <w:p w14:paraId="05FF0948">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63863B83">
            <w:pPr>
              <w:jc w:val="center"/>
              <w:rPr>
                <w:rFonts w:ascii="宋体" w:hAnsi="宋体" w:cs="宋体"/>
                <w:color w:val="000000"/>
                <w:kern w:val="0"/>
                <w:sz w:val="18"/>
                <w:szCs w:val="18"/>
              </w:rPr>
            </w:pPr>
          </w:p>
        </w:tc>
        <w:tc>
          <w:tcPr>
            <w:tcW w:w="1101" w:type="dxa"/>
            <w:noWrap w:val="0"/>
            <w:vAlign w:val="center"/>
          </w:tcPr>
          <w:p w14:paraId="376C0724">
            <w:pPr>
              <w:jc w:val="center"/>
              <w:rPr>
                <w:rFonts w:ascii="宋体" w:hAnsi="宋体" w:cs="宋体"/>
                <w:color w:val="000000"/>
                <w:kern w:val="0"/>
                <w:sz w:val="18"/>
                <w:szCs w:val="18"/>
              </w:rPr>
            </w:pPr>
          </w:p>
        </w:tc>
        <w:tc>
          <w:tcPr>
            <w:tcW w:w="1211" w:type="dxa"/>
            <w:noWrap w:val="0"/>
            <w:vAlign w:val="center"/>
          </w:tcPr>
          <w:p w14:paraId="3D29B89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072CF691">
            <w:pPr>
              <w:jc w:val="center"/>
              <w:rPr>
                <w:rFonts w:ascii="宋体" w:hAnsi="宋体" w:cs="宋体"/>
                <w:color w:val="000000"/>
                <w:kern w:val="0"/>
                <w:sz w:val="18"/>
                <w:szCs w:val="18"/>
              </w:rPr>
            </w:pPr>
          </w:p>
        </w:tc>
        <w:tc>
          <w:tcPr>
            <w:tcW w:w="1526" w:type="dxa"/>
            <w:noWrap w:val="0"/>
            <w:vAlign w:val="center"/>
          </w:tcPr>
          <w:p w14:paraId="257E213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69819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2E19BF8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2036年</w:t>
            </w:r>
          </w:p>
        </w:tc>
        <w:tc>
          <w:tcPr>
            <w:tcW w:w="1523" w:type="dxa"/>
            <w:noWrap w:val="0"/>
            <w:vAlign w:val="center"/>
          </w:tcPr>
          <w:p w14:paraId="509D6EF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2FF0EF3D">
            <w:pPr>
              <w:jc w:val="center"/>
              <w:rPr>
                <w:rFonts w:ascii="宋体" w:hAnsi="宋体" w:cs="宋体"/>
                <w:color w:val="000000"/>
                <w:kern w:val="0"/>
                <w:sz w:val="18"/>
                <w:szCs w:val="18"/>
              </w:rPr>
            </w:pPr>
          </w:p>
        </w:tc>
        <w:tc>
          <w:tcPr>
            <w:tcW w:w="1101" w:type="dxa"/>
            <w:noWrap w:val="0"/>
            <w:vAlign w:val="center"/>
          </w:tcPr>
          <w:p w14:paraId="74032A22">
            <w:pPr>
              <w:jc w:val="center"/>
              <w:rPr>
                <w:rFonts w:ascii="宋体" w:hAnsi="宋体" w:cs="宋体"/>
                <w:color w:val="000000"/>
                <w:kern w:val="0"/>
                <w:sz w:val="18"/>
                <w:szCs w:val="18"/>
              </w:rPr>
            </w:pPr>
          </w:p>
        </w:tc>
        <w:tc>
          <w:tcPr>
            <w:tcW w:w="1211" w:type="dxa"/>
            <w:noWrap w:val="0"/>
            <w:vAlign w:val="center"/>
          </w:tcPr>
          <w:p w14:paraId="017A05A7">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66940B6F">
            <w:pPr>
              <w:jc w:val="center"/>
              <w:rPr>
                <w:rFonts w:ascii="宋体" w:hAnsi="宋体" w:cs="宋体"/>
                <w:color w:val="000000"/>
                <w:kern w:val="0"/>
                <w:sz w:val="18"/>
                <w:szCs w:val="18"/>
              </w:rPr>
            </w:pPr>
          </w:p>
        </w:tc>
        <w:tc>
          <w:tcPr>
            <w:tcW w:w="1526" w:type="dxa"/>
            <w:noWrap w:val="0"/>
            <w:vAlign w:val="center"/>
          </w:tcPr>
          <w:p w14:paraId="2C2D4BF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6684E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5AC0506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2037年</w:t>
            </w:r>
          </w:p>
        </w:tc>
        <w:tc>
          <w:tcPr>
            <w:tcW w:w="1523" w:type="dxa"/>
            <w:noWrap w:val="0"/>
            <w:vAlign w:val="center"/>
          </w:tcPr>
          <w:p w14:paraId="4BAC57BA">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0C456B7B">
            <w:pPr>
              <w:jc w:val="center"/>
              <w:rPr>
                <w:rFonts w:ascii="宋体" w:hAnsi="宋体" w:cs="宋体"/>
                <w:color w:val="000000"/>
                <w:kern w:val="0"/>
                <w:sz w:val="18"/>
                <w:szCs w:val="18"/>
              </w:rPr>
            </w:pPr>
          </w:p>
        </w:tc>
        <w:tc>
          <w:tcPr>
            <w:tcW w:w="1101" w:type="dxa"/>
            <w:noWrap w:val="0"/>
            <w:vAlign w:val="center"/>
          </w:tcPr>
          <w:p w14:paraId="753852F3">
            <w:pPr>
              <w:jc w:val="center"/>
              <w:rPr>
                <w:rFonts w:ascii="宋体" w:hAnsi="宋体" w:cs="宋体"/>
                <w:color w:val="000000"/>
                <w:kern w:val="0"/>
                <w:sz w:val="18"/>
                <w:szCs w:val="18"/>
              </w:rPr>
            </w:pPr>
          </w:p>
        </w:tc>
        <w:tc>
          <w:tcPr>
            <w:tcW w:w="1211" w:type="dxa"/>
            <w:noWrap w:val="0"/>
            <w:vAlign w:val="center"/>
          </w:tcPr>
          <w:p w14:paraId="1292FD7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7FA3524E">
            <w:pPr>
              <w:jc w:val="center"/>
              <w:rPr>
                <w:rFonts w:ascii="宋体" w:hAnsi="宋体" w:cs="宋体"/>
                <w:color w:val="000000"/>
                <w:kern w:val="0"/>
                <w:sz w:val="18"/>
                <w:szCs w:val="18"/>
              </w:rPr>
            </w:pPr>
          </w:p>
        </w:tc>
        <w:tc>
          <w:tcPr>
            <w:tcW w:w="1526" w:type="dxa"/>
            <w:noWrap w:val="0"/>
            <w:vAlign w:val="center"/>
          </w:tcPr>
          <w:p w14:paraId="04155AB6">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00F18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7F8FDD2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2038年</w:t>
            </w:r>
          </w:p>
        </w:tc>
        <w:tc>
          <w:tcPr>
            <w:tcW w:w="1523" w:type="dxa"/>
            <w:noWrap w:val="0"/>
            <w:vAlign w:val="center"/>
          </w:tcPr>
          <w:p w14:paraId="1D75C0D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137E8773">
            <w:pPr>
              <w:jc w:val="center"/>
              <w:rPr>
                <w:rFonts w:ascii="宋体" w:hAnsi="宋体" w:cs="宋体"/>
                <w:color w:val="000000"/>
                <w:kern w:val="0"/>
                <w:sz w:val="18"/>
                <w:szCs w:val="18"/>
              </w:rPr>
            </w:pPr>
          </w:p>
        </w:tc>
        <w:tc>
          <w:tcPr>
            <w:tcW w:w="1101" w:type="dxa"/>
            <w:noWrap w:val="0"/>
            <w:vAlign w:val="center"/>
          </w:tcPr>
          <w:p w14:paraId="259A69DB">
            <w:pPr>
              <w:jc w:val="center"/>
              <w:rPr>
                <w:rFonts w:ascii="宋体" w:hAnsi="宋体" w:cs="宋体"/>
                <w:color w:val="000000"/>
                <w:kern w:val="0"/>
                <w:sz w:val="18"/>
                <w:szCs w:val="18"/>
              </w:rPr>
            </w:pPr>
          </w:p>
        </w:tc>
        <w:tc>
          <w:tcPr>
            <w:tcW w:w="1211" w:type="dxa"/>
            <w:noWrap w:val="0"/>
            <w:vAlign w:val="center"/>
          </w:tcPr>
          <w:p w14:paraId="0BAA554F">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258.00 </w:t>
            </w:r>
          </w:p>
        </w:tc>
        <w:tc>
          <w:tcPr>
            <w:tcW w:w="1211" w:type="dxa"/>
            <w:noWrap w:val="0"/>
            <w:vAlign w:val="center"/>
          </w:tcPr>
          <w:p w14:paraId="0B36C047">
            <w:pPr>
              <w:jc w:val="center"/>
              <w:rPr>
                <w:rFonts w:ascii="宋体" w:hAnsi="宋体" w:cs="宋体"/>
                <w:color w:val="000000"/>
                <w:kern w:val="0"/>
                <w:sz w:val="18"/>
                <w:szCs w:val="18"/>
              </w:rPr>
            </w:pPr>
          </w:p>
        </w:tc>
        <w:tc>
          <w:tcPr>
            <w:tcW w:w="1526" w:type="dxa"/>
            <w:noWrap w:val="0"/>
            <w:vAlign w:val="center"/>
          </w:tcPr>
          <w:p w14:paraId="61B2CA85">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r>
      <w:tr w14:paraId="6B66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5E18D93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2039年</w:t>
            </w:r>
          </w:p>
        </w:tc>
        <w:tc>
          <w:tcPr>
            <w:tcW w:w="1523" w:type="dxa"/>
            <w:noWrap w:val="0"/>
            <w:vAlign w:val="center"/>
          </w:tcPr>
          <w:p w14:paraId="04A34CD4">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11" w:type="dxa"/>
            <w:noWrap w:val="0"/>
            <w:vAlign w:val="center"/>
          </w:tcPr>
          <w:p w14:paraId="32D2D4AB">
            <w:pPr>
              <w:jc w:val="center"/>
              <w:rPr>
                <w:rFonts w:ascii="宋体" w:hAnsi="宋体" w:cs="宋体"/>
                <w:color w:val="000000"/>
                <w:kern w:val="0"/>
                <w:sz w:val="18"/>
                <w:szCs w:val="18"/>
              </w:rPr>
            </w:pPr>
          </w:p>
        </w:tc>
        <w:tc>
          <w:tcPr>
            <w:tcW w:w="1101" w:type="dxa"/>
            <w:noWrap w:val="0"/>
            <w:vAlign w:val="center"/>
          </w:tcPr>
          <w:p w14:paraId="2A49F495">
            <w:pPr>
              <w:jc w:val="center"/>
              <w:rPr>
                <w:rFonts w:ascii="宋体" w:hAnsi="宋体" w:cs="宋体"/>
                <w:color w:val="000000"/>
                <w:kern w:val="0"/>
                <w:sz w:val="18"/>
                <w:szCs w:val="18"/>
              </w:rPr>
            </w:pPr>
          </w:p>
        </w:tc>
        <w:tc>
          <w:tcPr>
            <w:tcW w:w="1211" w:type="dxa"/>
            <w:noWrap w:val="0"/>
            <w:vAlign w:val="center"/>
          </w:tcPr>
          <w:p w14:paraId="6CB3CB82">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129.00 </w:t>
            </w:r>
          </w:p>
        </w:tc>
        <w:tc>
          <w:tcPr>
            <w:tcW w:w="1211" w:type="dxa"/>
            <w:noWrap w:val="0"/>
            <w:vAlign w:val="center"/>
          </w:tcPr>
          <w:p w14:paraId="3A42D8F9">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6,000.00 </w:t>
            </w:r>
          </w:p>
        </w:tc>
        <w:tc>
          <w:tcPr>
            <w:tcW w:w="1526" w:type="dxa"/>
            <w:noWrap w:val="0"/>
            <w:vAlign w:val="center"/>
          </w:tcPr>
          <w:p w14:paraId="5FC79030">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 xml:space="preserve"> -   </w:t>
            </w:r>
          </w:p>
        </w:tc>
      </w:tr>
      <w:tr w14:paraId="1F2A7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37" w:type="pct"/>
            <w:noWrap w:val="0"/>
            <w:vAlign w:val="center"/>
          </w:tcPr>
          <w:p w14:paraId="45654C4F">
            <w:pPr>
              <w:widowControl/>
              <w:jc w:val="center"/>
              <w:textAlignment w:val="center"/>
              <w:rPr>
                <w:rFonts w:ascii="宋体" w:hAnsi="宋体" w:cs="宋体"/>
                <w:b/>
                <w:bCs/>
                <w:color w:val="000000"/>
                <w:kern w:val="0"/>
                <w:sz w:val="18"/>
                <w:szCs w:val="18"/>
              </w:rPr>
            </w:pPr>
            <w:r>
              <w:rPr>
                <w:rFonts w:hint="eastAsia" w:ascii="宋体" w:hAnsi="宋体" w:cs="宋体"/>
                <w:b/>
                <w:bCs/>
                <w:color w:val="000000"/>
                <w:kern w:val="0"/>
                <w:sz w:val="18"/>
                <w:szCs w:val="18"/>
                <w:lang w:bidi="ar"/>
              </w:rPr>
              <w:t>合计</w:t>
            </w:r>
          </w:p>
        </w:tc>
        <w:tc>
          <w:tcPr>
            <w:tcW w:w="1523" w:type="dxa"/>
            <w:noWrap w:val="0"/>
            <w:vAlign w:val="center"/>
          </w:tcPr>
          <w:p w14:paraId="2E500271">
            <w:pPr>
              <w:jc w:val="center"/>
              <w:rPr>
                <w:rFonts w:ascii="宋体" w:hAnsi="宋体" w:cs="宋体"/>
                <w:b/>
                <w:bCs/>
                <w:color w:val="000000"/>
                <w:kern w:val="0"/>
                <w:sz w:val="18"/>
                <w:szCs w:val="18"/>
              </w:rPr>
            </w:pPr>
          </w:p>
        </w:tc>
        <w:tc>
          <w:tcPr>
            <w:tcW w:w="1211" w:type="dxa"/>
            <w:noWrap w:val="0"/>
            <w:vAlign w:val="center"/>
          </w:tcPr>
          <w:p w14:paraId="1E465C21">
            <w:pPr>
              <w:keepNext w:val="0"/>
              <w:keepLines w:val="0"/>
              <w:widowControl/>
              <w:suppressLineNumbers w:val="0"/>
              <w:jc w:val="center"/>
              <w:textAlignment w:val="center"/>
              <w:rPr>
                <w:rFonts w:ascii="宋体" w:hAnsi="宋体" w:cs="宋体"/>
                <w:b/>
                <w:bCs/>
                <w:color w:val="000000"/>
                <w:kern w:val="0"/>
                <w:sz w:val="18"/>
                <w:szCs w:val="18"/>
              </w:rPr>
            </w:pPr>
            <w:r>
              <w:rPr>
                <w:rFonts w:hint="eastAsia" w:ascii="宋体" w:hAnsi="宋体" w:eastAsia="宋体" w:cs="宋体"/>
                <w:b/>
                <w:bCs/>
                <w:i w:val="0"/>
                <w:iCs w:val="0"/>
                <w:color w:val="000000"/>
                <w:kern w:val="0"/>
                <w:sz w:val="18"/>
                <w:szCs w:val="18"/>
                <w:u w:val="none"/>
                <w:lang w:val="en-US" w:eastAsia="zh-CN" w:bidi="ar"/>
              </w:rPr>
              <w:t xml:space="preserve"> 6,000.00 </w:t>
            </w:r>
          </w:p>
        </w:tc>
        <w:tc>
          <w:tcPr>
            <w:tcW w:w="1101" w:type="dxa"/>
            <w:noWrap w:val="0"/>
            <w:vAlign w:val="center"/>
          </w:tcPr>
          <w:p w14:paraId="4B4FB45C">
            <w:pPr>
              <w:keepNext w:val="0"/>
              <w:keepLines w:val="0"/>
              <w:widowControl/>
              <w:suppressLineNumbers w:val="0"/>
              <w:jc w:val="center"/>
              <w:textAlignment w:val="center"/>
              <w:rPr>
                <w:rFonts w:ascii="宋体" w:hAnsi="宋体" w:cs="宋体"/>
                <w:b/>
                <w:bCs/>
                <w:color w:val="000000"/>
                <w:kern w:val="0"/>
                <w:sz w:val="18"/>
                <w:szCs w:val="18"/>
              </w:rPr>
            </w:pPr>
            <w:r>
              <w:rPr>
                <w:rFonts w:hint="eastAsia" w:ascii="宋体" w:hAnsi="宋体" w:eastAsia="宋体" w:cs="宋体"/>
                <w:b/>
                <w:bCs/>
                <w:i w:val="0"/>
                <w:iCs w:val="0"/>
                <w:color w:val="000000"/>
                <w:kern w:val="0"/>
                <w:sz w:val="18"/>
                <w:szCs w:val="18"/>
                <w:u w:val="none"/>
                <w:lang w:val="en-US" w:eastAsia="zh-CN" w:bidi="ar"/>
              </w:rPr>
              <w:t xml:space="preserve"> 6.00 </w:t>
            </w:r>
          </w:p>
        </w:tc>
        <w:tc>
          <w:tcPr>
            <w:tcW w:w="1211" w:type="dxa"/>
            <w:noWrap w:val="0"/>
            <w:vAlign w:val="center"/>
          </w:tcPr>
          <w:p w14:paraId="72408C8A">
            <w:pPr>
              <w:keepNext w:val="0"/>
              <w:keepLines w:val="0"/>
              <w:widowControl/>
              <w:suppressLineNumbers w:val="0"/>
              <w:jc w:val="center"/>
              <w:textAlignment w:val="center"/>
              <w:rPr>
                <w:rFonts w:ascii="宋体" w:hAnsi="宋体" w:cs="宋体"/>
                <w:b/>
                <w:bCs/>
                <w:color w:val="000000"/>
                <w:kern w:val="0"/>
                <w:sz w:val="18"/>
                <w:szCs w:val="18"/>
              </w:rPr>
            </w:pPr>
            <w:r>
              <w:rPr>
                <w:rFonts w:hint="eastAsia" w:ascii="宋体" w:hAnsi="宋体" w:eastAsia="宋体" w:cs="宋体"/>
                <w:b/>
                <w:bCs/>
                <w:i w:val="0"/>
                <w:iCs w:val="0"/>
                <w:color w:val="000000"/>
                <w:kern w:val="0"/>
                <w:sz w:val="18"/>
                <w:szCs w:val="18"/>
                <w:u w:val="none"/>
                <w:lang w:val="en-US" w:eastAsia="zh-CN" w:bidi="ar"/>
              </w:rPr>
              <w:t xml:space="preserve"> 3,870.00 </w:t>
            </w:r>
          </w:p>
        </w:tc>
        <w:tc>
          <w:tcPr>
            <w:tcW w:w="1211" w:type="dxa"/>
            <w:noWrap w:val="0"/>
            <w:vAlign w:val="center"/>
          </w:tcPr>
          <w:p w14:paraId="0A2425C0">
            <w:pPr>
              <w:keepNext w:val="0"/>
              <w:keepLines w:val="0"/>
              <w:widowControl/>
              <w:suppressLineNumbers w:val="0"/>
              <w:jc w:val="center"/>
              <w:textAlignment w:val="center"/>
              <w:rPr>
                <w:rFonts w:ascii="宋体" w:hAnsi="宋体" w:cs="宋体"/>
                <w:b/>
                <w:bCs/>
                <w:color w:val="000000"/>
                <w:kern w:val="0"/>
                <w:sz w:val="18"/>
                <w:szCs w:val="18"/>
              </w:rPr>
            </w:pPr>
            <w:r>
              <w:rPr>
                <w:rFonts w:hint="eastAsia" w:ascii="宋体" w:hAnsi="宋体" w:eastAsia="宋体" w:cs="宋体"/>
                <w:b/>
                <w:bCs/>
                <w:i w:val="0"/>
                <w:iCs w:val="0"/>
                <w:color w:val="000000"/>
                <w:kern w:val="0"/>
                <w:sz w:val="18"/>
                <w:szCs w:val="18"/>
                <w:u w:val="none"/>
                <w:lang w:val="en-US" w:eastAsia="zh-CN" w:bidi="ar"/>
              </w:rPr>
              <w:t xml:space="preserve"> 6,000.00 </w:t>
            </w:r>
          </w:p>
        </w:tc>
        <w:tc>
          <w:tcPr>
            <w:tcW w:w="1526" w:type="dxa"/>
            <w:noWrap w:val="0"/>
            <w:vAlign w:val="center"/>
          </w:tcPr>
          <w:p w14:paraId="511A553D">
            <w:pPr>
              <w:jc w:val="center"/>
              <w:rPr>
                <w:rFonts w:ascii="宋体" w:hAnsi="宋体" w:cs="宋体"/>
                <w:b/>
                <w:bCs/>
                <w:color w:val="000000"/>
                <w:kern w:val="0"/>
                <w:sz w:val="18"/>
                <w:szCs w:val="18"/>
              </w:rPr>
            </w:pPr>
          </w:p>
        </w:tc>
      </w:tr>
    </w:tbl>
    <w:p w14:paraId="7F9665C3">
      <w:pPr>
        <w:pStyle w:val="23"/>
        <w:spacing w:before="0" w:beforeAutospacing="0" w:after="156" w:afterLines="50" w:afterAutospacing="0" w:line="360" w:lineRule="exact"/>
        <w:jc w:val="both"/>
        <w:rPr>
          <w:sz w:val="18"/>
          <w:szCs w:val="18"/>
        </w:rPr>
      </w:pPr>
      <w:r>
        <w:rPr>
          <w:rFonts w:hint="eastAsia" w:cs="Times New Roman"/>
          <w:sz w:val="18"/>
          <w:szCs w:val="18"/>
        </w:rPr>
        <w:t>注：</w:t>
      </w:r>
      <w:r>
        <w:rPr>
          <w:rFonts w:hint="eastAsia" w:cs="Times New Roman"/>
          <w:sz w:val="18"/>
          <w:szCs w:val="18"/>
          <w:lang w:val="en-US" w:eastAsia="zh-CN"/>
        </w:rPr>
        <w:t>15</w:t>
      </w:r>
      <w:r>
        <w:rPr>
          <w:rFonts w:hint="eastAsia"/>
          <w:sz w:val="18"/>
          <w:szCs w:val="18"/>
        </w:rPr>
        <w:t>年期债券分别从债券发行年（2024年）起按照每半年支付一次债券利息</w:t>
      </w:r>
      <w:r>
        <w:rPr>
          <w:rFonts w:hint="eastAsia" w:cs="Times New Roman"/>
          <w:sz w:val="18"/>
          <w:szCs w:val="18"/>
        </w:rPr>
        <w:t>。</w:t>
      </w:r>
    </w:p>
    <w:p w14:paraId="1E5A7ED9">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2.运营成本费用分析</w:t>
      </w:r>
    </w:p>
    <w:p w14:paraId="616CC51C">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项目支出按照支出用途分类可分为：外购燃料及动力费、薪酬及福利费、维修费、其它费用等各项费用支出，因充足性分析主要依据对现金流量进行分析，故对于不需付现的费用（如折旧摊销等）暂不在支出情况预测表中反映。</w:t>
      </w:r>
    </w:p>
    <w:p w14:paraId="1692211D">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可研报告及《实施方案》中明确了各项成本的估算标准如下：</w:t>
      </w:r>
    </w:p>
    <w:p w14:paraId="2C44714A">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（1）工资福利费</w:t>
      </w:r>
    </w:p>
    <w:p w14:paraId="57DB8BD6">
      <w:pPr>
        <w:spacing w:before="156" w:beforeLines="50" w:after="156" w:afterLines="50" w:line="560" w:lineRule="exact"/>
        <w:ind w:firstLine="480" w:firstLineChars="200"/>
        <w:rPr>
          <w:rFonts w:hint="eastAsia" w:ascii="宋体" w:eastAsia="宋体" w:cs="宋体"/>
          <w:color w:val="000000"/>
          <w:sz w:val="24"/>
          <w:szCs w:val="24"/>
          <w:lang w:val="en-US" w:eastAsia="zh-CN" w:bidi="ar-SA"/>
        </w:rPr>
      </w:pPr>
      <w:r>
        <w:rPr>
          <w:rFonts w:hint="eastAsia" w:ascii="宋体" w:eastAsia="宋体" w:cs="宋体"/>
          <w:color w:val="000000"/>
          <w:sz w:val="24"/>
          <w:szCs w:val="24"/>
          <w:lang w:bidi="ar-SA"/>
        </w:rPr>
        <w:t>项目第2年计划在岗人员为11人，年工资及福利按平均18万元计算，主要负责与系统操作、数据分析、事件响应等工作，员工工资随着当地社会经济的发展与通货膨胀等原因，按每年增长3%计算</w:t>
      </w:r>
      <w:r>
        <w:rPr>
          <w:rFonts w:hint="eastAsia" w:ascii="宋体" w:eastAsia="宋体" w:cs="宋体"/>
          <w:color w:val="000000"/>
          <w:sz w:val="24"/>
          <w:szCs w:val="24"/>
          <w:lang w:eastAsia="zh-CN" w:bidi="ar-SA"/>
        </w:rPr>
        <w:t>。</w:t>
      </w:r>
    </w:p>
    <w:p w14:paraId="47573A9F">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（2）燃料动力费</w:t>
      </w:r>
    </w:p>
    <w:p w14:paraId="4C093D1E">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主要是项目运营期间人员工作需要的水费、电费及项目运营期间前段设备日常工作、日常养护、巡查和维修等活动时用电，按照项目收益的6%计取。</w:t>
      </w:r>
    </w:p>
    <w:p w14:paraId="06F2E5F0">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（3）维修费</w:t>
      </w:r>
    </w:p>
    <w:p w14:paraId="7AE0AE5C">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项目建成后年维修费用按前端感知设备、网络设备与一体化机房投资的的4%计算，往后每年逐年递增2%。</w:t>
      </w:r>
    </w:p>
    <w:p w14:paraId="106AE208">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其他费用</w:t>
      </w:r>
    </w:p>
    <w:p w14:paraId="2DA1A4B6">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指常规估算年日常管理费用等，按每年营业收入的6%计算。</w:t>
      </w:r>
    </w:p>
    <w:p w14:paraId="35583C64">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w:t>
      </w:r>
      <w:r>
        <w:rPr>
          <w:rFonts w:hint="eastAsia" w:ascii="宋体" w:eastAsia="宋体" w:cs="宋体"/>
          <w:color w:val="000000"/>
          <w:sz w:val="24"/>
          <w:szCs w:val="24"/>
          <w:lang w:val="en-US" w:eastAsia="zh-CN" w:bidi="ar-SA"/>
        </w:rPr>
        <w:t>5</w:t>
      </w:r>
      <w:r>
        <w:rPr>
          <w:rFonts w:hint="eastAsia" w:ascii="宋体" w:eastAsia="宋体" w:cs="宋体"/>
          <w:color w:val="000000"/>
          <w:sz w:val="24"/>
          <w:szCs w:val="24"/>
          <w:lang w:bidi="ar-SA"/>
        </w:rPr>
        <w:t>）应交税金</w:t>
      </w:r>
    </w:p>
    <w:p w14:paraId="45CFB69B">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项目收入的增值税率按照9%计算，城市建设维护税及教育税附加（包括本地另外的教育税附加）分别为增值税的5%和5%。</w:t>
      </w:r>
    </w:p>
    <w:p w14:paraId="5228066A">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本项目业务活动支出预测情况如下表3-3所示：</w:t>
      </w:r>
    </w:p>
    <w:p w14:paraId="0FBDB117">
      <w:pPr>
        <w:pStyle w:val="23"/>
        <w:spacing w:before="0" w:beforeAutospacing="0" w:after="156" w:afterLines="50" w:afterAutospacing="0" w:line="360" w:lineRule="exact"/>
        <w:ind w:firstLine="420" w:firstLineChars="200"/>
        <w:jc w:val="center"/>
        <w:rPr>
          <w:sz w:val="18"/>
          <w:szCs w:val="18"/>
        </w:rPr>
      </w:pPr>
      <w:r>
        <w:rPr>
          <w:rFonts w:hint="eastAsia"/>
          <w:b/>
          <w:sz w:val="21"/>
          <w:szCs w:val="21"/>
        </w:rPr>
        <w:t>表3-</w:t>
      </w:r>
      <w:r>
        <w:rPr>
          <w:b/>
          <w:sz w:val="21"/>
          <w:szCs w:val="21"/>
        </w:rPr>
        <w:t>3</w:t>
      </w:r>
      <w:r>
        <w:rPr>
          <w:rFonts w:hint="eastAsia"/>
          <w:b/>
          <w:sz w:val="21"/>
          <w:szCs w:val="21"/>
        </w:rPr>
        <w:t>业务活动支出情况预测表</w:t>
      </w:r>
    </w:p>
    <w:p w14:paraId="1A49CEDF">
      <w:pPr>
        <w:pStyle w:val="23"/>
        <w:keepNext/>
        <w:spacing w:before="0" w:beforeAutospacing="0" w:after="0" w:afterAutospacing="0" w:line="360" w:lineRule="exact"/>
        <w:ind w:firstLine="360" w:firstLineChars="200"/>
        <w:jc w:val="right"/>
        <w:rPr>
          <w:sz w:val="18"/>
          <w:szCs w:val="18"/>
        </w:rPr>
      </w:pPr>
      <w:r>
        <w:rPr>
          <w:rFonts w:hint="eastAsia"/>
          <w:sz w:val="18"/>
          <w:szCs w:val="18"/>
        </w:rPr>
        <w:t>单位：万元</w:t>
      </w:r>
    </w:p>
    <w:tbl>
      <w:tblPr>
        <w:tblStyle w:val="2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395"/>
        <w:gridCol w:w="1395"/>
        <w:gridCol w:w="1395"/>
        <w:gridCol w:w="1395"/>
        <w:gridCol w:w="1395"/>
        <w:gridCol w:w="1034"/>
      </w:tblGrid>
      <w:tr w14:paraId="3D74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vMerge w:val="restart"/>
            <w:noWrap/>
            <w:vAlign w:val="center"/>
          </w:tcPr>
          <w:p w14:paraId="1AF18ECF">
            <w:pPr>
              <w:widowControl/>
              <w:jc w:val="center"/>
              <w:rPr>
                <w:rFonts w:ascii="宋体" w:hAnsi="宋体" w:cs="宋体"/>
                <w:b/>
                <w:bCs/>
                <w:kern w:val="0"/>
                <w:sz w:val="18"/>
                <w:szCs w:val="18"/>
              </w:rPr>
            </w:pPr>
            <w:r>
              <w:rPr>
                <w:rFonts w:hint="eastAsia" w:ascii="宋体" w:hAnsi="宋体" w:cs="宋体"/>
                <w:b/>
                <w:bCs/>
                <w:kern w:val="0"/>
                <w:sz w:val="18"/>
                <w:szCs w:val="18"/>
              </w:rPr>
              <w:t>年份</w:t>
            </w:r>
          </w:p>
        </w:tc>
        <w:tc>
          <w:tcPr>
            <w:tcW w:w="4000" w:type="pct"/>
            <w:gridSpan w:val="5"/>
            <w:noWrap/>
            <w:vAlign w:val="center"/>
          </w:tcPr>
          <w:p w14:paraId="49E2FAE2">
            <w:pPr>
              <w:widowControl/>
              <w:jc w:val="center"/>
              <w:rPr>
                <w:rFonts w:hint="eastAsia" w:ascii="宋体" w:hAnsi="宋体" w:cs="宋体"/>
                <w:b/>
                <w:bCs/>
                <w:kern w:val="0"/>
                <w:sz w:val="18"/>
                <w:szCs w:val="18"/>
              </w:rPr>
            </w:pPr>
            <w:r>
              <w:rPr>
                <w:rFonts w:hint="eastAsia" w:ascii="宋体" w:hAnsi="宋体" w:cs="宋体"/>
                <w:b/>
                <w:bCs/>
                <w:kern w:val="0"/>
                <w:sz w:val="18"/>
                <w:szCs w:val="18"/>
              </w:rPr>
              <w:t>运营成本</w:t>
            </w:r>
          </w:p>
        </w:tc>
        <w:tc>
          <w:tcPr>
            <w:tcW w:w="593" w:type="pct"/>
            <w:vMerge w:val="restart"/>
            <w:noWrap/>
            <w:vAlign w:val="center"/>
          </w:tcPr>
          <w:p w14:paraId="6DFF80AA">
            <w:pPr>
              <w:widowControl/>
              <w:jc w:val="center"/>
              <w:rPr>
                <w:rFonts w:ascii="宋体" w:hAnsi="宋体" w:cs="宋体"/>
                <w:b/>
                <w:bCs/>
                <w:kern w:val="0"/>
                <w:sz w:val="18"/>
                <w:szCs w:val="18"/>
              </w:rPr>
            </w:pPr>
            <w:r>
              <w:rPr>
                <w:rFonts w:hint="eastAsia" w:ascii="宋体" w:hAnsi="宋体" w:cs="宋体"/>
                <w:b/>
                <w:bCs/>
                <w:kern w:val="0"/>
                <w:sz w:val="18"/>
                <w:szCs w:val="18"/>
              </w:rPr>
              <w:t>含税合计</w:t>
            </w:r>
          </w:p>
        </w:tc>
      </w:tr>
      <w:tr w14:paraId="14D2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vMerge w:val="continue"/>
            <w:noWrap w:val="0"/>
            <w:vAlign w:val="center"/>
          </w:tcPr>
          <w:p w14:paraId="51CE727F">
            <w:pPr>
              <w:widowControl/>
              <w:jc w:val="center"/>
              <w:rPr>
                <w:rFonts w:ascii="宋体" w:hAnsi="宋体" w:cs="宋体"/>
                <w:b/>
                <w:bCs/>
                <w:kern w:val="0"/>
                <w:sz w:val="18"/>
                <w:szCs w:val="18"/>
              </w:rPr>
            </w:pPr>
          </w:p>
        </w:tc>
        <w:tc>
          <w:tcPr>
            <w:tcW w:w="800" w:type="pct"/>
            <w:noWrap/>
            <w:vAlign w:val="center"/>
          </w:tcPr>
          <w:p w14:paraId="51C3FDA9">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lang w:val="en-US" w:eastAsia="zh-CN"/>
              </w:rPr>
              <w:t>税费</w:t>
            </w:r>
          </w:p>
        </w:tc>
        <w:tc>
          <w:tcPr>
            <w:tcW w:w="800" w:type="pct"/>
            <w:noWrap/>
            <w:vAlign w:val="center"/>
          </w:tcPr>
          <w:p w14:paraId="52056D1F">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lang w:val="en-US" w:eastAsia="zh-CN"/>
              </w:rPr>
              <w:t>工资及福利费</w:t>
            </w:r>
          </w:p>
        </w:tc>
        <w:tc>
          <w:tcPr>
            <w:tcW w:w="800" w:type="pct"/>
            <w:noWrap/>
            <w:vAlign w:val="center"/>
          </w:tcPr>
          <w:p w14:paraId="061E7927">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lang w:val="en-US" w:eastAsia="zh-CN"/>
              </w:rPr>
              <w:t>燃料动力费</w:t>
            </w:r>
          </w:p>
        </w:tc>
        <w:tc>
          <w:tcPr>
            <w:tcW w:w="800" w:type="pct"/>
            <w:noWrap/>
            <w:vAlign w:val="center"/>
          </w:tcPr>
          <w:p w14:paraId="698B2E75">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lang w:val="en-US" w:eastAsia="zh-CN"/>
              </w:rPr>
              <w:t>维修费</w:t>
            </w:r>
          </w:p>
        </w:tc>
        <w:tc>
          <w:tcPr>
            <w:tcW w:w="800" w:type="pct"/>
            <w:noWrap/>
            <w:vAlign w:val="center"/>
          </w:tcPr>
          <w:p w14:paraId="3B775D7B">
            <w:pPr>
              <w:widowControl/>
              <w:jc w:val="center"/>
              <w:rPr>
                <w:rFonts w:hint="eastAsia" w:ascii="宋体" w:hAnsi="宋体" w:eastAsia="宋体" w:cs="宋体"/>
                <w:b/>
                <w:bCs/>
                <w:kern w:val="0"/>
                <w:sz w:val="18"/>
                <w:szCs w:val="18"/>
              </w:rPr>
            </w:pPr>
            <w:r>
              <w:rPr>
                <w:rFonts w:hint="eastAsia" w:ascii="宋体" w:hAnsi="宋体" w:eastAsia="宋体" w:cs="宋体"/>
                <w:b/>
                <w:bCs/>
                <w:kern w:val="0"/>
                <w:sz w:val="18"/>
                <w:szCs w:val="18"/>
                <w:lang w:val="en-US" w:eastAsia="zh-CN"/>
              </w:rPr>
              <w:t>其他费用</w:t>
            </w:r>
          </w:p>
        </w:tc>
        <w:tc>
          <w:tcPr>
            <w:tcW w:w="593" w:type="pct"/>
            <w:vMerge w:val="continue"/>
            <w:noWrap w:val="0"/>
            <w:vAlign w:val="center"/>
          </w:tcPr>
          <w:p w14:paraId="539EBAE2">
            <w:pPr>
              <w:widowControl/>
              <w:jc w:val="center"/>
              <w:rPr>
                <w:rFonts w:ascii="宋体" w:hAnsi="宋体" w:cs="宋体"/>
                <w:b/>
                <w:bCs/>
                <w:kern w:val="0"/>
                <w:sz w:val="18"/>
                <w:szCs w:val="18"/>
              </w:rPr>
            </w:pPr>
          </w:p>
        </w:tc>
      </w:tr>
      <w:tr w14:paraId="58FFD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06" w:type="pct"/>
            <w:noWrap/>
            <w:vAlign w:val="center"/>
          </w:tcPr>
          <w:p w14:paraId="7BF3EF45">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2025</w:t>
            </w:r>
          </w:p>
        </w:tc>
        <w:tc>
          <w:tcPr>
            <w:tcW w:w="800" w:type="pct"/>
            <w:noWrap/>
            <w:vAlign w:val="center"/>
          </w:tcPr>
          <w:p w14:paraId="6A3036E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87.81 </w:t>
            </w:r>
          </w:p>
        </w:tc>
        <w:tc>
          <w:tcPr>
            <w:tcW w:w="800" w:type="pct"/>
            <w:noWrap/>
            <w:vAlign w:val="center"/>
          </w:tcPr>
          <w:p w14:paraId="7740A6A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198</w:t>
            </w:r>
          </w:p>
        </w:tc>
        <w:tc>
          <w:tcPr>
            <w:tcW w:w="800" w:type="pct"/>
            <w:noWrap/>
            <w:vAlign w:val="center"/>
          </w:tcPr>
          <w:p w14:paraId="06E4092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52.74 </w:t>
            </w:r>
          </w:p>
        </w:tc>
        <w:tc>
          <w:tcPr>
            <w:tcW w:w="800" w:type="pct"/>
            <w:noWrap/>
            <w:vAlign w:val="center"/>
          </w:tcPr>
          <w:p w14:paraId="597F4C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54.76 </w:t>
            </w:r>
          </w:p>
        </w:tc>
        <w:tc>
          <w:tcPr>
            <w:tcW w:w="800" w:type="pct"/>
            <w:noWrap/>
            <w:vAlign w:val="center"/>
          </w:tcPr>
          <w:p w14:paraId="162EA2C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52.74 </w:t>
            </w:r>
          </w:p>
        </w:tc>
        <w:tc>
          <w:tcPr>
            <w:tcW w:w="593" w:type="pct"/>
            <w:noWrap/>
            <w:vAlign w:val="center"/>
          </w:tcPr>
          <w:p w14:paraId="68C023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446.05 </w:t>
            </w:r>
          </w:p>
        </w:tc>
      </w:tr>
      <w:tr w14:paraId="226CD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06" w:type="pct"/>
            <w:noWrap/>
            <w:vAlign w:val="center"/>
          </w:tcPr>
          <w:p w14:paraId="36568889">
            <w:pPr>
              <w:widowControl/>
              <w:jc w:val="center"/>
              <w:rPr>
                <w:rFonts w:ascii="宋体" w:hAnsi="宋体" w:cs="宋体"/>
                <w:kern w:val="0"/>
                <w:sz w:val="18"/>
                <w:szCs w:val="18"/>
              </w:rPr>
            </w:pPr>
            <w:r>
              <w:rPr>
                <w:rFonts w:hint="eastAsia" w:ascii="宋体" w:hAnsi="宋体" w:cs="宋体"/>
                <w:kern w:val="0"/>
                <w:sz w:val="18"/>
                <w:szCs w:val="18"/>
              </w:rPr>
              <w:t>2026</w:t>
            </w:r>
          </w:p>
        </w:tc>
        <w:tc>
          <w:tcPr>
            <w:tcW w:w="800" w:type="pct"/>
            <w:noWrap/>
            <w:vAlign w:val="center"/>
          </w:tcPr>
          <w:p w14:paraId="25E108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91.95 </w:t>
            </w:r>
          </w:p>
        </w:tc>
        <w:tc>
          <w:tcPr>
            <w:tcW w:w="800" w:type="pct"/>
            <w:noWrap/>
            <w:vAlign w:val="center"/>
          </w:tcPr>
          <w:p w14:paraId="37E01D9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201.96</w:t>
            </w:r>
          </w:p>
        </w:tc>
        <w:tc>
          <w:tcPr>
            <w:tcW w:w="800" w:type="pct"/>
            <w:noWrap/>
            <w:vAlign w:val="center"/>
          </w:tcPr>
          <w:p w14:paraId="3D7529E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55.22 </w:t>
            </w:r>
          </w:p>
        </w:tc>
        <w:tc>
          <w:tcPr>
            <w:tcW w:w="800" w:type="pct"/>
            <w:noWrap/>
            <w:vAlign w:val="center"/>
          </w:tcPr>
          <w:p w14:paraId="0FC276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55.86 </w:t>
            </w:r>
          </w:p>
        </w:tc>
        <w:tc>
          <w:tcPr>
            <w:tcW w:w="800" w:type="pct"/>
            <w:noWrap/>
            <w:vAlign w:val="center"/>
          </w:tcPr>
          <w:p w14:paraId="1C35E12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55.22 </w:t>
            </w:r>
          </w:p>
        </w:tc>
        <w:tc>
          <w:tcPr>
            <w:tcW w:w="593" w:type="pct"/>
            <w:noWrap/>
            <w:vAlign w:val="center"/>
          </w:tcPr>
          <w:p w14:paraId="1B554BF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460.21 </w:t>
            </w:r>
          </w:p>
        </w:tc>
      </w:tr>
      <w:tr w14:paraId="35E59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noWrap/>
            <w:vAlign w:val="center"/>
          </w:tcPr>
          <w:p w14:paraId="388EB400">
            <w:pPr>
              <w:widowControl/>
              <w:jc w:val="center"/>
              <w:rPr>
                <w:rFonts w:ascii="宋体" w:hAnsi="宋体" w:cs="宋体"/>
                <w:kern w:val="0"/>
                <w:sz w:val="18"/>
                <w:szCs w:val="18"/>
              </w:rPr>
            </w:pPr>
            <w:r>
              <w:rPr>
                <w:rFonts w:hint="eastAsia" w:ascii="宋体" w:hAnsi="宋体" w:cs="宋体"/>
                <w:kern w:val="0"/>
                <w:sz w:val="18"/>
                <w:szCs w:val="18"/>
              </w:rPr>
              <w:t>2027</w:t>
            </w:r>
          </w:p>
        </w:tc>
        <w:tc>
          <w:tcPr>
            <w:tcW w:w="800" w:type="pct"/>
            <w:noWrap/>
            <w:vAlign w:val="center"/>
          </w:tcPr>
          <w:p w14:paraId="390F229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134.65 </w:t>
            </w:r>
          </w:p>
        </w:tc>
        <w:tc>
          <w:tcPr>
            <w:tcW w:w="800" w:type="pct"/>
            <w:noWrap/>
            <w:vAlign w:val="center"/>
          </w:tcPr>
          <w:p w14:paraId="4B60649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206</w:t>
            </w:r>
          </w:p>
        </w:tc>
        <w:tc>
          <w:tcPr>
            <w:tcW w:w="800" w:type="pct"/>
            <w:noWrap/>
            <w:vAlign w:val="center"/>
          </w:tcPr>
          <w:p w14:paraId="018DC42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80.87 </w:t>
            </w:r>
          </w:p>
        </w:tc>
        <w:tc>
          <w:tcPr>
            <w:tcW w:w="800" w:type="pct"/>
            <w:noWrap/>
            <w:vAlign w:val="center"/>
          </w:tcPr>
          <w:p w14:paraId="477EB0A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56.98 </w:t>
            </w:r>
          </w:p>
        </w:tc>
        <w:tc>
          <w:tcPr>
            <w:tcW w:w="800" w:type="pct"/>
            <w:noWrap/>
            <w:vAlign w:val="center"/>
          </w:tcPr>
          <w:p w14:paraId="454AD3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80.87 </w:t>
            </w:r>
          </w:p>
        </w:tc>
        <w:tc>
          <w:tcPr>
            <w:tcW w:w="593" w:type="pct"/>
            <w:noWrap/>
            <w:vAlign w:val="center"/>
          </w:tcPr>
          <w:p w14:paraId="0931201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559.37 </w:t>
            </w:r>
          </w:p>
        </w:tc>
      </w:tr>
      <w:tr w14:paraId="4FDA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noWrap/>
            <w:vAlign w:val="center"/>
          </w:tcPr>
          <w:p w14:paraId="19B74AE9">
            <w:pPr>
              <w:widowControl/>
              <w:jc w:val="center"/>
              <w:rPr>
                <w:rFonts w:ascii="宋体" w:hAnsi="宋体" w:cs="宋体"/>
                <w:kern w:val="0"/>
                <w:sz w:val="18"/>
                <w:szCs w:val="18"/>
              </w:rPr>
            </w:pPr>
            <w:r>
              <w:rPr>
                <w:rFonts w:hint="eastAsia" w:ascii="宋体" w:hAnsi="宋体" w:cs="宋体"/>
                <w:kern w:val="0"/>
                <w:sz w:val="18"/>
                <w:szCs w:val="18"/>
              </w:rPr>
              <w:t>2028</w:t>
            </w:r>
          </w:p>
        </w:tc>
        <w:tc>
          <w:tcPr>
            <w:tcW w:w="800" w:type="pct"/>
            <w:noWrap/>
            <w:vAlign w:val="center"/>
          </w:tcPr>
          <w:p w14:paraId="724AD7C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134.89 </w:t>
            </w:r>
          </w:p>
        </w:tc>
        <w:tc>
          <w:tcPr>
            <w:tcW w:w="800" w:type="pct"/>
            <w:noWrap/>
            <w:vAlign w:val="center"/>
          </w:tcPr>
          <w:p w14:paraId="2F80EE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210.12</w:t>
            </w:r>
          </w:p>
        </w:tc>
        <w:tc>
          <w:tcPr>
            <w:tcW w:w="800" w:type="pct"/>
            <w:noWrap/>
            <w:vAlign w:val="center"/>
          </w:tcPr>
          <w:p w14:paraId="3C974D9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81.01 </w:t>
            </w:r>
          </w:p>
        </w:tc>
        <w:tc>
          <w:tcPr>
            <w:tcW w:w="800" w:type="pct"/>
            <w:noWrap/>
            <w:vAlign w:val="center"/>
          </w:tcPr>
          <w:p w14:paraId="3B35F1A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58.12 </w:t>
            </w:r>
          </w:p>
        </w:tc>
        <w:tc>
          <w:tcPr>
            <w:tcW w:w="800" w:type="pct"/>
            <w:noWrap/>
            <w:vAlign w:val="center"/>
          </w:tcPr>
          <w:p w14:paraId="7C8410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81.01 </w:t>
            </w:r>
          </w:p>
        </w:tc>
        <w:tc>
          <w:tcPr>
            <w:tcW w:w="593" w:type="pct"/>
            <w:noWrap/>
            <w:vAlign w:val="center"/>
          </w:tcPr>
          <w:p w14:paraId="4DC9C63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565.15 </w:t>
            </w:r>
          </w:p>
        </w:tc>
      </w:tr>
      <w:tr w14:paraId="0F6EC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406" w:type="pct"/>
            <w:noWrap/>
            <w:vAlign w:val="center"/>
          </w:tcPr>
          <w:p w14:paraId="6C1C6FD6">
            <w:pPr>
              <w:widowControl/>
              <w:jc w:val="center"/>
              <w:rPr>
                <w:rFonts w:ascii="宋体" w:hAnsi="宋体" w:cs="宋体"/>
                <w:kern w:val="0"/>
                <w:sz w:val="18"/>
                <w:szCs w:val="18"/>
              </w:rPr>
            </w:pPr>
            <w:r>
              <w:rPr>
                <w:rFonts w:hint="eastAsia" w:ascii="宋体" w:hAnsi="宋体" w:cs="宋体"/>
                <w:kern w:val="0"/>
                <w:sz w:val="18"/>
                <w:szCs w:val="18"/>
              </w:rPr>
              <w:t>2029</w:t>
            </w:r>
          </w:p>
        </w:tc>
        <w:tc>
          <w:tcPr>
            <w:tcW w:w="800" w:type="pct"/>
            <w:noWrap/>
            <w:vAlign w:val="center"/>
          </w:tcPr>
          <w:p w14:paraId="6AE6564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173.45 </w:t>
            </w:r>
          </w:p>
        </w:tc>
        <w:tc>
          <w:tcPr>
            <w:tcW w:w="800" w:type="pct"/>
            <w:noWrap/>
            <w:vAlign w:val="center"/>
          </w:tcPr>
          <w:p w14:paraId="053976C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214.32</w:t>
            </w:r>
          </w:p>
        </w:tc>
        <w:tc>
          <w:tcPr>
            <w:tcW w:w="800" w:type="pct"/>
            <w:noWrap/>
            <w:vAlign w:val="center"/>
          </w:tcPr>
          <w:p w14:paraId="42A9796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104.17 </w:t>
            </w:r>
          </w:p>
        </w:tc>
        <w:tc>
          <w:tcPr>
            <w:tcW w:w="800" w:type="pct"/>
            <w:noWrap/>
            <w:vAlign w:val="center"/>
          </w:tcPr>
          <w:p w14:paraId="4ED8D3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59.28 </w:t>
            </w:r>
          </w:p>
        </w:tc>
        <w:tc>
          <w:tcPr>
            <w:tcW w:w="800" w:type="pct"/>
            <w:noWrap/>
            <w:vAlign w:val="center"/>
          </w:tcPr>
          <w:p w14:paraId="3B49803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104.17 </w:t>
            </w:r>
          </w:p>
        </w:tc>
        <w:tc>
          <w:tcPr>
            <w:tcW w:w="593" w:type="pct"/>
            <w:noWrap/>
            <w:vAlign w:val="center"/>
          </w:tcPr>
          <w:p w14:paraId="2D0E76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655.39 </w:t>
            </w:r>
          </w:p>
        </w:tc>
      </w:tr>
      <w:tr w14:paraId="19C7B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noWrap/>
            <w:vAlign w:val="center"/>
          </w:tcPr>
          <w:p w14:paraId="5FBCF669">
            <w:pPr>
              <w:widowControl/>
              <w:jc w:val="center"/>
              <w:rPr>
                <w:rFonts w:ascii="宋体" w:hAnsi="宋体" w:cs="宋体"/>
                <w:kern w:val="0"/>
                <w:sz w:val="18"/>
                <w:szCs w:val="18"/>
              </w:rPr>
            </w:pPr>
            <w:r>
              <w:rPr>
                <w:rFonts w:hint="eastAsia" w:ascii="宋体" w:hAnsi="宋体" w:cs="宋体"/>
                <w:kern w:val="0"/>
                <w:sz w:val="18"/>
                <w:szCs w:val="18"/>
              </w:rPr>
              <w:t>2030</w:t>
            </w:r>
          </w:p>
        </w:tc>
        <w:tc>
          <w:tcPr>
            <w:tcW w:w="800" w:type="pct"/>
            <w:noWrap/>
            <w:vAlign w:val="center"/>
          </w:tcPr>
          <w:p w14:paraId="372EE82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179.84 </w:t>
            </w:r>
          </w:p>
        </w:tc>
        <w:tc>
          <w:tcPr>
            <w:tcW w:w="800" w:type="pct"/>
            <w:noWrap/>
            <w:vAlign w:val="center"/>
          </w:tcPr>
          <w:p w14:paraId="55DDB05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218.61</w:t>
            </w:r>
          </w:p>
        </w:tc>
        <w:tc>
          <w:tcPr>
            <w:tcW w:w="800" w:type="pct"/>
            <w:noWrap/>
            <w:vAlign w:val="center"/>
          </w:tcPr>
          <w:p w14:paraId="01A7AEE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108.01 </w:t>
            </w:r>
          </w:p>
        </w:tc>
        <w:tc>
          <w:tcPr>
            <w:tcW w:w="800" w:type="pct"/>
            <w:noWrap/>
            <w:vAlign w:val="center"/>
          </w:tcPr>
          <w:p w14:paraId="21D8FF1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60.47 </w:t>
            </w:r>
          </w:p>
        </w:tc>
        <w:tc>
          <w:tcPr>
            <w:tcW w:w="800" w:type="pct"/>
            <w:noWrap/>
            <w:vAlign w:val="center"/>
          </w:tcPr>
          <w:p w14:paraId="745E6A1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108.01 </w:t>
            </w:r>
          </w:p>
        </w:tc>
        <w:tc>
          <w:tcPr>
            <w:tcW w:w="593" w:type="pct"/>
            <w:noWrap/>
            <w:vAlign w:val="center"/>
          </w:tcPr>
          <w:p w14:paraId="457D06A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674.94 </w:t>
            </w:r>
          </w:p>
        </w:tc>
      </w:tr>
      <w:tr w14:paraId="7585C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noWrap/>
            <w:vAlign w:val="center"/>
          </w:tcPr>
          <w:p w14:paraId="470C1A13">
            <w:pPr>
              <w:widowControl/>
              <w:jc w:val="center"/>
              <w:rPr>
                <w:rFonts w:ascii="宋体" w:hAnsi="宋体" w:cs="宋体"/>
                <w:kern w:val="0"/>
                <w:sz w:val="18"/>
                <w:szCs w:val="18"/>
              </w:rPr>
            </w:pPr>
            <w:r>
              <w:rPr>
                <w:rFonts w:hint="eastAsia" w:ascii="宋体" w:hAnsi="宋体" w:cs="宋体"/>
                <w:kern w:val="0"/>
                <w:sz w:val="18"/>
                <w:szCs w:val="18"/>
              </w:rPr>
              <w:t>2031</w:t>
            </w:r>
          </w:p>
        </w:tc>
        <w:tc>
          <w:tcPr>
            <w:tcW w:w="800" w:type="pct"/>
            <w:noWrap/>
            <w:vAlign w:val="center"/>
          </w:tcPr>
          <w:p w14:paraId="5C3635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180.08 </w:t>
            </w:r>
          </w:p>
        </w:tc>
        <w:tc>
          <w:tcPr>
            <w:tcW w:w="800" w:type="pct"/>
            <w:noWrap/>
            <w:vAlign w:val="center"/>
          </w:tcPr>
          <w:p w14:paraId="02A35AB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222.98</w:t>
            </w:r>
          </w:p>
        </w:tc>
        <w:tc>
          <w:tcPr>
            <w:tcW w:w="800" w:type="pct"/>
            <w:noWrap/>
            <w:vAlign w:val="center"/>
          </w:tcPr>
          <w:p w14:paraId="160FC23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108.16 </w:t>
            </w:r>
          </w:p>
        </w:tc>
        <w:tc>
          <w:tcPr>
            <w:tcW w:w="800" w:type="pct"/>
            <w:noWrap/>
            <w:vAlign w:val="center"/>
          </w:tcPr>
          <w:p w14:paraId="367033D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61.68 </w:t>
            </w:r>
          </w:p>
        </w:tc>
        <w:tc>
          <w:tcPr>
            <w:tcW w:w="800" w:type="pct"/>
            <w:noWrap/>
            <w:vAlign w:val="center"/>
          </w:tcPr>
          <w:p w14:paraId="68390F6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108.16 </w:t>
            </w:r>
          </w:p>
        </w:tc>
        <w:tc>
          <w:tcPr>
            <w:tcW w:w="593" w:type="pct"/>
            <w:noWrap/>
            <w:vAlign w:val="center"/>
          </w:tcPr>
          <w:p w14:paraId="6437845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681.06 </w:t>
            </w:r>
          </w:p>
        </w:tc>
      </w:tr>
      <w:tr w14:paraId="2E72C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406" w:type="pct"/>
            <w:noWrap/>
            <w:vAlign w:val="center"/>
          </w:tcPr>
          <w:p w14:paraId="660B33AB">
            <w:pPr>
              <w:widowControl/>
              <w:jc w:val="center"/>
              <w:rPr>
                <w:rFonts w:ascii="宋体" w:hAnsi="宋体" w:cs="宋体"/>
                <w:kern w:val="0"/>
                <w:sz w:val="18"/>
                <w:szCs w:val="18"/>
              </w:rPr>
            </w:pPr>
            <w:r>
              <w:rPr>
                <w:rFonts w:hint="eastAsia" w:ascii="宋体" w:hAnsi="宋体" w:cs="宋体"/>
                <w:kern w:val="0"/>
                <w:sz w:val="18"/>
                <w:szCs w:val="18"/>
              </w:rPr>
              <w:t>2032</w:t>
            </w:r>
          </w:p>
        </w:tc>
        <w:tc>
          <w:tcPr>
            <w:tcW w:w="800" w:type="pct"/>
            <w:noWrap/>
            <w:vAlign w:val="center"/>
          </w:tcPr>
          <w:p w14:paraId="306369A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180.08 </w:t>
            </w:r>
          </w:p>
        </w:tc>
        <w:tc>
          <w:tcPr>
            <w:tcW w:w="800" w:type="pct"/>
            <w:noWrap/>
            <w:vAlign w:val="center"/>
          </w:tcPr>
          <w:p w14:paraId="373DD24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227.44</w:t>
            </w:r>
          </w:p>
        </w:tc>
        <w:tc>
          <w:tcPr>
            <w:tcW w:w="800" w:type="pct"/>
            <w:noWrap/>
            <w:vAlign w:val="center"/>
          </w:tcPr>
          <w:p w14:paraId="609E704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108.16 </w:t>
            </w:r>
          </w:p>
        </w:tc>
        <w:tc>
          <w:tcPr>
            <w:tcW w:w="800" w:type="pct"/>
            <w:noWrap/>
            <w:vAlign w:val="center"/>
          </w:tcPr>
          <w:p w14:paraId="73E7C08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62.91 </w:t>
            </w:r>
          </w:p>
        </w:tc>
        <w:tc>
          <w:tcPr>
            <w:tcW w:w="800" w:type="pct"/>
            <w:noWrap/>
            <w:vAlign w:val="center"/>
          </w:tcPr>
          <w:p w14:paraId="75F6B46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108.16 </w:t>
            </w:r>
          </w:p>
        </w:tc>
        <w:tc>
          <w:tcPr>
            <w:tcW w:w="593" w:type="pct"/>
            <w:noWrap/>
            <w:vAlign w:val="center"/>
          </w:tcPr>
          <w:p w14:paraId="33FE10D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686.75 </w:t>
            </w:r>
          </w:p>
        </w:tc>
      </w:tr>
      <w:tr w14:paraId="38B77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06" w:type="pct"/>
            <w:noWrap/>
            <w:vAlign w:val="center"/>
          </w:tcPr>
          <w:p w14:paraId="57601E44">
            <w:pPr>
              <w:widowControl/>
              <w:jc w:val="center"/>
              <w:rPr>
                <w:rFonts w:ascii="宋体" w:hAnsi="宋体" w:cs="宋体"/>
                <w:kern w:val="0"/>
                <w:sz w:val="18"/>
                <w:szCs w:val="18"/>
              </w:rPr>
            </w:pPr>
            <w:r>
              <w:rPr>
                <w:rFonts w:hint="eastAsia" w:ascii="宋体" w:hAnsi="宋体" w:cs="宋体"/>
                <w:kern w:val="0"/>
                <w:sz w:val="18"/>
                <w:szCs w:val="18"/>
              </w:rPr>
              <w:t>2033</w:t>
            </w:r>
          </w:p>
        </w:tc>
        <w:tc>
          <w:tcPr>
            <w:tcW w:w="800" w:type="pct"/>
            <w:noWrap/>
            <w:vAlign w:val="center"/>
          </w:tcPr>
          <w:p w14:paraId="6446544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180.08 </w:t>
            </w:r>
          </w:p>
        </w:tc>
        <w:tc>
          <w:tcPr>
            <w:tcW w:w="800" w:type="pct"/>
            <w:noWrap/>
            <w:vAlign w:val="center"/>
          </w:tcPr>
          <w:p w14:paraId="723B080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231.99</w:t>
            </w:r>
          </w:p>
        </w:tc>
        <w:tc>
          <w:tcPr>
            <w:tcW w:w="800" w:type="pct"/>
            <w:noWrap/>
            <w:vAlign w:val="center"/>
          </w:tcPr>
          <w:p w14:paraId="7711D83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108.16 </w:t>
            </w:r>
          </w:p>
        </w:tc>
        <w:tc>
          <w:tcPr>
            <w:tcW w:w="800" w:type="pct"/>
            <w:noWrap/>
            <w:vAlign w:val="center"/>
          </w:tcPr>
          <w:p w14:paraId="36D3C4E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64.17 </w:t>
            </w:r>
          </w:p>
        </w:tc>
        <w:tc>
          <w:tcPr>
            <w:tcW w:w="800" w:type="pct"/>
            <w:noWrap/>
            <w:vAlign w:val="center"/>
          </w:tcPr>
          <w:p w14:paraId="7587579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108.16 </w:t>
            </w:r>
          </w:p>
        </w:tc>
        <w:tc>
          <w:tcPr>
            <w:tcW w:w="593" w:type="pct"/>
            <w:noWrap/>
            <w:vAlign w:val="center"/>
          </w:tcPr>
          <w:p w14:paraId="7CF7300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692.56 </w:t>
            </w:r>
          </w:p>
        </w:tc>
      </w:tr>
      <w:tr w14:paraId="0B48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noWrap/>
            <w:vAlign w:val="center"/>
          </w:tcPr>
          <w:p w14:paraId="463740EF">
            <w:pPr>
              <w:widowControl/>
              <w:jc w:val="center"/>
              <w:rPr>
                <w:rFonts w:ascii="宋体" w:hAnsi="宋体" w:cs="宋体"/>
                <w:kern w:val="0"/>
                <w:sz w:val="18"/>
                <w:szCs w:val="18"/>
              </w:rPr>
            </w:pPr>
            <w:r>
              <w:rPr>
                <w:rFonts w:hint="eastAsia" w:ascii="宋体" w:hAnsi="宋体" w:cs="宋体"/>
                <w:kern w:val="0"/>
                <w:sz w:val="18"/>
                <w:szCs w:val="18"/>
              </w:rPr>
              <w:t>2034</w:t>
            </w:r>
          </w:p>
        </w:tc>
        <w:tc>
          <w:tcPr>
            <w:tcW w:w="800" w:type="pct"/>
            <w:noWrap/>
            <w:vAlign w:val="center"/>
          </w:tcPr>
          <w:p w14:paraId="77337AA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180.32 </w:t>
            </w:r>
          </w:p>
        </w:tc>
        <w:tc>
          <w:tcPr>
            <w:tcW w:w="800" w:type="pct"/>
            <w:noWrap/>
            <w:vAlign w:val="center"/>
          </w:tcPr>
          <w:p w14:paraId="149C07D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236.63</w:t>
            </w:r>
          </w:p>
        </w:tc>
        <w:tc>
          <w:tcPr>
            <w:tcW w:w="800" w:type="pct"/>
            <w:noWrap/>
            <w:vAlign w:val="center"/>
          </w:tcPr>
          <w:p w14:paraId="34E4DFF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108.30 </w:t>
            </w:r>
          </w:p>
        </w:tc>
        <w:tc>
          <w:tcPr>
            <w:tcW w:w="800" w:type="pct"/>
            <w:noWrap/>
            <w:vAlign w:val="center"/>
          </w:tcPr>
          <w:p w14:paraId="28E87A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65.45 </w:t>
            </w:r>
          </w:p>
        </w:tc>
        <w:tc>
          <w:tcPr>
            <w:tcW w:w="800" w:type="pct"/>
            <w:noWrap/>
            <w:vAlign w:val="center"/>
          </w:tcPr>
          <w:p w14:paraId="0989EF6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108.30 </w:t>
            </w:r>
          </w:p>
        </w:tc>
        <w:tc>
          <w:tcPr>
            <w:tcW w:w="593" w:type="pct"/>
            <w:noWrap/>
            <w:vAlign w:val="center"/>
          </w:tcPr>
          <w:p w14:paraId="44BB61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699.00 </w:t>
            </w:r>
          </w:p>
        </w:tc>
      </w:tr>
      <w:tr w14:paraId="61AD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noWrap/>
            <w:vAlign w:val="center"/>
          </w:tcPr>
          <w:p w14:paraId="4EA084F0">
            <w:pPr>
              <w:widowControl/>
              <w:jc w:val="center"/>
              <w:rPr>
                <w:rFonts w:ascii="宋体" w:hAnsi="宋体" w:cs="宋体"/>
                <w:kern w:val="0"/>
                <w:sz w:val="18"/>
                <w:szCs w:val="18"/>
              </w:rPr>
            </w:pPr>
            <w:r>
              <w:rPr>
                <w:rFonts w:hint="eastAsia" w:ascii="宋体" w:hAnsi="宋体" w:cs="宋体"/>
                <w:kern w:val="0"/>
                <w:sz w:val="18"/>
                <w:szCs w:val="18"/>
              </w:rPr>
              <w:t>2035</w:t>
            </w:r>
          </w:p>
        </w:tc>
        <w:tc>
          <w:tcPr>
            <w:tcW w:w="800" w:type="pct"/>
            <w:noWrap/>
            <w:vAlign w:val="center"/>
          </w:tcPr>
          <w:p w14:paraId="291EFBD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187.04 </w:t>
            </w:r>
          </w:p>
        </w:tc>
        <w:tc>
          <w:tcPr>
            <w:tcW w:w="800" w:type="pct"/>
            <w:noWrap/>
            <w:vAlign w:val="center"/>
          </w:tcPr>
          <w:p w14:paraId="075B2F8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241.36</w:t>
            </w:r>
          </w:p>
        </w:tc>
        <w:tc>
          <w:tcPr>
            <w:tcW w:w="800" w:type="pct"/>
            <w:noWrap/>
            <w:vAlign w:val="center"/>
          </w:tcPr>
          <w:p w14:paraId="22904F1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112.33 </w:t>
            </w:r>
          </w:p>
        </w:tc>
        <w:tc>
          <w:tcPr>
            <w:tcW w:w="800" w:type="pct"/>
            <w:noWrap/>
            <w:vAlign w:val="center"/>
          </w:tcPr>
          <w:p w14:paraId="7B4E77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66.76 </w:t>
            </w:r>
          </w:p>
        </w:tc>
        <w:tc>
          <w:tcPr>
            <w:tcW w:w="800" w:type="pct"/>
            <w:noWrap/>
            <w:vAlign w:val="center"/>
          </w:tcPr>
          <w:p w14:paraId="3EDD20E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112.33 </w:t>
            </w:r>
          </w:p>
        </w:tc>
        <w:tc>
          <w:tcPr>
            <w:tcW w:w="593" w:type="pct"/>
            <w:noWrap/>
            <w:vAlign w:val="center"/>
          </w:tcPr>
          <w:p w14:paraId="064045A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719.82 </w:t>
            </w:r>
          </w:p>
        </w:tc>
      </w:tr>
      <w:tr w14:paraId="68ED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noWrap/>
            <w:vAlign w:val="center"/>
          </w:tcPr>
          <w:p w14:paraId="28A09494">
            <w:pPr>
              <w:widowControl/>
              <w:jc w:val="center"/>
              <w:rPr>
                <w:rFonts w:ascii="宋体" w:hAnsi="宋体" w:cs="宋体"/>
                <w:kern w:val="0"/>
                <w:sz w:val="18"/>
                <w:szCs w:val="18"/>
              </w:rPr>
            </w:pPr>
            <w:r>
              <w:rPr>
                <w:rFonts w:hint="eastAsia" w:ascii="宋体" w:hAnsi="宋体" w:cs="宋体"/>
                <w:kern w:val="0"/>
                <w:sz w:val="18"/>
                <w:szCs w:val="18"/>
              </w:rPr>
              <w:t>2036</w:t>
            </w:r>
          </w:p>
        </w:tc>
        <w:tc>
          <w:tcPr>
            <w:tcW w:w="800" w:type="pct"/>
            <w:noWrap/>
            <w:vAlign w:val="center"/>
          </w:tcPr>
          <w:p w14:paraId="6271055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187.04 </w:t>
            </w:r>
          </w:p>
        </w:tc>
        <w:tc>
          <w:tcPr>
            <w:tcW w:w="800" w:type="pct"/>
            <w:noWrap/>
            <w:vAlign w:val="center"/>
          </w:tcPr>
          <w:p w14:paraId="6B09E06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246.19</w:t>
            </w:r>
          </w:p>
        </w:tc>
        <w:tc>
          <w:tcPr>
            <w:tcW w:w="800" w:type="pct"/>
            <w:noWrap/>
            <w:vAlign w:val="center"/>
          </w:tcPr>
          <w:p w14:paraId="6A2E172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112.33 </w:t>
            </w:r>
          </w:p>
        </w:tc>
        <w:tc>
          <w:tcPr>
            <w:tcW w:w="800" w:type="pct"/>
            <w:noWrap/>
            <w:vAlign w:val="center"/>
          </w:tcPr>
          <w:p w14:paraId="01DDC7B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68.10 </w:t>
            </w:r>
          </w:p>
        </w:tc>
        <w:tc>
          <w:tcPr>
            <w:tcW w:w="800" w:type="pct"/>
            <w:noWrap/>
            <w:vAlign w:val="center"/>
          </w:tcPr>
          <w:p w14:paraId="0DE454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112.33 </w:t>
            </w:r>
          </w:p>
        </w:tc>
        <w:tc>
          <w:tcPr>
            <w:tcW w:w="593" w:type="pct"/>
            <w:noWrap/>
            <w:vAlign w:val="center"/>
          </w:tcPr>
          <w:p w14:paraId="318E689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725.99 </w:t>
            </w:r>
          </w:p>
        </w:tc>
      </w:tr>
      <w:tr w14:paraId="1E92D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noWrap/>
            <w:vAlign w:val="center"/>
          </w:tcPr>
          <w:p w14:paraId="651E8D3C">
            <w:pPr>
              <w:widowControl/>
              <w:jc w:val="center"/>
              <w:rPr>
                <w:rFonts w:ascii="宋体" w:hAnsi="宋体" w:cs="宋体"/>
                <w:kern w:val="0"/>
                <w:sz w:val="18"/>
                <w:szCs w:val="18"/>
              </w:rPr>
            </w:pPr>
            <w:r>
              <w:rPr>
                <w:rFonts w:hint="eastAsia" w:ascii="宋体" w:hAnsi="宋体" w:cs="宋体"/>
                <w:kern w:val="0"/>
                <w:sz w:val="18"/>
                <w:szCs w:val="18"/>
              </w:rPr>
              <w:t>2037</w:t>
            </w:r>
          </w:p>
        </w:tc>
        <w:tc>
          <w:tcPr>
            <w:tcW w:w="800" w:type="pct"/>
            <w:noWrap/>
            <w:vAlign w:val="center"/>
          </w:tcPr>
          <w:p w14:paraId="2635C18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187.28 </w:t>
            </w:r>
          </w:p>
        </w:tc>
        <w:tc>
          <w:tcPr>
            <w:tcW w:w="800" w:type="pct"/>
            <w:noWrap/>
            <w:vAlign w:val="center"/>
          </w:tcPr>
          <w:p w14:paraId="155781E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251.11</w:t>
            </w:r>
          </w:p>
        </w:tc>
        <w:tc>
          <w:tcPr>
            <w:tcW w:w="800" w:type="pct"/>
            <w:noWrap/>
            <w:vAlign w:val="center"/>
          </w:tcPr>
          <w:p w14:paraId="2284815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112.48 </w:t>
            </w:r>
          </w:p>
        </w:tc>
        <w:tc>
          <w:tcPr>
            <w:tcW w:w="800" w:type="pct"/>
            <w:noWrap/>
            <w:vAlign w:val="center"/>
          </w:tcPr>
          <w:p w14:paraId="57C7AE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69.46 </w:t>
            </w:r>
          </w:p>
        </w:tc>
        <w:tc>
          <w:tcPr>
            <w:tcW w:w="800" w:type="pct"/>
            <w:noWrap/>
            <w:vAlign w:val="center"/>
          </w:tcPr>
          <w:p w14:paraId="1BDDA1F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112.48 </w:t>
            </w:r>
          </w:p>
        </w:tc>
        <w:tc>
          <w:tcPr>
            <w:tcW w:w="593" w:type="pct"/>
            <w:noWrap/>
            <w:vAlign w:val="center"/>
          </w:tcPr>
          <w:p w14:paraId="163EE76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732.81 </w:t>
            </w:r>
          </w:p>
        </w:tc>
      </w:tr>
      <w:tr w14:paraId="3F3A6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noWrap/>
            <w:vAlign w:val="center"/>
          </w:tcPr>
          <w:p w14:paraId="6B0D26E3">
            <w:pPr>
              <w:widowControl/>
              <w:jc w:val="center"/>
              <w:rPr>
                <w:rFonts w:ascii="宋体" w:hAnsi="宋体" w:cs="宋体"/>
                <w:kern w:val="0"/>
                <w:sz w:val="18"/>
                <w:szCs w:val="18"/>
              </w:rPr>
            </w:pPr>
            <w:r>
              <w:rPr>
                <w:rFonts w:hint="eastAsia" w:ascii="宋体" w:hAnsi="宋体" w:cs="宋体"/>
                <w:kern w:val="0"/>
                <w:sz w:val="18"/>
                <w:szCs w:val="18"/>
              </w:rPr>
              <w:t>2038</w:t>
            </w:r>
          </w:p>
        </w:tc>
        <w:tc>
          <w:tcPr>
            <w:tcW w:w="800" w:type="pct"/>
            <w:noWrap/>
            <w:vAlign w:val="center"/>
          </w:tcPr>
          <w:p w14:paraId="250049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US" w:eastAsia="zh-CN" w:bidi="ar"/>
              </w:rPr>
              <w:t xml:space="preserve"> 187.28 </w:t>
            </w:r>
          </w:p>
        </w:tc>
        <w:tc>
          <w:tcPr>
            <w:tcW w:w="800" w:type="pct"/>
            <w:noWrap/>
            <w:vAlign w:val="center"/>
          </w:tcPr>
          <w:p w14:paraId="5BEAE75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256.13</w:t>
            </w:r>
          </w:p>
        </w:tc>
        <w:tc>
          <w:tcPr>
            <w:tcW w:w="800" w:type="pct"/>
            <w:noWrap/>
            <w:vAlign w:val="center"/>
          </w:tcPr>
          <w:p w14:paraId="5C96D0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112.48 </w:t>
            </w:r>
          </w:p>
        </w:tc>
        <w:tc>
          <w:tcPr>
            <w:tcW w:w="800" w:type="pct"/>
            <w:noWrap/>
            <w:vAlign w:val="center"/>
          </w:tcPr>
          <w:p w14:paraId="3E4936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70.85 </w:t>
            </w:r>
          </w:p>
        </w:tc>
        <w:tc>
          <w:tcPr>
            <w:tcW w:w="800" w:type="pct"/>
            <w:noWrap/>
            <w:vAlign w:val="center"/>
          </w:tcPr>
          <w:p w14:paraId="728AAE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112.48 </w:t>
            </w:r>
          </w:p>
        </w:tc>
        <w:tc>
          <w:tcPr>
            <w:tcW w:w="593" w:type="pct"/>
            <w:noWrap/>
            <w:vAlign w:val="center"/>
          </w:tcPr>
          <w:p w14:paraId="7B4312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739.22 </w:t>
            </w:r>
          </w:p>
        </w:tc>
      </w:tr>
      <w:tr w14:paraId="3945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06" w:type="pct"/>
            <w:noWrap/>
            <w:vAlign w:val="center"/>
          </w:tcPr>
          <w:p w14:paraId="0A887DFB">
            <w:pPr>
              <w:widowControl/>
              <w:jc w:val="center"/>
              <w:rPr>
                <w:rFonts w:ascii="宋体" w:hAnsi="宋体" w:cs="宋体"/>
                <w:b/>
                <w:bCs/>
                <w:kern w:val="0"/>
                <w:sz w:val="18"/>
                <w:szCs w:val="18"/>
              </w:rPr>
            </w:pPr>
            <w:r>
              <w:rPr>
                <w:rFonts w:hint="eastAsia" w:ascii="宋体" w:hAnsi="宋体" w:cs="宋体"/>
                <w:b/>
                <w:bCs/>
                <w:kern w:val="0"/>
                <w:sz w:val="18"/>
                <w:szCs w:val="18"/>
              </w:rPr>
              <w:t>合计</w:t>
            </w:r>
          </w:p>
        </w:tc>
        <w:tc>
          <w:tcPr>
            <w:tcW w:w="800" w:type="pct"/>
            <w:noWrap/>
            <w:vAlign w:val="center"/>
          </w:tcPr>
          <w:p w14:paraId="35CACEA7">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2,271.79 </w:t>
            </w:r>
          </w:p>
        </w:tc>
        <w:tc>
          <w:tcPr>
            <w:tcW w:w="800" w:type="pct"/>
            <w:noWrap/>
            <w:vAlign w:val="center"/>
          </w:tcPr>
          <w:p w14:paraId="00396F1D">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3,162.84 </w:t>
            </w:r>
          </w:p>
        </w:tc>
        <w:tc>
          <w:tcPr>
            <w:tcW w:w="800" w:type="pct"/>
            <w:noWrap/>
            <w:vAlign w:val="center"/>
          </w:tcPr>
          <w:p w14:paraId="31F85151">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1,364.42 </w:t>
            </w:r>
          </w:p>
        </w:tc>
        <w:tc>
          <w:tcPr>
            <w:tcW w:w="800" w:type="pct"/>
            <w:noWrap/>
            <w:vAlign w:val="center"/>
          </w:tcPr>
          <w:p w14:paraId="396C509D">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874.85 </w:t>
            </w:r>
          </w:p>
        </w:tc>
        <w:tc>
          <w:tcPr>
            <w:tcW w:w="800" w:type="pct"/>
            <w:noWrap/>
            <w:vAlign w:val="center"/>
          </w:tcPr>
          <w:p w14:paraId="40380118">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1,364.42 </w:t>
            </w:r>
          </w:p>
        </w:tc>
        <w:tc>
          <w:tcPr>
            <w:tcW w:w="593" w:type="pct"/>
            <w:noWrap/>
            <w:vAlign w:val="center"/>
          </w:tcPr>
          <w:p w14:paraId="47EBE236">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 xml:space="preserve"> 9,038.32 </w:t>
            </w:r>
          </w:p>
        </w:tc>
      </w:tr>
    </w:tbl>
    <w:p w14:paraId="1FE3C30E">
      <w:pPr>
        <w:pStyle w:val="23"/>
        <w:spacing w:before="0" w:beforeAutospacing="0" w:after="156" w:afterLines="50" w:afterAutospacing="0" w:line="360" w:lineRule="exact"/>
        <w:ind w:firstLine="360" w:firstLineChars="200"/>
        <w:jc w:val="both"/>
        <w:rPr>
          <w:sz w:val="18"/>
          <w:szCs w:val="18"/>
        </w:rPr>
      </w:pPr>
      <w:r>
        <w:rPr>
          <w:rFonts w:hint="eastAsia"/>
          <w:sz w:val="18"/>
          <w:szCs w:val="18"/>
        </w:rPr>
        <w:t>注：支出情况预测表主要体现的是需要支付现金的成本费用部分，故对于不需付现的费用（如折旧摊销等）无需考虑。</w:t>
      </w:r>
    </w:p>
    <w:p w14:paraId="02DE602C">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eastAsia="zh-CN" w:bidi="ar-SA"/>
        </w:rPr>
        <w:t>江西省南昌市西湖区“数智西湖”指挥运营中心及城市治理应用体系建设项目</w:t>
      </w:r>
      <w:r>
        <w:rPr>
          <w:rFonts w:hint="eastAsia" w:ascii="宋体" w:eastAsia="宋体" w:cs="宋体"/>
          <w:color w:val="000000"/>
          <w:sz w:val="24"/>
          <w:szCs w:val="24"/>
          <w:lang w:bidi="ar-SA"/>
        </w:rPr>
        <w:t>实施方案资金充足性分析情况具体如下表3-4及图3-1所示：</w:t>
      </w:r>
    </w:p>
    <w:p w14:paraId="0FEE9577">
      <w:pPr>
        <w:pStyle w:val="23"/>
        <w:spacing w:after="156" w:afterLines="50" w:afterAutospacing="0" w:line="360" w:lineRule="exact"/>
        <w:ind w:firstLine="440" w:firstLineChars="200"/>
        <w:jc w:val="center"/>
        <w:rPr>
          <w:b/>
        </w:rPr>
        <w:sectPr>
          <w:headerReference r:id="rId10" w:type="default"/>
          <w:footerReference r:id="rId12" w:type="default"/>
          <w:headerReference r:id="rId11" w:type="even"/>
          <w:pgSz w:w="11906" w:h="16838"/>
          <w:pgMar w:top="1531" w:right="1701" w:bottom="1418" w:left="1701" w:header="851" w:footer="992" w:gutter="0"/>
          <w:cols w:space="720" w:num="1"/>
          <w:docGrid w:type="linesAndChars" w:linePitch="312" w:charSpace="0"/>
        </w:sectPr>
      </w:pPr>
    </w:p>
    <w:p w14:paraId="3FD433EB">
      <w:pPr>
        <w:pStyle w:val="23"/>
        <w:spacing w:before="0" w:beforeAutospacing="0" w:after="156" w:afterLines="50" w:afterAutospacing="0" w:line="360" w:lineRule="exact"/>
        <w:ind w:firstLine="420" w:firstLineChars="200"/>
        <w:jc w:val="center"/>
        <w:rPr>
          <w:b/>
          <w:sz w:val="21"/>
          <w:szCs w:val="21"/>
        </w:rPr>
      </w:pPr>
      <w:r>
        <w:rPr>
          <w:rFonts w:hint="eastAsia"/>
          <w:b/>
          <w:sz w:val="21"/>
          <w:szCs w:val="21"/>
        </w:rPr>
        <w:t>表3-</w:t>
      </w:r>
      <w:r>
        <w:rPr>
          <w:b/>
          <w:sz w:val="21"/>
          <w:szCs w:val="21"/>
        </w:rPr>
        <w:t>4</w:t>
      </w:r>
      <w:r>
        <w:rPr>
          <w:rFonts w:hint="eastAsia"/>
          <w:b/>
          <w:sz w:val="21"/>
          <w:szCs w:val="21"/>
        </w:rPr>
        <w:t>江西省南昌市</w:t>
      </w:r>
      <w:r>
        <w:rPr>
          <w:rFonts w:hint="eastAsia"/>
          <w:b/>
          <w:sz w:val="21"/>
          <w:szCs w:val="21"/>
          <w:lang w:eastAsia="zh-CN"/>
        </w:rPr>
        <w:t>西湖区“数智西湖”指挥运营中心及城市治理应用体系建设项目</w:t>
      </w:r>
      <w:r>
        <w:rPr>
          <w:rFonts w:hint="eastAsia"/>
          <w:b/>
          <w:sz w:val="21"/>
          <w:szCs w:val="21"/>
        </w:rPr>
        <w:t>实施方案资金充足性分析情况表</w:t>
      </w:r>
    </w:p>
    <w:p w14:paraId="2B53D0AD">
      <w:pPr>
        <w:pStyle w:val="23"/>
        <w:spacing w:before="0" w:beforeAutospacing="0" w:after="50" w:afterAutospacing="0" w:line="360" w:lineRule="exact"/>
        <w:ind w:right="-510" w:rightChars="-243" w:firstLine="360" w:firstLineChars="200"/>
        <w:jc w:val="right"/>
        <w:rPr>
          <w:sz w:val="18"/>
          <w:szCs w:val="18"/>
        </w:rPr>
      </w:pPr>
      <w:r>
        <w:rPr>
          <w:rFonts w:hint="eastAsia"/>
          <w:sz w:val="18"/>
          <w:szCs w:val="18"/>
        </w:rPr>
        <w:t>单位：万元</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2062"/>
        <w:gridCol w:w="1379"/>
        <w:gridCol w:w="1379"/>
        <w:gridCol w:w="1267"/>
        <w:gridCol w:w="1334"/>
        <w:gridCol w:w="1199"/>
        <w:gridCol w:w="1199"/>
        <w:gridCol w:w="1199"/>
        <w:gridCol w:w="1199"/>
        <w:gridCol w:w="1188"/>
      </w:tblGrid>
      <w:tr w14:paraId="1BE6C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248" w:type="pct"/>
            <w:noWrap w:val="0"/>
            <w:vAlign w:val="center"/>
          </w:tcPr>
          <w:p w14:paraId="2089FA9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731" w:type="pct"/>
            <w:noWrap w:val="0"/>
            <w:vAlign w:val="center"/>
          </w:tcPr>
          <w:p w14:paraId="24B3348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489" w:type="pct"/>
            <w:noWrap w:val="0"/>
            <w:vAlign w:val="center"/>
          </w:tcPr>
          <w:p w14:paraId="7EEF6E79">
            <w:pPr>
              <w:widowControl/>
              <w:jc w:val="center"/>
              <w:rPr>
                <w:rFonts w:ascii="宋体" w:hAnsi="宋体"/>
                <w:b/>
                <w:bCs/>
                <w:color w:val="000000"/>
                <w:kern w:val="0"/>
                <w:sz w:val="18"/>
                <w:szCs w:val="18"/>
              </w:rPr>
            </w:pPr>
            <w:r>
              <w:rPr>
                <w:rFonts w:hint="eastAsia" w:ascii="宋体" w:hAnsi="宋体"/>
                <w:b/>
                <w:bCs/>
                <w:color w:val="000000"/>
                <w:sz w:val="18"/>
                <w:szCs w:val="18"/>
              </w:rPr>
              <w:t>合计</w:t>
            </w:r>
          </w:p>
        </w:tc>
        <w:tc>
          <w:tcPr>
            <w:tcW w:w="1379" w:type="dxa"/>
            <w:noWrap w:val="0"/>
            <w:vAlign w:val="center"/>
          </w:tcPr>
          <w:p w14:paraId="796282D4">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2024年</w:t>
            </w:r>
          </w:p>
        </w:tc>
        <w:tc>
          <w:tcPr>
            <w:tcW w:w="1267" w:type="dxa"/>
            <w:noWrap w:val="0"/>
            <w:vAlign w:val="center"/>
          </w:tcPr>
          <w:p w14:paraId="3408DDB5">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2025年</w:t>
            </w:r>
          </w:p>
        </w:tc>
        <w:tc>
          <w:tcPr>
            <w:tcW w:w="1334" w:type="dxa"/>
            <w:noWrap w:val="0"/>
            <w:vAlign w:val="center"/>
          </w:tcPr>
          <w:p w14:paraId="3880999C">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2026年</w:t>
            </w:r>
          </w:p>
        </w:tc>
        <w:tc>
          <w:tcPr>
            <w:tcW w:w="1199" w:type="dxa"/>
            <w:noWrap w:val="0"/>
            <w:vAlign w:val="center"/>
          </w:tcPr>
          <w:p w14:paraId="1381188F">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2027年</w:t>
            </w:r>
          </w:p>
        </w:tc>
        <w:tc>
          <w:tcPr>
            <w:tcW w:w="1199" w:type="dxa"/>
            <w:noWrap w:val="0"/>
            <w:vAlign w:val="center"/>
          </w:tcPr>
          <w:p w14:paraId="70122364">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2028年</w:t>
            </w:r>
          </w:p>
        </w:tc>
        <w:tc>
          <w:tcPr>
            <w:tcW w:w="1199" w:type="dxa"/>
            <w:noWrap w:val="0"/>
            <w:vAlign w:val="center"/>
          </w:tcPr>
          <w:p w14:paraId="39864E31">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2029年</w:t>
            </w:r>
          </w:p>
        </w:tc>
        <w:tc>
          <w:tcPr>
            <w:tcW w:w="1199" w:type="dxa"/>
            <w:noWrap w:val="0"/>
            <w:vAlign w:val="center"/>
          </w:tcPr>
          <w:p w14:paraId="2E055077">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2030年</w:t>
            </w:r>
          </w:p>
        </w:tc>
        <w:tc>
          <w:tcPr>
            <w:tcW w:w="1188" w:type="dxa"/>
            <w:noWrap w:val="0"/>
            <w:vAlign w:val="center"/>
          </w:tcPr>
          <w:p w14:paraId="62014553">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2031年</w:t>
            </w:r>
          </w:p>
        </w:tc>
      </w:tr>
      <w:tr w14:paraId="5321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48" w:type="pct"/>
            <w:noWrap w:val="0"/>
            <w:vAlign w:val="center"/>
          </w:tcPr>
          <w:p w14:paraId="04DDADD5">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一</w:t>
            </w:r>
          </w:p>
        </w:tc>
        <w:tc>
          <w:tcPr>
            <w:tcW w:w="731" w:type="pct"/>
            <w:noWrap w:val="0"/>
            <w:vAlign w:val="center"/>
          </w:tcPr>
          <w:p w14:paraId="5D34EF57">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现金流入</w:t>
            </w:r>
          </w:p>
        </w:tc>
        <w:tc>
          <w:tcPr>
            <w:tcW w:w="1379" w:type="dxa"/>
            <w:noWrap w:val="0"/>
            <w:vAlign w:val="center"/>
          </w:tcPr>
          <w:p w14:paraId="16A4410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32,605.56 </w:t>
            </w:r>
          </w:p>
        </w:tc>
        <w:tc>
          <w:tcPr>
            <w:tcW w:w="1379" w:type="dxa"/>
            <w:noWrap w:val="0"/>
            <w:vAlign w:val="center"/>
          </w:tcPr>
          <w:p w14:paraId="624FA7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9,864.96 </w:t>
            </w:r>
          </w:p>
        </w:tc>
        <w:tc>
          <w:tcPr>
            <w:tcW w:w="1267" w:type="dxa"/>
            <w:noWrap w:val="0"/>
            <w:vAlign w:val="center"/>
          </w:tcPr>
          <w:p w14:paraId="4947337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878.99 </w:t>
            </w:r>
          </w:p>
        </w:tc>
        <w:tc>
          <w:tcPr>
            <w:tcW w:w="1334" w:type="dxa"/>
            <w:noWrap w:val="0"/>
            <w:vAlign w:val="center"/>
          </w:tcPr>
          <w:p w14:paraId="2AF90F6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920.41 </w:t>
            </w:r>
          </w:p>
        </w:tc>
        <w:tc>
          <w:tcPr>
            <w:tcW w:w="1199" w:type="dxa"/>
            <w:noWrap w:val="0"/>
            <w:vAlign w:val="center"/>
          </w:tcPr>
          <w:p w14:paraId="549CAEA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1,347.83 </w:t>
            </w:r>
          </w:p>
        </w:tc>
        <w:tc>
          <w:tcPr>
            <w:tcW w:w="1199" w:type="dxa"/>
            <w:noWrap w:val="0"/>
            <w:vAlign w:val="center"/>
          </w:tcPr>
          <w:p w14:paraId="68DBA0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1,350.23 </w:t>
            </w:r>
          </w:p>
        </w:tc>
        <w:tc>
          <w:tcPr>
            <w:tcW w:w="1199" w:type="dxa"/>
            <w:noWrap w:val="0"/>
            <w:vAlign w:val="center"/>
          </w:tcPr>
          <w:p w14:paraId="7D08CB7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1,736.23 </w:t>
            </w:r>
          </w:p>
        </w:tc>
        <w:tc>
          <w:tcPr>
            <w:tcW w:w="1199" w:type="dxa"/>
            <w:noWrap w:val="0"/>
            <w:vAlign w:val="center"/>
          </w:tcPr>
          <w:p w14:paraId="1FA071F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1,800.23 </w:t>
            </w:r>
          </w:p>
        </w:tc>
        <w:tc>
          <w:tcPr>
            <w:tcW w:w="1188" w:type="dxa"/>
            <w:noWrap w:val="0"/>
            <w:vAlign w:val="center"/>
          </w:tcPr>
          <w:p w14:paraId="7B3B974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1,802.63 </w:t>
            </w:r>
          </w:p>
        </w:tc>
      </w:tr>
      <w:tr w14:paraId="3B2A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0DE2B6B1">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31" w:type="pct"/>
            <w:noWrap w:val="0"/>
            <w:vAlign w:val="center"/>
          </w:tcPr>
          <w:p w14:paraId="01ABB35C">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1379" w:type="dxa"/>
            <w:noWrap w:val="0"/>
            <w:vAlign w:val="center"/>
          </w:tcPr>
          <w:p w14:paraId="3802A1A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22,740.60 </w:t>
            </w:r>
          </w:p>
        </w:tc>
        <w:tc>
          <w:tcPr>
            <w:tcW w:w="1379" w:type="dxa"/>
            <w:noWrap w:val="0"/>
            <w:vAlign w:val="center"/>
          </w:tcPr>
          <w:p w14:paraId="1773B6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267" w:type="dxa"/>
            <w:noWrap w:val="0"/>
            <w:vAlign w:val="center"/>
          </w:tcPr>
          <w:p w14:paraId="2C2BE51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878.99 </w:t>
            </w:r>
          </w:p>
        </w:tc>
        <w:tc>
          <w:tcPr>
            <w:tcW w:w="1334" w:type="dxa"/>
            <w:noWrap w:val="0"/>
            <w:vAlign w:val="center"/>
          </w:tcPr>
          <w:p w14:paraId="27F952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920.41 </w:t>
            </w:r>
          </w:p>
        </w:tc>
        <w:tc>
          <w:tcPr>
            <w:tcW w:w="1199" w:type="dxa"/>
            <w:noWrap w:val="0"/>
            <w:vAlign w:val="center"/>
          </w:tcPr>
          <w:p w14:paraId="5C3CA4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1,347.83 </w:t>
            </w:r>
          </w:p>
        </w:tc>
        <w:tc>
          <w:tcPr>
            <w:tcW w:w="1199" w:type="dxa"/>
            <w:noWrap w:val="0"/>
            <w:vAlign w:val="center"/>
          </w:tcPr>
          <w:p w14:paraId="424335F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1,350.23 </w:t>
            </w:r>
          </w:p>
        </w:tc>
        <w:tc>
          <w:tcPr>
            <w:tcW w:w="1199" w:type="dxa"/>
            <w:noWrap w:val="0"/>
            <w:vAlign w:val="center"/>
          </w:tcPr>
          <w:p w14:paraId="76B0854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1,736.23 </w:t>
            </w:r>
          </w:p>
        </w:tc>
        <w:tc>
          <w:tcPr>
            <w:tcW w:w="1199" w:type="dxa"/>
            <w:noWrap w:val="0"/>
            <w:vAlign w:val="center"/>
          </w:tcPr>
          <w:p w14:paraId="420991E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1,800.23 </w:t>
            </w:r>
          </w:p>
        </w:tc>
        <w:tc>
          <w:tcPr>
            <w:tcW w:w="1188" w:type="dxa"/>
            <w:noWrap w:val="0"/>
            <w:vAlign w:val="center"/>
          </w:tcPr>
          <w:p w14:paraId="1C3F455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1,802.63 </w:t>
            </w:r>
          </w:p>
        </w:tc>
      </w:tr>
      <w:tr w14:paraId="3C8BD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3EED87E5">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731" w:type="pct"/>
            <w:noWrap w:val="0"/>
            <w:vAlign w:val="center"/>
          </w:tcPr>
          <w:p w14:paraId="7664A060">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1379" w:type="dxa"/>
            <w:noWrap w:val="0"/>
            <w:vAlign w:val="center"/>
          </w:tcPr>
          <w:p w14:paraId="2D0516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379" w:type="dxa"/>
            <w:noWrap w:val="0"/>
            <w:vAlign w:val="center"/>
          </w:tcPr>
          <w:p w14:paraId="4C8A07E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67" w:type="dxa"/>
            <w:noWrap w:val="0"/>
            <w:vAlign w:val="center"/>
          </w:tcPr>
          <w:p w14:paraId="68DF5ED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34" w:type="dxa"/>
            <w:noWrap w:val="0"/>
            <w:vAlign w:val="center"/>
          </w:tcPr>
          <w:p w14:paraId="1489816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412FAB2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74D9EAD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02E69F5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064E2A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88" w:type="dxa"/>
            <w:noWrap w:val="0"/>
            <w:vAlign w:val="center"/>
          </w:tcPr>
          <w:p w14:paraId="7ED1634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406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28451D73">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31" w:type="pct"/>
            <w:noWrap w:val="0"/>
            <w:vAlign w:val="center"/>
          </w:tcPr>
          <w:p w14:paraId="10587D4C">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1379" w:type="dxa"/>
            <w:noWrap w:val="0"/>
            <w:vAlign w:val="center"/>
          </w:tcPr>
          <w:p w14:paraId="572F425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22,740.60 </w:t>
            </w:r>
          </w:p>
        </w:tc>
        <w:tc>
          <w:tcPr>
            <w:tcW w:w="1379" w:type="dxa"/>
            <w:noWrap w:val="0"/>
            <w:vAlign w:val="center"/>
          </w:tcPr>
          <w:p w14:paraId="0AED2A3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267" w:type="dxa"/>
            <w:noWrap w:val="0"/>
            <w:vAlign w:val="bottom"/>
          </w:tcPr>
          <w:p w14:paraId="0BB2D90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878.99</w:t>
            </w:r>
          </w:p>
        </w:tc>
        <w:tc>
          <w:tcPr>
            <w:tcW w:w="1334" w:type="dxa"/>
            <w:noWrap/>
            <w:vAlign w:val="bottom"/>
          </w:tcPr>
          <w:p w14:paraId="71F3495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920.41</w:t>
            </w:r>
          </w:p>
        </w:tc>
        <w:tc>
          <w:tcPr>
            <w:tcW w:w="1199" w:type="dxa"/>
            <w:noWrap/>
            <w:vAlign w:val="bottom"/>
          </w:tcPr>
          <w:p w14:paraId="3BF10C9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1,347.83</w:t>
            </w:r>
          </w:p>
        </w:tc>
        <w:tc>
          <w:tcPr>
            <w:tcW w:w="1199" w:type="dxa"/>
            <w:noWrap/>
            <w:vAlign w:val="bottom"/>
          </w:tcPr>
          <w:p w14:paraId="124ADAD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1,350.23</w:t>
            </w:r>
          </w:p>
        </w:tc>
        <w:tc>
          <w:tcPr>
            <w:tcW w:w="1199" w:type="dxa"/>
            <w:noWrap/>
            <w:vAlign w:val="bottom"/>
          </w:tcPr>
          <w:p w14:paraId="18EDA77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1,736.23</w:t>
            </w:r>
          </w:p>
        </w:tc>
        <w:tc>
          <w:tcPr>
            <w:tcW w:w="1199" w:type="dxa"/>
            <w:noWrap/>
            <w:vAlign w:val="bottom"/>
          </w:tcPr>
          <w:p w14:paraId="21C330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1,800.23</w:t>
            </w:r>
          </w:p>
        </w:tc>
        <w:tc>
          <w:tcPr>
            <w:tcW w:w="1188" w:type="dxa"/>
            <w:noWrap/>
            <w:vAlign w:val="bottom"/>
          </w:tcPr>
          <w:p w14:paraId="1747F3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1,802.63</w:t>
            </w:r>
          </w:p>
        </w:tc>
      </w:tr>
      <w:tr w14:paraId="381C8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1AFC3A8E">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31" w:type="pct"/>
            <w:noWrap w:val="0"/>
            <w:vAlign w:val="center"/>
          </w:tcPr>
          <w:p w14:paraId="617EF9B9">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1379" w:type="dxa"/>
            <w:noWrap w:val="0"/>
            <w:vAlign w:val="center"/>
          </w:tcPr>
          <w:p w14:paraId="27F7553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6,000.00 </w:t>
            </w:r>
          </w:p>
        </w:tc>
        <w:tc>
          <w:tcPr>
            <w:tcW w:w="1379" w:type="dxa"/>
            <w:noWrap w:val="0"/>
            <w:vAlign w:val="center"/>
          </w:tcPr>
          <w:p w14:paraId="1757198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67" w:type="dxa"/>
            <w:noWrap w:val="0"/>
            <w:vAlign w:val="center"/>
          </w:tcPr>
          <w:p w14:paraId="509DD5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334" w:type="dxa"/>
            <w:noWrap w:val="0"/>
            <w:vAlign w:val="center"/>
          </w:tcPr>
          <w:p w14:paraId="5EFA6AC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1570EC3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790073B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4E54606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75B5166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88" w:type="dxa"/>
            <w:noWrap w:val="0"/>
            <w:vAlign w:val="center"/>
          </w:tcPr>
          <w:p w14:paraId="17C418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r>
      <w:tr w14:paraId="4EB42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455BE7C9">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731" w:type="pct"/>
            <w:noWrap w:val="0"/>
            <w:vAlign w:val="center"/>
          </w:tcPr>
          <w:p w14:paraId="0726E4DB">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1379" w:type="dxa"/>
            <w:noWrap w:val="0"/>
            <w:vAlign w:val="center"/>
          </w:tcPr>
          <w:p w14:paraId="600E25C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6,000.00 </w:t>
            </w:r>
          </w:p>
        </w:tc>
        <w:tc>
          <w:tcPr>
            <w:tcW w:w="1379" w:type="dxa"/>
            <w:noWrap w:val="0"/>
            <w:vAlign w:val="center"/>
          </w:tcPr>
          <w:p w14:paraId="13BD1CC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6,000.00 </w:t>
            </w:r>
          </w:p>
        </w:tc>
        <w:tc>
          <w:tcPr>
            <w:tcW w:w="1267" w:type="dxa"/>
            <w:noWrap w:val="0"/>
            <w:vAlign w:val="center"/>
          </w:tcPr>
          <w:p w14:paraId="7B2116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34" w:type="dxa"/>
            <w:noWrap w:val="0"/>
            <w:vAlign w:val="center"/>
          </w:tcPr>
          <w:p w14:paraId="3388927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7F20825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0478DC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0F7E6B7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042CEE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88" w:type="dxa"/>
            <w:noWrap w:val="0"/>
            <w:vAlign w:val="center"/>
          </w:tcPr>
          <w:p w14:paraId="6538F55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0C14A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442EB6C2">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731" w:type="pct"/>
            <w:noWrap w:val="0"/>
            <w:vAlign w:val="center"/>
          </w:tcPr>
          <w:p w14:paraId="607CF659">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1379" w:type="dxa"/>
            <w:noWrap w:val="0"/>
            <w:vAlign w:val="center"/>
          </w:tcPr>
          <w:p w14:paraId="7F5FAA8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379" w:type="dxa"/>
            <w:noWrap w:val="0"/>
            <w:vAlign w:val="center"/>
          </w:tcPr>
          <w:p w14:paraId="182A5D1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267" w:type="dxa"/>
            <w:noWrap w:val="0"/>
            <w:vAlign w:val="center"/>
          </w:tcPr>
          <w:p w14:paraId="639EEEA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34" w:type="dxa"/>
            <w:noWrap w:val="0"/>
            <w:vAlign w:val="center"/>
          </w:tcPr>
          <w:p w14:paraId="540CE7E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6167D3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1A2872C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7F25DD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3E2D3F9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88" w:type="dxa"/>
            <w:noWrap w:val="0"/>
            <w:vAlign w:val="center"/>
          </w:tcPr>
          <w:p w14:paraId="07A724C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7531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2A4D7886">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31" w:type="pct"/>
            <w:noWrap w:val="0"/>
            <w:vAlign w:val="center"/>
          </w:tcPr>
          <w:p w14:paraId="0E8D833F">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1379" w:type="dxa"/>
            <w:noWrap w:val="0"/>
            <w:vAlign w:val="center"/>
          </w:tcPr>
          <w:p w14:paraId="7A80B8D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3,864.96 </w:t>
            </w:r>
          </w:p>
        </w:tc>
        <w:tc>
          <w:tcPr>
            <w:tcW w:w="1379" w:type="dxa"/>
            <w:noWrap w:val="0"/>
            <w:vAlign w:val="center"/>
          </w:tcPr>
          <w:p w14:paraId="48E8BEF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3,864.96 </w:t>
            </w:r>
          </w:p>
        </w:tc>
        <w:tc>
          <w:tcPr>
            <w:tcW w:w="1267" w:type="dxa"/>
            <w:noWrap w:val="0"/>
            <w:vAlign w:val="center"/>
          </w:tcPr>
          <w:p w14:paraId="77B433F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334" w:type="dxa"/>
            <w:noWrap w:val="0"/>
            <w:vAlign w:val="center"/>
          </w:tcPr>
          <w:p w14:paraId="6E7A5B5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732CEF5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7C1D9C9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319B1B5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00A3E3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88" w:type="dxa"/>
            <w:noWrap w:val="0"/>
            <w:vAlign w:val="center"/>
          </w:tcPr>
          <w:p w14:paraId="044896D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03A8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36A4ECEE">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二</w:t>
            </w:r>
          </w:p>
        </w:tc>
        <w:tc>
          <w:tcPr>
            <w:tcW w:w="731" w:type="pct"/>
            <w:noWrap w:val="0"/>
            <w:vAlign w:val="center"/>
          </w:tcPr>
          <w:p w14:paraId="2623E1F0">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现金流出</w:t>
            </w:r>
          </w:p>
        </w:tc>
        <w:tc>
          <w:tcPr>
            <w:tcW w:w="1379" w:type="dxa"/>
            <w:noWrap w:val="0"/>
            <w:vAlign w:val="center"/>
          </w:tcPr>
          <w:p w14:paraId="369445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28,515.28 </w:t>
            </w:r>
          </w:p>
        </w:tc>
        <w:tc>
          <w:tcPr>
            <w:tcW w:w="1379" w:type="dxa"/>
            <w:noWrap w:val="0"/>
            <w:vAlign w:val="center"/>
          </w:tcPr>
          <w:p w14:paraId="7B43346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9,735.96 </w:t>
            </w:r>
          </w:p>
        </w:tc>
        <w:tc>
          <w:tcPr>
            <w:tcW w:w="1267" w:type="dxa"/>
            <w:noWrap w:val="0"/>
            <w:vAlign w:val="center"/>
          </w:tcPr>
          <w:p w14:paraId="0868A7D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704.05 </w:t>
            </w:r>
          </w:p>
        </w:tc>
        <w:tc>
          <w:tcPr>
            <w:tcW w:w="1334" w:type="dxa"/>
            <w:noWrap w:val="0"/>
            <w:vAlign w:val="center"/>
          </w:tcPr>
          <w:p w14:paraId="4996DBE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718.21 </w:t>
            </w:r>
          </w:p>
        </w:tc>
        <w:tc>
          <w:tcPr>
            <w:tcW w:w="1199" w:type="dxa"/>
            <w:noWrap w:val="0"/>
            <w:vAlign w:val="center"/>
          </w:tcPr>
          <w:p w14:paraId="454F68B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817.37 </w:t>
            </w:r>
          </w:p>
        </w:tc>
        <w:tc>
          <w:tcPr>
            <w:tcW w:w="1199" w:type="dxa"/>
            <w:noWrap w:val="0"/>
            <w:vAlign w:val="center"/>
          </w:tcPr>
          <w:p w14:paraId="5757CA7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823.15 </w:t>
            </w:r>
          </w:p>
        </w:tc>
        <w:tc>
          <w:tcPr>
            <w:tcW w:w="1199" w:type="dxa"/>
            <w:noWrap w:val="0"/>
            <w:vAlign w:val="center"/>
          </w:tcPr>
          <w:p w14:paraId="065534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913.39 </w:t>
            </w:r>
          </w:p>
        </w:tc>
        <w:tc>
          <w:tcPr>
            <w:tcW w:w="1199" w:type="dxa"/>
            <w:noWrap w:val="0"/>
            <w:vAlign w:val="center"/>
          </w:tcPr>
          <w:p w14:paraId="5BCB300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932.94 </w:t>
            </w:r>
          </w:p>
        </w:tc>
        <w:tc>
          <w:tcPr>
            <w:tcW w:w="1188" w:type="dxa"/>
            <w:noWrap w:val="0"/>
            <w:vAlign w:val="center"/>
          </w:tcPr>
          <w:p w14:paraId="59B46D3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939.06 </w:t>
            </w:r>
          </w:p>
        </w:tc>
      </w:tr>
      <w:tr w14:paraId="7732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2F179D99">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731" w:type="pct"/>
            <w:noWrap w:val="0"/>
            <w:vAlign w:val="center"/>
          </w:tcPr>
          <w:p w14:paraId="787B3E69">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1379" w:type="dxa"/>
            <w:noWrap w:val="0"/>
            <w:vAlign w:val="center"/>
          </w:tcPr>
          <w:p w14:paraId="0E1461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9,038.32 </w:t>
            </w:r>
          </w:p>
        </w:tc>
        <w:tc>
          <w:tcPr>
            <w:tcW w:w="1379" w:type="dxa"/>
            <w:noWrap w:val="0"/>
            <w:vAlign w:val="center"/>
          </w:tcPr>
          <w:p w14:paraId="06AF08F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267" w:type="dxa"/>
            <w:noWrap w:val="0"/>
            <w:vAlign w:val="center"/>
          </w:tcPr>
          <w:p w14:paraId="5713E85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446.05 </w:t>
            </w:r>
          </w:p>
        </w:tc>
        <w:tc>
          <w:tcPr>
            <w:tcW w:w="1334" w:type="dxa"/>
            <w:noWrap w:val="0"/>
            <w:vAlign w:val="center"/>
          </w:tcPr>
          <w:p w14:paraId="5B2B613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460.21 </w:t>
            </w:r>
          </w:p>
        </w:tc>
        <w:tc>
          <w:tcPr>
            <w:tcW w:w="1199" w:type="dxa"/>
            <w:noWrap w:val="0"/>
            <w:vAlign w:val="center"/>
          </w:tcPr>
          <w:p w14:paraId="48633E9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559.37 </w:t>
            </w:r>
          </w:p>
        </w:tc>
        <w:tc>
          <w:tcPr>
            <w:tcW w:w="1199" w:type="dxa"/>
            <w:noWrap w:val="0"/>
            <w:vAlign w:val="center"/>
          </w:tcPr>
          <w:p w14:paraId="4B35377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565.15 </w:t>
            </w:r>
          </w:p>
        </w:tc>
        <w:tc>
          <w:tcPr>
            <w:tcW w:w="1199" w:type="dxa"/>
            <w:noWrap w:val="0"/>
            <w:vAlign w:val="center"/>
          </w:tcPr>
          <w:p w14:paraId="4EE83B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655.39 </w:t>
            </w:r>
          </w:p>
        </w:tc>
        <w:tc>
          <w:tcPr>
            <w:tcW w:w="1199" w:type="dxa"/>
            <w:noWrap w:val="0"/>
            <w:vAlign w:val="center"/>
          </w:tcPr>
          <w:p w14:paraId="6D597FB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674.94 </w:t>
            </w:r>
          </w:p>
        </w:tc>
        <w:tc>
          <w:tcPr>
            <w:tcW w:w="1188" w:type="dxa"/>
            <w:noWrap w:val="0"/>
            <w:vAlign w:val="center"/>
          </w:tcPr>
          <w:p w14:paraId="1B85106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681.06 </w:t>
            </w:r>
          </w:p>
        </w:tc>
      </w:tr>
      <w:tr w14:paraId="1085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05810214">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731" w:type="pct"/>
            <w:noWrap w:val="0"/>
            <w:vAlign w:val="center"/>
          </w:tcPr>
          <w:p w14:paraId="710EA15F">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1379" w:type="dxa"/>
            <w:noWrap w:val="0"/>
            <w:vAlign w:val="center"/>
          </w:tcPr>
          <w:p w14:paraId="3AD144F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6,766.53 </w:t>
            </w:r>
          </w:p>
        </w:tc>
        <w:tc>
          <w:tcPr>
            <w:tcW w:w="1379" w:type="dxa"/>
            <w:noWrap w:val="0"/>
            <w:vAlign w:val="center"/>
          </w:tcPr>
          <w:p w14:paraId="4FE2C12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267" w:type="dxa"/>
            <w:noWrap w:val="0"/>
            <w:vAlign w:val="bottom"/>
          </w:tcPr>
          <w:p w14:paraId="5FBF4C6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358.24</w:t>
            </w:r>
          </w:p>
        </w:tc>
        <w:tc>
          <w:tcPr>
            <w:tcW w:w="1334" w:type="dxa"/>
            <w:noWrap/>
            <w:vAlign w:val="bottom"/>
          </w:tcPr>
          <w:p w14:paraId="01FF00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368.26</w:t>
            </w:r>
          </w:p>
        </w:tc>
        <w:tc>
          <w:tcPr>
            <w:tcW w:w="1199" w:type="dxa"/>
            <w:noWrap/>
            <w:vAlign w:val="bottom"/>
          </w:tcPr>
          <w:p w14:paraId="5C2DCD6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424.72</w:t>
            </w:r>
          </w:p>
        </w:tc>
        <w:tc>
          <w:tcPr>
            <w:tcW w:w="1199" w:type="dxa"/>
            <w:noWrap/>
            <w:vAlign w:val="bottom"/>
          </w:tcPr>
          <w:p w14:paraId="10B92FD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430.26</w:t>
            </w:r>
          </w:p>
        </w:tc>
        <w:tc>
          <w:tcPr>
            <w:tcW w:w="1199" w:type="dxa"/>
            <w:noWrap/>
            <w:vAlign w:val="bottom"/>
          </w:tcPr>
          <w:p w14:paraId="2E3C14D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481.94</w:t>
            </w:r>
          </w:p>
        </w:tc>
        <w:tc>
          <w:tcPr>
            <w:tcW w:w="1199" w:type="dxa"/>
            <w:noWrap/>
            <w:vAlign w:val="bottom"/>
          </w:tcPr>
          <w:p w14:paraId="4B27030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495.10</w:t>
            </w:r>
          </w:p>
        </w:tc>
        <w:tc>
          <w:tcPr>
            <w:tcW w:w="1188" w:type="dxa"/>
            <w:noWrap/>
            <w:vAlign w:val="bottom"/>
          </w:tcPr>
          <w:p w14:paraId="54BC4E1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500.98</w:t>
            </w:r>
          </w:p>
        </w:tc>
      </w:tr>
      <w:tr w14:paraId="79C00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2AAFFAA3">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731" w:type="pct"/>
            <w:noWrap w:val="0"/>
            <w:vAlign w:val="center"/>
          </w:tcPr>
          <w:p w14:paraId="582D8C9F">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1379" w:type="dxa"/>
            <w:noWrap w:val="0"/>
            <w:vAlign w:val="center"/>
          </w:tcPr>
          <w:p w14:paraId="7D0A53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2,271.79 </w:t>
            </w:r>
          </w:p>
        </w:tc>
        <w:tc>
          <w:tcPr>
            <w:tcW w:w="1379" w:type="dxa"/>
            <w:noWrap w:val="0"/>
            <w:vAlign w:val="center"/>
          </w:tcPr>
          <w:p w14:paraId="2D5630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267" w:type="dxa"/>
            <w:noWrap w:val="0"/>
            <w:vAlign w:val="bottom"/>
          </w:tcPr>
          <w:p w14:paraId="1C404E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87.81 </w:t>
            </w:r>
          </w:p>
        </w:tc>
        <w:tc>
          <w:tcPr>
            <w:tcW w:w="1334" w:type="dxa"/>
            <w:noWrap/>
            <w:vAlign w:val="bottom"/>
          </w:tcPr>
          <w:p w14:paraId="3F00A94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91.95 </w:t>
            </w:r>
          </w:p>
        </w:tc>
        <w:tc>
          <w:tcPr>
            <w:tcW w:w="1199" w:type="dxa"/>
            <w:noWrap/>
            <w:vAlign w:val="bottom"/>
          </w:tcPr>
          <w:p w14:paraId="64B086A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134.65 </w:t>
            </w:r>
          </w:p>
        </w:tc>
        <w:tc>
          <w:tcPr>
            <w:tcW w:w="1199" w:type="dxa"/>
            <w:noWrap/>
            <w:vAlign w:val="bottom"/>
          </w:tcPr>
          <w:p w14:paraId="4A83637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134.89 </w:t>
            </w:r>
          </w:p>
        </w:tc>
        <w:tc>
          <w:tcPr>
            <w:tcW w:w="1199" w:type="dxa"/>
            <w:noWrap/>
            <w:vAlign w:val="bottom"/>
          </w:tcPr>
          <w:p w14:paraId="6E2597A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173.45 </w:t>
            </w:r>
          </w:p>
        </w:tc>
        <w:tc>
          <w:tcPr>
            <w:tcW w:w="1199" w:type="dxa"/>
            <w:noWrap/>
            <w:vAlign w:val="bottom"/>
          </w:tcPr>
          <w:p w14:paraId="3DD331B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179.84 </w:t>
            </w:r>
          </w:p>
        </w:tc>
        <w:tc>
          <w:tcPr>
            <w:tcW w:w="1188" w:type="dxa"/>
            <w:noWrap/>
            <w:vAlign w:val="bottom"/>
          </w:tcPr>
          <w:p w14:paraId="09CDEF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180.08 </w:t>
            </w:r>
          </w:p>
        </w:tc>
      </w:tr>
      <w:tr w14:paraId="591F9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21CD9A20">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731" w:type="pct"/>
            <w:noWrap w:val="0"/>
            <w:vAlign w:val="center"/>
          </w:tcPr>
          <w:p w14:paraId="6155E27C">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1379" w:type="dxa"/>
            <w:noWrap w:val="0"/>
            <w:vAlign w:val="center"/>
          </w:tcPr>
          <w:p w14:paraId="66B1697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9,600.96 </w:t>
            </w:r>
          </w:p>
        </w:tc>
        <w:tc>
          <w:tcPr>
            <w:tcW w:w="1379" w:type="dxa"/>
            <w:noWrap w:val="0"/>
            <w:vAlign w:val="center"/>
          </w:tcPr>
          <w:p w14:paraId="548B268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9,600.96 </w:t>
            </w:r>
          </w:p>
        </w:tc>
        <w:tc>
          <w:tcPr>
            <w:tcW w:w="1267" w:type="dxa"/>
            <w:noWrap w:val="0"/>
            <w:vAlign w:val="center"/>
          </w:tcPr>
          <w:p w14:paraId="6AAA85D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334" w:type="dxa"/>
            <w:noWrap w:val="0"/>
            <w:vAlign w:val="center"/>
          </w:tcPr>
          <w:p w14:paraId="2F74FDA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72F0477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69D973C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1034516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769A2A8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88" w:type="dxa"/>
            <w:noWrap w:val="0"/>
            <w:vAlign w:val="center"/>
          </w:tcPr>
          <w:p w14:paraId="0F070CD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582DF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09AC575B">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31" w:type="pct"/>
            <w:noWrap w:val="0"/>
            <w:vAlign w:val="center"/>
          </w:tcPr>
          <w:p w14:paraId="380EF018">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1379" w:type="dxa"/>
            <w:noWrap w:val="0"/>
            <w:vAlign w:val="center"/>
          </w:tcPr>
          <w:p w14:paraId="6739EAD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9,876.00 </w:t>
            </w:r>
          </w:p>
        </w:tc>
        <w:tc>
          <w:tcPr>
            <w:tcW w:w="1379" w:type="dxa"/>
            <w:noWrap w:val="0"/>
            <w:vAlign w:val="center"/>
          </w:tcPr>
          <w:p w14:paraId="5A51CD0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135.00 </w:t>
            </w:r>
          </w:p>
        </w:tc>
        <w:tc>
          <w:tcPr>
            <w:tcW w:w="1267" w:type="dxa"/>
            <w:noWrap w:val="0"/>
            <w:vAlign w:val="center"/>
          </w:tcPr>
          <w:p w14:paraId="119DAE6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334" w:type="dxa"/>
            <w:noWrap w:val="0"/>
            <w:vAlign w:val="center"/>
          </w:tcPr>
          <w:p w14:paraId="10EE6F9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199" w:type="dxa"/>
            <w:noWrap w:val="0"/>
            <w:vAlign w:val="center"/>
          </w:tcPr>
          <w:p w14:paraId="1BCA33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199" w:type="dxa"/>
            <w:noWrap w:val="0"/>
            <w:vAlign w:val="center"/>
          </w:tcPr>
          <w:p w14:paraId="18898A3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199" w:type="dxa"/>
            <w:noWrap w:val="0"/>
            <w:vAlign w:val="center"/>
          </w:tcPr>
          <w:p w14:paraId="30767C0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199" w:type="dxa"/>
            <w:noWrap w:val="0"/>
            <w:vAlign w:val="center"/>
          </w:tcPr>
          <w:p w14:paraId="0750AD7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188" w:type="dxa"/>
            <w:noWrap w:val="0"/>
            <w:vAlign w:val="center"/>
          </w:tcPr>
          <w:p w14:paraId="2DCAD2F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r>
      <w:tr w14:paraId="138C9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5803CE00">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731" w:type="pct"/>
            <w:noWrap w:val="0"/>
            <w:vAlign w:val="center"/>
          </w:tcPr>
          <w:p w14:paraId="2674344E">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1379" w:type="dxa"/>
            <w:noWrap w:val="0"/>
            <w:vAlign w:val="center"/>
          </w:tcPr>
          <w:p w14:paraId="351995D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6.00 </w:t>
            </w:r>
          </w:p>
        </w:tc>
        <w:tc>
          <w:tcPr>
            <w:tcW w:w="1379" w:type="dxa"/>
            <w:noWrap w:val="0"/>
            <w:vAlign w:val="center"/>
          </w:tcPr>
          <w:p w14:paraId="763F4CF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6.00 </w:t>
            </w:r>
          </w:p>
        </w:tc>
        <w:tc>
          <w:tcPr>
            <w:tcW w:w="1267" w:type="dxa"/>
            <w:noWrap w:val="0"/>
            <w:vAlign w:val="center"/>
          </w:tcPr>
          <w:p w14:paraId="08FF888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34" w:type="dxa"/>
            <w:noWrap w:val="0"/>
            <w:vAlign w:val="center"/>
          </w:tcPr>
          <w:p w14:paraId="307FD39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07897F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4C580DD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3D7B650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09DCE8D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88" w:type="dxa"/>
            <w:noWrap w:val="0"/>
            <w:vAlign w:val="center"/>
          </w:tcPr>
          <w:p w14:paraId="1BA4A52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5840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55881BAF">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731" w:type="pct"/>
            <w:noWrap w:val="0"/>
            <w:vAlign w:val="center"/>
          </w:tcPr>
          <w:p w14:paraId="0B4A8BD7">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1379" w:type="dxa"/>
            <w:noWrap w:val="0"/>
            <w:vAlign w:val="center"/>
          </w:tcPr>
          <w:p w14:paraId="28194F1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6,000.00 </w:t>
            </w:r>
          </w:p>
        </w:tc>
        <w:tc>
          <w:tcPr>
            <w:tcW w:w="1379" w:type="dxa"/>
            <w:noWrap w:val="0"/>
            <w:vAlign w:val="center"/>
          </w:tcPr>
          <w:p w14:paraId="6B8704C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67" w:type="dxa"/>
            <w:noWrap w:val="0"/>
            <w:vAlign w:val="center"/>
          </w:tcPr>
          <w:p w14:paraId="6A5DA0F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34" w:type="dxa"/>
            <w:noWrap w:val="0"/>
            <w:vAlign w:val="center"/>
          </w:tcPr>
          <w:p w14:paraId="05BF18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0FBF88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4D63E00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3893CBC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1BEA0F1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88" w:type="dxa"/>
            <w:noWrap w:val="0"/>
            <w:vAlign w:val="center"/>
          </w:tcPr>
          <w:p w14:paraId="25EE74F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F71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62CBB98C">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731" w:type="pct"/>
            <w:noWrap w:val="0"/>
            <w:vAlign w:val="center"/>
          </w:tcPr>
          <w:p w14:paraId="7C75D3AE">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1379" w:type="dxa"/>
            <w:noWrap w:val="0"/>
            <w:vAlign w:val="center"/>
          </w:tcPr>
          <w:p w14:paraId="7F28B0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3,870.00 </w:t>
            </w:r>
          </w:p>
        </w:tc>
        <w:tc>
          <w:tcPr>
            <w:tcW w:w="1379" w:type="dxa"/>
            <w:noWrap w:val="0"/>
            <w:vAlign w:val="center"/>
          </w:tcPr>
          <w:p w14:paraId="47431A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129.00 </w:t>
            </w:r>
          </w:p>
        </w:tc>
        <w:tc>
          <w:tcPr>
            <w:tcW w:w="1267" w:type="dxa"/>
            <w:noWrap w:val="0"/>
            <w:vAlign w:val="center"/>
          </w:tcPr>
          <w:p w14:paraId="1548045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334" w:type="dxa"/>
            <w:noWrap w:val="0"/>
            <w:vAlign w:val="center"/>
          </w:tcPr>
          <w:p w14:paraId="48D30BB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199" w:type="dxa"/>
            <w:noWrap w:val="0"/>
            <w:vAlign w:val="center"/>
          </w:tcPr>
          <w:p w14:paraId="61DCDB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199" w:type="dxa"/>
            <w:noWrap w:val="0"/>
            <w:vAlign w:val="center"/>
          </w:tcPr>
          <w:p w14:paraId="00EC828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199" w:type="dxa"/>
            <w:noWrap w:val="0"/>
            <w:vAlign w:val="center"/>
          </w:tcPr>
          <w:p w14:paraId="6786E0B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199" w:type="dxa"/>
            <w:noWrap w:val="0"/>
            <w:vAlign w:val="bottom"/>
          </w:tcPr>
          <w:p w14:paraId="21DB9E8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1188" w:type="dxa"/>
            <w:noWrap/>
            <w:vAlign w:val="bottom"/>
          </w:tcPr>
          <w:p w14:paraId="591B229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r>
      <w:tr w14:paraId="2721C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21D480C1">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731" w:type="pct"/>
            <w:noWrap w:val="0"/>
            <w:vAlign w:val="center"/>
          </w:tcPr>
          <w:p w14:paraId="1AB42FDC">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1379" w:type="dxa"/>
            <w:noWrap w:val="0"/>
            <w:vAlign w:val="center"/>
          </w:tcPr>
          <w:p w14:paraId="1EF0F88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379" w:type="dxa"/>
            <w:noWrap w:val="0"/>
            <w:vAlign w:val="center"/>
          </w:tcPr>
          <w:p w14:paraId="264EE1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267" w:type="dxa"/>
            <w:noWrap w:val="0"/>
            <w:vAlign w:val="center"/>
          </w:tcPr>
          <w:p w14:paraId="3DD835E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334" w:type="dxa"/>
            <w:noWrap w:val="0"/>
            <w:vAlign w:val="center"/>
          </w:tcPr>
          <w:p w14:paraId="38678D6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5AE49B3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60587E5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0BBAD83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99" w:type="dxa"/>
            <w:noWrap w:val="0"/>
            <w:vAlign w:val="center"/>
          </w:tcPr>
          <w:p w14:paraId="1F7912A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88" w:type="dxa"/>
            <w:noWrap w:val="0"/>
            <w:vAlign w:val="center"/>
          </w:tcPr>
          <w:p w14:paraId="0EDBDA9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1105C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316E4274">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731" w:type="pct"/>
            <w:noWrap w:val="0"/>
            <w:vAlign w:val="center"/>
          </w:tcPr>
          <w:p w14:paraId="764F835E">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1379" w:type="dxa"/>
            <w:noWrap w:val="0"/>
            <w:vAlign w:val="center"/>
          </w:tcPr>
          <w:p w14:paraId="21712AE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379" w:type="dxa"/>
            <w:noWrap w:val="0"/>
            <w:vAlign w:val="center"/>
          </w:tcPr>
          <w:p w14:paraId="49C5B79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267" w:type="dxa"/>
            <w:noWrap w:val="0"/>
            <w:vAlign w:val="center"/>
          </w:tcPr>
          <w:p w14:paraId="027ED5D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334" w:type="dxa"/>
            <w:noWrap w:val="0"/>
            <w:vAlign w:val="center"/>
          </w:tcPr>
          <w:p w14:paraId="3496C34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650A0C4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5C38382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354FCE3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99" w:type="dxa"/>
            <w:noWrap w:val="0"/>
            <w:vAlign w:val="center"/>
          </w:tcPr>
          <w:p w14:paraId="2EBFF2E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188" w:type="dxa"/>
            <w:noWrap w:val="0"/>
            <w:vAlign w:val="center"/>
          </w:tcPr>
          <w:p w14:paraId="6CB939F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r>
      <w:tr w14:paraId="3E137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4E4863E3">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三</w:t>
            </w:r>
          </w:p>
        </w:tc>
        <w:tc>
          <w:tcPr>
            <w:tcW w:w="731" w:type="pct"/>
            <w:noWrap w:val="0"/>
            <w:vAlign w:val="center"/>
          </w:tcPr>
          <w:p w14:paraId="7894E4F1">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当期现金结余</w:t>
            </w:r>
          </w:p>
        </w:tc>
        <w:tc>
          <w:tcPr>
            <w:tcW w:w="1379" w:type="dxa"/>
            <w:noWrap w:val="0"/>
            <w:vAlign w:val="center"/>
          </w:tcPr>
          <w:p w14:paraId="4FE6310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4,090.28 </w:t>
            </w:r>
          </w:p>
        </w:tc>
        <w:tc>
          <w:tcPr>
            <w:tcW w:w="1379" w:type="dxa"/>
            <w:noWrap w:val="0"/>
            <w:vAlign w:val="center"/>
          </w:tcPr>
          <w:p w14:paraId="7ED9B37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129.00 </w:t>
            </w:r>
          </w:p>
        </w:tc>
        <w:tc>
          <w:tcPr>
            <w:tcW w:w="1267" w:type="dxa"/>
            <w:noWrap w:val="0"/>
            <w:vAlign w:val="center"/>
          </w:tcPr>
          <w:p w14:paraId="25EE44A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174.94 </w:t>
            </w:r>
          </w:p>
        </w:tc>
        <w:tc>
          <w:tcPr>
            <w:tcW w:w="1334" w:type="dxa"/>
            <w:noWrap w:val="0"/>
            <w:vAlign w:val="center"/>
          </w:tcPr>
          <w:p w14:paraId="04905CC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202.20 </w:t>
            </w:r>
          </w:p>
        </w:tc>
        <w:tc>
          <w:tcPr>
            <w:tcW w:w="1199" w:type="dxa"/>
            <w:noWrap w:val="0"/>
            <w:vAlign w:val="center"/>
          </w:tcPr>
          <w:p w14:paraId="5981826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530.46 </w:t>
            </w:r>
          </w:p>
        </w:tc>
        <w:tc>
          <w:tcPr>
            <w:tcW w:w="1199" w:type="dxa"/>
            <w:noWrap w:val="0"/>
            <w:vAlign w:val="center"/>
          </w:tcPr>
          <w:p w14:paraId="58AC8BF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527.08 </w:t>
            </w:r>
          </w:p>
        </w:tc>
        <w:tc>
          <w:tcPr>
            <w:tcW w:w="1199" w:type="dxa"/>
            <w:noWrap w:val="0"/>
            <w:vAlign w:val="center"/>
          </w:tcPr>
          <w:p w14:paraId="2989B7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822.84 </w:t>
            </w:r>
          </w:p>
        </w:tc>
        <w:tc>
          <w:tcPr>
            <w:tcW w:w="1199" w:type="dxa"/>
            <w:noWrap w:val="0"/>
            <w:vAlign w:val="center"/>
          </w:tcPr>
          <w:p w14:paraId="21AF57E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867.29 </w:t>
            </w:r>
          </w:p>
        </w:tc>
        <w:tc>
          <w:tcPr>
            <w:tcW w:w="1188" w:type="dxa"/>
            <w:noWrap w:val="0"/>
            <w:vAlign w:val="center"/>
          </w:tcPr>
          <w:p w14:paraId="3E3785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863.57 </w:t>
            </w:r>
          </w:p>
        </w:tc>
      </w:tr>
      <w:tr w14:paraId="4B37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316FFBFF">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四</w:t>
            </w:r>
          </w:p>
        </w:tc>
        <w:tc>
          <w:tcPr>
            <w:tcW w:w="731" w:type="pct"/>
            <w:noWrap w:val="0"/>
            <w:vAlign w:val="center"/>
          </w:tcPr>
          <w:p w14:paraId="73EB5EFF">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期初现金</w:t>
            </w:r>
          </w:p>
        </w:tc>
        <w:tc>
          <w:tcPr>
            <w:tcW w:w="1379" w:type="dxa"/>
            <w:noWrap w:val="0"/>
            <w:vAlign w:val="center"/>
          </w:tcPr>
          <w:p w14:paraId="15F7EB6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379" w:type="dxa"/>
            <w:noWrap w:val="0"/>
            <w:vAlign w:val="center"/>
          </w:tcPr>
          <w:p w14:paraId="069C2A6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267" w:type="dxa"/>
            <w:noWrap w:val="0"/>
            <w:vAlign w:val="center"/>
          </w:tcPr>
          <w:p w14:paraId="78B0AF4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129.00 </w:t>
            </w:r>
          </w:p>
        </w:tc>
        <w:tc>
          <w:tcPr>
            <w:tcW w:w="1334" w:type="dxa"/>
            <w:noWrap w:val="0"/>
            <w:vAlign w:val="center"/>
          </w:tcPr>
          <w:p w14:paraId="2587AD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303.94 </w:t>
            </w:r>
          </w:p>
        </w:tc>
        <w:tc>
          <w:tcPr>
            <w:tcW w:w="1199" w:type="dxa"/>
            <w:noWrap w:val="0"/>
            <w:vAlign w:val="center"/>
          </w:tcPr>
          <w:p w14:paraId="4C95A98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506.14 </w:t>
            </w:r>
          </w:p>
        </w:tc>
        <w:tc>
          <w:tcPr>
            <w:tcW w:w="1199" w:type="dxa"/>
            <w:noWrap w:val="0"/>
            <w:vAlign w:val="center"/>
          </w:tcPr>
          <w:p w14:paraId="3C19123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1,036.60 </w:t>
            </w:r>
          </w:p>
        </w:tc>
        <w:tc>
          <w:tcPr>
            <w:tcW w:w="1199" w:type="dxa"/>
            <w:noWrap w:val="0"/>
            <w:vAlign w:val="center"/>
          </w:tcPr>
          <w:p w14:paraId="4F7B78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1,563.68 </w:t>
            </w:r>
          </w:p>
        </w:tc>
        <w:tc>
          <w:tcPr>
            <w:tcW w:w="1199" w:type="dxa"/>
            <w:noWrap w:val="0"/>
            <w:vAlign w:val="center"/>
          </w:tcPr>
          <w:p w14:paraId="610E61A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2,386.52 </w:t>
            </w:r>
          </w:p>
        </w:tc>
        <w:tc>
          <w:tcPr>
            <w:tcW w:w="1188" w:type="dxa"/>
            <w:noWrap w:val="0"/>
            <w:vAlign w:val="center"/>
          </w:tcPr>
          <w:p w14:paraId="0348D2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3,253.81 </w:t>
            </w:r>
          </w:p>
        </w:tc>
      </w:tr>
      <w:tr w14:paraId="03D3B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48" w:type="pct"/>
            <w:noWrap w:val="0"/>
            <w:vAlign w:val="center"/>
          </w:tcPr>
          <w:p w14:paraId="7BCB94A8">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五</w:t>
            </w:r>
          </w:p>
        </w:tc>
        <w:tc>
          <w:tcPr>
            <w:tcW w:w="731" w:type="pct"/>
            <w:noWrap w:val="0"/>
            <w:vAlign w:val="center"/>
          </w:tcPr>
          <w:p w14:paraId="36C12765">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期末现金</w:t>
            </w:r>
          </w:p>
        </w:tc>
        <w:tc>
          <w:tcPr>
            <w:tcW w:w="1379" w:type="dxa"/>
            <w:noWrap w:val="0"/>
            <w:vAlign w:val="center"/>
          </w:tcPr>
          <w:p w14:paraId="2772F10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1379" w:type="dxa"/>
            <w:noWrap w:val="0"/>
            <w:vAlign w:val="center"/>
          </w:tcPr>
          <w:p w14:paraId="7E10D36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129.00 </w:t>
            </w:r>
          </w:p>
        </w:tc>
        <w:tc>
          <w:tcPr>
            <w:tcW w:w="1267" w:type="dxa"/>
            <w:noWrap w:val="0"/>
            <w:vAlign w:val="center"/>
          </w:tcPr>
          <w:p w14:paraId="4E40AB1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303.94 </w:t>
            </w:r>
          </w:p>
        </w:tc>
        <w:tc>
          <w:tcPr>
            <w:tcW w:w="1334" w:type="dxa"/>
            <w:noWrap w:val="0"/>
            <w:vAlign w:val="center"/>
          </w:tcPr>
          <w:p w14:paraId="782D3D4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506.14 </w:t>
            </w:r>
          </w:p>
        </w:tc>
        <w:tc>
          <w:tcPr>
            <w:tcW w:w="1199" w:type="dxa"/>
            <w:noWrap w:val="0"/>
            <w:vAlign w:val="center"/>
          </w:tcPr>
          <w:p w14:paraId="0D8CEA5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1,036.60 </w:t>
            </w:r>
          </w:p>
        </w:tc>
        <w:tc>
          <w:tcPr>
            <w:tcW w:w="1199" w:type="dxa"/>
            <w:noWrap w:val="0"/>
            <w:vAlign w:val="center"/>
          </w:tcPr>
          <w:p w14:paraId="116A260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1,563.68 </w:t>
            </w:r>
          </w:p>
        </w:tc>
        <w:tc>
          <w:tcPr>
            <w:tcW w:w="1199" w:type="dxa"/>
            <w:noWrap w:val="0"/>
            <w:vAlign w:val="center"/>
          </w:tcPr>
          <w:p w14:paraId="60C1A9F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2,386.52 </w:t>
            </w:r>
          </w:p>
        </w:tc>
        <w:tc>
          <w:tcPr>
            <w:tcW w:w="1199" w:type="dxa"/>
            <w:noWrap w:val="0"/>
            <w:vAlign w:val="center"/>
          </w:tcPr>
          <w:p w14:paraId="3CC271F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3,253.81 </w:t>
            </w:r>
          </w:p>
        </w:tc>
        <w:tc>
          <w:tcPr>
            <w:tcW w:w="1188" w:type="dxa"/>
            <w:noWrap w:val="0"/>
            <w:vAlign w:val="center"/>
          </w:tcPr>
          <w:p w14:paraId="7E4E1FB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4,117.38 </w:t>
            </w:r>
          </w:p>
        </w:tc>
      </w:tr>
    </w:tbl>
    <w:p w14:paraId="029E8E9C">
      <w:pPr>
        <w:widowControl/>
        <w:jc w:val="left"/>
        <w:rPr>
          <w:sz w:val="18"/>
          <w:szCs w:val="18"/>
        </w:rPr>
      </w:pPr>
      <w:r>
        <w:rPr>
          <w:rFonts w:hint="eastAsia" w:ascii="宋体" w:hAnsi="宋体" w:cs="宋体"/>
          <w:color w:val="000000"/>
          <w:kern w:val="0"/>
          <w:sz w:val="18"/>
          <w:szCs w:val="18"/>
        </w:rPr>
        <w:t>续上表：</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6"/>
        <w:gridCol w:w="1875"/>
        <w:gridCol w:w="1287"/>
        <w:gridCol w:w="1287"/>
        <w:gridCol w:w="1287"/>
        <w:gridCol w:w="708"/>
        <w:gridCol w:w="578"/>
        <w:gridCol w:w="1287"/>
        <w:gridCol w:w="1287"/>
        <w:gridCol w:w="1287"/>
        <w:gridCol w:w="1287"/>
        <w:gridCol w:w="1329"/>
      </w:tblGrid>
      <w:tr w14:paraId="1A6ADB1B">
        <w:tblPrEx>
          <w:tblCellMar>
            <w:top w:w="0" w:type="dxa"/>
            <w:left w:w="108" w:type="dxa"/>
            <w:bottom w:w="0" w:type="dxa"/>
            <w:right w:w="108" w:type="dxa"/>
          </w:tblCellMar>
        </w:tblPrEx>
        <w:trPr>
          <w:trHeight w:val="312" w:hRule="atLeast"/>
          <w:tblHeader/>
        </w:trPr>
        <w:tc>
          <w:tcPr>
            <w:tcW w:w="215" w:type="pct"/>
            <w:noWrap w:val="0"/>
            <w:vAlign w:val="center"/>
          </w:tcPr>
          <w:p w14:paraId="598072A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65" w:type="pct"/>
            <w:noWrap w:val="0"/>
            <w:vAlign w:val="center"/>
          </w:tcPr>
          <w:p w14:paraId="698F0FA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456" w:type="pct"/>
            <w:noWrap w:val="0"/>
            <w:vAlign w:val="center"/>
          </w:tcPr>
          <w:p w14:paraId="2CDCC43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456" w:type="pct"/>
            <w:noWrap w:val="0"/>
            <w:vAlign w:val="center"/>
          </w:tcPr>
          <w:p w14:paraId="3062AF2C">
            <w:pPr>
              <w:keepNext w:val="0"/>
              <w:keepLines w:val="0"/>
              <w:widowControl/>
              <w:suppressLineNumbers w:val="0"/>
              <w:jc w:val="center"/>
              <w:textAlignment w:val="center"/>
              <w:rPr>
                <w:rFonts w:ascii="宋体" w:hAnsi="宋体"/>
                <w:b/>
                <w:bCs/>
                <w:color w:val="000000"/>
                <w:kern w:val="0"/>
                <w:sz w:val="18"/>
                <w:szCs w:val="18"/>
              </w:rPr>
            </w:pPr>
            <w:r>
              <w:rPr>
                <w:rFonts w:hint="eastAsia" w:ascii="宋体" w:hAnsi="宋体" w:eastAsia="宋体" w:cs="宋体"/>
                <w:b/>
                <w:bCs/>
                <w:i w:val="0"/>
                <w:iCs w:val="0"/>
                <w:color w:val="000000"/>
                <w:kern w:val="0"/>
                <w:sz w:val="18"/>
                <w:szCs w:val="18"/>
                <w:u w:val="none"/>
                <w:lang w:val="en-US" w:eastAsia="zh-CN" w:bidi="ar"/>
              </w:rPr>
              <w:t>2032年</w:t>
            </w:r>
          </w:p>
        </w:tc>
        <w:tc>
          <w:tcPr>
            <w:tcW w:w="456" w:type="pct"/>
            <w:noWrap w:val="0"/>
            <w:vAlign w:val="center"/>
          </w:tcPr>
          <w:p w14:paraId="10203E7C">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2033年</w:t>
            </w:r>
          </w:p>
        </w:tc>
        <w:tc>
          <w:tcPr>
            <w:tcW w:w="456" w:type="pct"/>
            <w:gridSpan w:val="2"/>
            <w:noWrap w:val="0"/>
            <w:vAlign w:val="center"/>
          </w:tcPr>
          <w:p w14:paraId="69A7FE78">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2034年</w:t>
            </w:r>
          </w:p>
        </w:tc>
        <w:tc>
          <w:tcPr>
            <w:tcW w:w="456" w:type="pct"/>
            <w:noWrap w:val="0"/>
            <w:vAlign w:val="center"/>
          </w:tcPr>
          <w:p w14:paraId="37443708">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2035年</w:t>
            </w:r>
          </w:p>
        </w:tc>
        <w:tc>
          <w:tcPr>
            <w:tcW w:w="456" w:type="pct"/>
            <w:noWrap w:val="0"/>
            <w:vAlign w:val="center"/>
          </w:tcPr>
          <w:p w14:paraId="498453A5">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2036年</w:t>
            </w:r>
          </w:p>
        </w:tc>
        <w:tc>
          <w:tcPr>
            <w:tcW w:w="456" w:type="pct"/>
            <w:noWrap w:val="0"/>
            <w:vAlign w:val="center"/>
          </w:tcPr>
          <w:p w14:paraId="308CD23F">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2037年</w:t>
            </w:r>
          </w:p>
        </w:tc>
        <w:tc>
          <w:tcPr>
            <w:tcW w:w="456" w:type="pct"/>
            <w:noWrap w:val="0"/>
            <w:vAlign w:val="center"/>
          </w:tcPr>
          <w:p w14:paraId="647038DD">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2038年</w:t>
            </w:r>
          </w:p>
        </w:tc>
        <w:tc>
          <w:tcPr>
            <w:tcW w:w="468" w:type="pct"/>
            <w:noWrap w:val="0"/>
            <w:vAlign w:val="center"/>
          </w:tcPr>
          <w:p w14:paraId="4E70DC68">
            <w:pPr>
              <w:keepNext w:val="0"/>
              <w:keepLines w:val="0"/>
              <w:widowControl/>
              <w:suppressLineNumbers w:val="0"/>
              <w:jc w:val="center"/>
              <w:textAlignment w:val="center"/>
              <w:rPr>
                <w:rFonts w:ascii="宋体" w:hAnsi="宋体"/>
                <w:b/>
                <w:bCs/>
                <w:color w:val="000000"/>
                <w:sz w:val="18"/>
                <w:szCs w:val="18"/>
              </w:rPr>
            </w:pPr>
            <w:r>
              <w:rPr>
                <w:rFonts w:hint="eastAsia" w:ascii="宋体" w:hAnsi="宋体" w:eastAsia="宋体" w:cs="宋体"/>
                <w:b/>
                <w:bCs/>
                <w:i w:val="0"/>
                <w:iCs w:val="0"/>
                <w:color w:val="000000"/>
                <w:kern w:val="0"/>
                <w:sz w:val="18"/>
                <w:szCs w:val="18"/>
                <w:u w:val="none"/>
                <w:lang w:val="en-US" w:eastAsia="zh-CN" w:bidi="ar"/>
              </w:rPr>
              <w:t>2039年</w:t>
            </w:r>
          </w:p>
        </w:tc>
      </w:tr>
      <w:tr w14:paraId="467F2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20E0AAC3">
            <w:pPr>
              <w:widowControl/>
              <w:jc w:val="center"/>
              <w:rPr>
                <w:rFonts w:ascii="宋体" w:hAnsi="宋体" w:cs="宋体"/>
                <w:b/>
                <w:bCs/>
                <w:color w:val="000000"/>
                <w:kern w:val="0"/>
                <w:sz w:val="18"/>
                <w:szCs w:val="18"/>
              </w:rPr>
            </w:pPr>
            <w:r>
              <w:rPr>
                <w:rFonts w:hint="eastAsia" w:ascii="宋体" w:hAnsi="宋体" w:cs="宋体"/>
                <w:b/>
                <w:color w:val="000000"/>
                <w:kern w:val="0"/>
                <w:sz w:val="18"/>
                <w:szCs w:val="18"/>
              </w:rPr>
              <w:t>一</w:t>
            </w:r>
          </w:p>
        </w:tc>
        <w:tc>
          <w:tcPr>
            <w:tcW w:w="665" w:type="pct"/>
            <w:noWrap w:val="0"/>
            <w:vAlign w:val="center"/>
          </w:tcPr>
          <w:p w14:paraId="2E49A69C">
            <w:pPr>
              <w:widowControl/>
              <w:jc w:val="center"/>
              <w:rPr>
                <w:rFonts w:ascii="宋体" w:hAnsi="宋体" w:cs="宋体"/>
                <w:b/>
                <w:bCs/>
                <w:color w:val="000000"/>
                <w:kern w:val="0"/>
                <w:sz w:val="18"/>
                <w:szCs w:val="18"/>
              </w:rPr>
            </w:pPr>
            <w:r>
              <w:rPr>
                <w:rFonts w:hint="eastAsia" w:ascii="宋体" w:hAnsi="宋体" w:cs="宋体"/>
                <w:b/>
                <w:color w:val="000000"/>
                <w:kern w:val="0"/>
                <w:sz w:val="18"/>
                <w:szCs w:val="18"/>
              </w:rPr>
              <w:t>现金流入</w:t>
            </w:r>
          </w:p>
        </w:tc>
        <w:tc>
          <w:tcPr>
            <w:tcW w:w="456" w:type="pct"/>
            <w:noWrap w:val="0"/>
            <w:vAlign w:val="center"/>
          </w:tcPr>
          <w:p w14:paraId="7FE924E4">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32,605.56 </w:t>
            </w:r>
          </w:p>
        </w:tc>
        <w:tc>
          <w:tcPr>
            <w:tcW w:w="456" w:type="pct"/>
            <w:noWrap w:val="0"/>
            <w:vAlign w:val="center"/>
          </w:tcPr>
          <w:p w14:paraId="6071642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1,802.63 </w:t>
            </w:r>
          </w:p>
        </w:tc>
        <w:tc>
          <w:tcPr>
            <w:tcW w:w="456" w:type="pct"/>
            <w:noWrap w:val="0"/>
            <w:vAlign w:val="center"/>
          </w:tcPr>
          <w:p w14:paraId="18F931C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1,802.63 </w:t>
            </w:r>
          </w:p>
        </w:tc>
        <w:tc>
          <w:tcPr>
            <w:tcW w:w="456" w:type="pct"/>
            <w:gridSpan w:val="2"/>
            <w:noWrap w:val="0"/>
            <w:vAlign w:val="center"/>
          </w:tcPr>
          <w:p w14:paraId="24536CA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1,805.03 </w:t>
            </w:r>
          </w:p>
        </w:tc>
        <w:tc>
          <w:tcPr>
            <w:tcW w:w="456" w:type="pct"/>
            <w:noWrap w:val="0"/>
            <w:vAlign w:val="center"/>
          </w:tcPr>
          <w:p w14:paraId="14460B1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1,872.24 </w:t>
            </w:r>
          </w:p>
        </w:tc>
        <w:tc>
          <w:tcPr>
            <w:tcW w:w="456" w:type="pct"/>
            <w:noWrap w:val="0"/>
            <w:vAlign w:val="center"/>
          </w:tcPr>
          <w:p w14:paraId="553F02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1,872.24 </w:t>
            </w:r>
          </w:p>
        </w:tc>
        <w:tc>
          <w:tcPr>
            <w:tcW w:w="456" w:type="pct"/>
            <w:noWrap w:val="0"/>
            <w:vAlign w:val="center"/>
          </w:tcPr>
          <w:p w14:paraId="1997A56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1,874.64 </w:t>
            </w:r>
          </w:p>
        </w:tc>
        <w:tc>
          <w:tcPr>
            <w:tcW w:w="456" w:type="pct"/>
            <w:noWrap w:val="0"/>
            <w:vAlign w:val="center"/>
          </w:tcPr>
          <w:p w14:paraId="4543DF3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1,874.64 </w:t>
            </w:r>
          </w:p>
        </w:tc>
        <w:tc>
          <w:tcPr>
            <w:tcW w:w="468" w:type="pct"/>
            <w:noWrap w:val="0"/>
            <w:vAlign w:val="center"/>
          </w:tcPr>
          <w:p w14:paraId="621814E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r>
      <w:tr w14:paraId="4EFB7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4A674317">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65" w:type="pct"/>
            <w:noWrap w:val="0"/>
            <w:vAlign w:val="center"/>
          </w:tcPr>
          <w:p w14:paraId="28039144">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456" w:type="pct"/>
            <w:noWrap w:val="0"/>
            <w:vAlign w:val="center"/>
          </w:tcPr>
          <w:p w14:paraId="76FA5FA3">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22,740.60 </w:t>
            </w:r>
          </w:p>
        </w:tc>
        <w:tc>
          <w:tcPr>
            <w:tcW w:w="456" w:type="pct"/>
            <w:noWrap w:val="0"/>
            <w:vAlign w:val="center"/>
          </w:tcPr>
          <w:p w14:paraId="5EF7BA0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1,802.63 </w:t>
            </w:r>
          </w:p>
        </w:tc>
        <w:tc>
          <w:tcPr>
            <w:tcW w:w="456" w:type="pct"/>
            <w:noWrap w:val="0"/>
            <w:vAlign w:val="center"/>
          </w:tcPr>
          <w:p w14:paraId="281068B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1,802.63 </w:t>
            </w:r>
          </w:p>
        </w:tc>
        <w:tc>
          <w:tcPr>
            <w:tcW w:w="456" w:type="pct"/>
            <w:gridSpan w:val="2"/>
            <w:noWrap w:val="0"/>
            <w:vAlign w:val="center"/>
          </w:tcPr>
          <w:p w14:paraId="3F1C2BC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1,805.03 </w:t>
            </w:r>
          </w:p>
        </w:tc>
        <w:tc>
          <w:tcPr>
            <w:tcW w:w="456" w:type="pct"/>
            <w:noWrap w:val="0"/>
            <w:vAlign w:val="center"/>
          </w:tcPr>
          <w:p w14:paraId="129841C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1,872.24 </w:t>
            </w:r>
          </w:p>
        </w:tc>
        <w:tc>
          <w:tcPr>
            <w:tcW w:w="456" w:type="pct"/>
            <w:noWrap w:val="0"/>
            <w:vAlign w:val="center"/>
          </w:tcPr>
          <w:p w14:paraId="3DF12EB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1,872.24 </w:t>
            </w:r>
          </w:p>
        </w:tc>
        <w:tc>
          <w:tcPr>
            <w:tcW w:w="456" w:type="pct"/>
            <w:noWrap w:val="0"/>
            <w:vAlign w:val="center"/>
          </w:tcPr>
          <w:p w14:paraId="04AC80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1,874.64 </w:t>
            </w:r>
          </w:p>
        </w:tc>
        <w:tc>
          <w:tcPr>
            <w:tcW w:w="456" w:type="pct"/>
            <w:noWrap w:val="0"/>
            <w:vAlign w:val="center"/>
          </w:tcPr>
          <w:p w14:paraId="5DB04B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1,874.64 </w:t>
            </w:r>
          </w:p>
        </w:tc>
        <w:tc>
          <w:tcPr>
            <w:tcW w:w="468" w:type="pct"/>
            <w:noWrap w:val="0"/>
            <w:vAlign w:val="center"/>
          </w:tcPr>
          <w:p w14:paraId="5D092D2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r>
      <w:tr w14:paraId="67E6D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4ACF2967">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65" w:type="pct"/>
            <w:noWrap w:val="0"/>
            <w:vAlign w:val="center"/>
          </w:tcPr>
          <w:p w14:paraId="5D5EB61B">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456" w:type="pct"/>
            <w:noWrap w:val="0"/>
            <w:vAlign w:val="center"/>
          </w:tcPr>
          <w:p w14:paraId="326D3ABF">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5EED77B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2316670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gridSpan w:val="2"/>
            <w:noWrap w:val="0"/>
            <w:vAlign w:val="center"/>
          </w:tcPr>
          <w:p w14:paraId="12A6119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51A5BCC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7B4BB6C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2FCB697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626B4C2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68" w:type="pct"/>
            <w:noWrap w:val="0"/>
            <w:vAlign w:val="bottom"/>
          </w:tcPr>
          <w:p w14:paraId="7B45E03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1CD3D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223F4520">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65" w:type="pct"/>
            <w:noWrap w:val="0"/>
            <w:vAlign w:val="center"/>
          </w:tcPr>
          <w:p w14:paraId="4A6ADFF8">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456" w:type="pct"/>
            <w:noWrap w:val="0"/>
            <w:vAlign w:val="center"/>
          </w:tcPr>
          <w:p w14:paraId="723BE67E">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22,740.60 </w:t>
            </w:r>
          </w:p>
        </w:tc>
        <w:tc>
          <w:tcPr>
            <w:tcW w:w="456" w:type="pct"/>
            <w:noWrap/>
            <w:vAlign w:val="bottom"/>
          </w:tcPr>
          <w:p w14:paraId="14D5779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1,802.63</w:t>
            </w:r>
          </w:p>
        </w:tc>
        <w:tc>
          <w:tcPr>
            <w:tcW w:w="456" w:type="pct"/>
            <w:noWrap/>
            <w:vAlign w:val="bottom"/>
          </w:tcPr>
          <w:p w14:paraId="3F1DE40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1,802.63</w:t>
            </w:r>
          </w:p>
        </w:tc>
        <w:tc>
          <w:tcPr>
            <w:tcW w:w="456" w:type="pct"/>
            <w:gridSpan w:val="2"/>
            <w:noWrap/>
            <w:vAlign w:val="bottom"/>
          </w:tcPr>
          <w:p w14:paraId="5893AA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1,805.03</w:t>
            </w:r>
          </w:p>
        </w:tc>
        <w:tc>
          <w:tcPr>
            <w:tcW w:w="456" w:type="pct"/>
            <w:noWrap/>
            <w:vAlign w:val="bottom"/>
          </w:tcPr>
          <w:p w14:paraId="03A1AF6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1,872.24</w:t>
            </w:r>
          </w:p>
        </w:tc>
        <w:tc>
          <w:tcPr>
            <w:tcW w:w="456" w:type="pct"/>
            <w:noWrap/>
            <w:vAlign w:val="bottom"/>
          </w:tcPr>
          <w:p w14:paraId="50D694D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1,872.24</w:t>
            </w:r>
          </w:p>
        </w:tc>
        <w:tc>
          <w:tcPr>
            <w:tcW w:w="456" w:type="pct"/>
            <w:noWrap/>
            <w:vAlign w:val="bottom"/>
          </w:tcPr>
          <w:p w14:paraId="0CF8570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1,874.64</w:t>
            </w:r>
          </w:p>
        </w:tc>
        <w:tc>
          <w:tcPr>
            <w:tcW w:w="456" w:type="pct"/>
            <w:noWrap/>
            <w:vAlign w:val="bottom"/>
          </w:tcPr>
          <w:p w14:paraId="2A8442C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1,874.64</w:t>
            </w:r>
          </w:p>
        </w:tc>
        <w:tc>
          <w:tcPr>
            <w:tcW w:w="468" w:type="pct"/>
            <w:noWrap/>
            <w:vAlign w:val="bottom"/>
          </w:tcPr>
          <w:p w14:paraId="6D7827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0.00</w:t>
            </w:r>
          </w:p>
        </w:tc>
      </w:tr>
      <w:tr w14:paraId="2EB92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1A27C3F9">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65" w:type="pct"/>
            <w:noWrap w:val="0"/>
            <w:vAlign w:val="center"/>
          </w:tcPr>
          <w:p w14:paraId="2CEBE12D">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456" w:type="pct"/>
            <w:noWrap w:val="0"/>
            <w:vAlign w:val="center"/>
          </w:tcPr>
          <w:p w14:paraId="4808FA2C">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6,000.00 </w:t>
            </w:r>
          </w:p>
        </w:tc>
        <w:tc>
          <w:tcPr>
            <w:tcW w:w="456" w:type="pct"/>
            <w:noWrap w:val="0"/>
            <w:vAlign w:val="center"/>
          </w:tcPr>
          <w:p w14:paraId="2D965F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3C0B3A9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gridSpan w:val="2"/>
            <w:noWrap w:val="0"/>
            <w:vAlign w:val="center"/>
          </w:tcPr>
          <w:p w14:paraId="6154FA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343C4CB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231DB4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17F08B8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2E0FED4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68" w:type="pct"/>
            <w:noWrap w:val="0"/>
            <w:vAlign w:val="center"/>
          </w:tcPr>
          <w:p w14:paraId="33BD12A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r>
      <w:tr w14:paraId="6F503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1AEBE3BA">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665" w:type="pct"/>
            <w:noWrap w:val="0"/>
            <w:vAlign w:val="center"/>
          </w:tcPr>
          <w:p w14:paraId="795C9D42">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456" w:type="pct"/>
            <w:noWrap w:val="0"/>
            <w:vAlign w:val="center"/>
          </w:tcPr>
          <w:p w14:paraId="4A58ED75">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6,000.00 </w:t>
            </w:r>
          </w:p>
        </w:tc>
        <w:tc>
          <w:tcPr>
            <w:tcW w:w="456" w:type="pct"/>
            <w:noWrap w:val="0"/>
            <w:vAlign w:val="center"/>
          </w:tcPr>
          <w:p w14:paraId="0F5FA2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0E6DEE8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gridSpan w:val="2"/>
            <w:noWrap w:val="0"/>
            <w:vAlign w:val="center"/>
          </w:tcPr>
          <w:p w14:paraId="4A85537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4F807B6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7D8DCB6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703796D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6C875FD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68" w:type="pct"/>
            <w:noWrap w:val="0"/>
            <w:vAlign w:val="center"/>
          </w:tcPr>
          <w:p w14:paraId="77A7AC8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8AA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53334A43">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665" w:type="pct"/>
            <w:noWrap w:val="0"/>
            <w:vAlign w:val="center"/>
          </w:tcPr>
          <w:p w14:paraId="16F14A5F">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456" w:type="pct"/>
            <w:noWrap w:val="0"/>
            <w:vAlign w:val="center"/>
          </w:tcPr>
          <w:p w14:paraId="56390493">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407A234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022CF56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gridSpan w:val="2"/>
            <w:noWrap w:val="0"/>
            <w:vAlign w:val="center"/>
          </w:tcPr>
          <w:p w14:paraId="09BD61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1EEB477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618329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6770C15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3E587A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68" w:type="pct"/>
            <w:noWrap w:val="0"/>
            <w:vAlign w:val="center"/>
          </w:tcPr>
          <w:p w14:paraId="2F004F7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08B8F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146E7E89">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65" w:type="pct"/>
            <w:noWrap w:val="0"/>
            <w:vAlign w:val="center"/>
          </w:tcPr>
          <w:p w14:paraId="673B06F4">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456" w:type="pct"/>
            <w:noWrap w:val="0"/>
            <w:vAlign w:val="center"/>
          </w:tcPr>
          <w:p w14:paraId="3BA52758">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3,864.96 </w:t>
            </w:r>
          </w:p>
        </w:tc>
        <w:tc>
          <w:tcPr>
            <w:tcW w:w="456" w:type="pct"/>
            <w:noWrap w:val="0"/>
            <w:vAlign w:val="center"/>
          </w:tcPr>
          <w:p w14:paraId="4A696FF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0913E74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gridSpan w:val="2"/>
            <w:noWrap w:val="0"/>
            <w:vAlign w:val="center"/>
          </w:tcPr>
          <w:p w14:paraId="4A2E58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7892B1F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0720AA4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3368156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6C48908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68" w:type="pct"/>
            <w:noWrap w:val="0"/>
            <w:vAlign w:val="center"/>
          </w:tcPr>
          <w:p w14:paraId="221F71F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CC9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286EE2BA">
            <w:pPr>
              <w:widowControl/>
              <w:jc w:val="center"/>
              <w:rPr>
                <w:rFonts w:ascii="宋体" w:hAnsi="宋体" w:cs="宋体"/>
                <w:b/>
                <w:bCs/>
                <w:color w:val="000000"/>
                <w:kern w:val="0"/>
                <w:sz w:val="18"/>
                <w:szCs w:val="18"/>
              </w:rPr>
            </w:pPr>
            <w:r>
              <w:rPr>
                <w:rFonts w:hint="eastAsia" w:ascii="宋体" w:hAnsi="宋体" w:cs="宋体"/>
                <w:b/>
                <w:color w:val="000000"/>
                <w:kern w:val="0"/>
                <w:sz w:val="18"/>
                <w:szCs w:val="18"/>
              </w:rPr>
              <w:t>二</w:t>
            </w:r>
          </w:p>
        </w:tc>
        <w:tc>
          <w:tcPr>
            <w:tcW w:w="665" w:type="pct"/>
            <w:noWrap w:val="0"/>
            <w:vAlign w:val="center"/>
          </w:tcPr>
          <w:p w14:paraId="632E8636">
            <w:pPr>
              <w:widowControl/>
              <w:jc w:val="center"/>
              <w:rPr>
                <w:rFonts w:ascii="宋体" w:hAnsi="宋体" w:cs="宋体"/>
                <w:b/>
                <w:bCs/>
                <w:color w:val="000000"/>
                <w:kern w:val="0"/>
                <w:sz w:val="18"/>
                <w:szCs w:val="18"/>
              </w:rPr>
            </w:pPr>
            <w:r>
              <w:rPr>
                <w:rFonts w:hint="eastAsia" w:ascii="宋体" w:hAnsi="宋体" w:cs="宋体"/>
                <w:b/>
                <w:color w:val="000000"/>
                <w:kern w:val="0"/>
                <w:sz w:val="18"/>
                <w:szCs w:val="18"/>
              </w:rPr>
              <w:t>现金流出</w:t>
            </w:r>
          </w:p>
        </w:tc>
        <w:tc>
          <w:tcPr>
            <w:tcW w:w="456" w:type="pct"/>
            <w:noWrap w:val="0"/>
            <w:vAlign w:val="center"/>
          </w:tcPr>
          <w:p w14:paraId="5EEF8DC8">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28,515.28 </w:t>
            </w:r>
          </w:p>
        </w:tc>
        <w:tc>
          <w:tcPr>
            <w:tcW w:w="456" w:type="pct"/>
            <w:noWrap w:val="0"/>
            <w:vAlign w:val="center"/>
          </w:tcPr>
          <w:p w14:paraId="2AF935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944.75 </w:t>
            </w:r>
          </w:p>
        </w:tc>
        <w:tc>
          <w:tcPr>
            <w:tcW w:w="456" w:type="pct"/>
            <w:noWrap w:val="0"/>
            <w:vAlign w:val="center"/>
          </w:tcPr>
          <w:p w14:paraId="3ED2075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950.56 </w:t>
            </w:r>
          </w:p>
        </w:tc>
        <w:tc>
          <w:tcPr>
            <w:tcW w:w="456" w:type="pct"/>
            <w:gridSpan w:val="2"/>
            <w:noWrap w:val="0"/>
            <w:vAlign w:val="center"/>
          </w:tcPr>
          <w:p w14:paraId="38D9E6B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957.00 </w:t>
            </w:r>
          </w:p>
        </w:tc>
        <w:tc>
          <w:tcPr>
            <w:tcW w:w="456" w:type="pct"/>
            <w:noWrap w:val="0"/>
            <w:vAlign w:val="center"/>
          </w:tcPr>
          <w:p w14:paraId="1D13C01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977.82 </w:t>
            </w:r>
          </w:p>
        </w:tc>
        <w:tc>
          <w:tcPr>
            <w:tcW w:w="456" w:type="pct"/>
            <w:noWrap w:val="0"/>
            <w:vAlign w:val="center"/>
          </w:tcPr>
          <w:p w14:paraId="124DF3F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983.99 </w:t>
            </w:r>
          </w:p>
        </w:tc>
        <w:tc>
          <w:tcPr>
            <w:tcW w:w="456" w:type="pct"/>
            <w:noWrap w:val="0"/>
            <w:vAlign w:val="center"/>
          </w:tcPr>
          <w:p w14:paraId="1C1C87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990.81 </w:t>
            </w:r>
          </w:p>
        </w:tc>
        <w:tc>
          <w:tcPr>
            <w:tcW w:w="456" w:type="pct"/>
            <w:noWrap w:val="0"/>
            <w:vAlign w:val="center"/>
          </w:tcPr>
          <w:p w14:paraId="3A64BF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997.22 </w:t>
            </w:r>
          </w:p>
        </w:tc>
        <w:tc>
          <w:tcPr>
            <w:tcW w:w="468" w:type="pct"/>
            <w:noWrap w:val="0"/>
            <w:vAlign w:val="center"/>
          </w:tcPr>
          <w:p w14:paraId="2E1ECE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6,129.00 </w:t>
            </w:r>
          </w:p>
        </w:tc>
      </w:tr>
      <w:tr w14:paraId="0912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2A7FD42E">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65" w:type="pct"/>
            <w:noWrap w:val="0"/>
            <w:vAlign w:val="center"/>
          </w:tcPr>
          <w:p w14:paraId="162E1610">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456" w:type="pct"/>
            <w:noWrap w:val="0"/>
            <w:vAlign w:val="center"/>
          </w:tcPr>
          <w:p w14:paraId="488A67DB">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9,038.32 </w:t>
            </w:r>
          </w:p>
        </w:tc>
        <w:tc>
          <w:tcPr>
            <w:tcW w:w="456" w:type="pct"/>
            <w:noWrap w:val="0"/>
            <w:vAlign w:val="center"/>
          </w:tcPr>
          <w:p w14:paraId="4EE9322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686.75 </w:t>
            </w:r>
          </w:p>
        </w:tc>
        <w:tc>
          <w:tcPr>
            <w:tcW w:w="456" w:type="pct"/>
            <w:noWrap w:val="0"/>
            <w:vAlign w:val="center"/>
          </w:tcPr>
          <w:p w14:paraId="49688E7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692.56 </w:t>
            </w:r>
          </w:p>
        </w:tc>
        <w:tc>
          <w:tcPr>
            <w:tcW w:w="456" w:type="pct"/>
            <w:gridSpan w:val="2"/>
            <w:noWrap w:val="0"/>
            <w:vAlign w:val="center"/>
          </w:tcPr>
          <w:p w14:paraId="68209D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699.00 </w:t>
            </w:r>
          </w:p>
        </w:tc>
        <w:tc>
          <w:tcPr>
            <w:tcW w:w="456" w:type="pct"/>
            <w:noWrap w:val="0"/>
            <w:vAlign w:val="center"/>
          </w:tcPr>
          <w:p w14:paraId="05D0352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719.82 </w:t>
            </w:r>
          </w:p>
        </w:tc>
        <w:tc>
          <w:tcPr>
            <w:tcW w:w="456" w:type="pct"/>
            <w:noWrap w:val="0"/>
            <w:vAlign w:val="center"/>
          </w:tcPr>
          <w:p w14:paraId="1819C8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725.99 </w:t>
            </w:r>
          </w:p>
        </w:tc>
        <w:tc>
          <w:tcPr>
            <w:tcW w:w="456" w:type="pct"/>
            <w:noWrap w:val="0"/>
            <w:vAlign w:val="center"/>
          </w:tcPr>
          <w:p w14:paraId="68A3E95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732.81 </w:t>
            </w:r>
          </w:p>
        </w:tc>
        <w:tc>
          <w:tcPr>
            <w:tcW w:w="456" w:type="pct"/>
            <w:noWrap w:val="0"/>
            <w:vAlign w:val="center"/>
          </w:tcPr>
          <w:p w14:paraId="3E30839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739.22 </w:t>
            </w:r>
          </w:p>
        </w:tc>
        <w:tc>
          <w:tcPr>
            <w:tcW w:w="468" w:type="pct"/>
            <w:noWrap w:val="0"/>
            <w:vAlign w:val="center"/>
          </w:tcPr>
          <w:p w14:paraId="13691D4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r>
      <w:tr w14:paraId="0FACF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02D247E4">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65" w:type="pct"/>
            <w:noWrap w:val="0"/>
            <w:vAlign w:val="center"/>
          </w:tcPr>
          <w:p w14:paraId="7B49B06B">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456" w:type="pct"/>
            <w:noWrap w:val="0"/>
            <w:vAlign w:val="center"/>
          </w:tcPr>
          <w:p w14:paraId="79E9470C">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6,766.53 </w:t>
            </w:r>
          </w:p>
        </w:tc>
        <w:tc>
          <w:tcPr>
            <w:tcW w:w="456" w:type="pct"/>
            <w:noWrap/>
            <w:vAlign w:val="bottom"/>
          </w:tcPr>
          <w:p w14:paraId="51B815E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506.67</w:t>
            </w:r>
          </w:p>
        </w:tc>
        <w:tc>
          <w:tcPr>
            <w:tcW w:w="456" w:type="pct"/>
            <w:noWrap/>
            <w:vAlign w:val="bottom"/>
          </w:tcPr>
          <w:p w14:paraId="11648DD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512.48</w:t>
            </w:r>
          </w:p>
        </w:tc>
        <w:tc>
          <w:tcPr>
            <w:tcW w:w="456" w:type="pct"/>
            <w:gridSpan w:val="2"/>
            <w:noWrap/>
            <w:vAlign w:val="bottom"/>
          </w:tcPr>
          <w:p w14:paraId="507D35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518.68</w:t>
            </w:r>
          </w:p>
        </w:tc>
        <w:tc>
          <w:tcPr>
            <w:tcW w:w="456" w:type="pct"/>
            <w:noWrap/>
            <w:vAlign w:val="bottom"/>
          </w:tcPr>
          <w:p w14:paraId="506EBD8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532.78</w:t>
            </w:r>
          </w:p>
        </w:tc>
        <w:tc>
          <w:tcPr>
            <w:tcW w:w="456" w:type="pct"/>
            <w:noWrap/>
            <w:vAlign w:val="bottom"/>
          </w:tcPr>
          <w:p w14:paraId="6E52163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538.95</w:t>
            </w:r>
          </w:p>
        </w:tc>
        <w:tc>
          <w:tcPr>
            <w:tcW w:w="456" w:type="pct"/>
            <w:noWrap/>
            <w:vAlign w:val="bottom"/>
          </w:tcPr>
          <w:p w14:paraId="396FE0F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545.53</w:t>
            </w:r>
          </w:p>
        </w:tc>
        <w:tc>
          <w:tcPr>
            <w:tcW w:w="456" w:type="pct"/>
            <w:noWrap/>
            <w:vAlign w:val="bottom"/>
          </w:tcPr>
          <w:p w14:paraId="7AA5848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551.94</w:t>
            </w:r>
          </w:p>
        </w:tc>
        <w:tc>
          <w:tcPr>
            <w:tcW w:w="468" w:type="pct"/>
            <w:noWrap/>
            <w:vAlign w:val="bottom"/>
          </w:tcPr>
          <w:p w14:paraId="7204648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0.00</w:t>
            </w:r>
          </w:p>
        </w:tc>
      </w:tr>
      <w:tr w14:paraId="1DB40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587A3E4D">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65" w:type="pct"/>
            <w:noWrap w:val="0"/>
            <w:vAlign w:val="center"/>
          </w:tcPr>
          <w:p w14:paraId="759C758D">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456" w:type="pct"/>
            <w:noWrap w:val="0"/>
            <w:vAlign w:val="center"/>
          </w:tcPr>
          <w:p w14:paraId="2549C2FF">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2,271.79 </w:t>
            </w:r>
          </w:p>
        </w:tc>
        <w:tc>
          <w:tcPr>
            <w:tcW w:w="456" w:type="pct"/>
            <w:noWrap/>
            <w:vAlign w:val="bottom"/>
          </w:tcPr>
          <w:p w14:paraId="553B911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180.08 </w:t>
            </w:r>
          </w:p>
        </w:tc>
        <w:tc>
          <w:tcPr>
            <w:tcW w:w="456" w:type="pct"/>
            <w:noWrap/>
            <w:vAlign w:val="bottom"/>
          </w:tcPr>
          <w:p w14:paraId="668A79E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180.08 </w:t>
            </w:r>
          </w:p>
        </w:tc>
        <w:tc>
          <w:tcPr>
            <w:tcW w:w="456" w:type="pct"/>
            <w:gridSpan w:val="2"/>
            <w:noWrap/>
            <w:vAlign w:val="bottom"/>
          </w:tcPr>
          <w:p w14:paraId="4C5A25B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180.32 </w:t>
            </w:r>
          </w:p>
        </w:tc>
        <w:tc>
          <w:tcPr>
            <w:tcW w:w="456" w:type="pct"/>
            <w:noWrap/>
            <w:vAlign w:val="bottom"/>
          </w:tcPr>
          <w:p w14:paraId="47E3B70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187.04 </w:t>
            </w:r>
          </w:p>
        </w:tc>
        <w:tc>
          <w:tcPr>
            <w:tcW w:w="456" w:type="pct"/>
            <w:noWrap/>
            <w:vAlign w:val="bottom"/>
          </w:tcPr>
          <w:p w14:paraId="3FF70AD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187.04 </w:t>
            </w:r>
          </w:p>
        </w:tc>
        <w:tc>
          <w:tcPr>
            <w:tcW w:w="456" w:type="pct"/>
            <w:noWrap/>
            <w:vAlign w:val="bottom"/>
          </w:tcPr>
          <w:p w14:paraId="607A0D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187.28 </w:t>
            </w:r>
          </w:p>
        </w:tc>
        <w:tc>
          <w:tcPr>
            <w:tcW w:w="456" w:type="pct"/>
            <w:noWrap/>
            <w:vAlign w:val="bottom"/>
          </w:tcPr>
          <w:p w14:paraId="5996A9F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187.28 </w:t>
            </w:r>
          </w:p>
        </w:tc>
        <w:tc>
          <w:tcPr>
            <w:tcW w:w="468" w:type="pct"/>
            <w:noWrap/>
            <w:vAlign w:val="bottom"/>
          </w:tcPr>
          <w:p w14:paraId="0E8D9F0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r>
      <w:tr w14:paraId="1259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5FBEA426">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65" w:type="pct"/>
            <w:noWrap w:val="0"/>
            <w:vAlign w:val="center"/>
          </w:tcPr>
          <w:p w14:paraId="6D7282E2">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456" w:type="pct"/>
            <w:noWrap w:val="0"/>
            <w:vAlign w:val="center"/>
          </w:tcPr>
          <w:p w14:paraId="0DBFD7CA">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9,600.96 </w:t>
            </w:r>
          </w:p>
        </w:tc>
        <w:tc>
          <w:tcPr>
            <w:tcW w:w="456" w:type="pct"/>
            <w:noWrap w:val="0"/>
            <w:vAlign w:val="center"/>
          </w:tcPr>
          <w:p w14:paraId="704F1B7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3643B71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gridSpan w:val="2"/>
            <w:noWrap w:val="0"/>
            <w:vAlign w:val="center"/>
          </w:tcPr>
          <w:p w14:paraId="0DB062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218152C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6285FF3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2F541C9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65F3D93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68" w:type="pct"/>
            <w:noWrap w:val="0"/>
            <w:vAlign w:val="center"/>
          </w:tcPr>
          <w:p w14:paraId="794ABFD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088D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76396EBA">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65" w:type="pct"/>
            <w:noWrap w:val="0"/>
            <w:vAlign w:val="center"/>
          </w:tcPr>
          <w:p w14:paraId="0F8C70D3">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456" w:type="pct"/>
            <w:noWrap w:val="0"/>
            <w:vAlign w:val="center"/>
          </w:tcPr>
          <w:p w14:paraId="2582DB86">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9,876.00 </w:t>
            </w:r>
          </w:p>
        </w:tc>
        <w:tc>
          <w:tcPr>
            <w:tcW w:w="456" w:type="pct"/>
            <w:noWrap w:val="0"/>
            <w:vAlign w:val="center"/>
          </w:tcPr>
          <w:p w14:paraId="16BA8C5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noWrap w:val="0"/>
            <w:vAlign w:val="center"/>
          </w:tcPr>
          <w:p w14:paraId="446C490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gridSpan w:val="2"/>
            <w:noWrap w:val="0"/>
            <w:vAlign w:val="center"/>
          </w:tcPr>
          <w:p w14:paraId="30B864D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noWrap w:val="0"/>
            <w:vAlign w:val="center"/>
          </w:tcPr>
          <w:p w14:paraId="2C2F4DE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noWrap w:val="0"/>
            <w:vAlign w:val="center"/>
          </w:tcPr>
          <w:p w14:paraId="06B8597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noWrap w:val="0"/>
            <w:vAlign w:val="center"/>
          </w:tcPr>
          <w:p w14:paraId="0C8F8F8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noWrap w:val="0"/>
            <w:vAlign w:val="center"/>
          </w:tcPr>
          <w:p w14:paraId="5A8040F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68" w:type="pct"/>
            <w:noWrap w:val="0"/>
            <w:vAlign w:val="center"/>
          </w:tcPr>
          <w:p w14:paraId="65AE682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6,129.00 </w:t>
            </w:r>
          </w:p>
        </w:tc>
      </w:tr>
      <w:tr w14:paraId="40734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16737C03">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665" w:type="pct"/>
            <w:noWrap w:val="0"/>
            <w:vAlign w:val="center"/>
          </w:tcPr>
          <w:p w14:paraId="3B17B375">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456" w:type="pct"/>
            <w:noWrap w:val="0"/>
            <w:vAlign w:val="center"/>
          </w:tcPr>
          <w:p w14:paraId="57AAAC81">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6.00 </w:t>
            </w:r>
          </w:p>
        </w:tc>
        <w:tc>
          <w:tcPr>
            <w:tcW w:w="456" w:type="pct"/>
            <w:noWrap w:val="0"/>
            <w:vAlign w:val="center"/>
          </w:tcPr>
          <w:p w14:paraId="7B314F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4016E49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gridSpan w:val="2"/>
            <w:noWrap w:val="0"/>
            <w:vAlign w:val="center"/>
          </w:tcPr>
          <w:p w14:paraId="22CCED1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36191D56">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46C767D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11673E5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66C7F2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68" w:type="pct"/>
            <w:noWrap w:val="0"/>
            <w:vAlign w:val="bottom"/>
          </w:tcPr>
          <w:p w14:paraId="2447BBE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2D51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5037CAD2">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665" w:type="pct"/>
            <w:noWrap w:val="0"/>
            <w:vAlign w:val="center"/>
          </w:tcPr>
          <w:p w14:paraId="49F374E1">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456" w:type="pct"/>
            <w:noWrap w:val="0"/>
            <w:vAlign w:val="center"/>
          </w:tcPr>
          <w:p w14:paraId="3ADA9A29">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6,000.00 </w:t>
            </w:r>
          </w:p>
        </w:tc>
        <w:tc>
          <w:tcPr>
            <w:tcW w:w="456" w:type="pct"/>
            <w:noWrap w:val="0"/>
            <w:vAlign w:val="center"/>
          </w:tcPr>
          <w:p w14:paraId="30FD7AF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220AC63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gridSpan w:val="2"/>
            <w:noWrap w:val="0"/>
            <w:vAlign w:val="center"/>
          </w:tcPr>
          <w:p w14:paraId="5EC13E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bottom"/>
          </w:tcPr>
          <w:p w14:paraId="004D31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ign w:val="bottom"/>
          </w:tcPr>
          <w:p w14:paraId="635D737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ign w:val="bottom"/>
          </w:tcPr>
          <w:p w14:paraId="1A10EAD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ign w:val="bottom"/>
          </w:tcPr>
          <w:p w14:paraId="1B0F4C6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68" w:type="pct"/>
            <w:noWrap/>
            <w:vAlign w:val="bottom"/>
          </w:tcPr>
          <w:p w14:paraId="21A7E65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6,000.00 </w:t>
            </w:r>
          </w:p>
        </w:tc>
      </w:tr>
      <w:tr w14:paraId="02DF3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4F5AC834">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665" w:type="pct"/>
            <w:noWrap w:val="0"/>
            <w:vAlign w:val="center"/>
          </w:tcPr>
          <w:p w14:paraId="2482507F">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456" w:type="pct"/>
            <w:noWrap w:val="0"/>
            <w:vAlign w:val="center"/>
          </w:tcPr>
          <w:p w14:paraId="42BC9EAD">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3,870.00 </w:t>
            </w:r>
          </w:p>
        </w:tc>
        <w:tc>
          <w:tcPr>
            <w:tcW w:w="456" w:type="pct"/>
            <w:noWrap/>
            <w:vAlign w:val="bottom"/>
          </w:tcPr>
          <w:p w14:paraId="375FD84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noWrap/>
            <w:vAlign w:val="bottom"/>
          </w:tcPr>
          <w:p w14:paraId="757A698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gridSpan w:val="2"/>
            <w:noWrap/>
            <w:vAlign w:val="bottom"/>
          </w:tcPr>
          <w:p w14:paraId="69F5DB9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noWrap/>
            <w:vAlign w:val="bottom"/>
          </w:tcPr>
          <w:p w14:paraId="102DF01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noWrap/>
            <w:vAlign w:val="bottom"/>
          </w:tcPr>
          <w:p w14:paraId="0410EA6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noWrap/>
            <w:vAlign w:val="bottom"/>
          </w:tcPr>
          <w:p w14:paraId="6055135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56" w:type="pct"/>
            <w:noWrap/>
            <w:vAlign w:val="bottom"/>
          </w:tcPr>
          <w:p w14:paraId="3C6BDC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258.00 </w:t>
            </w:r>
          </w:p>
        </w:tc>
        <w:tc>
          <w:tcPr>
            <w:tcW w:w="468" w:type="pct"/>
            <w:noWrap/>
            <w:vAlign w:val="bottom"/>
          </w:tcPr>
          <w:p w14:paraId="6D8FEB2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129.00 </w:t>
            </w:r>
          </w:p>
        </w:tc>
      </w:tr>
      <w:tr w14:paraId="369B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1F1E6856">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665" w:type="pct"/>
            <w:noWrap w:val="0"/>
            <w:vAlign w:val="center"/>
          </w:tcPr>
          <w:p w14:paraId="05C0AA25">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456" w:type="pct"/>
            <w:noWrap w:val="0"/>
            <w:vAlign w:val="center"/>
          </w:tcPr>
          <w:p w14:paraId="75100115">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4EDE7E3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7B5D1AB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gridSpan w:val="2"/>
            <w:noWrap w:val="0"/>
            <w:vAlign w:val="center"/>
          </w:tcPr>
          <w:p w14:paraId="16744E5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2520EA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181F0E3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6FACAF1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456" w:type="pct"/>
            <w:noWrap w:val="0"/>
            <w:vAlign w:val="center"/>
          </w:tcPr>
          <w:p w14:paraId="01CDAD8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68" w:type="pct"/>
            <w:noWrap w:val="0"/>
            <w:vAlign w:val="bottom"/>
          </w:tcPr>
          <w:p w14:paraId="0FC0F06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r>
      <w:tr w14:paraId="7CB3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37DA7784">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665" w:type="pct"/>
            <w:noWrap w:val="0"/>
            <w:vAlign w:val="center"/>
          </w:tcPr>
          <w:p w14:paraId="3CC333F3">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456" w:type="pct"/>
            <w:noWrap w:val="0"/>
            <w:vAlign w:val="center"/>
          </w:tcPr>
          <w:p w14:paraId="19FFD140">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6D2C75B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19D43EB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gridSpan w:val="2"/>
            <w:noWrap w:val="0"/>
            <w:vAlign w:val="center"/>
          </w:tcPr>
          <w:p w14:paraId="2EA2574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1975E9D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1F082DA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6775519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1465C84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c>
          <w:tcPr>
            <w:tcW w:w="468" w:type="pct"/>
            <w:noWrap w:val="0"/>
            <w:vAlign w:val="center"/>
          </w:tcPr>
          <w:p w14:paraId="7998A36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   </w:t>
            </w:r>
          </w:p>
        </w:tc>
      </w:tr>
      <w:tr w14:paraId="62449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35534D89">
            <w:pPr>
              <w:widowControl/>
              <w:jc w:val="center"/>
              <w:rPr>
                <w:rFonts w:ascii="宋体" w:hAnsi="宋体" w:cs="宋体"/>
                <w:b/>
                <w:bCs/>
                <w:color w:val="000000"/>
                <w:kern w:val="0"/>
                <w:sz w:val="18"/>
                <w:szCs w:val="18"/>
              </w:rPr>
            </w:pPr>
            <w:r>
              <w:rPr>
                <w:rFonts w:hint="eastAsia" w:ascii="宋体" w:hAnsi="宋体" w:cs="宋体"/>
                <w:b/>
                <w:color w:val="000000"/>
                <w:kern w:val="0"/>
                <w:sz w:val="18"/>
                <w:szCs w:val="18"/>
              </w:rPr>
              <w:t>三</w:t>
            </w:r>
          </w:p>
        </w:tc>
        <w:tc>
          <w:tcPr>
            <w:tcW w:w="665" w:type="pct"/>
            <w:noWrap w:val="0"/>
            <w:vAlign w:val="center"/>
          </w:tcPr>
          <w:p w14:paraId="696129A1">
            <w:pPr>
              <w:widowControl/>
              <w:jc w:val="center"/>
              <w:rPr>
                <w:rFonts w:ascii="宋体" w:hAnsi="宋体" w:cs="宋体"/>
                <w:b/>
                <w:bCs/>
                <w:color w:val="000000"/>
                <w:kern w:val="0"/>
                <w:sz w:val="18"/>
                <w:szCs w:val="18"/>
              </w:rPr>
            </w:pPr>
            <w:r>
              <w:rPr>
                <w:rFonts w:hint="eastAsia" w:ascii="宋体" w:hAnsi="宋体" w:cs="宋体"/>
                <w:b/>
                <w:color w:val="000000"/>
                <w:kern w:val="0"/>
                <w:sz w:val="18"/>
                <w:szCs w:val="18"/>
              </w:rPr>
              <w:t>当期现金结余</w:t>
            </w:r>
          </w:p>
        </w:tc>
        <w:tc>
          <w:tcPr>
            <w:tcW w:w="456" w:type="pct"/>
            <w:noWrap w:val="0"/>
            <w:vAlign w:val="center"/>
          </w:tcPr>
          <w:p w14:paraId="142B7C26">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4,090.28 </w:t>
            </w:r>
          </w:p>
        </w:tc>
        <w:tc>
          <w:tcPr>
            <w:tcW w:w="456" w:type="pct"/>
            <w:noWrap w:val="0"/>
            <w:vAlign w:val="center"/>
          </w:tcPr>
          <w:p w14:paraId="6CD793E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857.88 </w:t>
            </w:r>
          </w:p>
        </w:tc>
        <w:tc>
          <w:tcPr>
            <w:tcW w:w="456" w:type="pct"/>
            <w:noWrap w:val="0"/>
            <w:vAlign w:val="center"/>
          </w:tcPr>
          <w:p w14:paraId="40B8B61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852.07 </w:t>
            </w:r>
          </w:p>
        </w:tc>
        <w:tc>
          <w:tcPr>
            <w:tcW w:w="456" w:type="pct"/>
            <w:gridSpan w:val="2"/>
            <w:noWrap w:val="0"/>
            <w:vAlign w:val="center"/>
          </w:tcPr>
          <w:p w14:paraId="2514F5E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848.03 </w:t>
            </w:r>
          </w:p>
        </w:tc>
        <w:tc>
          <w:tcPr>
            <w:tcW w:w="456" w:type="pct"/>
            <w:noWrap w:val="0"/>
            <w:vAlign w:val="center"/>
          </w:tcPr>
          <w:p w14:paraId="719384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894.42 </w:t>
            </w:r>
          </w:p>
        </w:tc>
        <w:tc>
          <w:tcPr>
            <w:tcW w:w="456" w:type="pct"/>
            <w:noWrap w:val="0"/>
            <w:vAlign w:val="center"/>
          </w:tcPr>
          <w:p w14:paraId="739BC81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888.25 </w:t>
            </w:r>
          </w:p>
        </w:tc>
        <w:tc>
          <w:tcPr>
            <w:tcW w:w="456" w:type="pct"/>
            <w:noWrap w:val="0"/>
            <w:vAlign w:val="center"/>
          </w:tcPr>
          <w:p w14:paraId="3AC142F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883.83 </w:t>
            </w:r>
          </w:p>
        </w:tc>
        <w:tc>
          <w:tcPr>
            <w:tcW w:w="456" w:type="pct"/>
            <w:noWrap w:val="0"/>
            <w:vAlign w:val="center"/>
          </w:tcPr>
          <w:p w14:paraId="34C5063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877.42 </w:t>
            </w:r>
          </w:p>
        </w:tc>
        <w:tc>
          <w:tcPr>
            <w:tcW w:w="468" w:type="pct"/>
            <w:noWrap w:val="0"/>
            <w:vAlign w:val="center"/>
          </w:tcPr>
          <w:p w14:paraId="516FDA7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-6,129.00 </w:t>
            </w:r>
          </w:p>
        </w:tc>
      </w:tr>
      <w:tr w14:paraId="403B5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15" w:type="pct"/>
            <w:noWrap w:val="0"/>
            <w:vAlign w:val="center"/>
          </w:tcPr>
          <w:p w14:paraId="167F3114">
            <w:pPr>
              <w:widowControl/>
              <w:jc w:val="center"/>
              <w:rPr>
                <w:rFonts w:ascii="宋体" w:hAnsi="宋体" w:cs="宋体"/>
                <w:b/>
                <w:bCs/>
                <w:color w:val="000000"/>
                <w:kern w:val="0"/>
                <w:sz w:val="18"/>
                <w:szCs w:val="18"/>
              </w:rPr>
            </w:pPr>
            <w:r>
              <w:rPr>
                <w:rFonts w:hint="eastAsia" w:ascii="宋体" w:hAnsi="宋体" w:cs="宋体"/>
                <w:b/>
                <w:color w:val="000000"/>
                <w:kern w:val="0"/>
                <w:sz w:val="18"/>
                <w:szCs w:val="18"/>
              </w:rPr>
              <w:t>四</w:t>
            </w:r>
          </w:p>
        </w:tc>
        <w:tc>
          <w:tcPr>
            <w:tcW w:w="665" w:type="pct"/>
            <w:noWrap w:val="0"/>
            <w:vAlign w:val="center"/>
          </w:tcPr>
          <w:p w14:paraId="420D3F5B">
            <w:pPr>
              <w:widowControl/>
              <w:jc w:val="center"/>
              <w:rPr>
                <w:rFonts w:ascii="宋体" w:hAnsi="宋体" w:cs="宋体"/>
                <w:b/>
                <w:bCs/>
                <w:color w:val="000000"/>
                <w:kern w:val="0"/>
                <w:sz w:val="18"/>
                <w:szCs w:val="18"/>
              </w:rPr>
            </w:pPr>
            <w:r>
              <w:rPr>
                <w:rFonts w:hint="eastAsia" w:ascii="宋体" w:hAnsi="宋体" w:cs="宋体"/>
                <w:b/>
                <w:color w:val="000000"/>
                <w:kern w:val="0"/>
                <w:sz w:val="18"/>
                <w:szCs w:val="18"/>
              </w:rPr>
              <w:t>期初现金</w:t>
            </w:r>
          </w:p>
        </w:tc>
        <w:tc>
          <w:tcPr>
            <w:tcW w:w="456" w:type="pct"/>
            <w:noWrap w:val="0"/>
            <w:vAlign w:val="center"/>
          </w:tcPr>
          <w:p w14:paraId="3297B9FD">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098AECD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4,117.38 </w:t>
            </w:r>
          </w:p>
        </w:tc>
        <w:tc>
          <w:tcPr>
            <w:tcW w:w="456" w:type="pct"/>
            <w:noWrap w:val="0"/>
            <w:vAlign w:val="center"/>
          </w:tcPr>
          <w:p w14:paraId="377ACDE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4,975.26 </w:t>
            </w:r>
          </w:p>
        </w:tc>
        <w:tc>
          <w:tcPr>
            <w:tcW w:w="456" w:type="pct"/>
            <w:gridSpan w:val="2"/>
            <w:noWrap w:val="0"/>
            <w:vAlign w:val="center"/>
          </w:tcPr>
          <w:p w14:paraId="605F05C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5,827.33 </w:t>
            </w:r>
          </w:p>
        </w:tc>
        <w:tc>
          <w:tcPr>
            <w:tcW w:w="456" w:type="pct"/>
            <w:noWrap w:val="0"/>
            <w:vAlign w:val="center"/>
          </w:tcPr>
          <w:p w14:paraId="0D982E2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6,675.36 </w:t>
            </w:r>
          </w:p>
        </w:tc>
        <w:tc>
          <w:tcPr>
            <w:tcW w:w="456" w:type="pct"/>
            <w:noWrap w:val="0"/>
            <w:vAlign w:val="center"/>
          </w:tcPr>
          <w:p w14:paraId="2CDFD95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7,569.78 </w:t>
            </w:r>
          </w:p>
        </w:tc>
        <w:tc>
          <w:tcPr>
            <w:tcW w:w="456" w:type="pct"/>
            <w:noWrap w:val="0"/>
            <w:vAlign w:val="center"/>
          </w:tcPr>
          <w:p w14:paraId="75FFD2A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8,458.03 </w:t>
            </w:r>
          </w:p>
        </w:tc>
        <w:tc>
          <w:tcPr>
            <w:tcW w:w="456" w:type="pct"/>
            <w:noWrap w:val="0"/>
            <w:vAlign w:val="center"/>
          </w:tcPr>
          <w:p w14:paraId="5F11139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9,341.86 </w:t>
            </w:r>
          </w:p>
        </w:tc>
        <w:tc>
          <w:tcPr>
            <w:tcW w:w="468" w:type="pct"/>
            <w:noWrap w:val="0"/>
            <w:vAlign w:val="center"/>
          </w:tcPr>
          <w:p w14:paraId="1F6819A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10,219.28 </w:t>
            </w:r>
          </w:p>
        </w:tc>
      </w:tr>
      <w:tr w14:paraId="56051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15" w:type="pct"/>
            <w:noWrap w:val="0"/>
            <w:vAlign w:val="center"/>
          </w:tcPr>
          <w:p w14:paraId="78647E77">
            <w:pPr>
              <w:widowControl/>
              <w:jc w:val="center"/>
              <w:rPr>
                <w:rFonts w:ascii="宋体" w:hAnsi="宋体" w:cs="宋体"/>
                <w:b/>
                <w:bCs/>
                <w:color w:val="000000"/>
                <w:kern w:val="0"/>
                <w:sz w:val="18"/>
                <w:szCs w:val="18"/>
              </w:rPr>
            </w:pPr>
            <w:r>
              <w:rPr>
                <w:rFonts w:hint="eastAsia" w:ascii="宋体" w:hAnsi="宋体" w:cs="宋体"/>
                <w:b/>
                <w:color w:val="000000"/>
                <w:kern w:val="0"/>
                <w:sz w:val="18"/>
                <w:szCs w:val="18"/>
              </w:rPr>
              <w:t>五</w:t>
            </w:r>
          </w:p>
        </w:tc>
        <w:tc>
          <w:tcPr>
            <w:tcW w:w="665" w:type="pct"/>
            <w:noWrap w:val="0"/>
            <w:vAlign w:val="center"/>
          </w:tcPr>
          <w:p w14:paraId="6680B4AE">
            <w:pPr>
              <w:widowControl/>
              <w:jc w:val="center"/>
              <w:rPr>
                <w:rFonts w:ascii="宋体" w:hAnsi="宋体" w:cs="宋体"/>
                <w:b/>
                <w:bCs/>
                <w:color w:val="000000"/>
                <w:kern w:val="0"/>
                <w:sz w:val="18"/>
                <w:szCs w:val="18"/>
              </w:rPr>
            </w:pPr>
            <w:r>
              <w:rPr>
                <w:rFonts w:hint="eastAsia" w:ascii="宋体" w:hAnsi="宋体" w:cs="宋体"/>
                <w:b/>
                <w:color w:val="000000"/>
                <w:kern w:val="0"/>
                <w:sz w:val="18"/>
                <w:szCs w:val="18"/>
              </w:rPr>
              <w:t>期末现金</w:t>
            </w:r>
          </w:p>
        </w:tc>
        <w:tc>
          <w:tcPr>
            <w:tcW w:w="456" w:type="pct"/>
            <w:noWrap w:val="0"/>
            <w:vAlign w:val="center"/>
          </w:tcPr>
          <w:p w14:paraId="01066F87">
            <w:pPr>
              <w:keepNext w:val="0"/>
              <w:keepLines w:val="0"/>
              <w:widowControl/>
              <w:suppressLineNumbers w:val="0"/>
              <w:jc w:val="center"/>
              <w:textAlignment w:val="center"/>
              <w:rPr>
                <w:rFonts w:hint="eastAsia" w:ascii="宋体" w:hAnsi="宋体" w:eastAsia="宋体"/>
                <w:color w:val="000000"/>
                <w:sz w:val="18"/>
                <w:szCs w:val="18"/>
                <w:lang w:eastAsia="zh-CN"/>
              </w:rPr>
            </w:pPr>
            <w:r>
              <w:rPr>
                <w:rFonts w:hint="eastAsia" w:ascii="宋体" w:hAnsi="宋体" w:eastAsia="宋体" w:cs="宋体"/>
                <w:i w:val="0"/>
                <w:iCs w:val="0"/>
                <w:color w:val="000000"/>
                <w:kern w:val="0"/>
                <w:sz w:val="18"/>
                <w:szCs w:val="18"/>
                <w:u w:val="none"/>
                <w:lang w:val="en-US" w:eastAsia="zh-CN" w:bidi="ar"/>
              </w:rPr>
              <w:t xml:space="preserve"> -- </w:t>
            </w:r>
          </w:p>
        </w:tc>
        <w:tc>
          <w:tcPr>
            <w:tcW w:w="456" w:type="pct"/>
            <w:noWrap w:val="0"/>
            <w:vAlign w:val="center"/>
          </w:tcPr>
          <w:p w14:paraId="4D58D9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4,975.26 </w:t>
            </w:r>
          </w:p>
        </w:tc>
        <w:tc>
          <w:tcPr>
            <w:tcW w:w="456" w:type="pct"/>
            <w:noWrap w:val="0"/>
            <w:vAlign w:val="center"/>
          </w:tcPr>
          <w:p w14:paraId="62A3EF4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5,827.33 </w:t>
            </w:r>
          </w:p>
        </w:tc>
        <w:tc>
          <w:tcPr>
            <w:tcW w:w="456" w:type="pct"/>
            <w:gridSpan w:val="2"/>
            <w:noWrap w:val="0"/>
            <w:vAlign w:val="center"/>
          </w:tcPr>
          <w:p w14:paraId="65210E1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6,675.36 </w:t>
            </w:r>
          </w:p>
        </w:tc>
        <w:tc>
          <w:tcPr>
            <w:tcW w:w="456" w:type="pct"/>
            <w:noWrap w:val="0"/>
            <w:vAlign w:val="center"/>
          </w:tcPr>
          <w:p w14:paraId="6602C6D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7,569.78 </w:t>
            </w:r>
          </w:p>
        </w:tc>
        <w:tc>
          <w:tcPr>
            <w:tcW w:w="456" w:type="pct"/>
            <w:noWrap w:val="0"/>
            <w:vAlign w:val="center"/>
          </w:tcPr>
          <w:p w14:paraId="3767DBB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8,458.03 </w:t>
            </w:r>
          </w:p>
        </w:tc>
        <w:tc>
          <w:tcPr>
            <w:tcW w:w="456" w:type="pct"/>
            <w:noWrap w:val="0"/>
            <w:vAlign w:val="center"/>
          </w:tcPr>
          <w:p w14:paraId="2C41094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9,341.86 </w:t>
            </w:r>
          </w:p>
        </w:tc>
        <w:tc>
          <w:tcPr>
            <w:tcW w:w="456" w:type="pct"/>
            <w:noWrap w:val="0"/>
            <w:vAlign w:val="center"/>
          </w:tcPr>
          <w:p w14:paraId="3917D0D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10,219.28 </w:t>
            </w:r>
          </w:p>
        </w:tc>
        <w:tc>
          <w:tcPr>
            <w:tcW w:w="468" w:type="pct"/>
            <w:noWrap w:val="0"/>
            <w:vAlign w:val="center"/>
          </w:tcPr>
          <w:p w14:paraId="391CCF0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4,090.28 </w:t>
            </w:r>
          </w:p>
        </w:tc>
      </w:tr>
      <w:tr w14:paraId="649CA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trPr>
        <w:tc>
          <w:tcPr>
            <w:tcW w:w="2499" w:type="pct"/>
            <w:gridSpan w:val="6"/>
            <w:noWrap w:val="0"/>
            <w:vAlign w:val="center"/>
          </w:tcPr>
          <w:p w14:paraId="3612AB37">
            <w:pPr>
              <w:widowControl/>
              <w:jc w:val="center"/>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债券资金覆盖倍数</w:t>
            </w:r>
          </w:p>
        </w:tc>
        <w:tc>
          <w:tcPr>
            <w:tcW w:w="2500" w:type="pct"/>
            <w:gridSpan w:val="6"/>
            <w:noWrap w:val="0"/>
            <w:vAlign w:val="center"/>
          </w:tcPr>
          <w:p w14:paraId="0DDCEE6F">
            <w:pPr>
              <w:widowControl/>
              <w:jc w:val="center"/>
              <w:rPr>
                <w:rFonts w:hint="default"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1.</w:t>
            </w:r>
            <w:r>
              <w:rPr>
                <w:rFonts w:hint="eastAsia" w:ascii="宋体" w:hAnsi="宋体" w:cs="宋体"/>
                <w:color w:val="000000"/>
                <w:kern w:val="0"/>
                <w:sz w:val="18"/>
                <w:szCs w:val="18"/>
                <w:lang w:val="en-US" w:eastAsia="zh-CN"/>
              </w:rPr>
              <w:t>39</w:t>
            </w:r>
          </w:p>
        </w:tc>
      </w:tr>
    </w:tbl>
    <w:p w14:paraId="145656FE">
      <w:pPr>
        <w:pStyle w:val="23"/>
        <w:spacing w:before="0" w:beforeAutospacing="0" w:after="0" w:afterAutospacing="0" w:line="360" w:lineRule="exact"/>
        <w:rPr>
          <w:sz w:val="18"/>
          <w:szCs w:val="18"/>
        </w:rPr>
      </w:pPr>
    </w:p>
    <w:p w14:paraId="3B69387A">
      <w:pPr>
        <w:pStyle w:val="23"/>
        <w:spacing w:before="0" w:beforeAutospacing="0" w:after="0" w:afterAutospacing="0" w:line="360" w:lineRule="exact"/>
        <w:ind w:firstLine="360" w:firstLineChars="200"/>
        <w:rPr>
          <w:sz w:val="21"/>
          <w:szCs w:val="21"/>
        </w:rPr>
        <w:sectPr>
          <w:pgSz w:w="16838" w:h="11906" w:orient="landscape"/>
          <w:pgMar w:top="1701" w:right="1531" w:bottom="1701" w:left="1418" w:header="851" w:footer="992" w:gutter="0"/>
          <w:cols w:space="720" w:num="1"/>
          <w:docGrid w:type="linesAndChars" w:linePitch="312" w:charSpace="0"/>
        </w:sectPr>
      </w:pPr>
      <w:r>
        <w:rPr>
          <w:rFonts w:hint="eastAsia"/>
          <w:sz w:val="18"/>
          <w:szCs w:val="18"/>
        </w:rPr>
        <w:t>注：按照在存续期内预期收入和预期支出测算</w:t>
      </w:r>
      <w:r>
        <w:rPr>
          <w:rFonts w:hint="eastAsia"/>
          <w:sz w:val="18"/>
          <w:szCs w:val="18"/>
          <w:lang w:eastAsia="zh-CN"/>
        </w:rPr>
        <w:t>，</w:t>
      </w:r>
      <w:r>
        <w:rPr>
          <w:rFonts w:hint="eastAsia"/>
          <w:sz w:val="18"/>
          <w:szCs w:val="18"/>
        </w:rPr>
        <w:t>按照预计条件估算的资金平衡结果，项目存续期内可达到的偿债资金覆盖倍数为1.</w:t>
      </w:r>
      <w:r>
        <w:rPr>
          <w:rFonts w:hint="eastAsia"/>
          <w:sz w:val="18"/>
          <w:szCs w:val="18"/>
          <w:lang w:val="en-US" w:eastAsia="zh-CN"/>
        </w:rPr>
        <w:t>39</w:t>
      </w:r>
      <w:r>
        <w:rPr>
          <w:rFonts w:hint="eastAsia"/>
          <w:sz w:val="18"/>
          <w:szCs w:val="18"/>
        </w:rPr>
        <w:t>倍，还本付息资金有充分保障。</w:t>
      </w:r>
    </w:p>
    <w:p w14:paraId="0497F422">
      <w:pPr>
        <w:spacing w:before="156" w:beforeLines="50" w:after="156" w:afterLines="50" w:line="560" w:lineRule="exact"/>
        <w:ind w:firstLine="480" w:firstLineChars="200"/>
        <w:rPr>
          <w:rFonts w:hint="eastAsia" w:ascii="宋体" w:eastAsia="宋体" w:cs="宋体"/>
          <w:color w:val="000000"/>
          <w:sz w:val="24"/>
          <w:szCs w:val="24"/>
          <w:lang w:val="en-US" w:eastAsia="zh-CN" w:bidi="ar-SA"/>
        </w:rPr>
      </w:pPr>
      <w:r>
        <w:rPr>
          <w:rFonts w:hint="eastAsia" w:ascii="宋体" w:eastAsia="宋体" w:cs="宋体"/>
          <w:color w:val="000000"/>
          <w:sz w:val="24"/>
          <w:szCs w:val="24"/>
          <w:lang w:val="en-US" w:eastAsia="zh-CN" w:bidi="ar-SA"/>
        </w:rPr>
        <w:t>本次发行专项债券各项目预期运营现金流入合计22,740.60万元，运营现金流出合计9,038.32万元，债券存续期内债券本金与利息合计9,870.00万元，项目存续期内偿债资金覆盖倍数为1.39倍，还本付息资金有充分保障，项目实施方案资金计划能够满足发行专项债券资金充足性要求。</w:t>
      </w:r>
    </w:p>
    <w:p w14:paraId="01A2BAA8">
      <w:pPr>
        <w:pStyle w:val="2"/>
        <w:numPr>
          <w:ilvl w:val="0"/>
          <w:numId w:val="0"/>
        </w:numPr>
        <w:rPr>
          <w:rFonts w:hint="default"/>
          <w:lang w:val="en-US" w:eastAsia="zh-CN"/>
        </w:rPr>
      </w:pPr>
      <w:r>
        <w:rPr>
          <w:rFonts w:hint="eastAsia"/>
          <w:lang w:val="en-US" w:eastAsia="zh-CN"/>
        </w:rPr>
        <w:t>四、事前绩效</w:t>
      </w:r>
      <w:bookmarkEnd w:id="53"/>
    </w:p>
    <w:p w14:paraId="45481369">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bidi="ar-SA"/>
        </w:rPr>
        <w:t>1、项目实施的必要性、公益性、收益性</w:t>
      </w:r>
    </w:p>
    <w:p w14:paraId="64CBC4C6">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bidi="ar-SA"/>
        </w:rPr>
        <w:t>（1）必要性</w:t>
      </w:r>
    </w:p>
    <w:p w14:paraId="71AFFD36">
      <w:pPr>
        <w:spacing w:line="360" w:lineRule="auto"/>
        <w:ind w:firstLine="560"/>
        <w:rPr>
          <w:rFonts w:hint="default" w:ascii="宋体" w:eastAsia="宋体" w:cs="宋体"/>
          <w:color w:val="000000"/>
          <w:sz w:val="24"/>
          <w:szCs w:val="24"/>
          <w:lang w:val="en-US" w:eastAsia="zh-CN" w:bidi="ar-SA"/>
        </w:rPr>
      </w:pPr>
      <w:r>
        <w:rPr>
          <w:rFonts w:hint="eastAsia" w:ascii="宋体" w:eastAsia="宋体" w:cs="宋体"/>
          <w:color w:val="000000"/>
          <w:sz w:val="24"/>
          <w:szCs w:val="24"/>
          <w:lang w:val="en-US" w:eastAsia="zh-CN" w:bidi="ar-SA"/>
        </w:rPr>
        <w:t>1）项目的建设是新型智慧城市建设有效实践的需要</w:t>
      </w:r>
    </w:p>
    <w:p w14:paraId="3C2A722E">
      <w:pPr>
        <w:spacing w:line="360" w:lineRule="auto"/>
        <w:ind w:firstLine="560"/>
        <w:rPr>
          <w:rFonts w:hint="eastAsia" w:ascii="宋体" w:eastAsia="宋体" w:cs="宋体"/>
          <w:color w:val="000000"/>
          <w:sz w:val="24"/>
          <w:szCs w:val="24"/>
          <w:lang w:val="en-US" w:eastAsia="zh-CN" w:bidi="ar-SA"/>
        </w:rPr>
      </w:pPr>
      <w:r>
        <w:rPr>
          <w:rFonts w:hint="eastAsia" w:ascii="宋体" w:eastAsia="宋体" w:cs="宋体"/>
          <w:color w:val="000000"/>
          <w:sz w:val="24"/>
          <w:szCs w:val="24"/>
          <w:lang w:val="en-US" w:eastAsia="zh-CN" w:bidi="ar-SA"/>
        </w:rPr>
        <w:t>2）项目的建设是推动政府数字化转型升级必经之路的需要</w:t>
      </w:r>
    </w:p>
    <w:p w14:paraId="79F4EFFB">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val="en-US" w:eastAsia="zh-CN" w:bidi="ar-SA"/>
        </w:rPr>
        <w:t>3）项目的建设是提高城市管理效率的需要</w:t>
      </w:r>
    </w:p>
    <w:p w14:paraId="5EBCB37D">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bidi="ar-SA"/>
        </w:rPr>
        <w:t>（2）公益性</w:t>
      </w:r>
    </w:p>
    <w:p w14:paraId="5C8D07A7">
      <w:pPr>
        <w:spacing w:line="360" w:lineRule="auto"/>
        <w:ind w:firstLine="560"/>
        <w:rPr>
          <w:rFonts w:hint="eastAsia" w:ascii="宋体" w:eastAsia="宋体" w:cs="宋体"/>
          <w:color w:val="000000"/>
          <w:sz w:val="24"/>
          <w:szCs w:val="24"/>
          <w:lang w:val="en-GB" w:eastAsia="zh-CN" w:bidi="ar-SA"/>
        </w:rPr>
      </w:pPr>
      <w:r>
        <w:rPr>
          <w:rFonts w:hint="eastAsia" w:ascii="宋体" w:eastAsia="宋体" w:cs="宋体"/>
          <w:color w:val="000000"/>
          <w:sz w:val="24"/>
          <w:szCs w:val="24"/>
          <w:lang w:val="en-US" w:eastAsia="zh-CN" w:bidi="ar-SA"/>
        </w:rPr>
        <w:t>1)</w:t>
      </w:r>
      <w:r>
        <w:rPr>
          <w:rFonts w:hint="eastAsia" w:ascii="宋体" w:eastAsia="宋体" w:cs="宋体"/>
          <w:color w:val="000000"/>
          <w:sz w:val="24"/>
          <w:szCs w:val="24"/>
          <w:lang w:val="en-GB" w:eastAsia="zh-CN" w:bidi="ar-SA"/>
        </w:rPr>
        <w:t>提升政务服务水平和社会治理能力</w:t>
      </w:r>
    </w:p>
    <w:p w14:paraId="7133CD69">
      <w:pPr>
        <w:spacing w:line="360" w:lineRule="auto"/>
        <w:ind w:firstLine="560"/>
        <w:rPr>
          <w:rFonts w:hint="eastAsia" w:ascii="宋体" w:eastAsia="宋体" w:cs="宋体"/>
          <w:color w:val="000000"/>
          <w:sz w:val="24"/>
          <w:szCs w:val="24"/>
          <w:lang w:val="en-GB" w:eastAsia="zh-CN" w:bidi="ar-SA"/>
        </w:rPr>
      </w:pPr>
      <w:r>
        <w:rPr>
          <w:rFonts w:hint="eastAsia" w:ascii="宋体" w:eastAsia="宋体" w:cs="宋体"/>
          <w:color w:val="000000"/>
          <w:sz w:val="24"/>
          <w:szCs w:val="24"/>
          <w:lang w:val="en-GB" w:eastAsia="zh-CN" w:bidi="ar-SA"/>
        </w:rPr>
        <w:t>通过“数智西湖”项目的建设，可以打通全区各管理业务部门之间的边界，让城市运行更加高效，为城市综合管理、市民生活工作、企业经营发展提供有力支持，可以在日常管理工作中提升重大事件预测预警能力，防患于未然。同时，在事件处置过程中，有效提升处置效率，降低突发事件造成的经济损失。</w:t>
      </w:r>
    </w:p>
    <w:p w14:paraId="01C84732">
      <w:pPr>
        <w:spacing w:line="360" w:lineRule="auto"/>
        <w:ind w:firstLine="560"/>
        <w:rPr>
          <w:rFonts w:hint="eastAsia" w:ascii="宋体" w:eastAsia="宋体" w:cs="宋体"/>
          <w:color w:val="000000"/>
          <w:sz w:val="24"/>
          <w:szCs w:val="24"/>
          <w:lang w:val="en-GB" w:eastAsia="zh-CN" w:bidi="ar-SA"/>
        </w:rPr>
      </w:pPr>
      <w:r>
        <w:rPr>
          <w:rFonts w:hint="eastAsia" w:ascii="宋体" w:eastAsia="宋体" w:cs="宋体"/>
          <w:color w:val="000000"/>
          <w:sz w:val="24"/>
          <w:szCs w:val="24"/>
          <w:lang w:val="en-US" w:eastAsia="zh-CN" w:bidi="ar-SA"/>
        </w:rPr>
        <w:t>2)</w:t>
      </w:r>
      <w:r>
        <w:rPr>
          <w:rFonts w:hint="eastAsia" w:ascii="宋体" w:eastAsia="宋体" w:cs="宋体"/>
          <w:color w:val="000000"/>
          <w:sz w:val="24"/>
          <w:szCs w:val="24"/>
          <w:lang w:val="en-GB" w:eastAsia="zh-CN" w:bidi="ar-SA"/>
        </w:rPr>
        <w:t>促进经济发展和产业升级</w:t>
      </w:r>
    </w:p>
    <w:p w14:paraId="091DC8B6">
      <w:pPr>
        <w:spacing w:line="360" w:lineRule="auto"/>
        <w:ind w:firstLine="560"/>
        <w:rPr>
          <w:rFonts w:hint="eastAsia" w:ascii="宋体" w:eastAsia="宋体" w:cs="宋体"/>
          <w:color w:val="000000"/>
          <w:sz w:val="24"/>
          <w:szCs w:val="24"/>
          <w:lang w:val="en-GB" w:eastAsia="zh-CN" w:bidi="ar-SA"/>
        </w:rPr>
      </w:pPr>
      <w:r>
        <w:rPr>
          <w:rFonts w:hint="eastAsia" w:ascii="宋体" w:eastAsia="宋体" w:cs="宋体"/>
          <w:color w:val="000000"/>
          <w:sz w:val="24"/>
          <w:szCs w:val="24"/>
          <w:lang w:val="en-GB" w:eastAsia="zh-CN" w:bidi="ar-SA"/>
        </w:rPr>
        <w:t>“数智西湖”项目将全面提升西湖区综合竞争力，吸引新兴产业入驻和发展，进而增加城市在高端产业聚集的优势，促进西湖区城市管理、社会治理、应急管理、智慧水务以及</w:t>
      </w:r>
      <w:r>
        <w:rPr>
          <w:rFonts w:hint="eastAsia" w:ascii="宋体" w:eastAsia="宋体" w:cs="宋体"/>
          <w:color w:val="000000"/>
          <w:sz w:val="24"/>
          <w:szCs w:val="24"/>
          <w:lang w:val="en-US" w:eastAsia="zh-CN" w:bidi="ar-SA"/>
        </w:rPr>
        <w:t>交通</w:t>
      </w:r>
      <w:r>
        <w:rPr>
          <w:rFonts w:hint="eastAsia" w:ascii="宋体" w:eastAsia="宋体" w:cs="宋体"/>
          <w:color w:val="000000"/>
          <w:sz w:val="24"/>
          <w:szCs w:val="24"/>
          <w:lang w:val="en-GB" w:eastAsia="zh-CN" w:bidi="ar-SA"/>
        </w:rPr>
        <w:t>、环保等相关产业升级。</w:t>
      </w:r>
    </w:p>
    <w:p w14:paraId="58CD1963">
      <w:pPr>
        <w:spacing w:line="360" w:lineRule="auto"/>
        <w:ind w:firstLine="560"/>
        <w:rPr>
          <w:rFonts w:hint="eastAsia" w:ascii="宋体" w:eastAsia="宋体" w:cs="宋体"/>
          <w:color w:val="000000"/>
          <w:sz w:val="24"/>
          <w:szCs w:val="24"/>
          <w:lang w:val="en-GB" w:eastAsia="zh-CN" w:bidi="ar-SA"/>
        </w:rPr>
      </w:pPr>
      <w:r>
        <w:rPr>
          <w:rFonts w:hint="eastAsia" w:ascii="宋体" w:eastAsia="宋体" w:cs="宋体"/>
          <w:color w:val="000000"/>
          <w:sz w:val="24"/>
          <w:szCs w:val="24"/>
          <w:lang w:val="en-US" w:eastAsia="zh-CN" w:bidi="ar-SA"/>
        </w:rPr>
        <w:t>3)</w:t>
      </w:r>
      <w:r>
        <w:rPr>
          <w:rFonts w:hint="eastAsia" w:ascii="宋体" w:eastAsia="宋体" w:cs="宋体"/>
          <w:color w:val="000000"/>
          <w:sz w:val="24"/>
          <w:szCs w:val="24"/>
          <w:lang w:val="en-GB" w:eastAsia="zh-CN" w:bidi="ar-SA"/>
        </w:rPr>
        <w:t>落实信息惠民政策和保障民生</w:t>
      </w:r>
    </w:p>
    <w:p w14:paraId="7F8FBA99">
      <w:pPr>
        <w:spacing w:line="360" w:lineRule="auto"/>
        <w:ind w:firstLine="560"/>
        <w:rPr>
          <w:rFonts w:hint="eastAsia" w:ascii="宋体" w:eastAsia="宋体" w:cs="宋体"/>
          <w:color w:val="000000"/>
          <w:sz w:val="24"/>
          <w:szCs w:val="24"/>
          <w:lang w:val="en-GB" w:eastAsia="zh-CN" w:bidi="ar-SA"/>
        </w:rPr>
      </w:pPr>
      <w:r>
        <w:rPr>
          <w:rFonts w:hint="eastAsia" w:ascii="宋体" w:eastAsia="宋体" w:cs="宋体"/>
          <w:color w:val="000000"/>
          <w:sz w:val="24"/>
          <w:szCs w:val="24"/>
          <w:lang w:val="en-GB" w:eastAsia="zh-CN" w:bidi="ar-SA"/>
        </w:rPr>
        <w:t>利用互联网、云计算、大数据、人工智能等技术，基于实名认证，提供</w:t>
      </w:r>
      <w:r>
        <w:rPr>
          <w:rFonts w:hint="eastAsia" w:ascii="宋体" w:eastAsia="宋体" w:cs="宋体"/>
          <w:color w:val="000000"/>
          <w:sz w:val="24"/>
          <w:szCs w:val="24"/>
          <w:lang w:val="en-US" w:eastAsia="zh-CN" w:bidi="ar-SA"/>
        </w:rPr>
        <w:t>惠民</w:t>
      </w:r>
      <w:r>
        <w:rPr>
          <w:rFonts w:hint="eastAsia" w:ascii="宋体" w:eastAsia="宋体" w:cs="宋体"/>
          <w:color w:val="000000"/>
          <w:sz w:val="24"/>
          <w:szCs w:val="24"/>
          <w:lang w:val="en-GB" w:eastAsia="zh-CN" w:bidi="ar-SA"/>
        </w:rPr>
        <w:t>保障、社会治理、行政服务等各类政府和社会服务，保障和改善民生，提升市民对城市建设的获得感</w:t>
      </w:r>
    </w:p>
    <w:p w14:paraId="2FC65A0F">
      <w:pPr>
        <w:spacing w:line="360" w:lineRule="auto"/>
        <w:ind w:firstLine="560"/>
        <w:rPr>
          <w:color w:val="000000"/>
          <w:sz w:val="21"/>
          <w:szCs w:val="21"/>
        </w:rPr>
      </w:pPr>
      <w:r>
        <w:rPr>
          <w:rFonts w:hint="eastAsia" w:ascii="宋体" w:eastAsia="宋体" w:cs="宋体"/>
          <w:color w:val="000000"/>
          <w:sz w:val="24"/>
          <w:szCs w:val="24"/>
          <w:lang w:bidi="ar-SA"/>
        </w:rPr>
        <w:t>（3）收益性</w:t>
      </w:r>
    </w:p>
    <w:p w14:paraId="3E76321B">
      <w:pPr>
        <w:spacing w:line="360" w:lineRule="auto"/>
        <w:ind w:firstLine="560"/>
        <w:rPr>
          <w:rFonts w:hint="default" w:ascii="宋体" w:eastAsia="宋体" w:cs="宋体"/>
          <w:color w:val="000000"/>
          <w:sz w:val="24"/>
          <w:szCs w:val="24"/>
          <w:lang w:val="en-US" w:eastAsia="zh-CN" w:bidi="ar-SA"/>
        </w:rPr>
      </w:pPr>
      <w:r>
        <w:rPr>
          <w:rFonts w:hint="eastAsia" w:ascii="宋体" w:eastAsia="宋体" w:cs="宋体"/>
          <w:color w:val="000000"/>
          <w:sz w:val="24"/>
          <w:szCs w:val="24"/>
          <w:lang w:eastAsia="zh-CN" w:bidi="ar-SA"/>
        </w:rPr>
        <w:t>本次发行专项债券各项目预期运营现金流入合计</w:t>
      </w:r>
      <w:r>
        <w:rPr>
          <w:rFonts w:hint="eastAsia" w:ascii="宋体" w:eastAsia="宋体" w:cs="宋体"/>
          <w:color w:val="000000"/>
          <w:sz w:val="24"/>
          <w:szCs w:val="24"/>
          <w:lang w:val="en-US" w:eastAsia="zh-CN" w:bidi="ar-SA"/>
        </w:rPr>
        <w:t>22,740.60</w:t>
      </w:r>
      <w:r>
        <w:rPr>
          <w:rFonts w:hint="eastAsia" w:ascii="宋体" w:eastAsia="宋体" w:cs="宋体"/>
          <w:color w:val="000000"/>
          <w:sz w:val="24"/>
          <w:szCs w:val="24"/>
          <w:lang w:eastAsia="zh-CN" w:bidi="ar-SA"/>
        </w:rPr>
        <w:t>万元，运营现金流出合计</w:t>
      </w:r>
      <w:r>
        <w:rPr>
          <w:rFonts w:hint="eastAsia" w:ascii="宋体" w:eastAsia="宋体" w:cs="宋体"/>
          <w:color w:val="000000"/>
          <w:sz w:val="24"/>
          <w:szCs w:val="24"/>
          <w:lang w:val="en-US" w:eastAsia="zh-CN" w:bidi="ar-SA"/>
        </w:rPr>
        <w:t>9</w:t>
      </w:r>
      <w:r>
        <w:rPr>
          <w:rFonts w:hint="eastAsia" w:ascii="宋体" w:eastAsia="宋体" w:cs="宋体"/>
          <w:color w:val="000000"/>
          <w:sz w:val="24"/>
          <w:szCs w:val="24"/>
          <w:lang w:eastAsia="zh-CN" w:bidi="ar-SA"/>
        </w:rPr>
        <w:t>,</w:t>
      </w:r>
      <w:r>
        <w:rPr>
          <w:rFonts w:hint="eastAsia" w:ascii="宋体" w:eastAsia="宋体" w:cs="宋体"/>
          <w:color w:val="000000"/>
          <w:sz w:val="24"/>
          <w:szCs w:val="24"/>
          <w:lang w:val="en-US" w:eastAsia="zh-CN" w:bidi="ar-SA"/>
        </w:rPr>
        <w:t>038</w:t>
      </w:r>
      <w:r>
        <w:rPr>
          <w:rFonts w:hint="eastAsia" w:ascii="宋体" w:eastAsia="宋体" w:cs="宋体"/>
          <w:color w:val="000000"/>
          <w:sz w:val="24"/>
          <w:szCs w:val="24"/>
          <w:lang w:eastAsia="zh-CN" w:bidi="ar-SA"/>
        </w:rPr>
        <w:t>.</w:t>
      </w:r>
      <w:r>
        <w:rPr>
          <w:rFonts w:hint="eastAsia" w:ascii="宋体" w:eastAsia="宋体" w:cs="宋体"/>
          <w:color w:val="000000"/>
          <w:sz w:val="24"/>
          <w:szCs w:val="24"/>
          <w:lang w:val="en-US" w:eastAsia="zh-CN" w:bidi="ar-SA"/>
        </w:rPr>
        <w:t>32</w:t>
      </w:r>
      <w:r>
        <w:rPr>
          <w:rFonts w:hint="eastAsia" w:ascii="宋体" w:eastAsia="宋体" w:cs="宋体"/>
          <w:color w:val="000000"/>
          <w:sz w:val="24"/>
          <w:szCs w:val="24"/>
          <w:lang w:eastAsia="zh-CN" w:bidi="ar-SA"/>
        </w:rPr>
        <w:t>万元，债券存续期内债券本金与利息合计</w:t>
      </w:r>
      <w:r>
        <w:rPr>
          <w:rFonts w:hint="eastAsia" w:ascii="宋体" w:eastAsia="宋体" w:cs="宋体"/>
          <w:color w:val="000000"/>
          <w:sz w:val="24"/>
          <w:szCs w:val="24"/>
          <w:lang w:val="en-US" w:eastAsia="zh-CN" w:bidi="ar-SA"/>
        </w:rPr>
        <w:t>9</w:t>
      </w:r>
      <w:r>
        <w:rPr>
          <w:rFonts w:hint="eastAsia" w:ascii="宋体" w:eastAsia="宋体" w:cs="宋体"/>
          <w:color w:val="000000"/>
          <w:sz w:val="24"/>
          <w:szCs w:val="24"/>
          <w:lang w:eastAsia="zh-CN" w:bidi="ar-SA"/>
        </w:rPr>
        <w:t>,</w:t>
      </w:r>
      <w:r>
        <w:rPr>
          <w:rFonts w:hint="eastAsia" w:ascii="宋体" w:eastAsia="宋体" w:cs="宋体"/>
          <w:color w:val="000000"/>
          <w:sz w:val="24"/>
          <w:szCs w:val="24"/>
          <w:lang w:val="en-US" w:eastAsia="zh-CN" w:bidi="ar-SA"/>
        </w:rPr>
        <w:t>870</w:t>
      </w:r>
      <w:r>
        <w:rPr>
          <w:rFonts w:hint="eastAsia" w:ascii="宋体" w:eastAsia="宋体" w:cs="宋体"/>
          <w:color w:val="000000"/>
          <w:sz w:val="24"/>
          <w:szCs w:val="24"/>
          <w:lang w:eastAsia="zh-CN" w:bidi="ar-SA"/>
        </w:rPr>
        <w:t>.</w:t>
      </w:r>
      <w:r>
        <w:rPr>
          <w:rFonts w:hint="eastAsia" w:ascii="宋体" w:eastAsia="宋体" w:cs="宋体"/>
          <w:color w:val="000000"/>
          <w:sz w:val="24"/>
          <w:szCs w:val="24"/>
          <w:lang w:val="en-US" w:eastAsia="zh-CN" w:bidi="ar-SA"/>
        </w:rPr>
        <w:t>0</w:t>
      </w:r>
      <w:r>
        <w:rPr>
          <w:rFonts w:hint="eastAsia" w:ascii="宋体" w:eastAsia="宋体" w:cs="宋体"/>
          <w:color w:val="000000"/>
          <w:sz w:val="24"/>
          <w:szCs w:val="24"/>
          <w:lang w:eastAsia="zh-CN" w:bidi="ar-SA"/>
        </w:rPr>
        <w:t>0万元，项目存续期内偿债资金覆盖倍数为1</w:t>
      </w:r>
      <w:r>
        <w:rPr>
          <w:rFonts w:hint="eastAsia" w:ascii="宋体" w:eastAsia="宋体" w:cs="宋体"/>
          <w:color w:val="000000"/>
          <w:sz w:val="24"/>
          <w:szCs w:val="24"/>
          <w:lang w:val="en-US" w:eastAsia="zh-CN" w:bidi="ar-SA"/>
        </w:rPr>
        <w:t>.39</w:t>
      </w:r>
      <w:r>
        <w:rPr>
          <w:rFonts w:hint="eastAsia" w:ascii="宋体" w:eastAsia="宋体" w:cs="宋体"/>
          <w:color w:val="000000"/>
          <w:sz w:val="24"/>
          <w:szCs w:val="24"/>
          <w:lang w:eastAsia="zh-CN" w:bidi="ar-SA"/>
        </w:rPr>
        <w:t>倍</w:t>
      </w:r>
      <w:r>
        <w:rPr>
          <w:rFonts w:hint="eastAsia" w:ascii="宋体" w:eastAsia="宋体" w:cs="宋体"/>
          <w:color w:val="000000"/>
          <w:sz w:val="24"/>
          <w:szCs w:val="24"/>
          <w:lang w:val="en-US" w:eastAsia="zh-CN" w:bidi="ar-SA"/>
        </w:rPr>
        <w:t>.</w:t>
      </w:r>
    </w:p>
    <w:p w14:paraId="13A2C071">
      <w:pPr>
        <w:spacing w:line="360" w:lineRule="auto"/>
        <w:ind w:firstLine="560"/>
        <w:rPr>
          <w:rFonts w:hint="eastAsia" w:ascii="宋体" w:eastAsia="宋体" w:cs="宋体"/>
          <w:color w:val="000000"/>
          <w:sz w:val="24"/>
          <w:szCs w:val="24"/>
          <w:lang w:eastAsia="zh-CN" w:bidi="ar-SA"/>
        </w:rPr>
      </w:pPr>
      <w:r>
        <w:rPr>
          <w:rFonts w:hint="eastAsia" w:ascii="宋体" w:eastAsia="宋体" w:cs="宋体"/>
          <w:color w:val="000000"/>
          <w:sz w:val="24"/>
          <w:szCs w:val="24"/>
          <w:lang w:eastAsia="zh-CN" w:bidi="ar-SA"/>
        </w:rPr>
        <w:t>2、项目建设投资合规性与项目成熟度</w:t>
      </w:r>
    </w:p>
    <w:p w14:paraId="69BB4EAA">
      <w:pPr>
        <w:spacing w:line="360" w:lineRule="auto"/>
        <w:ind w:firstLine="560"/>
        <w:rPr>
          <w:rFonts w:hint="eastAsia" w:ascii="宋体" w:eastAsia="宋体" w:cs="宋体"/>
          <w:color w:val="000000"/>
          <w:sz w:val="24"/>
          <w:szCs w:val="24"/>
          <w:lang w:val="en-US" w:eastAsia="zh-CN" w:bidi="ar-SA"/>
        </w:rPr>
      </w:pPr>
      <w:r>
        <w:rPr>
          <w:rFonts w:hint="eastAsia" w:ascii="宋体" w:eastAsia="宋体" w:cs="宋体"/>
          <w:color w:val="000000"/>
          <w:sz w:val="24"/>
          <w:szCs w:val="24"/>
          <w:lang w:eastAsia="zh-CN" w:bidi="ar-SA"/>
        </w:rPr>
        <w:t>202</w:t>
      </w:r>
      <w:r>
        <w:rPr>
          <w:rFonts w:hint="eastAsia" w:ascii="宋体" w:eastAsia="宋体" w:cs="宋体"/>
          <w:color w:val="000000"/>
          <w:sz w:val="24"/>
          <w:szCs w:val="24"/>
          <w:lang w:val="en-US" w:eastAsia="zh-CN" w:bidi="ar-SA"/>
        </w:rPr>
        <w:t>3</w:t>
      </w:r>
      <w:r>
        <w:rPr>
          <w:rFonts w:hint="eastAsia" w:ascii="宋体" w:eastAsia="宋体" w:cs="宋体"/>
          <w:color w:val="000000"/>
          <w:sz w:val="24"/>
          <w:szCs w:val="24"/>
          <w:lang w:eastAsia="zh-CN" w:bidi="ar-SA"/>
        </w:rPr>
        <w:t>年1</w:t>
      </w:r>
      <w:r>
        <w:rPr>
          <w:rFonts w:hint="eastAsia" w:ascii="宋体" w:eastAsia="宋体" w:cs="宋体"/>
          <w:color w:val="000000"/>
          <w:sz w:val="24"/>
          <w:szCs w:val="24"/>
          <w:lang w:val="en-US" w:eastAsia="zh-CN" w:bidi="ar-SA"/>
        </w:rPr>
        <w:t>0</w:t>
      </w:r>
      <w:r>
        <w:rPr>
          <w:rFonts w:hint="eastAsia" w:ascii="宋体" w:eastAsia="宋体" w:cs="宋体"/>
          <w:color w:val="000000"/>
          <w:sz w:val="24"/>
          <w:szCs w:val="24"/>
          <w:lang w:eastAsia="zh-CN" w:bidi="ar-SA"/>
        </w:rPr>
        <w:t>月</w:t>
      </w:r>
      <w:r>
        <w:rPr>
          <w:rFonts w:hint="eastAsia" w:ascii="宋体" w:eastAsia="宋体" w:cs="宋体"/>
          <w:color w:val="000000"/>
          <w:sz w:val="24"/>
          <w:szCs w:val="24"/>
          <w:lang w:val="en-US" w:eastAsia="zh-CN" w:bidi="ar-SA"/>
        </w:rPr>
        <w:t>8</w:t>
      </w:r>
      <w:r>
        <w:rPr>
          <w:rFonts w:hint="eastAsia" w:ascii="宋体" w:eastAsia="宋体" w:cs="宋体"/>
          <w:color w:val="000000"/>
          <w:sz w:val="24"/>
          <w:szCs w:val="24"/>
          <w:lang w:eastAsia="zh-CN" w:bidi="ar-SA"/>
        </w:rPr>
        <w:t>日南昌市西湖区发改委出具了关于南昌市南昌市西湖区数智西湖建设项目项目建议书的批复。</w:t>
      </w:r>
    </w:p>
    <w:p w14:paraId="2C3087C3">
      <w:pPr>
        <w:spacing w:line="360" w:lineRule="auto"/>
        <w:ind w:firstLine="560"/>
        <w:rPr>
          <w:rFonts w:hint="eastAsia" w:ascii="宋体" w:eastAsia="宋体" w:cs="宋体"/>
          <w:color w:val="000000"/>
          <w:sz w:val="24"/>
          <w:szCs w:val="24"/>
          <w:lang w:val="en-US" w:eastAsia="zh-CN" w:bidi="ar-SA"/>
        </w:rPr>
      </w:pPr>
      <w:r>
        <w:rPr>
          <w:rFonts w:hint="eastAsia" w:ascii="宋体" w:eastAsia="宋体" w:cs="宋体"/>
          <w:color w:val="000000"/>
          <w:sz w:val="24"/>
          <w:szCs w:val="24"/>
          <w:lang w:eastAsia="zh-CN" w:bidi="ar-SA"/>
        </w:rPr>
        <w:t>2023年</w:t>
      </w:r>
      <w:r>
        <w:rPr>
          <w:rFonts w:hint="eastAsia" w:ascii="宋体" w:eastAsia="宋体" w:cs="宋体"/>
          <w:color w:val="000000"/>
          <w:sz w:val="24"/>
          <w:szCs w:val="24"/>
          <w:lang w:val="en-US" w:eastAsia="zh-CN" w:bidi="ar-SA"/>
        </w:rPr>
        <w:t>10</w:t>
      </w:r>
      <w:r>
        <w:rPr>
          <w:rFonts w:hint="eastAsia" w:ascii="宋体" w:eastAsia="宋体" w:cs="宋体"/>
          <w:color w:val="000000"/>
          <w:sz w:val="24"/>
          <w:szCs w:val="24"/>
          <w:lang w:eastAsia="zh-CN" w:bidi="ar-SA"/>
        </w:rPr>
        <w:t>月</w:t>
      </w:r>
      <w:r>
        <w:rPr>
          <w:rFonts w:hint="eastAsia" w:ascii="宋体" w:eastAsia="宋体" w:cs="宋体"/>
          <w:color w:val="000000"/>
          <w:sz w:val="24"/>
          <w:szCs w:val="24"/>
          <w:lang w:val="en-US" w:eastAsia="zh-CN" w:bidi="ar-SA"/>
        </w:rPr>
        <w:t>20</w:t>
      </w:r>
      <w:r>
        <w:rPr>
          <w:rFonts w:hint="eastAsia" w:ascii="宋体" w:eastAsia="宋体" w:cs="宋体"/>
          <w:color w:val="000000"/>
          <w:sz w:val="24"/>
          <w:szCs w:val="24"/>
          <w:lang w:eastAsia="zh-CN" w:bidi="ar-SA"/>
        </w:rPr>
        <w:t>日南昌市西湖区发改委出具了关于南昌市南昌市西湖区数智西湖建设项目项目</w:t>
      </w:r>
      <w:r>
        <w:rPr>
          <w:rFonts w:hint="eastAsia" w:ascii="宋体" w:eastAsia="宋体" w:cs="宋体"/>
          <w:color w:val="000000"/>
          <w:sz w:val="24"/>
          <w:szCs w:val="24"/>
          <w:lang w:val="en-US" w:eastAsia="zh-CN" w:bidi="ar-SA"/>
        </w:rPr>
        <w:t>可研批复。</w:t>
      </w:r>
    </w:p>
    <w:p w14:paraId="002BB094">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bidi="ar-SA"/>
        </w:rPr>
        <w:t>项目资金来源和可到位性</w:t>
      </w:r>
    </w:p>
    <w:p w14:paraId="1F5D8DD3">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bidi="ar-SA"/>
        </w:rPr>
        <w:t>项目资金筹</w:t>
      </w:r>
      <w:r>
        <w:rPr>
          <w:rFonts w:hint="eastAsia" w:ascii="宋体" w:eastAsia="宋体" w:cs="宋体"/>
          <w:color w:val="000000"/>
          <w:sz w:val="24"/>
          <w:szCs w:val="24"/>
          <w:lang w:bidi="ar-SA"/>
        </w:rPr>
        <w:t>措方式由资本金和发行</w:t>
      </w:r>
      <w:r>
        <w:rPr>
          <w:rFonts w:hint="eastAsia" w:ascii="宋体" w:eastAsia="宋体" w:cs="宋体"/>
          <w:color w:val="000000"/>
          <w:sz w:val="24"/>
          <w:szCs w:val="24"/>
          <w:lang w:eastAsia="zh-CN" w:bidi="ar-SA"/>
        </w:rPr>
        <w:t>南昌市西湖区数智西湖建设项目</w:t>
      </w:r>
      <w:r>
        <w:rPr>
          <w:rFonts w:hint="eastAsia" w:ascii="宋体" w:eastAsia="宋体" w:cs="宋体"/>
          <w:color w:val="000000"/>
          <w:sz w:val="24"/>
          <w:szCs w:val="24"/>
          <w:lang w:bidi="ar-SA"/>
        </w:rPr>
        <w:t>专项债构成，其中：资本金</w:t>
      </w:r>
      <w:r>
        <w:rPr>
          <w:rFonts w:hint="eastAsia" w:ascii="宋体" w:eastAsia="宋体" w:cs="宋体"/>
          <w:color w:val="000000"/>
          <w:sz w:val="24"/>
          <w:szCs w:val="24"/>
          <w:lang w:val="en-US" w:eastAsia="zh-CN" w:bidi="ar-SA"/>
        </w:rPr>
        <w:t>3,864.96</w:t>
      </w:r>
      <w:r>
        <w:rPr>
          <w:rFonts w:hint="eastAsia" w:ascii="宋体" w:eastAsia="宋体" w:cs="宋体"/>
          <w:color w:val="000000"/>
          <w:sz w:val="24"/>
          <w:szCs w:val="24"/>
          <w:lang w:bidi="ar-SA"/>
        </w:rPr>
        <w:t>万元</w:t>
      </w:r>
      <w:r>
        <w:rPr>
          <w:rFonts w:hint="eastAsia" w:ascii="宋体" w:eastAsia="宋体" w:cs="宋体"/>
          <w:color w:val="000000"/>
          <w:sz w:val="24"/>
          <w:szCs w:val="24"/>
          <w:lang w:bidi="ar-SA"/>
        </w:rPr>
        <w:t>，占总投资比例</w:t>
      </w:r>
      <w:r>
        <w:rPr>
          <w:rFonts w:hint="eastAsia" w:ascii="宋体" w:eastAsia="宋体" w:cs="宋体"/>
          <w:color w:val="000000"/>
          <w:sz w:val="24"/>
          <w:szCs w:val="24"/>
          <w:lang w:eastAsia="zh-CN" w:bidi="ar-SA"/>
        </w:rPr>
        <w:t>39.18%</w:t>
      </w:r>
      <w:r>
        <w:rPr>
          <w:rFonts w:hint="eastAsia" w:ascii="宋体" w:eastAsia="宋体" w:cs="宋体"/>
          <w:color w:val="000000"/>
          <w:sz w:val="24"/>
          <w:szCs w:val="24"/>
          <w:lang w:bidi="ar-SA"/>
        </w:rPr>
        <w:t>；本</w:t>
      </w:r>
      <w:r>
        <w:rPr>
          <w:rFonts w:hint="eastAsia" w:ascii="宋体" w:eastAsia="宋体" w:cs="宋体"/>
          <w:color w:val="000000"/>
          <w:sz w:val="24"/>
          <w:szCs w:val="24"/>
          <w:lang w:val="en-US" w:eastAsia="zh-CN" w:bidi="ar-SA"/>
        </w:rPr>
        <w:t>项目</w:t>
      </w:r>
      <w:r>
        <w:rPr>
          <w:rFonts w:hint="eastAsia" w:ascii="宋体" w:eastAsia="宋体" w:cs="宋体"/>
          <w:color w:val="000000"/>
          <w:sz w:val="24"/>
          <w:szCs w:val="24"/>
          <w:lang w:bidi="ar-SA"/>
        </w:rPr>
        <w:t>发行30年期专项债券</w:t>
      </w:r>
      <w:r>
        <w:rPr>
          <w:rFonts w:hint="eastAsia" w:ascii="宋体" w:eastAsia="宋体" w:cs="宋体"/>
          <w:color w:val="000000"/>
          <w:sz w:val="24"/>
          <w:szCs w:val="24"/>
          <w:lang w:eastAsia="zh-CN" w:bidi="ar-SA"/>
        </w:rPr>
        <w:t>6000</w:t>
      </w:r>
      <w:r>
        <w:rPr>
          <w:rFonts w:hint="eastAsia" w:ascii="宋体" w:eastAsia="宋体" w:cs="宋体"/>
          <w:color w:val="000000"/>
          <w:sz w:val="24"/>
          <w:szCs w:val="24"/>
          <w:lang w:bidi="ar-SA"/>
        </w:rPr>
        <w:t>万元，占总投资的</w:t>
      </w:r>
      <w:r>
        <w:rPr>
          <w:rFonts w:hint="eastAsia" w:ascii="宋体" w:eastAsia="宋体" w:cs="宋体"/>
          <w:color w:val="000000"/>
          <w:sz w:val="24"/>
          <w:szCs w:val="24"/>
          <w:lang w:eastAsia="zh-CN" w:bidi="ar-SA"/>
        </w:rPr>
        <w:t>60.82%</w:t>
      </w:r>
      <w:r>
        <w:rPr>
          <w:rFonts w:hint="eastAsia" w:ascii="宋体" w:eastAsia="宋体" w:cs="宋体"/>
          <w:color w:val="000000"/>
          <w:sz w:val="24"/>
          <w:szCs w:val="24"/>
          <w:lang w:bidi="ar-SA"/>
        </w:rPr>
        <w:t>。结合当地实际情况，以谨慎、客观、公正的原则进行判断。该目标是合理的。</w:t>
      </w:r>
    </w:p>
    <w:p w14:paraId="10D8EC8F">
      <w:pPr>
        <w:spacing w:line="360" w:lineRule="auto"/>
        <w:ind w:firstLine="560"/>
        <w:rPr>
          <w:rFonts w:hint="eastAsia" w:ascii="宋体" w:eastAsia="宋体" w:cs="宋体"/>
          <w:color w:val="000000"/>
          <w:sz w:val="24"/>
          <w:szCs w:val="24"/>
          <w:lang w:eastAsia="zh-CN" w:bidi="ar-SA"/>
        </w:rPr>
      </w:pPr>
      <w:r>
        <w:rPr>
          <w:rFonts w:hint="eastAsia" w:ascii="宋体" w:eastAsia="宋体" w:cs="宋体"/>
          <w:color w:val="000000"/>
          <w:sz w:val="24"/>
          <w:szCs w:val="24"/>
          <w:lang w:eastAsia="zh-CN" w:bidi="ar-SA"/>
        </w:rPr>
        <w:t>4、项目收入、成本、收益预测合理性</w:t>
      </w:r>
    </w:p>
    <w:p w14:paraId="45922C4C">
      <w:pPr>
        <w:pStyle w:val="23"/>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both"/>
        <w:rPr>
          <w:rFonts w:hint="eastAsia" w:ascii="宋体" w:eastAsia="宋体" w:cs="宋体"/>
          <w:color w:val="000000"/>
          <w:sz w:val="24"/>
          <w:szCs w:val="24"/>
          <w:lang w:eastAsia="zh-CN" w:bidi="ar-SA"/>
        </w:rPr>
      </w:pPr>
      <w:r>
        <w:rPr>
          <w:rFonts w:hint="eastAsia" w:ascii="宋体" w:eastAsia="宋体" w:cs="宋体"/>
          <w:color w:val="000000"/>
          <w:sz w:val="24"/>
          <w:szCs w:val="24"/>
          <w:lang w:val="en-US" w:eastAsia="zh-CN" w:bidi="ar-SA"/>
        </w:rPr>
        <w:t>1)</w:t>
      </w:r>
      <w:r>
        <w:rPr>
          <w:rFonts w:hint="eastAsia" w:ascii="宋体" w:eastAsia="宋体" w:cs="宋体"/>
          <w:color w:val="000000"/>
          <w:sz w:val="24"/>
          <w:szCs w:val="24"/>
          <w:lang w:val="en-US" w:eastAsia="zh-CN" w:bidi="ar-SA"/>
        </w:rPr>
        <w:t>本项目可为西湖区规上企业、中小企业以及市场主体等对象提供招商服务、楼宇服务、金融服务等各类事项数字化咨询和办理的服务。截止2023年7月，南昌市西湖区有规上企业约2077个、中小企业约2.9万个、市场个体约6.5万户，针对不同类型的对象需求不同，本项目将提供不同侧重点的数字服务。</w:t>
      </w:r>
    </w:p>
    <w:p w14:paraId="02E5CC77">
      <w:pPr>
        <w:spacing w:line="360" w:lineRule="auto"/>
        <w:ind w:firstLine="560"/>
        <w:rPr>
          <w:rFonts w:hint="eastAsia" w:ascii="宋体" w:eastAsia="宋体" w:cs="宋体"/>
          <w:color w:val="000000"/>
          <w:sz w:val="24"/>
          <w:szCs w:val="24"/>
          <w:lang w:eastAsia="zh-CN" w:bidi="ar-SA"/>
        </w:rPr>
      </w:pPr>
      <w:r>
        <w:rPr>
          <w:rFonts w:hint="eastAsia" w:ascii="宋体" w:eastAsia="宋体" w:cs="宋体"/>
          <w:color w:val="000000"/>
          <w:sz w:val="24"/>
          <w:szCs w:val="24"/>
          <w:lang w:val="en-US" w:eastAsia="zh-CN" w:bidi="ar-SA"/>
        </w:rPr>
        <w:t>2)</w:t>
      </w:r>
      <w:r>
        <w:rPr>
          <w:rFonts w:hint="eastAsia" w:ascii="宋体" w:eastAsia="宋体" w:cs="宋体"/>
          <w:color w:val="000000"/>
          <w:sz w:val="24"/>
          <w:szCs w:val="24"/>
          <w:lang w:eastAsia="zh-CN" w:bidi="ar-SA"/>
        </w:rPr>
        <w:t>本项目为西湖区1600个餐饮商家与4个大型燃气站提供智能燃气监测服务，其中平均每个商家收取50元/月，每5年增长5%；每个大型燃气站收取5000元/年，每5年增长5%。</w:t>
      </w:r>
    </w:p>
    <w:p w14:paraId="3D3B9103">
      <w:pPr>
        <w:spacing w:line="360" w:lineRule="auto"/>
        <w:ind w:firstLine="560"/>
        <w:rPr>
          <w:rFonts w:hint="eastAsia" w:ascii="宋体" w:eastAsia="宋体" w:cs="宋体"/>
          <w:color w:val="000000"/>
          <w:sz w:val="24"/>
          <w:szCs w:val="24"/>
          <w:lang w:eastAsia="zh-CN" w:bidi="ar-SA"/>
        </w:rPr>
      </w:pPr>
      <w:r>
        <w:rPr>
          <w:rFonts w:hint="eastAsia" w:ascii="宋体" w:eastAsia="宋体" w:cs="宋体"/>
          <w:color w:val="000000"/>
          <w:sz w:val="24"/>
          <w:szCs w:val="24"/>
          <w:lang w:val="en-US" w:eastAsia="zh-CN" w:bidi="ar-SA"/>
        </w:rPr>
        <w:t>3)</w:t>
      </w:r>
      <w:r>
        <w:rPr>
          <w:rFonts w:hint="eastAsia" w:ascii="宋体" w:eastAsia="宋体" w:cs="宋体"/>
          <w:color w:val="000000"/>
          <w:sz w:val="24"/>
          <w:szCs w:val="24"/>
          <w:lang w:eastAsia="zh-CN" w:bidi="ar-SA"/>
        </w:rPr>
        <w:t>本项目为西湖区5000个市政停车位提供统一的智慧停车系统，根据，根据《关于印发[南昌市进一步完善机动车停放服务收费政策方案]的通知》（洪价字[2017]66 号）文件规定，本项目位于西湖区内，参照一类区域价格，临时占道机动车停放服务费用为第1小时5元，后续每小时增加3-5元。根据协议本项目收费按照0.75元/小时/车位的标准计取，车位使用率由50%逐年增加5%至60%后维持不变，日均停车时长5小时。</w:t>
      </w:r>
    </w:p>
    <w:p w14:paraId="3AA2D3E6">
      <w:pPr>
        <w:spacing w:line="360" w:lineRule="auto"/>
        <w:ind w:firstLine="560"/>
        <w:rPr>
          <w:rFonts w:hint="default" w:eastAsia="宋体"/>
          <w:sz w:val="24"/>
          <w:szCs w:val="24"/>
          <w:lang w:val="en-US" w:eastAsia="zh-CN"/>
        </w:rPr>
      </w:pPr>
      <w:r>
        <w:rPr>
          <w:rFonts w:hint="eastAsia" w:ascii="宋体" w:eastAsia="宋体" w:cs="宋体"/>
          <w:color w:val="000000"/>
          <w:sz w:val="24"/>
          <w:szCs w:val="24"/>
          <w:lang w:val="en-US" w:eastAsia="zh-CN" w:bidi="ar-SA"/>
        </w:rPr>
        <w:t>4)</w:t>
      </w:r>
      <w:r>
        <w:rPr>
          <w:rFonts w:hint="eastAsia" w:ascii="宋体" w:eastAsia="宋体" w:cs="宋体"/>
          <w:color w:val="000000"/>
          <w:sz w:val="24"/>
          <w:szCs w:val="24"/>
          <w:lang w:eastAsia="zh-CN" w:bidi="ar-SA"/>
        </w:rPr>
        <w:t>本项目前端设备杆新增400个，故可设置400个广告位，平均广告位单价0.18万元/年，每3年增长5%；运营期第一年负荷率按照40%计算，逐年增加10%到60%并维持不变。</w:t>
      </w:r>
    </w:p>
    <w:p w14:paraId="7C2A238D">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eastAsia="zh-CN" w:bidi="ar-SA"/>
        </w:rPr>
        <w:t>南昌市西湖区数智西湖建设项目</w:t>
      </w:r>
      <w:r>
        <w:rPr>
          <w:rFonts w:hint="eastAsia" w:ascii="宋体" w:eastAsia="宋体" w:cs="宋体"/>
          <w:color w:val="000000"/>
          <w:sz w:val="24"/>
          <w:szCs w:val="24"/>
          <w:lang w:bidi="ar-SA"/>
        </w:rPr>
        <w:t>经营成本不考虑非付现成本，即不考虑固定资产折旧费和无形资产摊销等，只考虑付现成本，主要经营成本如下：</w:t>
      </w:r>
    </w:p>
    <w:p w14:paraId="34F75FDB">
      <w:pPr>
        <w:spacing w:before="156"/>
        <w:ind w:firstLine="480" w:firstLineChars="200"/>
        <w:rPr>
          <w:sz w:val="24"/>
          <w:szCs w:val="24"/>
        </w:rPr>
      </w:pPr>
      <w:r>
        <w:rPr>
          <w:rFonts w:hint="eastAsia"/>
          <w:sz w:val="24"/>
          <w:szCs w:val="24"/>
        </w:rPr>
        <w:t>（1）工资福利费</w:t>
      </w:r>
    </w:p>
    <w:p w14:paraId="6CE944DC">
      <w:pPr>
        <w:spacing w:before="156"/>
        <w:ind w:firstLine="480" w:firstLineChars="200"/>
        <w:rPr>
          <w:sz w:val="24"/>
          <w:szCs w:val="24"/>
        </w:rPr>
      </w:pPr>
      <w:r>
        <w:rPr>
          <w:rFonts w:hint="eastAsia"/>
          <w:sz w:val="24"/>
          <w:szCs w:val="24"/>
        </w:rPr>
        <w:t>项目第2年计划在岗人员为11人，年工资及福利按平均18万元计算，主要负责与系统操作、数据分析、事件响应等工作，员工工资随着当地社会经济的发展与通货膨胀等原因，按每年增长3%计算。</w:t>
      </w:r>
    </w:p>
    <w:p w14:paraId="160F7265">
      <w:pPr>
        <w:spacing w:before="156"/>
        <w:ind w:firstLine="480" w:firstLineChars="200"/>
        <w:rPr>
          <w:sz w:val="24"/>
          <w:szCs w:val="24"/>
        </w:rPr>
      </w:pPr>
      <w:r>
        <w:rPr>
          <w:rFonts w:hint="eastAsia"/>
          <w:sz w:val="24"/>
          <w:szCs w:val="24"/>
        </w:rPr>
        <w:t>（2）燃料动力费</w:t>
      </w:r>
    </w:p>
    <w:p w14:paraId="6A8D8785">
      <w:pPr>
        <w:spacing w:before="156"/>
        <w:ind w:firstLine="480" w:firstLineChars="200"/>
        <w:rPr>
          <w:sz w:val="24"/>
          <w:szCs w:val="24"/>
        </w:rPr>
      </w:pPr>
      <w:r>
        <w:rPr>
          <w:rFonts w:hint="eastAsia"/>
          <w:sz w:val="24"/>
          <w:szCs w:val="24"/>
        </w:rPr>
        <w:t>主要是项目运营期间人员办公需要的水费、电费及项目运营期间前段设备日常工作、日常养护、巡查和维修等活动时用电，按照项目收益的7%计取。</w:t>
      </w:r>
    </w:p>
    <w:p w14:paraId="4308241B">
      <w:pPr>
        <w:spacing w:before="156"/>
        <w:ind w:firstLine="480" w:firstLineChars="200"/>
        <w:rPr>
          <w:sz w:val="24"/>
          <w:szCs w:val="24"/>
        </w:rPr>
      </w:pPr>
      <w:r>
        <w:rPr>
          <w:rFonts w:hint="eastAsia"/>
          <w:sz w:val="24"/>
          <w:szCs w:val="24"/>
        </w:rPr>
        <w:t>（3）维修费用</w:t>
      </w:r>
    </w:p>
    <w:p w14:paraId="5A7A304F">
      <w:pPr>
        <w:spacing w:before="156"/>
        <w:ind w:firstLine="480" w:firstLineChars="200"/>
        <w:rPr>
          <w:sz w:val="24"/>
          <w:szCs w:val="24"/>
        </w:rPr>
      </w:pPr>
      <w:r>
        <w:rPr>
          <w:rFonts w:hint="eastAsia"/>
          <w:sz w:val="24"/>
          <w:szCs w:val="24"/>
        </w:rPr>
        <w:t>项目建成后年维修费用按前端感知设备、网络设备与一体化机房投资的4%计算，且每年增长3%。</w:t>
      </w:r>
    </w:p>
    <w:p w14:paraId="1965848E">
      <w:pPr>
        <w:spacing w:before="156"/>
        <w:ind w:firstLine="480" w:firstLineChars="200"/>
        <w:rPr>
          <w:sz w:val="24"/>
          <w:szCs w:val="24"/>
        </w:rPr>
      </w:pPr>
      <w:r>
        <w:rPr>
          <w:rFonts w:hint="eastAsia"/>
          <w:sz w:val="24"/>
          <w:szCs w:val="24"/>
        </w:rPr>
        <w:t>（4）其他费用</w:t>
      </w:r>
    </w:p>
    <w:p w14:paraId="553A05F3">
      <w:pPr>
        <w:spacing w:before="156"/>
        <w:ind w:firstLine="480" w:firstLineChars="200"/>
        <w:rPr>
          <w:sz w:val="24"/>
          <w:szCs w:val="24"/>
        </w:rPr>
      </w:pPr>
      <w:r>
        <w:rPr>
          <w:rFonts w:hint="eastAsia"/>
          <w:sz w:val="24"/>
          <w:szCs w:val="24"/>
        </w:rPr>
        <w:t>指常规估算年日常管理费用等，按每年营业收入的6%计算。</w:t>
      </w:r>
    </w:p>
    <w:p w14:paraId="41BBB1C4">
      <w:pPr>
        <w:numPr>
          <w:ilvl w:val="0"/>
          <w:numId w:val="0"/>
        </w:numPr>
        <w:spacing w:line="360" w:lineRule="auto"/>
        <w:ind w:firstLine="480" w:firstLineChars="200"/>
        <w:rPr>
          <w:rFonts w:hint="eastAsia" w:ascii="宋体" w:eastAsia="宋体" w:cs="宋体"/>
          <w:color w:val="000000"/>
          <w:sz w:val="24"/>
          <w:szCs w:val="24"/>
          <w:lang w:eastAsia="zh-CN" w:bidi="ar-SA"/>
        </w:rPr>
      </w:pPr>
      <w:r>
        <w:rPr>
          <w:rFonts w:hint="eastAsia" w:ascii="宋体" w:eastAsia="宋体" w:cs="宋体"/>
          <w:color w:val="000000"/>
          <w:sz w:val="24"/>
          <w:szCs w:val="24"/>
          <w:lang w:eastAsia="zh-CN" w:bidi="ar-SA"/>
        </w:rPr>
        <w:t>5、债券资金需求合理性</w:t>
      </w:r>
    </w:p>
    <w:p w14:paraId="002B34E2">
      <w:pPr>
        <w:spacing w:before="156" w:beforeLines="50" w:after="156" w:afterLines="50" w:line="560" w:lineRule="exact"/>
        <w:ind w:firstLine="480" w:firstLineChars="200"/>
        <w:rPr>
          <w:rFonts w:hint="eastAsia" w:ascii="宋体" w:eastAsia="宋体" w:cs="宋体"/>
          <w:color w:val="000000"/>
          <w:sz w:val="24"/>
          <w:szCs w:val="24"/>
          <w:lang w:eastAsia="zh-CN" w:bidi="ar-SA"/>
        </w:rPr>
      </w:pPr>
      <w:r>
        <w:rPr>
          <w:rFonts w:hint="eastAsia" w:ascii="宋体" w:eastAsia="宋体" w:cs="宋体"/>
          <w:color w:val="000000"/>
          <w:sz w:val="24"/>
          <w:szCs w:val="24"/>
          <w:lang w:eastAsia="zh-CN" w:bidi="ar-SA"/>
        </w:rPr>
        <w:t>本项目资本金比例</w:t>
      </w:r>
      <w:r>
        <w:rPr>
          <w:rFonts w:hint="eastAsia" w:ascii="宋体" w:eastAsia="宋体" w:cs="宋体"/>
          <w:color w:val="000000"/>
          <w:sz w:val="24"/>
          <w:szCs w:val="24"/>
          <w:lang w:val="en-US" w:eastAsia="zh-CN" w:bidi="ar-SA"/>
        </w:rPr>
        <w:t>39.18%</w:t>
      </w:r>
      <w:r>
        <w:rPr>
          <w:rFonts w:hint="eastAsia" w:ascii="宋体" w:eastAsia="宋体" w:cs="宋体"/>
          <w:color w:val="000000"/>
          <w:sz w:val="24"/>
          <w:szCs w:val="24"/>
          <w:lang w:eastAsia="zh-CN" w:bidi="ar-SA"/>
        </w:rPr>
        <w:t>，满足国家发改委对固定资产投资项目资本金比例</w:t>
      </w:r>
      <w:r>
        <w:rPr>
          <w:rFonts w:hint="eastAsia" w:ascii="宋体" w:eastAsia="宋体" w:cs="宋体"/>
          <w:color w:val="000000"/>
          <w:sz w:val="24"/>
          <w:szCs w:val="24"/>
          <w:lang w:val="en-US" w:eastAsia="zh-CN" w:bidi="ar-SA"/>
        </w:rPr>
        <w:t>的要求。本次发行专项债券各项目预期运营现金流入合计22,740.60万元，运营现金流出合计9,038.32万元，债券存续期内债券本金与利息合计9,870.00万元，项目存续期内偿债资金覆盖倍数为1.39倍。</w:t>
      </w:r>
    </w:p>
    <w:p w14:paraId="0F1A88DF">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6、项目偿债计划可行性和偿债风险</w:t>
      </w:r>
    </w:p>
    <w:p w14:paraId="4F89C63E">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项目自</w:t>
      </w:r>
      <w:r>
        <w:rPr>
          <w:rFonts w:hint="eastAsia" w:ascii="宋体" w:eastAsia="宋体" w:cs="宋体"/>
          <w:color w:val="000000"/>
          <w:sz w:val="24"/>
          <w:szCs w:val="24"/>
          <w:lang w:val="en-US" w:eastAsia="zh-CN" w:bidi="ar-SA"/>
        </w:rPr>
        <w:t>2025</w:t>
      </w:r>
      <w:r>
        <w:rPr>
          <w:rFonts w:hint="eastAsia" w:ascii="宋体" w:eastAsia="宋体" w:cs="宋体"/>
          <w:color w:val="000000"/>
          <w:sz w:val="24"/>
          <w:szCs w:val="24"/>
          <w:lang w:bidi="ar-SA"/>
        </w:rPr>
        <w:t>年起可实现收益，可满足后续债券各年利息偿还，结余资金转账管理，用于到期一次还本，偿债计划可行。</w:t>
      </w:r>
    </w:p>
    <w:p w14:paraId="3427A260">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项目风险具体详见如下第五点。</w:t>
      </w:r>
    </w:p>
    <w:p w14:paraId="605B4B3A">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7、绩效目标合理性</w:t>
      </w:r>
    </w:p>
    <w:p w14:paraId="3C3B209A">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本次事前绩效评估根据财预〔2020〕10号事前绩效评估管理办法相关原则，并结合本项目特点，按照“注重规范、突出效果”的原则设计本项目个性评价指标，确保绩效目标可评、可量、可用于指导项目实施阶段绩效评价。</w:t>
      </w:r>
    </w:p>
    <w:p w14:paraId="555A3E41">
      <w:pPr>
        <w:pStyle w:val="2"/>
      </w:pPr>
      <w:bookmarkStart w:id="54" w:name="_Toc15897"/>
      <w:r>
        <w:rPr>
          <w:rFonts w:hint="eastAsia"/>
          <w:lang w:val="en-US" w:eastAsia="zh-CN"/>
        </w:rPr>
        <w:t>五</w:t>
      </w:r>
      <w:r>
        <w:rPr>
          <w:rFonts w:hint="eastAsia"/>
        </w:rPr>
        <w:t>、项目风险分析</w:t>
      </w:r>
      <w:bookmarkEnd w:id="54"/>
    </w:p>
    <w:p w14:paraId="4A2DAF0D">
      <w:pPr>
        <w:pStyle w:val="3"/>
        <w:numPr>
          <w:ilvl w:val="0"/>
          <w:numId w:val="0"/>
        </w:numPr>
      </w:pPr>
      <w:bookmarkStart w:id="55" w:name="_Toc31728"/>
      <w:r>
        <w:rPr>
          <w:rFonts w:hint="eastAsia"/>
        </w:rPr>
        <w:t>（一）投资估算风险</w:t>
      </w:r>
      <w:bookmarkEnd w:id="55"/>
    </w:p>
    <w:p w14:paraId="44472DEB">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6F4486A9">
      <w:pPr>
        <w:pStyle w:val="3"/>
        <w:numPr>
          <w:ilvl w:val="0"/>
          <w:numId w:val="0"/>
        </w:numPr>
      </w:pPr>
      <w:bookmarkStart w:id="56" w:name="_Toc19379"/>
      <w:r>
        <w:rPr>
          <w:rFonts w:hint="eastAsia"/>
        </w:rPr>
        <w:t>（二）工程风险</w:t>
      </w:r>
      <w:bookmarkEnd w:id="56"/>
    </w:p>
    <w:p w14:paraId="4379402A">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bidi="ar-SA"/>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r>
        <w:rPr>
          <w:rFonts w:hint="eastAsia" w:ascii="宋体" w:eastAsia="宋体" w:cs="宋体"/>
          <w:color w:val="000000"/>
          <w:sz w:val="24"/>
          <w:szCs w:val="24"/>
          <w:lang w:bidi="ar-SA"/>
        </w:rPr>
        <w:t>。</w:t>
      </w:r>
    </w:p>
    <w:p w14:paraId="37E44306">
      <w:pPr>
        <w:pStyle w:val="3"/>
        <w:numPr>
          <w:ilvl w:val="0"/>
          <w:numId w:val="0"/>
        </w:numPr>
      </w:pPr>
      <w:bookmarkStart w:id="57" w:name="_Toc24064"/>
      <w:r>
        <w:rPr>
          <w:rFonts w:hint="eastAsia"/>
        </w:rPr>
        <w:t>（三）融资风险</w:t>
      </w:r>
      <w:bookmarkEnd w:id="57"/>
    </w:p>
    <w:p w14:paraId="7A323883">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bidi="ar-SA"/>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城镇化的建设和经营提供良好的资金保障。</w:t>
      </w:r>
    </w:p>
    <w:p w14:paraId="30ED1373">
      <w:pPr>
        <w:pStyle w:val="3"/>
        <w:numPr>
          <w:ilvl w:val="0"/>
          <w:numId w:val="0"/>
        </w:numPr>
      </w:pPr>
      <w:bookmarkStart w:id="58" w:name="_Toc2568"/>
      <w:r>
        <w:rPr>
          <w:rFonts w:hint="eastAsia"/>
        </w:rPr>
        <w:t>（四）财务风险</w:t>
      </w:r>
      <w:bookmarkEnd w:id="58"/>
    </w:p>
    <w:p w14:paraId="50416F41">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bidi="ar-SA"/>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加强市场意识、产业意识与竞争思维，在市场锤炼中不断调整经营思路、经营方式；推行“绿色管理”，降低管理成本和环境付出；做好项目品牌及形象的打造、维护、传播和经营工作；制定合理的市场营销策略。</w:t>
      </w:r>
    </w:p>
    <w:p w14:paraId="5D63A8D1">
      <w:pPr>
        <w:pStyle w:val="3"/>
        <w:numPr>
          <w:ilvl w:val="0"/>
          <w:numId w:val="0"/>
        </w:numPr>
      </w:pPr>
      <w:bookmarkStart w:id="59" w:name="_Toc26136"/>
      <w:r>
        <w:rPr>
          <w:rFonts w:hint="eastAsia"/>
        </w:rPr>
        <w:t>（五）自然风险</w:t>
      </w:r>
      <w:bookmarkEnd w:id="59"/>
    </w:p>
    <w:p w14:paraId="455BD0D6">
      <w:pPr>
        <w:spacing w:line="360" w:lineRule="auto"/>
        <w:ind w:firstLine="560"/>
        <w:rPr>
          <w:rFonts w:hint="eastAsia" w:ascii="宋体" w:eastAsia="宋体" w:cs="宋体"/>
          <w:color w:val="000000"/>
          <w:sz w:val="24"/>
          <w:szCs w:val="24"/>
          <w:lang w:bidi="ar-SA"/>
        </w:rPr>
      </w:pPr>
      <w:r>
        <w:rPr>
          <w:rFonts w:hint="eastAsia" w:ascii="宋体" w:eastAsia="宋体" w:cs="宋体"/>
          <w:color w:val="000000"/>
          <w:sz w:val="24"/>
          <w:szCs w:val="24"/>
          <w:lang w:bidi="ar-SA"/>
        </w:rPr>
        <w:t>本项目在经营期间遇到人力不可抗拒的自然灾害是完全可能的，为了降低此间风险，要根据项目的特点制定的相应的措施，以便使不可抗拒自然灾害的风险降到最低。</w:t>
      </w:r>
    </w:p>
    <w:p w14:paraId="166FCEDB">
      <w:pPr>
        <w:pStyle w:val="2"/>
      </w:pPr>
      <w:bookmarkStart w:id="60" w:name="_Toc22178"/>
      <w:r>
        <w:rPr>
          <w:rFonts w:hint="eastAsia"/>
          <w:lang w:val="en-US" w:eastAsia="zh-CN"/>
        </w:rPr>
        <w:t>六</w:t>
      </w:r>
      <w:r>
        <w:rPr>
          <w:rFonts w:hint="eastAsia"/>
        </w:rPr>
        <w:t>、专项债发行方案</w:t>
      </w:r>
      <w:bookmarkEnd w:id="60"/>
    </w:p>
    <w:p w14:paraId="2427036A">
      <w:pPr>
        <w:spacing w:before="156" w:beforeLines="50" w:after="156" w:afterLines="50" w:line="560" w:lineRule="exact"/>
        <w:ind w:firstLine="480" w:firstLineChars="200"/>
        <w:rPr>
          <w:rFonts w:hint="eastAsia" w:ascii="宋体" w:eastAsia="宋体" w:cs="宋体"/>
          <w:color w:val="000000"/>
          <w:sz w:val="24"/>
          <w:szCs w:val="24"/>
          <w:lang w:bidi="ar-SA"/>
        </w:rPr>
      </w:pPr>
      <w:r>
        <w:rPr>
          <w:rFonts w:hint="eastAsia" w:ascii="宋体" w:eastAsia="宋体" w:cs="宋体"/>
          <w:color w:val="000000"/>
          <w:sz w:val="24"/>
          <w:szCs w:val="24"/>
          <w:lang w:bidi="ar-SA"/>
        </w:rPr>
        <w:t>1、发行主体资格:根据《关于试点发展项目收益与融资自求平衡的地方政府专项债券品种的通知》（财预[2017]89号）之规定，地方政府专项债券需由江西省人民政府作为发行主体</w:t>
      </w:r>
      <w:r>
        <w:rPr>
          <w:rFonts w:hint="eastAsia" w:ascii="宋体" w:eastAsia="宋体" w:cs="宋体"/>
          <w:color w:val="000000"/>
          <w:sz w:val="24"/>
          <w:szCs w:val="24"/>
          <w:lang w:bidi="ar-SA"/>
        </w:rPr>
        <w:t>。本项目的实施机构为</w:t>
      </w:r>
      <w:r>
        <w:rPr>
          <w:rFonts w:hint="eastAsia" w:ascii="宋体" w:eastAsia="宋体" w:cs="宋体"/>
          <w:color w:val="000000"/>
          <w:sz w:val="24"/>
          <w:szCs w:val="24"/>
          <w:lang w:eastAsia="zh-CN" w:bidi="ar-SA"/>
        </w:rPr>
        <w:t xml:space="preserve">西湖区政务服务数据管理局 </w:t>
      </w:r>
      <w:r>
        <w:rPr>
          <w:rFonts w:hint="eastAsia" w:ascii="宋体" w:eastAsia="宋体" w:cs="宋体"/>
          <w:color w:val="000000"/>
          <w:sz w:val="24"/>
          <w:szCs w:val="24"/>
          <w:lang w:bidi="ar-SA"/>
        </w:rPr>
        <w:t>，是依法批准设立的机关单位，具备机关单位法人资格，具有相应的民事权利能力</w:t>
      </w:r>
      <w:r>
        <w:rPr>
          <w:rFonts w:hint="eastAsia" w:ascii="宋体" w:eastAsia="宋体" w:cs="宋体"/>
          <w:color w:val="000000"/>
          <w:sz w:val="24"/>
          <w:szCs w:val="24"/>
          <w:lang w:bidi="ar-SA"/>
        </w:rPr>
        <w:t>和民事行为能力；项目业主为</w:t>
      </w:r>
      <w:r>
        <w:rPr>
          <w:rFonts w:hint="eastAsia" w:ascii="宋体" w:eastAsia="宋体" w:cs="宋体"/>
          <w:color w:val="000000"/>
          <w:sz w:val="24"/>
          <w:szCs w:val="24"/>
          <w:lang w:eastAsia="zh-CN" w:bidi="ar-SA"/>
        </w:rPr>
        <w:t xml:space="preserve">西湖区政务服务数据管理局 </w:t>
      </w:r>
      <w:r>
        <w:rPr>
          <w:rFonts w:hint="eastAsia" w:ascii="宋体" w:eastAsia="宋体" w:cs="宋体"/>
          <w:color w:val="000000"/>
          <w:sz w:val="24"/>
          <w:szCs w:val="24"/>
          <w:lang w:bidi="ar-SA"/>
        </w:rPr>
        <w:t>,是依法批准设立的事业单位/企业法人，具备作为项目业主的资格。</w:t>
      </w:r>
    </w:p>
    <w:p w14:paraId="6BE2352F">
      <w:pPr>
        <w:spacing w:before="156" w:beforeLines="50" w:after="156" w:afterLines="50" w:line="560" w:lineRule="exact"/>
        <w:ind w:firstLine="480" w:firstLineChars="200"/>
        <w:rPr>
          <w:rFonts w:hint="eastAsia" w:ascii="宋体" w:eastAsia="宋体" w:cs="宋体"/>
          <w:color w:val="000000"/>
          <w:sz w:val="24"/>
          <w:szCs w:val="24"/>
          <w:lang w:val="en-US" w:eastAsia="zh-CN" w:bidi="ar-SA"/>
        </w:rPr>
      </w:pPr>
      <w:r>
        <w:rPr>
          <w:rFonts w:hint="eastAsia" w:ascii="宋体" w:eastAsia="宋体" w:cs="宋体"/>
          <w:color w:val="000000"/>
          <w:sz w:val="24"/>
          <w:szCs w:val="24"/>
          <w:lang w:val="en-US" w:eastAsia="zh-CN" w:bidi="ar-SA"/>
        </w:rPr>
        <w:t>2、发行计划: 南昌市西湖区数智西湖建设项目项目本期年申请发行地方政府专项债券6000万元，期限15年，专项债券融资成本按4.3%估算。</w:t>
      </w:r>
    </w:p>
    <w:p w14:paraId="6D65F432">
      <w:pPr>
        <w:widowControl/>
        <w:autoSpaceDE w:val="0"/>
        <w:autoSpaceDN w:val="0"/>
        <w:spacing w:after="240" w:line="360" w:lineRule="auto"/>
        <w:ind w:firstLine="480"/>
        <w:jc w:val="left"/>
        <w:rPr>
          <w:rFonts w:hint="eastAsia" w:ascii="宋体" w:hAnsi="Calibri" w:eastAsia="宋体" w:cs="宋体"/>
          <w:color w:val="000000"/>
          <w:kern w:val="2"/>
          <w:sz w:val="24"/>
          <w:szCs w:val="24"/>
          <w:lang w:val="en-US" w:eastAsia="zh-CN" w:bidi="ar-SA"/>
        </w:rPr>
      </w:pPr>
      <w:r>
        <w:rPr>
          <w:rFonts w:hint="eastAsia" w:ascii="宋体" w:hAnsi="Calibri" w:eastAsia="宋体" w:cs="宋体"/>
          <w:color w:val="000000"/>
          <w:kern w:val="2"/>
          <w:sz w:val="24"/>
          <w:szCs w:val="24"/>
          <w:lang w:val="en-US" w:eastAsia="zh-CN" w:bidi="ar-SA"/>
        </w:rPr>
        <w:t>3、发行场所:通过全国银行间债券市场、证券交易所债券市场发行。将来条件具备时也可在银行柜台债券市场发行。</w:t>
      </w:r>
    </w:p>
    <w:p w14:paraId="7A61B816">
      <w:pPr>
        <w:spacing w:before="110" w:line="360" w:lineRule="auto"/>
        <w:ind w:firstLine="477" w:firstLineChars="199"/>
        <w:rPr>
          <w:rFonts w:hint="eastAsia" w:ascii="仿宋" w:eastAsia="仿宋"/>
          <w:bCs/>
          <w:sz w:val="28"/>
          <w:szCs w:val="28"/>
        </w:rPr>
      </w:pPr>
      <w:r>
        <w:rPr>
          <w:rFonts w:hint="eastAsia" w:ascii="宋体" w:cs="宋体"/>
          <w:color w:val="000000"/>
          <w:sz w:val="24"/>
          <w:szCs w:val="24"/>
          <w:lang w:val="en-US" w:eastAsia="zh-CN" w:bidi="ar-SA"/>
        </w:rPr>
        <w:t>4</w:t>
      </w:r>
      <w:r>
        <w:rPr>
          <w:rFonts w:hint="eastAsia" w:ascii="宋体" w:eastAsia="宋体" w:cs="宋体"/>
          <w:color w:val="000000"/>
          <w:sz w:val="24"/>
          <w:szCs w:val="24"/>
          <w:lang w:bidi="ar-SA"/>
        </w:rPr>
        <w:t>、信息披露：在专项债发行日前5个工作日通过</w:t>
      </w:r>
      <w:r>
        <w:rPr>
          <w:rFonts w:hint="eastAsia" w:ascii="宋体" w:eastAsia="宋体" w:cs="宋体"/>
          <w:color w:val="000000"/>
          <w:sz w:val="24"/>
          <w:szCs w:val="24"/>
          <w:lang w:bidi="ar-SA"/>
        </w:rPr>
        <w:fldChar w:fldCharType="begin"/>
      </w:r>
      <w:r>
        <w:rPr>
          <w:rFonts w:hint="eastAsia" w:ascii="宋体" w:eastAsia="宋体" w:cs="宋体"/>
          <w:color w:val="000000"/>
          <w:sz w:val="24"/>
          <w:szCs w:val="24"/>
          <w:lang w:bidi="ar-SA"/>
        </w:rPr>
        <w:instrText xml:space="preserve">HYPERLINK "https://www.sogou.com/link?url=DSOYnZeCC_pzE53eXNhcqFoov_MuMQYQreaVHN88tHY."</w:instrText>
      </w:r>
      <w:r>
        <w:rPr>
          <w:rFonts w:hint="eastAsia" w:ascii="宋体" w:eastAsia="宋体" w:cs="宋体"/>
          <w:color w:val="000000"/>
          <w:sz w:val="24"/>
          <w:szCs w:val="24"/>
          <w:lang w:bidi="ar-SA"/>
        </w:rPr>
        <w:fldChar w:fldCharType="separate"/>
      </w:r>
      <w:r>
        <w:rPr>
          <w:rFonts w:hint="eastAsia" w:ascii="宋体" w:eastAsia="宋体" w:cs="宋体"/>
          <w:color w:val="000000"/>
          <w:sz w:val="24"/>
          <w:szCs w:val="24"/>
          <w:lang w:bidi="ar-SA"/>
        </w:rPr>
        <w:t>中国地方政府债券信息公开平台</w:t>
      </w:r>
      <w:r>
        <w:rPr>
          <w:rFonts w:hint="eastAsia" w:ascii="宋体" w:eastAsia="宋体" w:cs="宋体"/>
          <w:color w:val="000000"/>
          <w:sz w:val="24"/>
          <w:szCs w:val="24"/>
          <w:lang w:bidi="ar-SA"/>
        </w:rPr>
        <w:fldChar w:fldCharType="end"/>
      </w:r>
      <w:r>
        <w:rPr>
          <w:rFonts w:hint="eastAsia" w:ascii="宋体" w:eastAsia="宋体" w:cs="宋体"/>
          <w:color w:val="000000"/>
          <w:sz w:val="24"/>
          <w:szCs w:val="24"/>
          <w:lang w:bidi="ar-SA"/>
        </w:rPr>
        <w:t>、江西省财政厅官方网站和中国债券信息网-中央结算公司官方网站披露（http：//www.chinabond.com.cn/）详细披露债券发行全套信息披露文件。</w:t>
      </w:r>
    </w:p>
    <w:p w14:paraId="4484A5AE">
      <w:pPr>
        <w:spacing w:before="110" w:line="360" w:lineRule="auto"/>
        <w:ind w:firstLine="477" w:firstLineChars="199"/>
        <w:rPr>
          <w:rFonts w:hint="eastAsia" w:ascii="宋体" w:eastAsia="宋体" w:cs="宋体"/>
          <w:color w:val="000000"/>
          <w:sz w:val="24"/>
          <w:szCs w:val="24"/>
          <w:lang w:bidi="ar-SA"/>
        </w:rPr>
      </w:pPr>
      <w:r>
        <w:rPr>
          <w:rFonts w:hint="eastAsia" w:ascii="宋体" w:eastAsia="宋体" w:cs="宋体"/>
          <w:color w:val="000000"/>
          <w:sz w:val="24"/>
          <w:szCs w:val="24"/>
          <w:lang w:bidi="ar-SA"/>
        </w:rPr>
        <w:t>总体而言，</w:t>
      </w:r>
      <w:r>
        <w:rPr>
          <w:rFonts w:hint="eastAsia" w:ascii="宋体" w:cs="楷体"/>
          <w:sz w:val="24"/>
          <w:szCs w:val="24"/>
          <w:lang w:eastAsia="zh-CN" w:bidi="ar-SA"/>
        </w:rPr>
        <w:t>南昌市西湖区数智西湖建设项目</w:t>
      </w:r>
      <w:r>
        <w:rPr>
          <w:rFonts w:hint="eastAsia" w:ascii="宋体" w:cs="楷体"/>
          <w:sz w:val="24"/>
          <w:szCs w:val="24"/>
          <w:lang w:bidi="ar-SA"/>
        </w:rPr>
        <w:t>建设项目</w:t>
      </w:r>
      <w:r>
        <w:rPr>
          <w:rFonts w:hint="eastAsia" w:ascii="宋体" w:eastAsia="宋体" w:cs="宋体"/>
          <w:color w:val="000000"/>
          <w:sz w:val="24"/>
          <w:szCs w:val="24"/>
          <w:lang w:bidi="ar-SA"/>
        </w:rPr>
        <w:t>通过发行专项债可以降低项目融资成本，是现阶段解决建设资金问题的推荐方案。且基于财政部对地方政府发行项目收益与融资自求平衡专项债券的要求，并根据项目重大建设意义，</w:t>
      </w:r>
      <w:r>
        <w:rPr>
          <w:rFonts w:hint="eastAsia" w:ascii="宋体" w:cs="楷体"/>
          <w:sz w:val="24"/>
          <w:szCs w:val="24"/>
          <w:lang w:eastAsia="zh-CN" w:bidi="ar-SA"/>
        </w:rPr>
        <w:t>南昌市西湖区数智西湖建设项目</w:t>
      </w:r>
      <w:r>
        <w:rPr>
          <w:rFonts w:hint="eastAsia" w:ascii="宋体" w:cs="楷体"/>
          <w:sz w:val="24"/>
          <w:szCs w:val="24"/>
          <w:lang w:bidi="ar-SA"/>
        </w:rPr>
        <w:t>建设项目</w:t>
      </w:r>
      <w:r>
        <w:rPr>
          <w:rFonts w:hint="eastAsia" w:ascii="宋体" w:eastAsia="宋体" w:cs="宋体"/>
          <w:color w:val="000000"/>
          <w:sz w:val="24"/>
          <w:szCs w:val="24"/>
          <w:lang w:bidi="ar-SA"/>
        </w:rPr>
        <w:t>可以通过申请专项债券的方式进行融资以完成资金筹措。</w:t>
      </w:r>
    </w:p>
    <w:p w14:paraId="5880252B">
      <w:pPr>
        <w:rPr>
          <w:rFonts w:hint="eastAsia" w:ascii="楷体" w:hAnsi="楷体" w:eastAsia="楷体"/>
          <w:b/>
          <w:color w:val="auto"/>
          <w:sz w:val="44"/>
          <w:szCs w:val="44"/>
        </w:rPr>
      </w:pPr>
      <w:r>
        <w:rPr>
          <w:rFonts w:hint="eastAsia" w:ascii="楷体" w:hAnsi="楷体" w:eastAsia="楷体"/>
          <w:b/>
          <w:color w:val="auto"/>
          <w:sz w:val="44"/>
          <w:szCs w:val="44"/>
        </w:rPr>
        <w:br w:type="page"/>
      </w:r>
    </w:p>
    <w:p w14:paraId="31192418">
      <w:pPr>
        <w:spacing w:line="360" w:lineRule="auto"/>
        <w:jc w:val="center"/>
        <w:outlineLvl w:val="0"/>
        <w:rPr>
          <w:rFonts w:hint="eastAsia" w:ascii="楷体" w:hAnsi="楷体" w:eastAsia="楷体"/>
          <w:b/>
          <w:color w:val="auto"/>
          <w:sz w:val="44"/>
          <w:szCs w:val="44"/>
        </w:rPr>
      </w:pPr>
    </w:p>
    <w:p w14:paraId="14A099C0">
      <w:pPr>
        <w:spacing w:line="360" w:lineRule="auto"/>
        <w:jc w:val="center"/>
        <w:outlineLvl w:val="0"/>
        <w:rPr>
          <w:rFonts w:hint="eastAsia" w:ascii="楷体" w:hAnsi="楷体" w:eastAsia="楷体"/>
          <w:b/>
          <w:color w:val="auto"/>
          <w:sz w:val="44"/>
          <w:szCs w:val="44"/>
        </w:rPr>
      </w:pPr>
    </w:p>
    <w:p w14:paraId="57786B96">
      <w:pPr>
        <w:spacing w:line="360" w:lineRule="auto"/>
        <w:jc w:val="center"/>
        <w:outlineLvl w:val="0"/>
        <w:rPr>
          <w:rFonts w:hint="eastAsia" w:ascii="仿宋" w:hAnsi="仿宋" w:eastAsia="楷体"/>
          <w:b/>
          <w:sz w:val="44"/>
          <w:szCs w:val="44"/>
          <w:lang w:eastAsia="zh-CN"/>
        </w:rPr>
      </w:pPr>
      <w:r>
        <w:rPr>
          <w:rFonts w:hint="eastAsia" w:ascii="楷体" w:hAnsi="楷体" w:eastAsia="楷体"/>
          <w:b/>
          <w:color w:val="auto"/>
          <w:sz w:val="44"/>
          <w:szCs w:val="44"/>
        </w:rPr>
        <w:t>南昌县老旧小区综合改造十二期工程</w:t>
      </w:r>
      <w:r>
        <w:rPr>
          <w:rFonts w:hint="eastAsia" w:ascii="仿宋" w:hAnsi="仿宋" w:eastAsia="楷体"/>
          <w:b/>
          <w:sz w:val="44"/>
          <w:szCs w:val="44"/>
          <w:lang w:eastAsia="zh-CN"/>
        </w:rPr>
        <w:t>实施方案</w:t>
      </w:r>
    </w:p>
    <w:p w14:paraId="6B476DF9">
      <w:pPr>
        <w:spacing w:line="360" w:lineRule="auto"/>
        <w:jc w:val="center"/>
        <w:outlineLvl w:val="0"/>
        <w:rPr>
          <w:rFonts w:hint="eastAsia" w:ascii="仿宋" w:hAnsi="仿宋" w:eastAsia="楷体"/>
          <w:b/>
          <w:sz w:val="44"/>
          <w:szCs w:val="44"/>
          <w:lang w:eastAsia="zh-CN"/>
        </w:rPr>
      </w:pPr>
    </w:p>
    <w:p w14:paraId="24F16996">
      <w:pPr>
        <w:ind w:left="-141" w:leftChars="-67" w:right="-99" w:rightChars="-47" w:firstLine="439" w:firstLineChars="157"/>
        <w:jc w:val="center"/>
        <w:rPr>
          <w:rFonts w:ascii="宋体" w:hAnsi="宋体" w:eastAsia="宋体"/>
          <w:color w:val="auto"/>
          <w:sz w:val="28"/>
          <w:szCs w:val="28"/>
        </w:rPr>
      </w:pPr>
    </w:p>
    <w:p w14:paraId="1812EA1B">
      <w:pPr>
        <w:ind w:left="-141" w:leftChars="-67" w:right="-99" w:rightChars="-47" w:firstLine="439" w:firstLineChars="157"/>
        <w:rPr>
          <w:rFonts w:ascii="宋体" w:hAnsi="宋体" w:eastAsia="宋体"/>
          <w:color w:val="auto"/>
          <w:sz w:val="28"/>
          <w:szCs w:val="28"/>
        </w:rPr>
      </w:pPr>
    </w:p>
    <w:p w14:paraId="0323B39F">
      <w:pPr>
        <w:ind w:left="-141" w:leftChars="-67" w:right="-99" w:rightChars="-47" w:firstLine="439" w:firstLineChars="157"/>
        <w:rPr>
          <w:rFonts w:ascii="宋体" w:hAnsi="宋体" w:eastAsia="宋体"/>
          <w:color w:val="auto"/>
          <w:sz w:val="28"/>
          <w:szCs w:val="28"/>
        </w:rPr>
      </w:pPr>
    </w:p>
    <w:p w14:paraId="7CD6840A">
      <w:pPr>
        <w:ind w:right="-99" w:rightChars="-47"/>
        <w:rPr>
          <w:rFonts w:ascii="宋体" w:hAnsi="宋体" w:eastAsia="宋体"/>
          <w:color w:val="auto"/>
          <w:sz w:val="28"/>
          <w:szCs w:val="28"/>
          <w:u w:val="single"/>
        </w:rPr>
      </w:pPr>
    </w:p>
    <w:p w14:paraId="7BB16E67">
      <w:pPr>
        <w:ind w:left="-141" w:leftChars="-67" w:right="-99" w:rightChars="-47" w:firstLine="502" w:firstLineChars="157"/>
        <w:rPr>
          <w:color w:val="auto"/>
          <w:sz w:val="32"/>
          <w:szCs w:val="32"/>
          <w:u w:val="single"/>
        </w:rPr>
      </w:pPr>
    </w:p>
    <w:p w14:paraId="12017DA4">
      <w:pPr>
        <w:ind w:left="-141" w:leftChars="-67" w:right="-99" w:rightChars="-47" w:firstLine="502" w:firstLineChars="157"/>
        <w:rPr>
          <w:color w:val="auto"/>
          <w:sz w:val="32"/>
          <w:szCs w:val="32"/>
          <w:u w:val="single"/>
        </w:rPr>
      </w:pPr>
    </w:p>
    <w:p w14:paraId="50091CD0">
      <w:pPr>
        <w:ind w:left="-141" w:leftChars="-67" w:right="-99" w:rightChars="-47" w:firstLine="502" w:firstLineChars="157"/>
        <w:rPr>
          <w:color w:val="auto"/>
          <w:sz w:val="32"/>
          <w:szCs w:val="32"/>
          <w:u w:val="single"/>
        </w:rPr>
      </w:pPr>
    </w:p>
    <w:p w14:paraId="28391AFB">
      <w:pPr>
        <w:ind w:left="-141" w:leftChars="-67" w:right="-99" w:rightChars="-47" w:firstLine="502" w:firstLineChars="157"/>
        <w:rPr>
          <w:color w:val="auto"/>
          <w:sz w:val="32"/>
          <w:szCs w:val="32"/>
          <w:u w:val="single"/>
        </w:rPr>
      </w:pPr>
    </w:p>
    <w:p w14:paraId="001C6B9C">
      <w:pPr>
        <w:spacing w:line="360" w:lineRule="auto"/>
        <w:jc w:val="center"/>
        <w:rPr>
          <w:rFonts w:ascii="仿宋" w:hAnsi="仿宋" w:eastAsia="楷体"/>
          <w:b/>
          <w:color w:val="auto"/>
          <w:sz w:val="44"/>
          <w:szCs w:val="44"/>
        </w:rPr>
      </w:pPr>
    </w:p>
    <w:p w14:paraId="480E2E62">
      <w:pPr>
        <w:spacing w:line="360" w:lineRule="auto"/>
        <w:jc w:val="center"/>
        <w:rPr>
          <w:rFonts w:ascii="仿宋" w:hAnsi="仿宋" w:eastAsia="楷体"/>
          <w:b/>
          <w:color w:val="auto"/>
          <w:sz w:val="44"/>
          <w:szCs w:val="44"/>
        </w:rPr>
      </w:pPr>
    </w:p>
    <w:p w14:paraId="74804DA5">
      <w:pPr>
        <w:pStyle w:val="35"/>
        <w:rPr>
          <w:rFonts w:hint="eastAsia"/>
          <w:color w:val="auto"/>
        </w:rPr>
      </w:pPr>
    </w:p>
    <w:p w14:paraId="666B8E99">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南昌</w:t>
      </w:r>
      <w:r>
        <w:rPr>
          <w:rFonts w:hint="eastAsia" w:ascii="仿宋" w:hAnsi="仿宋" w:eastAsia="楷体"/>
          <w:b/>
          <w:color w:val="auto"/>
          <w:sz w:val="44"/>
          <w:szCs w:val="44"/>
          <w:lang w:val="en-US" w:eastAsia="zh-CN"/>
        </w:rPr>
        <w:t>市</w:t>
      </w:r>
      <w:r>
        <w:rPr>
          <w:rFonts w:hint="eastAsia" w:ascii="仿宋" w:hAnsi="仿宋" w:eastAsia="楷体"/>
          <w:b/>
          <w:color w:val="auto"/>
          <w:sz w:val="44"/>
          <w:szCs w:val="44"/>
        </w:rPr>
        <w:t>财政局</w:t>
      </w:r>
    </w:p>
    <w:p w14:paraId="507F8956">
      <w:pPr>
        <w:spacing w:line="360" w:lineRule="auto"/>
        <w:jc w:val="center"/>
        <w:rPr>
          <w:rFonts w:ascii="仿宋" w:hAnsi="仿宋" w:eastAsia="楷体"/>
          <w:b/>
          <w:color w:val="auto"/>
          <w:sz w:val="44"/>
          <w:szCs w:val="44"/>
        </w:rPr>
      </w:pPr>
      <w:r>
        <w:rPr>
          <w:rFonts w:hint="eastAsia" w:ascii="仿宋" w:hAnsi="仿宋" w:eastAsia="楷体"/>
          <w:b/>
          <w:color w:val="auto"/>
          <w:sz w:val="44"/>
          <w:szCs w:val="44"/>
        </w:rPr>
        <w:t>二〇二</w:t>
      </w:r>
      <w:r>
        <w:rPr>
          <w:rFonts w:hint="eastAsia" w:ascii="仿宋" w:hAnsi="仿宋" w:eastAsia="楷体"/>
          <w:b/>
          <w:color w:val="auto"/>
          <w:sz w:val="44"/>
          <w:szCs w:val="44"/>
          <w:lang w:val="en-US" w:eastAsia="zh-CN"/>
        </w:rPr>
        <w:t>四</w:t>
      </w:r>
      <w:r>
        <w:rPr>
          <w:rFonts w:hint="eastAsia" w:ascii="仿宋" w:hAnsi="仿宋" w:eastAsia="楷体"/>
          <w:b/>
          <w:color w:val="auto"/>
          <w:sz w:val="44"/>
          <w:szCs w:val="44"/>
        </w:rPr>
        <w:t>年</w:t>
      </w:r>
      <w:r>
        <w:rPr>
          <w:rFonts w:hint="eastAsia" w:ascii="仿宋" w:hAnsi="仿宋" w:eastAsia="楷体"/>
          <w:b/>
          <w:color w:val="auto"/>
          <w:sz w:val="44"/>
          <w:szCs w:val="44"/>
          <w:lang w:val="en-US" w:eastAsia="zh-CN"/>
        </w:rPr>
        <w:t>九</w:t>
      </w:r>
      <w:r>
        <w:rPr>
          <w:rFonts w:hint="eastAsia" w:ascii="仿宋" w:hAnsi="仿宋" w:eastAsia="楷体"/>
          <w:b/>
          <w:color w:val="auto"/>
          <w:sz w:val="44"/>
          <w:szCs w:val="44"/>
        </w:rPr>
        <w:t>月</w:t>
      </w:r>
    </w:p>
    <w:p w14:paraId="05D8FE2A">
      <w:pPr>
        <w:rPr>
          <w:rFonts w:ascii="楷体" w:hAnsi="楷体" w:eastAsia="楷体"/>
          <w:b/>
          <w:color w:val="auto"/>
          <w:sz w:val="44"/>
          <w:szCs w:val="44"/>
        </w:rPr>
      </w:pPr>
      <w:r>
        <w:rPr>
          <w:rFonts w:ascii="楷体" w:hAnsi="楷体" w:eastAsia="楷体"/>
          <w:b/>
          <w:color w:val="auto"/>
          <w:sz w:val="44"/>
          <w:szCs w:val="44"/>
        </w:rPr>
        <w:br w:type="page"/>
      </w:r>
    </w:p>
    <w:p w14:paraId="373ECF7B">
      <w:pPr>
        <w:ind w:right="-99" w:rightChars="-47"/>
        <w:rPr>
          <w:rFonts w:ascii="楷体" w:hAnsi="楷体" w:eastAsia="楷体"/>
          <w:b/>
          <w:sz w:val="44"/>
          <w:szCs w:val="44"/>
        </w:rPr>
        <w:sectPr>
          <w:pgSz w:w="11906" w:h="16838"/>
          <w:pgMar w:top="1440" w:right="1133" w:bottom="1440" w:left="1800" w:header="851" w:footer="992" w:gutter="0"/>
          <w:cols w:space="425" w:num="1"/>
          <w:docGrid w:type="lines" w:linePitch="312" w:charSpace="0"/>
        </w:sectPr>
      </w:pPr>
    </w:p>
    <w:p w14:paraId="317DEA65">
      <w:pPr>
        <w:ind w:right="-99" w:rightChars="-47"/>
        <w:jc w:val="center"/>
        <w:outlineLvl w:val="0"/>
        <w:rPr>
          <w:rFonts w:ascii="楷体" w:hAnsi="楷体" w:eastAsia="楷体"/>
          <w:b/>
          <w:sz w:val="44"/>
          <w:szCs w:val="44"/>
        </w:rPr>
      </w:pPr>
      <w:bookmarkStart w:id="61" w:name="_Toc17299"/>
      <w:r>
        <w:rPr>
          <w:rFonts w:hint="eastAsia" w:ascii="楷体" w:hAnsi="楷体" w:eastAsia="楷体"/>
          <w:b/>
          <w:sz w:val="44"/>
          <w:szCs w:val="44"/>
        </w:rPr>
        <w:t>前言</w:t>
      </w:r>
      <w:bookmarkEnd w:id="61"/>
    </w:p>
    <w:p w14:paraId="374CE8AF">
      <w:pPr>
        <w:pStyle w:val="23"/>
        <w:spacing w:before="0" w:beforeAutospacing="0" w:after="300" w:afterAutospacing="0" w:line="240" w:lineRule="auto"/>
        <w:ind w:firstLine="560" w:firstLineChars="200"/>
        <w:rPr>
          <w:rFonts w:ascii="楷体" w:hAnsi="楷体" w:eastAsia="楷体" w:cs="楷体"/>
          <w:bCs/>
          <w:kern w:val="2"/>
          <w:sz w:val="28"/>
          <w:szCs w:val="28"/>
        </w:rPr>
      </w:pPr>
      <w:r>
        <w:rPr>
          <w:rFonts w:hint="eastAsia" w:ascii="楷体" w:hAnsi="楷体" w:eastAsia="楷体" w:cs="楷体"/>
          <w:bCs/>
          <w:kern w:val="2"/>
          <w:sz w:val="28"/>
          <w:szCs w:val="28"/>
        </w:rPr>
        <w:t>2024年是全面贯彻落实党的二十大精神的第二年，是实施“十四五”规划的关键之年。在战略机遇与困难挑战并存的重要时期，各地区各部门要担负起稳定宏观经济的责任，各方面要积极推出有利于经济稳定的政策，政策发力适当靠前。地方政府专项债对确保经济平稳运行有着重大意义，在拉动有效投资、扩内需、促消费起着重要推动作用。</w:t>
      </w:r>
    </w:p>
    <w:p w14:paraId="43FCDE8C">
      <w:pPr>
        <w:pStyle w:val="23"/>
        <w:spacing w:before="0" w:beforeAutospacing="0" w:after="300" w:afterAutospacing="0" w:line="240" w:lineRule="auto"/>
        <w:ind w:firstLine="560" w:firstLineChars="200"/>
        <w:rPr>
          <w:rFonts w:ascii="楷体" w:hAnsi="楷体" w:eastAsia="楷体" w:cs="楷体"/>
          <w:bCs/>
          <w:sz w:val="28"/>
          <w:szCs w:val="28"/>
        </w:rPr>
      </w:pPr>
      <w:r>
        <w:rPr>
          <w:rFonts w:ascii="楷体" w:hAnsi="楷体" w:eastAsia="楷体" w:cs="楷体"/>
          <w:bCs/>
          <w:sz w:val="28"/>
          <w:szCs w:val="28"/>
        </w:rPr>
        <w:t>本次申请发行的专项债券</w:t>
      </w:r>
      <w:r>
        <w:rPr>
          <w:rFonts w:hint="eastAsia" w:ascii="楷体" w:hAnsi="楷体" w:eastAsia="楷体" w:cs="楷体"/>
          <w:bCs/>
          <w:sz w:val="28"/>
          <w:szCs w:val="28"/>
        </w:rPr>
        <w:t>项目，符合地方政府重大基础设施建设领域，是</w:t>
      </w:r>
      <w:r>
        <w:rPr>
          <w:rFonts w:ascii="楷体" w:hAnsi="楷体" w:eastAsia="楷体" w:cs="楷体"/>
          <w:bCs/>
          <w:sz w:val="28"/>
          <w:szCs w:val="28"/>
        </w:rPr>
        <w:t>纳政府性基金</w:t>
      </w:r>
      <w:r>
        <w:rPr>
          <w:rFonts w:hint="eastAsia" w:ascii="楷体" w:hAnsi="楷体" w:eastAsia="楷体" w:cs="楷体"/>
          <w:bCs/>
          <w:sz w:val="28"/>
          <w:szCs w:val="28"/>
        </w:rPr>
        <w:t>收入及专项收入</w:t>
      </w:r>
      <w:r>
        <w:rPr>
          <w:rFonts w:ascii="楷体" w:hAnsi="楷体" w:eastAsia="楷体" w:cs="楷体"/>
          <w:bCs/>
          <w:sz w:val="28"/>
          <w:szCs w:val="28"/>
        </w:rPr>
        <w:t>预算管理的收入偿还的地方政府专项债券。在风险可控的前提下，按照依法依规适度举债，保障重点领域合理融资需求的原则</w:t>
      </w:r>
      <w:r>
        <w:rPr>
          <w:rFonts w:hint="eastAsia" w:ascii="楷体" w:hAnsi="楷体" w:eastAsia="楷体" w:cs="楷体"/>
          <w:bCs/>
          <w:sz w:val="28"/>
          <w:szCs w:val="28"/>
        </w:rPr>
        <w:t>。南昌县老旧小区综合改造十二期工程拟于本期发行地方政府专项债</w:t>
      </w:r>
      <w:r>
        <w:rPr>
          <w:rFonts w:ascii="楷体" w:hAnsi="楷体" w:eastAsia="楷体" w:cs="楷体"/>
          <w:bCs/>
          <w:sz w:val="28"/>
          <w:szCs w:val="28"/>
        </w:rPr>
        <w:t>融资</w:t>
      </w:r>
      <w:r>
        <w:rPr>
          <w:rFonts w:hint="eastAsia" w:ascii="楷体" w:hAnsi="楷体" w:eastAsia="楷体" w:cs="楷体"/>
          <w:bCs/>
          <w:sz w:val="28"/>
          <w:szCs w:val="28"/>
        </w:rPr>
        <w:t>0.37</w:t>
      </w:r>
      <w:r>
        <w:rPr>
          <w:rFonts w:ascii="楷体" w:hAnsi="楷体" w:eastAsia="楷体" w:cs="楷体"/>
          <w:bCs/>
          <w:sz w:val="28"/>
          <w:szCs w:val="28"/>
        </w:rPr>
        <w:t>亿元</w:t>
      </w:r>
      <w:r>
        <w:rPr>
          <w:rFonts w:hint="eastAsia" w:ascii="楷体" w:hAnsi="楷体" w:eastAsia="楷体" w:cs="楷体"/>
          <w:bCs/>
          <w:sz w:val="28"/>
          <w:szCs w:val="28"/>
        </w:rPr>
        <w:t>。</w:t>
      </w:r>
    </w:p>
    <w:p w14:paraId="5BFCFED9">
      <w:pPr>
        <w:widowControl/>
        <w:autoSpaceDE w:val="0"/>
        <w:autoSpaceDN w:val="0"/>
        <w:spacing w:after="240" w:line="360" w:lineRule="auto"/>
        <w:ind w:left="-141" w:leftChars="-67" w:right="-99" w:rightChars="-47" w:firstLine="439" w:firstLineChars="157"/>
        <w:jc w:val="left"/>
        <w:rPr>
          <w:rFonts w:ascii="楷体" w:hAnsi="楷体" w:eastAsia="楷体" w:cs="楷体"/>
          <w:bCs/>
          <w:sz w:val="28"/>
          <w:szCs w:val="28"/>
        </w:rPr>
      </w:pPr>
      <w:r>
        <w:rPr>
          <w:rFonts w:ascii="楷体" w:hAnsi="楷体" w:eastAsia="楷体" w:cs="楷体"/>
          <w:bCs/>
          <w:sz w:val="28"/>
          <w:szCs w:val="28"/>
        </w:rPr>
        <w:t>项目实施过程中，将按照市场规则向投资者进行详细的项目信息披露，保障投资者权益，更好地发挥专项债券对地方稳增长、促改革、调结构、惠民生、防风险的支持作用。</w:t>
      </w:r>
    </w:p>
    <w:p w14:paraId="640D6309">
      <w:pPr>
        <w:widowControl/>
        <w:spacing w:line="360" w:lineRule="auto"/>
        <w:ind w:left="-141" w:leftChars="-67" w:right="-99" w:rightChars="-47" w:firstLine="439" w:firstLineChars="157"/>
        <w:jc w:val="left"/>
        <w:rPr>
          <w:rFonts w:ascii="宋体" w:hAnsi="宋体" w:eastAsia="宋体"/>
          <w:sz w:val="28"/>
          <w:szCs w:val="28"/>
        </w:rPr>
        <w:sectPr>
          <w:footerReference r:id="rId13" w:type="default"/>
          <w:pgSz w:w="11906" w:h="16838"/>
          <w:pgMar w:top="1440" w:right="1133" w:bottom="1440" w:left="1800" w:header="851" w:footer="992" w:gutter="0"/>
          <w:pgNumType w:start="1"/>
          <w:cols w:space="425" w:num="1"/>
          <w:docGrid w:type="lines" w:linePitch="312" w:charSpace="0"/>
        </w:sectPr>
      </w:pPr>
    </w:p>
    <w:sdt>
      <w:sdtPr>
        <w:rPr>
          <w:rFonts w:ascii="宋体" w:hAnsi="宋体" w:eastAsia="宋体"/>
        </w:rPr>
        <w:id w:val="147478838"/>
        <w:docPartObj>
          <w:docPartGallery w:val="Table of Contents"/>
          <w:docPartUnique/>
        </w:docPartObj>
      </w:sdtPr>
      <w:sdtEndPr>
        <w:rPr>
          <w:rFonts w:ascii="楷体" w:hAnsi="楷体" w:eastAsia="楷体"/>
          <w:b/>
          <w:szCs w:val="44"/>
        </w:rPr>
      </w:sdtEndPr>
      <w:sdtContent>
        <w:p w14:paraId="21523DB8">
          <w:pPr>
            <w:jc w:val="center"/>
          </w:pPr>
          <w:r>
            <w:rPr>
              <w:rFonts w:ascii="宋体" w:hAnsi="宋体" w:eastAsia="宋体"/>
            </w:rPr>
            <w:t>目录</w:t>
          </w:r>
        </w:p>
        <w:p w14:paraId="1D44B219">
          <w:pPr>
            <w:pStyle w:val="73"/>
            <w:tabs>
              <w:tab w:val="right" w:leader="dot" w:pos="8973"/>
            </w:tabs>
            <w:rPr>
              <w:b/>
            </w:rPr>
          </w:pPr>
          <w:r>
            <w:rPr>
              <w:rFonts w:ascii="楷体" w:hAnsi="楷体" w:eastAsia="楷体"/>
              <w:b/>
              <w:sz w:val="44"/>
              <w:szCs w:val="44"/>
            </w:rPr>
            <w:fldChar w:fldCharType="begin"/>
          </w:r>
          <w:r>
            <w:rPr>
              <w:rFonts w:ascii="楷体" w:hAnsi="楷体" w:eastAsia="楷体"/>
              <w:b/>
              <w:sz w:val="44"/>
              <w:szCs w:val="44"/>
            </w:rPr>
            <w:instrText xml:space="preserve">TOC \o "1-2" \h \u </w:instrText>
          </w:r>
          <w:r>
            <w:rPr>
              <w:rFonts w:ascii="楷体" w:hAnsi="楷体" w:eastAsia="楷体"/>
              <w:b/>
              <w:sz w:val="44"/>
              <w:szCs w:val="44"/>
            </w:rPr>
            <w:fldChar w:fldCharType="separate"/>
          </w:r>
        </w:p>
        <w:p w14:paraId="5D245838">
          <w:pPr>
            <w:pStyle w:val="73"/>
            <w:tabs>
              <w:tab w:val="right" w:leader="dot" w:pos="8973"/>
            </w:tabs>
            <w:rPr>
              <w:b/>
            </w:rPr>
          </w:pPr>
          <w:r>
            <w:fldChar w:fldCharType="begin"/>
          </w:r>
          <w:r>
            <w:instrText xml:space="preserve"> HYPERLINK \l "_Toc14580" </w:instrText>
          </w:r>
          <w:r>
            <w:fldChar w:fldCharType="separate"/>
          </w:r>
          <w:r>
            <w:rPr>
              <w:rFonts w:hint="eastAsia" w:ascii="黑体" w:hAnsi="黑体" w:eastAsia="黑体" w:cs="黑体"/>
              <w:b/>
              <w:szCs w:val="28"/>
            </w:rPr>
            <w:t>一、项目概况</w:t>
          </w:r>
          <w:r>
            <w:rPr>
              <w:b/>
            </w:rPr>
            <w:tab/>
          </w:r>
          <w:r>
            <w:rPr>
              <w:b/>
            </w:rPr>
            <w:fldChar w:fldCharType="begin"/>
          </w:r>
          <w:r>
            <w:rPr>
              <w:b/>
            </w:rPr>
            <w:instrText xml:space="preserve"> PAGEREF _Toc14580 \h </w:instrText>
          </w:r>
          <w:r>
            <w:rPr>
              <w:b/>
            </w:rPr>
            <w:fldChar w:fldCharType="separate"/>
          </w:r>
          <w:r>
            <w:rPr>
              <w:b/>
            </w:rPr>
            <w:t>3</w:t>
          </w:r>
          <w:r>
            <w:rPr>
              <w:b/>
            </w:rPr>
            <w:fldChar w:fldCharType="end"/>
          </w:r>
          <w:r>
            <w:rPr>
              <w:b/>
            </w:rPr>
            <w:fldChar w:fldCharType="end"/>
          </w:r>
        </w:p>
        <w:p w14:paraId="4ACA7F62">
          <w:pPr>
            <w:pStyle w:val="74"/>
            <w:tabs>
              <w:tab w:val="right" w:leader="dot" w:pos="8973"/>
            </w:tabs>
            <w:ind w:left="420"/>
          </w:pPr>
          <w:r>
            <w:fldChar w:fldCharType="begin"/>
          </w:r>
          <w:r>
            <w:instrText xml:space="preserve"> HYPERLINK \l "_Toc3711" </w:instrText>
          </w:r>
          <w:r>
            <w:fldChar w:fldCharType="separate"/>
          </w:r>
          <w:r>
            <w:rPr>
              <w:rFonts w:hint="eastAsia" w:ascii="楷体" w:hAnsi="楷体" w:eastAsia="楷体" w:cs="楷体"/>
              <w:bCs/>
              <w:szCs w:val="28"/>
            </w:rPr>
            <w:t>（一）项目所在地基本情况</w:t>
          </w:r>
          <w:r>
            <w:tab/>
          </w:r>
          <w:r>
            <w:fldChar w:fldCharType="begin"/>
          </w:r>
          <w:r>
            <w:instrText xml:space="preserve"> PAGEREF _Toc3711 \h </w:instrText>
          </w:r>
          <w:r>
            <w:fldChar w:fldCharType="separate"/>
          </w:r>
          <w:r>
            <w:t>3</w:t>
          </w:r>
          <w:r>
            <w:fldChar w:fldCharType="end"/>
          </w:r>
          <w:r>
            <w:fldChar w:fldCharType="end"/>
          </w:r>
        </w:p>
        <w:p w14:paraId="51AA8FC0">
          <w:pPr>
            <w:pStyle w:val="74"/>
            <w:tabs>
              <w:tab w:val="right" w:leader="dot" w:pos="8973"/>
            </w:tabs>
            <w:ind w:left="420"/>
          </w:pPr>
          <w:r>
            <w:fldChar w:fldCharType="begin"/>
          </w:r>
          <w:r>
            <w:instrText xml:space="preserve"> HYPERLINK \l "_Toc16774" </w:instrText>
          </w:r>
          <w:r>
            <w:fldChar w:fldCharType="separate"/>
          </w:r>
          <w:r>
            <w:rPr>
              <w:rFonts w:hint="eastAsia" w:ascii="楷体" w:hAnsi="楷体" w:eastAsia="楷体" w:cs="楷体"/>
              <w:bCs/>
              <w:szCs w:val="28"/>
            </w:rPr>
            <w:t>（二） 项目实施背景</w:t>
          </w:r>
          <w:r>
            <w:tab/>
          </w:r>
          <w:r>
            <w:fldChar w:fldCharType="begin"/>
          </w:r>
          <w:r>
            <w:instrText xml:space="preserve"> PAGEREF _Toc16774 \h </w:instrText>
          </w:r>
          <w:r>
            <w:fldChar w:fldCharType="separate"/>
          </w:r>
          <w:r>
            <w:t>4</w:t>
          </w:r>
          <w:r>
            <w:fldChar w:fldCharType="end"/>
          </w:r>
          <w:r>
            <w:fldChar w:fldCharType="end"/>
          </w:r>
        </w:p>
        <w:p w14:paraId="025681A2">
          <w:pPr>
            <w:pStyle w:val="74"/>
            <w:tabs>
              <w:tab w:val="right" w:leader="dot" w:pos="8973"/>
            </w:tabs>
            <w:ind w:left="420"/>
          </w:pPr>
          <w:r>
            <w:fldChar w:fldCharType="begin"/>
          </w:r>
          <w:r>
            <w:instrText xml:space="preserve"> HYPERLINK \l "_Toc20330" </w:instrText>
          </w:r>
          <w:r>
            <w:fldChar w:fldCharType="separate"/>
          </w:r>
          <w:r>
            <w:rPr>
              <w:rFonts w:hint="eastAsia" w:ascii="楷体" w:hAnsi="楷体" w:eastAsia="楷体" w:cs="楷体"/>
              <w:bCs/>
              <w:szCs w:val="28"/>
            </w:rPr>
            <w:t>（三）项目基本情况</w:t>
          </w:r>
          <w:r>
            <w:tab/>
          </w:r>
          <w:r>
            <w:fldChar w:fldCharType="begin"/>
          </w:r>
          <w:r>
            <w:instrText xml:space="preserve"> PAGEREF _Toc20330 \h </w:instrText>
          </w:r>
          <w:r>
            <w:fldChar w:fldCharType="separate"/>
          </w:r>
          <w:r>
            <w:t>6</w:t>
          </w:r>
          <w:r>
            <w:fldChar w:fldCharType="end"/>
          </w:r>
          <w:r>
            <w:fldChar w:fldCharType="end"/>
          </w:r>
        </w:p>
        <w:p w14:paraId="580B2739">
          <w:pPr>
            <w:pStyle w:val="73"/>
            <w:tabs>
              <w:tab w:val="right" w:leader="dot" w:pos="8973"/>
            </w:tabs>
            <w:rPr>
              <w:b/>
            </w:rPr>
          </w:pPr>
          <w:r>
            <w:fldChar w:fldCharType="begin"/>
          </w:r>
          <w:r>
            <w:instrText xml:space="preserve"> HYPERLINK \l "_Toc11012" </w:instrText>
          </w:r>
          <w:r>
            <w:fldChar w:fldCharType="separate"/>
          </w:r>
          <w:r>
            <w:rPr>
              <w:rFonts w:hint="eastAsia" w:ascii="楷体" w:hAnsi="楷体" w:eastAsia="楷体" w:cs="楷体"/>
              <w:b/>
              <w:bCs/>
              <w:szCs w:val="28"/>
            </w:rPr>
            <w:t>项目总投资</w:t>
          </w:r>
          <w:r>
            <w:rPr>
              <w:b/>
            </w:rPr>
            <w:tab/>
          </w:r>
          <w:r>
            <w:rPr>
              <w:b/>
            </w:rPr>
            <w:fldChar w:fldCharType="begin"/>
          </w:r>
          <w:r>
            <w:rPr>
              <w:b/>
            </w:rPr>
            <w:instrText xml:space="preserve"> PAGEREF _Toc11012 \h </w:instrText>
          </w:r>
          <w:r>
            <w:rPr>
              <w:b/>
            </w:rPr>
            <w:fldChar w:fldCharType="separate"/>
          </w:r>
          <w:r>
            <w:rPr>
              <w:b/>
            </w:rPr>
            <w:t>7</w:t>
          </w:r>
          <w:r>
            <w:rPr>
              <w:b/>
            </w:rPr>
            <w:fldChar w:fldCharType="end"/>
          </w:r>
          <w:r>
            <w:rPr>
              <w:b/>
            </w:rPr>
            <w:fldChar w:fldCharType="end"/>
          </w:r>
        </w:p>
        <w:p w14:paraId="40C20F12">
          <w:pPr>
            <w:pStyle w:val="73"/>
            <w:tabs>
              <w:tab w:val="right" w:leader="dot" w:pos="8973"/>
            </w:tabs>
            <w:rPr>
              <w:b/>
            </w:rPr>
          </w:pPr>
          <w:r>
            <w:fldChar w:fldCharType="begin"/>
          </w:r>
          <w:r>
            <w:instrText xml:space="preserve"> HYPERLINK \l "_Toc21554" </w:instrText>
          </w:r>
          <w:r>
            <w:fldChar w:fldCharType="separate"/>
          </w:r>
          <w:r>
            <w:rPr>
              <w:rFonts w:hint="eastAsia" w:ascii="黑体" w:hAnsi="黑体" w:eastAsia="黑体" w:cs="黑体"/>
              <w:b/>
              <w:szCs w:val="28"/>
            </w:rPr>
            <w:t>二、项目投资估算及资金筹措方案</w:t>
          </w:r>
          <w:r>
            <w:rPr>
              <w:b/>
            </w:rPr>
            <w:tab/>
          </w:r>
          <w:r>
            <w:rPr>
              <w:b/>
            </w:rPr>
            <w:fldChar w:fldCharType="begin"/>
          </w:r>
          <w:r>
            <w:rPr>
              <w:b/>
            </w:rPr>
            <w:instrText xml:space="preserve"> PAGEREF _Toc21554 \h </w:instrText>
          </w:r>
          <w:r>
            <w:rPr>
              <w:b/>
            </w:rPr>
            <w:fldChar w:fldCharType="separate"/>
          </w:r>
          <w:r>
            <w:rPr>
              <w:b/>
            </w:rPr>
            <w:t>7</w:t>
          </w:r>
          <w:r>
            <w:rPr>
              <w:b/>
            </w:rPr>
            <w:fldChar w:fldCharType="end"/>
          </w:r>
          <w:r>
            <w:rPr>
              <w:b/>
            </w:rPr>
            <w:fldChar w:fldCharType="end"/>
          </w:r>
        </w:p>
        <w:p w14:paraId="32E56999">
          <w:pPr>
            <w:pStyle w:val="74"/>
            <w:tabs>
              <w:tab w:val="right" w:leader="dot" w:pos="8973"/>
            </w:tabs>
            <w:ind w:left="420"/>
          </w:pPr>
          <w:r>
            <w:fldChar w:fldCharType="begin"/>
          </w:r>
          <w:r>
            <w:instrText xml:space="preserve"> HYPERLINK \l "_Toc11671" </w:instrText>
          </w:r>
          <w:r>
            <w:fldChar w:fldCharType="separate"/>
          </w:r>
          <w:r>
            <w:rPr>
              <w:rFonts w:hint="eastAsia" w:ascii="楷体" w:hAnsi="楷体" w:eastAsia="楷体" w:cs="楷体"/>
              <w:bCs/>
              <w:szCs w:val="28"/>
            </w:rPr>
            <w:t>（一）投资估算</w:t>
          </w:r>
          <w:r>
            <w:tab/>
          </w:r>
          <w:r>
            <w:fldChar w:fldCharType="begin"/>
          </w:r>
          <w:r>
            <w:instrText xml:space="preserve"> PAGEREF _Toc11671 \h </w:instrText>
          </w:r>
          <w:r>
            <w:fldChar w:fldCharType="separate"/>
          </w:r>
          <w:r>
            <w:t>7</w:t>
          </w:r>
          <w:r>
            <w:fldChar w:fldCharType="end"/>
          </w:r>
          <w:r>
            <w:fldChar w:fldCharType="end"/>
          </w:r>
        </w:p>
        <w:p w14:paraId="0074AE32">
          <w:pPr>
            <w:pStyle w:val="74"/>
            <w:tabs>
              <w:tab w:val="right" w:leader="dot" w:pos="8973"/>
            </w:tabs>
            <w:ind w:left="420"/>
          </w:pPr>
          <w:r>
            <w:fldChar w:fldCharType="begin"/>
          </w:r>
          <w:r>
            <w:instrText xml:space="preserve"> HYPERLINK \l "_Toc28974" </w:instrText>
          </w:r>
          <w:r>
            <w:fldChar w:fldCharType="separate"/>
          </w:r>
          <w:r>
            <w:rPr>
              <w:rFonts w:hint="eastAsia" w:ascii="楷体" w:hAnsi="楷体" w:eastAsia="楷体" w:cs="楷体"/>
              <w:bCs/>
              <w:szCs w:val="28"/>
            </w:rPr>
            <w:t>（二）资金筹措方案</w:t>
          </w:r>
          <w:r>
            <w:tab/>
          </w:r>
          <w:r>
            <w:fldChar w:fldCharType="begin"/>
          </w:r>
          <w:r>
            <w:instrText xml:space="preserve"> PAGEREF _Toc28974 \h </w:instrText>
          </w:r>
          <w:r>
            <w:fldChar w:fldCharType="separate"/>
          </w:r>
          <w:r>
            <w:t>8</w:t>
          </w:r>
          <w:r>
            <w:fldChar w:fldCharType="end"/>
          </w:r>
          <w:r>
            <w:fldChar w:fldCharType="end"/>
          </w:r>
        </w:p>
        <w:p w14:paraId="596F4DA6">
          <w:pPr>
            <w:pStyle w:val="73"/>
            <w:tabs>
              <w:tab w:val="right" w:leader="dot" w:pos="8973"/>
            </w:tabs>
            <w:rPr>
              <w:b/>
            </w:rPr>
          </w:pPr>
          <w:r>
            <w:fldChar w:fldCharType="begin"/>
          </w:r>
          <w:r>
            <w:instrText xml:space="preserve"> HYPERLINK \l "_Toc20439" </w:instrText>
          </w:r>
          <w:r>
            <w:fldChar w:fldCharType="separate"/>
          </w:r>
          <w:r>
            <w:rPr>
              <w:rFonts w:hint="eastAsia" w:ascii="黑体" w:hAnsi="黑体" w:eastAsia="黑体" w:cs="黑体"/>
              <w:b/>
              <w:szCs w:val="28"/>
            </w:rPr>
            <w:t>三、项目预期收益、成本及融资平衡情况</w:t>
          </w:r>
          <w:r>
            <w:rPr>
              <w:b/>
            </w:rPr>
            <w:tab/>
          </w:r>
          <w:r>
            <w:rPr>
              <w:b/>
            </w:rPr>
            <w:fldChar w:fldCharType="begin"/>
          </w:r>
          <w:r>
            <w:rPr>
              <w:b/>
            </w:rPr>
            <w:instrText xml:space="preserve"> PAGEREF _Toc20439 \h </w:instrText>
          </w:r>
          <w:r>
            <w:rPr>
              <w:b/>
            </w:rPr>
            <w:fldChar w:fldCharType="separate"/>
          </w:r>
          <w:r>
            <w:rPr>
              <w:b/>
            </w:rPr>
            <w:t>9</w:t>
          </w:r>
          <w:r>
            <w:rPr>
              <w:b/>
            </w:rPr>
            <w:fldChar w:fldCharType="end"/>
          </w:r>
          <w:r>
            <w:rPr>
              <w:b/>
            </w:rPr>
            <w:fldChar w:fldCharType="end"/>
          </w:r>
        </w:p>
        <w:p w14:paraId="09587031">
          <w:pPr>
            <w:pStyle w:val="74"/>
            <w:tabs>
              <w:tab w:val="right" w:leader="dot" w:pos="8973"/>
            </w:tabs>
            <w:ind w:left="420"/>
          </w:pPr>
          <w:r>
            <w:fldChar w:fldCharType="begin"/>
          </w:r>
          <w:r>
            <w:instrText xml:space="preserve"> HYPERLINK \l "_Toc24777" </w:instrText>
          </w:r>
          <w:r>
            <w:fldChar w:fldCharType="separate"/>
          </w:r>
          <w:r>
            <w:rPr>
              <w:rFonts w:hint="eastAsia" w:ascii="楷体" w:hAnsi="楷体" w:eastAsia="楷体" w:cs="楷体"/>
              <w:bCs/>
              <w:szCs w:val="28"/>
            </w:rPr>
            <w:t>（一）收入测算</w:t>
          </w:r>
          <w:r>
            <w:tab/>
          </w:r>
          <w:r>
            <w:fldChar w:fldCharType="begin"/>
          </w:r>
          <w:r>
            <w:instrText xml:space="preserve"> PAGEREF _Toc24777 \h </w:instrText>
          </w:r>
          <w:r>
            <w:fldChar w:fldCharType="separate"/>
          </w:r>
          <w:r>
            <w:t>9</w:t>
          </w:r>
          <w:r>
            <w:fldChar w:fldCharType="end"/>
          </w:r>
          <w:r>
            <w:fldChar w:fldCharType="end"/>
          </w:r>
        </w:p>
        <w:p w14:paraId="33425080">
          <w:pPr>
            <w:pStyle w:val="74"/>
            <w:tabs>
              <w:tab w:val="right" w:leader="dot" w:pos="8973"/>
            </w:tabs>
            <w:ind w:left="420"/>
          </w:pPr>
          <w:r>
            <w:fldChar w:fldCharType="begin"/>
          </w:r>
          <w:r>
            <w:instrText xml:space="preserve"> HYPERLINK \l "_Toc3189" </w:instrText>
          </w:r>
          <w:r>
            <w:fldChar w:fldCharType="separate"/>
          </w:r>
          <w:r>
            <w:rPr>
              <w:rFonts w:hint="eastAsia"/>
            </w:rPr>
            <w:t>（二）资金充足性</w:t>
          </w:r>
          <w:r>
            <w:tab/>
          </w:r>
          <w:r>
            <w:fldChar w:fldCharType="begin"/>
          </w:r>
          <w:r>
            <w:instrText xml:space="preserve"> PAGEREF _Toc3189 \h </w:instrText>
          </w:r>
          <w:r>
            <w:fldChar w:fldCharType="separate"/>
          </w:r>
          <w:r>
            <w:t>11</w:t>
          </w:r>
          <w:r>
            <w:fldChar w:fldCharType="end"/>
          </w:r>
          <w:r>
            <w:fldChar w:fldCharType="end"/>
          </w:r>
        </w:p>
        <w:p w14:paraId="53DE9472">
          <w:pPr>
            <w:pStyle w:val="74"/>
            <w:tabs>
              <w:tab w:val="right" w:leader="dot" w:pos="8973"/>
            </w:tabs>
            <w:ind w:left="420"/>
          </w:pPr>
          <w:r>
            <w:fldChar w:fldCharType="begin"/>
          </w:r>
          <w:r>
            <w:instrText xml:space="preserve"> HYPERLINK \l "_Toc5462" </w:instrText>
          </w:r>
          <w:r>
            <w:fldChar w:fldCharType="separate"/>
          </w:r>
          <w:r>
            <w:rPr>
              <w:rFonts w:hint="eastAsia" w:ascii="楷体" w:hAnsi="楷体" w:eastAsia="楷体" w:cs="楷体"/>
              <w:bCs/>
              <w:szCs w:val="28"/>
            </w:rPr>
            <w:t>（二）项目运营成本</w:t>
          </w:r>
          <w:r>
            <w:tab/>
          </w:r>
          <w:r>
            <w:fldChar w:fldCharType="begin"/>
          </w:r>
          <w:r>
            <w:instrText xml:space="preserve"> PAGEREF _Toc5462 \h </w:instrText>
          </w:r>
          <w:r>
            <w:fldChar w:fldCharType="separate"/>
          </w:r>
          <w:r>
            <w:t>15</w:t>
          </w:r>
          <w:r>
            <w:fldChar w:fldCharType="end"/>
          </w:r>
          <w:r>
            <w:fldChar w:fldCharType="end"/>
          </w:r>
        </w:p>
        <w:p w14:paraId="3090C522">
          <w:pPr>
            <w:pStyle w:val="74"/>
            <w:tabs>
              <w:tab w:val="right" w:leader="dot" w:pos="8973"/>
            </w:tabs>
            <w:ind w:left="420"/>
          </w:pPr>
          <w:r>
            <w:fldChar w:fldCharType="begin"/>
          </w:r>
          <w:r>
            <w:instrText xml:space="preserve"> HYPERLINK \l "_Toc8368" </w:instrText>
          </w:r>
          <w:r>
            <w:fldChar w:fldCharType="separate"/>
          </w:r>
          <w:r>
            <w:rPr>
              <w:rFonts w:hint="eastAsia" w:ascii="楷体" w:hAnsi="楷体" w:eastAsia="楷体" w:cs="楷体"/>
              <w:bCs/>
              <w:szCs w:val="28"/>
            </w:rPr>
            <w:t>（三） 项目资金测算平衡表</w:t>
          </w:r>
          <w:r>
            <w:tab/>
          </w:r>
          <w:r>
            <w:fldChar w:fldCharType="begin"/>
          </w:r>
          <w:r>
            <w:instrText xml:space="preserve"> PAGEREF _Toc8368 \h </w:instrText>
          </w:r>
          <w:r>
            <w:fldChar w:fldCharType="separate"/>
          </w:r>
          <w:r>
            <w:t>17</w:t>
          </w:r>
          <w:r>
            <w:fldChar w:fldCharType="end"/>
          </w:r>
          <w:r>
            <w:fldChar w:fldCharType="end"/>
          </w:r>
        </w:p>
        <w:p w14:paraId="1E3D552D">
          <w:pPr>
            <w:pStyle w:val="73"/>
            <w:tabs>
              <w:tab w:val="right" w:leader="dot" w:pos="8973"/>
            </w:tabs>
            <w:rPr>
              <w:b/>
            </w:rPr>
          </w:pPr>
          <w:r>
            <w:fldChar w:fldCharType="begin"/>
          </w:r>
          <w:r>
            <w:instrText xml:space="preserve"> HYPERLINK \l "_Toc28576" </w:instrText>
          </w:r>
          <w:r>
            <w:fldChar w:fldCharType="separate"/>
          </w:r>
          <w:r>
            <w:rPr>
              <w:rFonts w:hint="eastAsia" w:ascii="黑体" w:hAnsi="黑体" w:eastAsia="黑体" w:cs="黑体"/>
              <w:b/>
              <w:szCs w:val="28"/>
            </w:rPr>
            <w:t>四、</w:t>
          </w:r>
          <w:r>
            <w:rPr>
              <w:rFonts w:hint="eastAsia" w:cs="楷体" w:asciiTheme="minorEastAsia" w:hAnsiTheme="minorEastAsia"/>
              <w:b/>
              <w:bCs/>
              <w:szCs w:val="28"/>
            </w:rPr>
            <w:t>事前绩效评价</w:t>
          </w:r>
          <w:r>
            <w:rPr>
              <w:b/>
            </w:rPr>
            <w:tab/>
          </w:r>
          <w:r>
            <w:rPr>
              <w:b/>
            </w:rPr>
            <w:fldChar w:fldCharType="begin"/>
          </w:r>
          <w:r>
            <w:rPr>
              <w:b/>
            </w:rPr>
            <w:instrText xml:space="preserve"> PAGEREF _Toc28576 \h </w:instrText>
          </w:r>
          <w:r>
            <w:rPr>
              <w:b/>
            </w:rPr>
            <w:fldChar w:fldCharType="separate"/>
          </w:r>
          <w:r>
            <w:rPr>
              <w:b/>
            </w:rPr>
            <w:t>17</w:t>
          </w:r>
          <w:r>
            <w:rPr>
              <w:b/>
            </w:rPr>
            <w:fldChar w:fldCharType="end"/>
          </w:r>
          <w:r>
            <w:rPr>
              <w:b/>
            </w:rPr>
            <w:fldChar w:fldCharType="end"/>
          </w:r>
        </w:p>
        <w:p w14:paraId="77148450">
          <w:pPr>
            <w:pStyle w:val="74"/>
            <w:tabs>
              <w:tab w:val="right" w:leader="dot" w:pos="8973"/>
            </w:tabs>
            <w:ind w:left="420"/>
          </w:pPr>
          <w:r>
            <w:fldChar w:fldCharType="begin"/>
          </w:r>
          <w:r>
            <w:instrText xml:space="preserve"> HYPERLINK \l "_Toc18186" </w:instrText>
          </w:r>
          <w:r>
            <w:fldChar w:fldCharType="separate"/>
          </w:r>
          <w:r>
            <w:rPr>
              <w:rFonts w:hint="eastAsia" w:cs="仿宋" w:asciiTheme="minorEastAsia" w:hAnsiTheme="minorEastAsia"/>
              <w:szCs w:val="24"/>
            </w:rPr>
            <w:t>1、项目实施的必要性、公益性、收益性</w:t>
          </w:r>
          <w:r>
            <w:tab/>
          </w:r>
          <w:r>
            <w:fldChar w:fldCharType="begin"/>
          </w:r>
          <w:r>
            <w:instrText xml:space="preserve"> PAGEREF _Toc18186 \h </w:instrText>
          </w:r>
          <w:r>
            <w:fldChar w:fldCharType="separate"/>
          </w:r>
          <w:r>
            <w:t>17</w:t>
          </w:r>
          <w:r>
            <w:fldChar w:fldCharType="end"/>
          </w:r>
          <w:r>
            <w:fldChar w:fldCharType="end"/>
          </w:r>
        </w:p>
        <w:p w14:paraId="3B5EBC49">
          <w:pPr>
            <w:pStyle w:val="74"/>
            <w:tabs>
              <w:tab w:val="right" w:leader="dot" w:pos="8973"/>
            </w:tabs>
            <w:ind w:left="420"/>
          </w:pPr>
          <w:r>
            <w:fldChar w:fldCharType="begin"/>
          </w:r>
          <w:r>
            <w:instrText xml:space="preserve"> HYPERLINK \l "_Toc28298" </w:instrText>
          </w:r>
          <w:r>
            <w:fldChar w:fldCharType="separate"/>
          </w:r>
          <w:r>
            <w:rPr>
              <w:rFonts w:hint="eastAsia" w:asciiTheme="minorEastAsia" w:hAnsiTheme="minorEastAsia" w:cstheme="minorEastAsia"/>
              <w:szCs w:val="24"/>
            </w:rPr>
            <w:t>2、项目建设投资合规性与项目成熟度</w:t>
          </w:r>
          <w:r>
            <w:tab/>
          </w:r>
          <w:r>
            <w:fldChar w:fldCharType="begin"/>
          </w:r>
          <w:r>
            <w:instrText xml:space="preserve"> PAGEREF _Toc28298 \h </w:instrText>
          </w:r>
          <w:r>
            <w:fldChar w:fldCharType="separate"/>
          </w:r>
          <w:r>
            <w:t>18</w:t>
          </w:r>
          <w:r>
            <w:fldChar w:fldCharType="end"/>
          </w:r>
          <w:r>
            <w:fldChar w:fldCharType="end"/>
          </w:r>
        </w:p>
        <w:p w14:paraId="36E465D1">
          <w:pPr>
            <w:pStyle w:val="74"/>
            <w:tabs>
              <w:tab w:val="right" w:leader="dot" w:pos="8973"/>
            </w:tabs>
            <w:ind w:left="420"/>
          </w:pPr>
          <w:r>
            <w:fldChar w:fldCharType="begin"/>
          </w:r>
          <w:r>
            <w:instrText xml:space="preserve"> HYPERLINK \l "_Toc16261" </w:instrText>
          </w:r>
          <w:r>
            <w:fldChar w:fldCharType="separate"/>
          </w:r>
          <w:r>
            <w:rPr>
              <w:rFonts w:asciiTheme="minorEastAsia" w:hAnsiTheme="minorEastAsia" w:eastAsiaTheme="minorEastAsia" w:cstheme="minorEastAsia"/>
              <w:szCs w:val="24"/>
            </w:rPr>
            <w:t xml:space="preserve">3、 </w:t>
          </w:r>
          <w:r>
            <w:rPr>
              <w:rFonts w:hint="eastAsia" w:asciiTheme="minorEastAsia" w:hAnsiTheme="minorEastAsia" w:eastAsiaTheme="minorEastAsia" w:cstheme="minorEastAsia"/>
              <w:szCs w:val="24"/>
            </w:rPr>
            <w:t>项目资金来源和可到位性</w:t>
          </w:r>
          <w:r>
            <w:tab/>
          </w:r>
          <w:r>
            <w:fldChar w:fldCharType="begin"/>
          </w:r>
          <w:r>
            <w:instrText xml:space="preserve"> PAGEREF _Toc16261 \h </w:instrText>
          </w:r>
          <w:r>
            <w:fldChar w:fldCharType="separate"/>
          </w:r>
          <w:r>
            <w:t>18</w:t>
          </w:r>
          <w:r>
            <w:fldChar w:fldCharType="end"/>
          </w:r>
          <w:r>
            <w:fldChar w:fldCharType="end"/>
          </w:r>
        </w:p>
        <w:p w14:paraId="515D152F">
          <w:pPr>
            <w:pStyle w:val="74"/>
            <w:tabs>
              <w:tab w:val="right" w:leader="dot" w:pos="8973"/>
            </w:tabs>
            <w:ind w:left="420"/>
          </w:pPr>
          <w:r>
            <w:fldChar w:fldCharType="begin"/>
          </w:r>
          <w:r>
            <w:instrText xml:space="preserve"> HYPERLINK \l "_Toc9754" </w:instrText>
          </w:r>
          <w:r>
            <w:fldChar w:fldCharType="separate"/>
          </w:r>
          <w:r>
            <w:rPr>
              <w:rFonts w:hint="eastAsia" w:asciiTheme="minorEastAsia" w:hAnsiTheme="minorEastAsia"/>
              <w:szCs w:val="24"/>
            </w:rPr>
            <w:t>4、项目收入、成本、收益预测合理性</w:t>
          </w:r>
          <w:r>
            <w:tab/>
          </w:r>
          <w:r>
            <w:fldChar w:fldCharType="begin"/>
          </w:r>
          <w:r>
            <w:instrText xml:space="preserve"> PAGEREF _Toc9754 \h </w:instrText>
          </w:r>
          <w:r>
            <w:fldChar w:fldCharType="separate"/>
          </w:r>
          <w:r>
            <w:t>18</w:t>
          </w:r>
          <w:r>
            <w:fldChar w:fldCharType="end"/>
          </w:r>
          <w:r>
            <w:fldChar w:fldCharType="end"/>
          </w:r>
        </w:p>
        <w:p w14:paraId="3FBEC317">
          <w:pPr>
            <w:pStyle w:val="74"/>
            <w:tabs>
              <w:tab w:val="right" w:leader="dot" w:pos="8973"/>
            </w:tabs>
            <w:ind w:left="420"/>
          </w:pPr>
          <w:r>
            <w:fldChar w:fldCharType="begin"/>
          </w:r>
          <w:r>
            <w:instrText xml:space="preserve"> HYPERLINK \l "_Toc28257" </w:instrText>
          </w:r>
          <w:r>
            <w:fldChar w:fldCharType="separate"/>
          </w:r>
          <w:r>
            <w:rPr>
              <w:rFonts w:hint="eastAsia" w:ascii="宋体" w:hAnsi="宋体" w:cs="宋体"/>
              <w:szCs w:val="24"/>
            </w:rPr>
            <w:t>5、债券资金需求合理性</w:t>
          </w:r>
          <w:r>
            <w:tab/>
          </w:r>
          <w:r>
            <w:fldChar w:fldCharType="begin"/>
          </w:r>
          <w:r>
            <w:instrText xml:space="preserve"> PAGEREF _Toc28257 \h </w:instrText>
          </w:r>
          <w:r>
            <w:fldChar w:fldCharType="separate"/>
          </w:r>
          <w:r>
            <w:t>19</w:t>
          </w:r>
          <w:r>
            <w:fldChar w:fldCharType="end"/>
          </w:r>
          <w:r>
            <w:fldChar w:fldCharType="end"/>
          </w:r>
        </w:p>
        <w:p w14:paraId="19AC8254">
          <w:pPr>
            <w:pStyle w:val="74"/>
            <w:tabs>
              <w:tab w:val="right" w:leader="dot" w:pos="8973"/>
            </w:tabs>
            <w:ind w:left="420"/>
          </w:pPr>
          <w:r>
            <w:fldChar w:fldCharType="begin"/>
          </w:r>
          <w:r>
            <w:instrText xml:space="preserve"> HYPERLINK \l "_Toc6671" </w:instrText>
          </w:r>
          <w:r>
            <w:fldChar w:fldCharType="separate"/>
          </w:r>
          <w:r>
            <w:rPr>
              <w:rFonts w:hint="eastAsia" w:asciiTheme="minorEastAsia" w:hAnsiTheme="minorEastAsia"/>
              <w:szCs w:val="24"/>
            </w:rPr>
            <w:t>6、项目偿债计划可行性和偿债风险</w:t>
          </w:r>
          <w:r>
            <w:tab/>
          </w:r>
          <w:r>
            <w:fldChar w:fldCharType="begin"/>
          </w:r>
          <w:r>
            <w:instrText xml:space="preserve"> PAGEREF _Toc6671 \h </w:instrText>
          </w:r>
          <w:r>
            <w:fldChar w:fldCharType="separate"/>
          </w:r>
          <w:r>
            <w:t>19</w:t>
          </w:r>
          <w:r>
            <w:fldChar w:fldCharType="end"/>
          </w:r>
          <w:r>
            <w:fldChar w:fldCharType="end"/>
          </w:r>
        </w:p>
        <w:p w14:paraId="765C392E">
          <w:pPr>
            <w:pStyle w:val="74"/>
            <w:tabs>
              <w:tab w:val="right" w:leader="dot" w:pos="8973"/>
            </w:tabs>
            <w:ind w:left="420"/>
          </w:pPr>
          <w:r>
            <w:fldChar w:fldCharType="begin"/>
          </w:r>
          <w:r>
            <w:instrText xml:space="preserve"> HYPERLINK \l "_Toc11755" </w:instrText>
          </w:r>
          <w:r>
            <w:fldChar w:fldCharType="separate"/>
          </w:r>
          <w:r>
            <w:rPr>
              <w:rFonts w:hint="eastAsia" w:asciiTheme="minorEastAsia" w:hAnsiTheme="minorEastAsia"/>
              <w:szCs w:val="24"/>
            </w:rPr>
            <w:t>7、绩效目标合理性</w:t>
          </w:r>
          <w:r>
            <w:tab/>
          </w:r>
          <w:r>
            <w:fldChar w:fldCharType="begin"/>
          </w:r>
          <w:r>
            <w:instrText xml:space="preserve"> PAGEREF _Toc11755 \h </w:instrText>
          </w:r>
          <w:r>
            <w:fldChar w:fldCharType="separate"/>
          </w:r>
          <w:r>
            <w:t>19</w:t>
          </w:r>
          <w:r>
            <w:fldChar w:fldCharType="end"/>
          </w:r>
          <w:r>
            <w:fldChar w:fldCharType="end"/>
          </w:r>
        </w:p>
        <w:p w14:paraId="2BC94330">
          <w:pPr>
            <w:pStyle w:val="74"/>
            <w:tabs>
              <w:tab w:val="right" w:leader="dot" w:pos="8973"/>
            </w:tabs>
            <w:ind w:left="420"/>
          </w:pPr>
          <w:r>
            <w:fldChar w:fldCharType="begin"/>
          </w:r>
          <w:r>
            <w:instrText xml:space="preserve"> HYPERLINK \l "_Toc8162" </w:instrText>
          </w:r>
          <w:r>
            <w:fldChar w:fldCharType="separate"/>
          </w:r>
          <w:r>
            <w:rPr>
              <w:rFonts w:hint="eastAsia" w:asciiTheme="minorEastAsia" w:hAnsiTheme="minorEastAsia" w:eastAsiaTheme="minorEastAsia" w:cstheme="minorBidi"/>
              <w:kern w:val="2"/>
              <w:szCs w:val="24"/>
            </w:rPr>
            <w:t>8、其他需要纳入其他绩效评估的事项。</w:t>
          </w:r>
          <w:r>
            <w:tab/>
          </w:r>
          <w:r>
            <w:fldChar w:fldCharType="begin"/>
          </w:r>
          <w:r>
            <w:instrText xml:space="preserve"> PAGEREF _Toc8162 \h </w:instrText>
          </w:r>
          <w:r>
            <w:fldChar w:fldCharType="separate"/>
          </w:r>
          <w:r>
            <w:t>19</w:t>
          </w:r>
          <w:r>
            <w:fldChar w:fldCharType="end"/>
          </w:r>
          <w:r>
            <w:fldChar w:fldCharType="end"/>
          </w:r>
        </w:p>
        <w:p w14:paraId="0BD4A986">
          <w:pPr>
            <w:pStyle w:val="73"/>
            <w:tabs>
              <w:tab w:val="right" w:leader="dot" w:pos="8973"/>
            </w:tabs>
            <w:rPr>
              <w:b/>
            </w:rPr>
          </w:pPr>
          <w:r>
            <w:fldChar w:fldCharType="begin"/>
          </w:r>
          <w:r>
            <w:instrText xml:space="preserve"> HYPERLINK \l "_Toc12297" </w:instrText>
          </w:r>
          <w:r>
            <w:fldChar w:fldCharType="separate"/>
          </w:r>
          <w:r>
            <w:rPr>
              <w:rFonts w:hint="eastAsia" w:ascii="黑体" w:hAnsi="黑体" w:eastAsia="黑体" w:cs="黑体"/>
              <w:b/>
              <w:szCs w:val="28"/>
            </w:rPr>
            <w:t>五、项目风险分析</w:t>
          </w:r>
          <w:r>
            <w:rPr>
              <w:b/>
            </w:rPr>
            <w:tab/>
          </w:r>
          <w:r>
            <w:rPr>
              <w:b/>
            </w:rPr>
            <w:fldChar w:fldCharType="begin"/>
          </w:r>
          <w:r>
            <w:rPr>
              <w:b/>
            </w:rPr>
            <w:instrText xml:space="preserve"> PAGEREF _Toc12297 \h </w:instrText>
          </w:r>
          <w:r>
            <w:rPr>
              <w:b/>
            </w:rPr>
            <w:fldChar w:fldCharType="separate"/>
          </w:r>
          <w:r>
            <w:rPr>
              <w:b/>
            </w:rPr>
            <w:t>19</w:t>
          </w:r>
          <w:r>
            <w:rPr>
              <w:b/>
            </w:rPr>
            <w:fldChar w:fldCharType="end"/>
          </w:r>
          <w:r>
            <w:rPr>
              <w:b/>
            </w:rPr>
            <w:fldChar w:fldCharType="end"/>
          </w:r>
        </w:p>
        <w:p w14:paraId="401DF52A">
          <w:pPr>
            <w:pStyle w:val="74"/>
            <w:tabs>
              <w:tab w:val="right" w:leader="dot" w:pos="8973"/>
            </w:tabs>
            <w:ind w:left="420"/>
          </w:pPr>
          <w:r>
            <w:fldChar w:fldCharType="begin"/>
          </w:r>
          <w:r>
            <w:instrText xml:space="preserve"> HYPERLINK \l "_Toc16736" </w:instrText>
          </w:r>
          <w:r>
            <w:fldChar w:fldCharType="separate"/>
          </w:r>
          <w:r>
            <w:rPr>
              <w:rFonts w:hint="eastAsia" w:asciiTheme="minorEastAsia" w:hAnsiTheme="minorEastAsia"/>
              <w:szCs w:val="24"/>
            </w:rPr>
            <w:t>1、投资估算风险</w:t>
          </w:r>
          <w:r>
            <w:tab/>
          </w:r>
          <w:r>
            <w:fldChar w:fldCharType="begin"/>
          </w:r>
          <w:r>
            <w:instrText xml:space="preserve"> PAGEREF _Toc16736 \h </w:instrText>
          </w:r>
          <w:r>
            <w:fldChar w:fldCharType="separate"/>
          </w:r>
          <w:r>
            <w:t>19</w:t>
          </w:r>
          <w:r>
            <w:fldChar w:fldCharType="end"/>
          </w:r>
          <w:r>
            <w:fldChar w:fldCharType="end"/>
          </w:r>
        </w:p>
        <w:p w14:paraId="3C1EB39A">
          <w:pPr>
            <w:pStyle w:val="74"/>
            <w:tabs>
              <w:tab w:val="right" w:leader="dot" w:pos="8973"/>
            </w:tabs>
            <w:ind w:left="420"/>
          </w:pPr>
          <w:r>
            <w:fldChar w:fldCharType="begin"/>
          </w:r>
          <w:r>
            <w:instrText xml:space="preserve"> HYPERLINK \l "_Toc11303" </w:instrText>
          </w:r>
          <w:r>
            <w:fldChar w:fldCharType="separate"/>
          </w:r>
          <w:r>
            <w:rPr>
              <w:rFonts w:hint="eastAsia" w:asciiTheme="minorEastAsia" w:hAnsiTheme="minorEastAsia"/>
              <w:szCs w:val="24"/>
            </w:rPr>
            <w:t>2、工程风险</w:t>
          </w:r>
          <w:r>
            <w:tab/>
          </w:r>
          <w:r>
            <w:fldChar w:fldCharType="begin"/>
          </w:r>
          <w:r>
            <w:instrText xml:space="preserve"> PAGEREF _Toc11303 \h </w:instrText>
          </w:r>
          <w:r>
            <w:fldChar w:fldCharType="separate"/>
          </w:r>
          <w:r>
            <w:t>20</w:t>
          </w:r>
          <w:r>
            <w:fldChar w:fldCharType="end"/>
          </w:r>
          <w:r>
            <w:fldChar w:fldCharType="end"/>
          </w:r>
        </w:p>
        <w:p w14:paraId="506F5C57">
          <w:pPr>
            <w:pStyle w:val="74"/>
            <w:tabs>
              <w:tab w:val="right" w:leader="dot" w:pos="8973"/>
            </w:tabs>
            <w:ind w:left="420"/>
          </w:pPr>
          <w:r>
            <w:fldChar w:fldCharType="begin"/>
          </w:r>
          <w:r>
            <w:instrText xml:space="preserve"> HYPERLINK \l "_Toc8920" </w:instrText>
          </w:r>
          <w:r>
            <w:fldChar w:fldCharType="separate"/>
          </w:r>
          <w:r>
            <w:rPr>
              <w:rFonts w:hint="eastAsia" w:asciiTheme="minorEastAsia" w:hAnsiTheme="minorEastAsia"/>
              <w:szCs w:val="24"/>
            </w:rPr>
            <w:t>3、融资风险</w:t>
          </w:r>
          <w:r>
            <w:tab/>
          </w:r>
          <w:r>
            <w:fldChar w:fldCharType="begin"/>
          </w:r>
          <w:r>
            <w:instrText xml:space="preserve"> PAGEREF _Toc8920 \h </w:instrText>
          </w:r>
          <w:r>
            <w:fldChar w:fldCharType="separate"/>
          </w:r>
          <w:r>
            <w:t>20</w:t>
          </w:r>
          <w:r>
            <w:fldChar w:fldCharType="end"/>
          </w:r>
          <w:r>
            <w:fldChar w:fldCharType="end"/>
          </w:r>
        </w:p>
        <w:p w14:paraId="011C4043">
          <w:pPr>
            <w:pStyle w:val="74"/>
            <w:tabs>
              <w:tab w:val="right" w:leader="dot" w:pos="8973"/>
            </w:tabs>
            <w:ind w:left="420"/>
          </w:pPr>
          <w:r>
            <w:fldChar w:fldCharType="begin"/>
          </w:r>
          <w:r>
            <w:instrText xml:space="preserve"> HYPERLINK \l "_Toc8036" </w:instrText>
          </w:r>
          <w:r>
            <w:fldChar w:fldCharType="separate"/>
          </w:r>
          <w:r>
            <w:rPr>
              <w:rFonts w:hint="eastAsia" w:asciiTheme="minorEastAsia" w:hAnsiTheme="minorEastAsia"/>
              <w:szCs w:val="24"/>
            </w:rPr>
            <w:t>4、财务风险</w:t>
          </w:r>
          <w:r>
            <w:tab/>
          </w:r>
          <w:r>
            <w:fldChar w:fldCharType="begin"/>
          </w:r>
          <w:r>
            <w:instrText xml:space="preserve"> PAGEREF _Toc8036 \h </w:instrText>
          </w:r>
          <w:r>
            <w:fldChar w:fldCharType="separate"/>
          </w:r>
          <w:r>
            <w:t>20</w:t>
          </w:r>
          <w:r>
            <w:fldChar w:fldCharType="end"/>
          </w:r>
          <w:r>
            <w:fldChar w:fldCharType="end"/>
          </w:r>
        </w:p>
        <w:p w14:paraId="1AB61742">
          <w:pPr>
            <w:pStyle w:val="74"/>
            <w:tabs>
              <w:tab w:val="right" w:leader="dot" w:pos="8973"/>
            </w:tabs>
            <w:ind w:left="420"/>
          </w:pPr>
          <w:r>
            <w:fldChar w:fldCharType="begin"/>
          </w:r>
          <w:r>
            <w:instrText xml:space="preserve"> HYPERLINK \l "_Toc14037" </w:instrText>
          </w:r>
          <w:r>
            <w:fldChar w:fldCharType="separate"/>
          </w:r>
          <w:r>
            <w:rPr>
              <w:rFonts w:hint="eastAsia" w:asciiTheme="minorEastAsia" w:hAnsiTheme="minorEastAsia"/>
              <w:szCs w:val="24"/>
            </w:rPr>
            <w:t>5、自然风险</w:t>
          </w:r>
          <w:r>
            <w:tab/>
          </w:r>
          <w:r>
            <w:fldChar w:fldCharType="begin"/>
          </w:r>
          <w:r>
            <w:instrText xml:space="preserve"> PAGEREF _Toc14037 \h </w:instrText>
          </w:r>
          <w:r>
            <w:fldChar w:fldCharType="separate"/>
          </w:r>
          <w:r>
            <w:t>20</w:t>
          </w:r>
          <w:r>
            <w:fldChar w:fldCharType="end"/>
          </w:r>
          <w:r>
            <w:fldChar w:fldCharType="end"/>
          </w:r>
        </w:p>
        <w:p w14:paraId="0C562879">
          <w:pPr>
            <w:pStyle w:val="73"/>
            <w:tabs>
              <w:tab w:val="right" w:leader="dot" w:pos="8973"/>
            </w:tabs>
            <w:rPr>
              <w:b/>
            </w:rPr>
          </w:pPr>
          <w:r>
            <w:fldChar w:fldCharType="begin"/>
          </w:r>
          <w:r>
            <w:instrText xml:space="preserve"> HYPERLINK \l "_Toc31864" </w:instrText>
          </w:r>
          <w:r>
            <w:fldChar w:fldCharType="separate"/>
          </w:r>
          <w:r>
            <w:rPr>
              <w:rFonts w:hint="eastAsia" w:ascii="黑体" w:hAnsi="黑体" w:eastAsia="黑体" w:cs="黑体"/>
              <w:b/>
              <w:szCs w:val="28"/>
            </w:rPr>
            <w:t>六、专项债发行方案</w:t>
          </w:r>
          <w:r>
            <w:rPr>
              <w:b/>
            </w:rPr>
            <w:tab/>
          </w:r>
          <w:r>
            <w:rPr>
              <w:b/>
            </w:rPr>
            <w:fldChar w:fldCharType="begin"/>
          </w:r>
          <w:r>
            <w:rPr>
              <w:b/>
            </w:rPr>
            <w:instrText xml:space="preserve"> PAGEREF _Toc31864 \h </w:instrText>
          </w:r>
          <w:r>
            <w:rPr>
              <w:b/>
            </w:rPr>
            <w:fldChar w:fldCharType="separate"/>
          </w:r>
          <w:r>
            <w:rPr>
              <w:b/>
            </w:rPr>
            <w:t>20</w:t>
          </w:r>
          <w:r>
            <w:rPr>
              <w:b/>
            </w:rPr>
            <w:fldChar w:fldCharType="end"/>
          </w:r>
          <w:r>
            <w:rPr>
              <w:b/>
            </w:rPr>
            <w:fldChar w:fldCharType="end"/>
          </w:r>
        </w:p>
        <w:p w14:paraId="5DC58AE9">
          <w:pPr>
            <w:ind w:left="-141" w:leftChars="-67" w:right="-99" w:rightChars="-47" w:firstLine="331" w:firstLineChars="157"/>
            <w:jc w:val="center"/>
            <w:rPr>
              <w:rFonts w:ascii="楷体" w:hAnsi="楷体" w:eastAsia="楷体"/>
              <w:b/>
              <w:szCs w:val="44"/>
            </w:rPr>
          </w:pPr>
          <w:r>
            <w:rPr>
              <w:rFonts w:ascii="楷体" w:hAnsi="楷体" w:eastAsia="楷体"/>
              <w:b/>
              <w:szCs w:val="44"/>
            </w:rPr>
            <w:fldChar w:fldCharType="end"/>
          </w:r>
        </w:p>
      </w:sdtContent>
    </w:sdt>
    <w:p w14:paraId="63BD26BB">
      <w:pPr>
        <w:ind w:left="-141" w:leftChars="-67" w:right="-99" w:rightChars="-47" w:firstLine="331" w:firstLineChars="157"/>
        <w:jc w:val="center"/>
        <w:rPr>
          <w:rFonts w:ascii="楷体" w:hAnsi="楷体" w:eastAsia="楷体"/>
          <w:b/>
          <w:szCs w:val="44"/>
        </w:rPr>
        <w:sectPr>
          <w:pgSz w:w="11906" w:h="16838"/>
          <w:pgMar w:top="1440" w:right="1133" w:bottom="1440" w:left="1800" w:header="851" w:footer="992" w:gutter="0"/>
          <w:cols w:space="425" w:num="1"/>
          <w:docGrid w:type="lines" w:linePitch="312" w:charSpace="0"/>
        </w:sectPr>
      </w:pPr>
    </w:p>
    <w:p w14:paraId="4DDB26CB">
      <w:pPr>
        <w:widowControl/>
        <w:spacing w:line="560" w:lineRule="exact"/>
        <w:ind w:firstLine="560" w:firstLineChars="200"/>
        <w:jc w:val="left"/>
        <w:outlineLvl w:val="0"/>
        <w:rPr>
          <w:rFonts w:ascii="黑体" w:hAnsi="黑体" w:eastAsia="黑体" w:cs="黑体"/>
          <w:sz w:val="28"/>
          <w:szCs w:val="28"/>
        </w:rPr>
      </w:pPr>
      <w:bookmarkStart w:id="62" w:name="_Toc14580"/>
      <w:bookmarkStart w:id="63" w:name="_Toc44517279"/>
      <w:bookmarkStart w:id="64" w:name="_Toc36580088"/>
      <w:r>
        <w:rPr>
          <w:rFonts w:hint="eastAsia" w:ascii="黑体" w:hAnsi="黑体" w:eastAsia="黑体" w:cs="黑体"/>
          <w:sz w:val="28"/>
          <w:szCs w:val="28"/>
        </w:rPr>
        <w:t>一、项目概况</w:t>
      </w:r>
      <w:bookmarkEnd w:id="62"/>
      <w:bookmarkEnd w:id="63"/>
      <w:bookmarkEnd w:id="64"/>
    </w:p>
    <w:p w14:paraId="412EA6A7">
      <w:pPr>
        <w:widowControl/>
        <w:spacing w:line="560" w:lineRule="exact"/>
        <w:ind w:firstLine="560" w:firstLineChars="200"/>
        <w:jc w:val="left"/>
        <w:outlineLvl w:val="1"/>
        <w:rPr>
          <w:rFonts w:ascii="楷体" w:hAnsi="楷体" w:eastAsia="楷体" w:cs="楷体"/>
          <w:b/>
          <w:bCs/>
          <w:sz w:val="28"/>
          <w:szCs w:val="28"/>
        </w:rPr>
      </w:pPr>
      <w:bookmarkStart w:id="65" w:name="_Toc3711"/>
      <w:bookmarkStart w:id="66" w:name="_Toc36580089"/>
      <w:bookmarkStart w:id="67" w:name="_Toc44517280"/>
      <w:r>
        <w:rPr>
          <w:rFonts w:hint="eastAsia" w:ascii="楷体" w:hAnsi="楷体" w:eastAsia="楷体" w:cs="楷体"/>
          <w:b/>
          <w:bCs/>
          <w:sz w:val="28"/>
          <w:szCs w:val="28"/>
        </w:rPr>
        <w:t>（一）项目所在地基本情况</w:t>
      </w:r>
      <w:bookmarkEnd w:id="65"/>
      <w:bookmarkEnd w:id="66"/>
      <w:bookmarkEnd w:id="67"/>
    </w:p>
    <w:p w14:paraId="5D47579B">
      <w:pPr>
        <w:pStyle w:val="45"/>
        <w:spacing w:line="560" w:lineRule="exact"/>
        <w:ind w:left="-140" w:leftChars="-67" w:right="-98" w:rightChars="-47" w:firstLine="560" w:firstLineChars="200"/>
        <w:outlineLvl w:val="2"/>
        <w:rPr>
          <w:rFonts w:ascii="楷体" w:hAnsi="楷体" w:eastAsia="楷体"/>
          <w:b w:val="0"/>
        </w:rPr>
      </w:pPr>
      <w:bookmarkStart w:id="68" w:name="_Toc44517281"/>
      <w:bookmarkStart w:id="69" w:name="_Toc36580090"/>
      <w:r>
        <w:rPr>
          <w:rFonts w:hint="eastAsia" w:ascii="楷体" w:hAnsi="楷体" w:eastAsia="楷体"/>
          <w:b w:val="0"/>
        </w:rPr>
        <w:t>1、</w:t>
      </w:r>
      <w:r>
        <w:rPr>
          <w:rFonts w:ascii="楷体" w:hAnsi="楷体" w:eastAsia="楷体"/>
          <w:b w:val="0"/>
        </w:rPr>
        <w:t>所在地情况</w:t>
      </w:r>
      <w:bookmarkEnd w:id="68"/>
      <w:bookmarkEnd w:id="69"/>
    </w:p>
    <w:p w14:paraId="4B0FDE3C">
      <w:pPr>
        <w:pStyle w:val="35"/>
        <w:spacing w:line="600" w:lineRule="exact"/>
        <w:ind w:firstLine="480" w:firstLineChars="200"/>
        <w:rPr>
          <w:rFonts w:asciiTheme="minorEastAsia" w:hAnsiTheme="minorEastAsia" w:eastAsiaTheme="minorEastAsia" w:cstheme="minorEastAsia"/>
          <w:color w:val="auto"/>
          <w:kern w:val="2"/>
        </w:rPr>
      </w:pPr>
      <w:r>
        <w:rPr>
          <w:rFonts w:hint="eastAsia" w:asciiTheme="minorEastAsia" w:hAnsiTheme="minorEastAsia" w:eastAsiaTheme="minorEastAsia" w:cstheme="minorEastAsia"/>
          <w:color w:val="auto"/>
          <w:kern w:val="2"/>
        </w:rPr>
        <w:t>南昌县隶属江西省南昌市，介于北纬28°16′～28°58′、东经115°49′～116°19′之间。位于江西省中部偏北，南昌市南部；是江西省首府首县，江西省第一个百强县。东接进贤县，南邻宜春丰城市，西、北与新建区隔赣江相望，东北濒鄱阳湖，三面环抱南昌市主城区。距南昌市中心15公里；是全国著名的商品粮基地、渔业重点县，享有“江南粮仓”、“鱼米之乡”等美誉。</w:t>
      </w:r>
    </w:p>
    <w:p w14:paraId="662C0A3A">
      <w:pPr>
        <w:pStyle w:val="35"/>
        <w:spacing w:line="600" w:lineRule="exact"/>
        <w:ind w:firstLine="480" w:firstLineChars="200"/>
        <w:rPr>
          <w:rFonts w:asciiTheme="minorEastAsia" w:hAnsiTheme="minorEastAsia" w:eastAsiaTheme="minorEastAsia" w:cstheme="minorEastAsia"/>
          <w:color w:val="auto"/>
          <w:kern w:val="2"/>
        </w:rPr>
      </w:pPr>
      <w:r>
        <w:rPr>
          <w:rFonts w:hint="eastAsia" w:asciiTheme="minorEastAsia" w:hAnsiTheme="minorEastAsia" w:eastAsiaTheme="minorEastAsia" w:cstheme="minorEastAsia"/>
          <w:color w:val="auto"/>
          <w:kern w:val="2"/>
        </w:rPr>
        <w:t>南昌县面积1810.7平方公里；辖7个乡9个镇、1个国家级开发区和银三角管委会；2017年，户籍总人口1039778人，全县地区生产总值（GDP）782亿，按可比价格计算，比2016年增长9.2%。</w:t>
      </w:r>
    </w:p>
    <w:p w14:paraId="3A09BD9F">
      <w:pPr>
        <w:pStyle w:val="35"/>
        <w:spacing w:line="600" w:lineRule="exact"/>
        <w:ind w:firstLine="480" w:firstLineChars="200"/>
        <w:rPr>
          <w:rFonts w:asciiTheme="minorEastAsia" w:hAnsiTheme="minorEastAsia" w:eastAsiaTheme="minorEastAsia" w:cstheme="minorEastAsia"/>
          <w:color w:val="auto"/>
          <w:kern w:val="2"/>
        </w:rPr>
      </w:pPr>
      <w:r>
        <w:rPr>
          <w:rFonts w:hint="eastAsia" w:asciiTheme="minorEastAsia" w:hAnsiTheme="minorEastAsia" w:eastAsiaTheme="minorEastAsia" w:cstheme="minorEastAsia"/>
          <w:color w:val="auto"/>
          <w:kern w:val="2"/>
        </w:rPr>
        <w:t>南昌县境内有105国道、316国道、320国道、温厚高速公路穿境而过；京九铁路与浙赣铁路在南昌县向塘镇交汇，规划中的南昌地铁3号线直达南昌县中心，全县形成了一个公路、航空、水路、铁路、地铁等交通运输网络。</w:t>
      </w:r>
    </w:p>
    <w:p w14:paraId="2F3FE86A">
      <w:pPr>
        <w:widowControl/>
        <w:spacing w:line="56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南昌县是有着悠久历史和文化内涵的千年古县，公元前202年汉大将灌婴筑城建县，至今有2200多年的历史。也是南昌采茶戏的发祥地。境内有古建筑、古遗址30多处，列如曹雪芹祖籍故居、明末清初所建的永木黎村等。曾涌现了晋代著名道家创始人之一的许逊，宋太宗时任副相的陈恕等名人贤士。2006年南昌县被联合国地名专家组授予"神州千年古县"。南昌县于2006年正式列入"大型电视文献片-千年古县"序列。</w:t>
      </w:r>
    </w:p>
    <w:p w14:paraId="71CF46B3">
      <w:pPr>
        <w:widowControl/>
        <w:spacing w:line="560" w:lineRule="exact"/>
        <w:ind w:firstLine="480" w:firstLineChars="200"/>
        <w:jc w:val="left"/>
        <w:rPr>
          <w:rFonts w:asciiTheme="minorEastAsia" w:hAnsiTheme="minorEastAsia" w:cstheme="minorEastAsia"/>
          <w:sz w:val="24"/>
          <w:szCs w:val="24"/>
        </w:rPr>
      </w:pPr>
      <w:r>
        <w:rPr>
          <w:rFonts w:hint="eastAsia" w:asciiTheme="minorEastAsia" w:hAnsiTheme="minorEastAsia" w:cstheme="minorEastAsia"/>
          <w:sz w:val="24"/>
          <w:szCs w:val="24"/>
        </w:rPr>
        <w:t>南昌县作为江西省的首府首县，财政总收入连续四年保持“每年缩短一个月”的破百亿速度，全国百强连续十一年进位赶超，在2019年县域经济与县域综合发展百强排位中，较2018年上升4位，排名第25位。获评2019年度中国营商环境百佳示范县市、中国全面小康十大示范县市。</w:t>
      </w:r>
    </w:p>
    <w:p w14:paraId="5FF4A227">
      <w:pPr>
        <w:pStyle w:val="45"/>
        <w:spacing w:before="244"/>
        <w:ind w:left="-140" w:leftChars="-67" w:right="-98" w:rightChars="-47" w:firstLine="439" w:firstLineChars="157"/>
        <w:outlineLvl w:val="2"/>
        <w:rPr>
          <w:rFonts w:ascii="楷体" w:hAnsi="楷体" w:eastAsia="楷体"/>
          <w:b w:val="0"/>
        </w:rPr>
      </w:pPr>
      <w:bookmarkStart w:id="70" w:name="_Toc36580091"/>
      <w:bookmarkStart w:id="71" w:name="_Toc44517282"/>
      <w:r>
        <w:rPr>
          <w:rFonts w:hint="eastAsia" w:ascii="楷体" w:hAnsi="楷体" w:eastAsia="楷体"/>
          <w:b w:val="0"/>
        </w:rPr>
        <w:t>2、</w:t>
      </w:r>
      <w:r>
        <w:rPr>
          <w:rFonts w:ascii="楷体" w:hAnsi="楷体" w:eastAsia="楷体"/>
          <w:b w:val="0"/>
        </w:rPr>
        <w:t>财政收支情况</w:t>
      </w:r>
      <w:bookmarkEnd w:id="70"/>
      <w:bookmarkEnd w:id="71"/>
    </w:p>
    <w:p w14:paraId="0952786C">
      <w:pPr>
        <w:widowControl/>
        <w:spacing w:before="100" w:beforeAutospacing="1" w:after="100" w:afterAutospacing="1"/>
        <w:ind w:firstLine="480"/>
        <w:jc w:val="center"/>
        <w:rPr>
          <w:rFonts w:ascii="宋体" w:hAnsi="宋体" w:eastAsia="宋体" w:cs="宋体"/>
          <w:kern w:val="0"/>
          <w:sz w:val="24"/>
          <w:szCs w:val="24"/>
        </w:rPr>
      </w:pPr>
      <w:bookmarkStart w:id="72" w:name="_Toc44517283"/>
      <w:bookmarkStart w:id="73" w:name="_Toc36580092"/>
      <w:r>
        <w:rPr>
          <w:rFonts w:ascii="宋体" w:hAnsi="宋体" w:eastAsia="宋体" w:cs="宋体"/>
          <w:kern w:val="0"/>
          <w:sz w:val="24"/>
          <w:szCs w:val="24"/>
        </w:rPr>
        <w:t>南昌县财政支出情况</w:t>
      </w:r>
    </w:p>
    <w:p w14:paraId="7BAD69EB">
      <w:pPr>
        <w:widowControl/>
        <w:spacing w:before="100" w:beforeAutospacing="1" w:after="100" w:afterAutospacing="1"/>
        <w:ind w:firstLine="480"/>
        <w:jc w:val="right"/>
        <w:rPr>
          <w:rFonts w:ascii="宋体" w:hAnsi="宋体" w:eastAsia="宋体" w:cs="宋体"/>
          <w:kern w:val="0"/>
          <w:sz w:val="24"/>
          <w:szCs w:val="24"/>
        </w:rPr>
      </w:pPr>
      <w:r>
        <w:rPr>
          <w:rFonts w:ascii="宋体" w:hAnsi="宋体" w:eastAsia="宋体" w:cs="宋体"/>
          <w:kern w:val="0"/>
          <w:sz w:val="24"/>
          <w:szCs w:val="24"/>
        </w:rPr>
        <w:t>单位：亿元</w:t>
      </w:r>
    </w:p>
    <w:tbl>
      <w:tblPr>
        <w:tblStyle w:val="28"/>
        <w:tblW w:w="4800" w:type="pct"/>
        <w:tblCellSpacing w:w="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4250"/>
        <w:gridCol w:w="1343"/>
        <w:gridCol w:w="1362"/>
        <w:gridCol w:w="1338"/>
      </w:tblGrid>
      <w:tr w14:paraId="2797DD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4225" w:type="dxa"/>
            <w:tcBorders>
              <w:bottom w:val="outset" w:color="auto" w:sz="6" w:space="0"/>
              <w:right w:val="outset" w:color="auto" w:sz="6" w:space="0"/>
            </w:tcBorders>
            <w:shd w:val="clear" w:color="auto" w:fill="BEBEBE"/>
            <w:noWrap/>
            <w:vAlign w:val="center"/>
          </w:tcPr>
          <w:p w14:paraId="397206B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项目</w:t>
            </w:r>
          </w:p>
        </w:tc>
        <w:tc>
          <w:tcPr>
            <w:tcW w:w="1313" w:type="dxa"/>
            <w:tcBorders>
              <w:left w:val="outset" w:color="auto" w:sz="6" w:space="0"/>
              <w:bottom w:val="outset" w:color="auto" w:sz="6" w:space="0"/>
              <w:right w:val="outset" w:color="auto" w:sz="6" w:space="0"/>
            </w:tcBorders>
            <w:shd w:val="clear" w:color="auto" w:fill="BEBEBE"/>
            <w:noWrap/>
          </w:tcPr>
          <w:p w14:paraId="75416983">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2021年</w:t>
            </w:r>
          </w:p>
        </w:tc>
        <w:tc>
          <w:tcPr>
            <w:tcW w:w="1332" w:type="dxa"/>
            <w:tcBorders>
              <w:left w:val="outset" w:color="auto" w:sz="6" w:space="0"/>
              <w:bottom w:val="outset" w:color="auto" w:sz="6" w:space="0"/>
              <w:right w:val="outset" w:color="auto" w:sz="6" w:space="0"/>
            </w:tcBorders>
            <w:shd w:val="clear" w:color="auto" w:fill="BEBEBE"/>
            <w:noWrap/>
          </w:tcPr>
          <w:p w14:paraId="12BD7CE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2022年</w:t>
            </w:r>
          </w:p>
        </w:tc>
        <w:tc>
          <w:tcPr>
            <w:tcW w:w="1313" w:type="dxa"/>
            <w:tcBorders>
              <w:left w:val="outset" w:color="auto" w:sz="6" w:space="0"/>
              <w:bottom w:val="outset" w:color="auto" w:sz="6" w:space="0"/>
            </w:tcBorders>
            <w:shd w:val="clear" w:color="auto" w:fill="BEBEBE"/>
            <w:noWrap/>
          </w:tcPr>
          <w:p w14:paraId="4343260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2023年</w:t>
            </w:r>
          </w:p>
        </w:tc>
      </w:tr>
      <w:tr w14:paraId="21E834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5D70AE0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地区生产总值</w:t>
            </w:r>
          </w:p>
        </w:tc>
        <w:tc>
          <w:tcPr>
            <w:tcW w:w="1313" w:type="dxa"/>
            <w:tcBorders>
              <w:top w:val="outset" w:color="auto" w:sz="6" w:space="0"/>
              <w:left w:val="outset" w:color="auto" w:sz="6" w:space="0"/>
              <w:bottom w:val="outset" w:color="auto" w:sz="6" w:space="0"/>
              <w:right w:val="outset" w:color="auto" w:sz="6" w:space="0"/>
            </w:tcBorders>
            <w:noWrap/>
          </w:tcPr>
          <w:p w14:paraId="28E3AA6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1195.6</w:t>
            </w:r>
          </w:p>
        </w:tc>
        <w:tc>
          <w:tcPr>
            <w:tcW w:w="1332" w:type="dxa"/>
            <w:tcBorders>
              <w:top w:val="outset" w:color="auto" w:sz="6" w:space="0"/>
              <w:left w:val="outset" w:color="auto" w:sz="6" w:space="0"/>
              <w:bottom w:val="outset" w:color="auto" w:sz="6" w:space="0"/>
              <w:right w:val="outset" w:color="auto" w:sz="6" w:space="0"/>
            </w:tcBorders>
            <w:noWrap/>
          </w:tcPr>
          <w:p w14:paraId="15EA616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1280.4</w:t>
            </w:r>
          </w:p>
        </w:tc>
        <w:tc>
          <w:tcPr>
            <w:tcW w:w="1313" w:type="dxa"/>
            <w:tcBorders>
              <w:top w:val="outset" w:color="auto" w:sz="6" w:space="0"/>
              <w:left w:val="outset" w:color="auto" w:sz="6" w:space="0"/>
              <w:bottom w:val="outset" w:color="auto" w:sz="6" w:space="0"/>
            </w:tcBorders>
            <w:noWrap/>
          </w:tcPr>
          <w:p w14:paraId="03B2AFF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1340</w:t>
            </w:r>
          </w:p>
        </w:tc>
      </w:tr>
      <w:tr w14:paraId="2578A8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6ABBAF0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一般公共预算收入</w:t>
            </w:r>
          </w:p>
        </w:tc>
        <w:tc>
          <w:tcPr>
            <w:tcW w:w="1313" w:type="dxa"/>
            <w:tcBorders>
              <w:top w:val="outset" w:color="auto" w:sz="6" w:space="0"/>
              <w:left w:val="outset" w:color="auto" w:sz="6" w:space="0"/>
              <w:bottom w:val="outset" w:color="auto" w:sz="6" w:space="0"/>
              <w:right w:val="outset" w:color="auto" w:sz="6" w:space="0"/>
            </w:tcBorders>
            <w:noWrap/>
          </w:tcPr>
          <w:p w14:paraId="783DB67A">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79.4</w:t>
            </w:r>
          </w:p>
        </w:tc>
        <w:tc>
          <w:tcPr>
            <w:tcW w:w="1332" w:type="dxa"/>
            <w:tcBorders>
              <w:top w:val="outset" w:color="auto" w:sz="6" w:space="0"/>
              <w:left w:val="outset" w:color="auto" w:sz="6" w:space="0"/>
              <w:bottom w:val="outset" w:color="auto" w:sz="6" w:space="0"/>
              <w:right w:val="outset" w:color="auto" w:sz="6" w:space="0"/>
            </w:tcBorders>
            <w:noWrap/>
          </w:tcPr>
          <w:p w14:paraId="1BC3397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77.7</w:t>
            </w:r>
          </w:p>
        </w:tc>
        <w:tc>
          <w:tcPr>
            <w:tcW w:w="1313" w:type="dxa"/>
            <w:tcBorders>
              <w:top w:val="outset" w:color="auto" w:sz="6" w:space="0"/>
              <w:left w:val="outset" w:color="auto" w:sz="6" w:space="0"/>
              <w:bottom w:val="outset" w:color="auto" w:sz="6" w:space="0"/>
            </w:tcBorders>
            <w:noWrap/>
          </w:tcPr>
          <w:p w14:paraId="3A02C95E">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84.9</w:t>
            </w:r>
          </w:p>
        </w:tc>
      </w:tr>
      <w:tr w14:paraId="70332E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2EBFAA46">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政府性基金预算收入</w:t>
            </w:r>
          </w:p>
        </w:tc>
        <w:tc>
          <w:tcPr>
            <w:tcW w:w="1313" w:type="dxa"/>
            <w:tcBorders>
              <w:top w:val="outset" w:color="auto" w:sz="6" w:space="0"/>
              <w:left w:val="outset" w:color="auto" w:sz="6" w:space="0"/>
              <w:bottom w:val="outset" w:color="auto" w:sz="6" w:space="0"/>
              <w:right w:val="outset" w:color="auto" w:sz="6" w:space="0"/>
            </w:tcBorders>
            <w:noWrap/>
          </w:tcPr>
          <w:p w14:paraId="68559A08">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55.1</w:t>
            </w:r>
          </w:p>
        </w:tc>
        <w:tc>
          <w:tcPr>
            <w:tcW w:w="1332" w:type="dxa"/>
            <w:tcBorders>
              <w:top w:val="outset" w:color="auto" w:sz="6" w:space="0"/>
              <w:left w:val="outset" w:color="auto" w:sz="6" w:space="0"/>
              <w:bottom w:val="outset" w:color="auto" w:sz="6" w:space="0"/>
              <w:right w:val="outset" w:color="auto" w:sz="6" w:space="0"/>
            </w:tcBorders>
            <w:noWrap/>
          </w:tcPr>
          <w:p w14:paraId="2E007B24">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31.4</w:t>
            </w:r>
          </w:p>
        </w:tc>
        <w:tc>
          <w:tcPr>
            <w:tcW w:w="1313" w:type="dxa"/>
            <w:tcBorders>
              <w:top w:val="outset" w:color="auto" w:sz="6" w:space="0"/>
              <w:left w:val="outset" w:color="auto" w:sz="6" w:space="0"/>
              <w:bottom w:val="outset" w:color="auto" w:sz="6" w:space="0"/>
            </w:tcBorders>
            <w:noWrap/>
          </w:tcPr>
          <w:p w14:paraId="61C1C10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37.1</w:t>
            </w:r>
          </w:p>
        </w:tc>
      </w:tr>
      <w:tr w14:paraId="54DD7A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27" w:hRule="atLeast"/>
          <w:tblCellSpacing w:w="0" w:type="dxa"/>
        </w:trPr>
        <w:tc>
          <w:tcPr>
            <w:tcW w:w="4225" w:type="dxa"/>
            <w:tcBorders>
              <w:top w:val="outset" w:color="auto" w:sz="6" w:space="0"/>
              <w:bottom w:val="outset" w:color="auto" w:sz="6" w:space="0"/>
              <w:right w:val="outset" w:color="auto" w:sz="6" w:space="0"/>
            </w:tcBorders>
            <w:noWrap/>
            <w:vAlign w:val="center"/>
          </w:tcPr>
          <w:p w14:paraId="5309930C">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其中：国有土地使用权出让金收入</w:t>
            </w:r>
          </w:p>
        </w:tc>
        <w:tc>
          <w:tcPr>
            <w:tcW w:w="1313" w:type="dxa"/>
            <w:tcBorders>
              <w:top w:val="outset" w:color="auto" w:sz="6" w:space="0"/>
              <w:left w:val="outset" w:color="auto" w:sz="6" w:space="0"/>
              <w:bottom w:val="outset" w:color="auto" w:sz="6" w:space="0"/>
              <w:right w:val="outset" w:color="auto" w:sz="6" w:space="0"/>
            </w:tcBorders>
            <w:noWrap/>
          </w:tcPr>
          <w:p w14:paraId="56BA7CD0">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52.8</w:t>
            </w:r>
          </w:p>
        </w:tc>
        <w:tc>
          <w:tcPr>
            <w:tcW w:w="1332" w:type="dxa"/>
            <w:tcBorders>
              <w:top w:val="outset" w:color="auto" w:sz="6" w:space="0"/>
              <w:left w:val="outset" w:color="auto" w:sz="6" w:space="0"/>
              <w:bottom w:val="outset" w:color="auto" w:sz="6" w:space="0"/>
              <w:right w:val="outset" w:color="auto" w:sz="6" w:space="0"/>
            </w:tcBorders>
            <w:noWrap/>
          </w:tcPr>
          <w:p w14:paraId="3EA310A5">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31.1</w:t>
            </w:r>
          </w:p>
        </w:tc>
        <w:tc>
          <w:tcPr>
            <w:tcW w:w="1313" w:type="dxa"/>
            <w:tcBorders>
              <w:top w:val="outset" w:color="auto" w:sz="6" w:space="0"/>
              <w:left w:val="outset" w:color="auto" w:sz="6" w:space="0"/>
              <w:bottom w:val="outset" w:color="auto" w:sz="6" w:space="0"/>
            </w:tcBorders>
            <w:noWrap/>
          </w:tcPr>
          <w:p w14:paraId="47C3D1F1">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33.8</w:t>
            </w:r>
          </w:p>
        </w:tc>
      </w:tr>
      <w:tr w14:paraId="5056D5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77" w:hRule="atLeast"/>
          <w:tblCellSpacing w:w="0" w:type="dxa"/>
        </w:trPr>
        <w:tc>
          <w:tcPr>
            <w:tcW w:w="4225" w:type="dxa"/>
            <w:tcBorders>
              <w:top w:val="outset" w:color="auto" w:sz="6" w:space="0"/>
              <w:bottom w:val="outset" w:color="auto" w:sz="6" w:space="0"/>
              <w:right w:val="outset" w:color="auto" w:sz="6" w:space="0"/>
            </w:tcBorders>
            <w:noWrap/>
            <w:vAlign w:val="center"/>
          </w:tcPr>
          <w:p w14:paraId="7F462D6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政府性基金预算支出</w:t>
            </w:r>
          </w:p>
        </w:tc>
        <w:tc>
          <w:tcPr>
            <w:tcW w:w="1313" w:type="dxa"/>
            <w:tcBorders>
              <w:top w:val="outset" w:color="auto" w:sz="6" w:space="0"/>
              <w:left w:val="outset" w:color="auto" w:sz="6" w:space="0"/>
              <w:bottom w:val="outset" w:color="auto" w:sz="6" w:space="0"/>
              <w:right w:val="outset" w:color="auto" w:sz="6" w:space="0"/>
            </w:tcBorders>
            <w:noWrap/>
          </w:tcPr>
          <w:p w14:paraId="54E1245F">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40.5</w:t>
            </w:r>
          </w:p>
        </w:tc>
        <w:tc>
          <w:tcPr>
            <w:tcW w:w="1332" w:type="dxa"/>
            <w:tcBorders>
              <w:top w:val="outset" w:color="auto" w:sz="6" w:space="0"/>
              <w:left w:val="outset" w:color="auto" w:sz="6" w:space="0"/>
              <w:bottom w:val="outset" w:color="auto" w:sz="6" w:space="0"/>
              <w:right w:val="outset" w:color="auto" w:sz="6" w:space="0"/>
            </w:tcBorders>
            <w:noWrap/>
          </w:tcPr>
          <w:p w14:paraId="19828332">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45.3</w:t>
            </w:r>
          </w:p>
        </w:tc>
        <w:tc>
          <w:tcPr>
            <w:tcW w:w="1313" w:type="dxa"/>
            <w:tcBorders>
              <w:top w:val="outset" w:color="auto" w:sz="6" w:space="0"/>
              <w:left w:val="outset" w:color="auto" w:sz="6" w:space="0"/>
              <w:bottom w:val="outset" w:color="auto" w:sz="6" w:space="0"/>
            </w:tcBorders>
            <w:noWrap/>
          </w:tcPr>
          <w:p w14:paraId="1074E52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30.3</w:t>
            </w:r>
          </w:p>
        </w:tc>
      </w:tr>
      <w:tr w14:paraId="1D53FC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05" w:hRule="atLeast"/>
          <w:tblCellSpacing w:w="0" w:type="dxa"/>
        </w:trPr>
        <w:tc>
          <w:tcPr>
            <w:tcW w:w="4225" w:type="dxa"/>
            <w:tcBorders>
              <w:top w:val="outset" w:color="auto" w:sz="6" w:space="0"/>
              <w:right w:val="outset" w:color="auto" w:sz="6" w:space="0"/>
            </w:tcBorders>
            <w:noWrap/>
            <w:vAlign w:val="center"/>
          </w:tcPr>
          <w:p w14:paraId="18FA667B">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其中：国有土地使用权出让金支出</w:t>
            </w:r>
          </w:p>
        </w:tc>
        <w:tc>
          <w:tcPr>
            <w:tcW w:w="1313" w:type="dxa"/>
            <w:tcBorders>
              <w:top w:val="outset" w:color="auto" w:sz="6" w:space="0"/>
              <w:left w:val="outset" w:color="auto" w:sz="6" w:space="0"/>
              <w:right w:val="outset" w:color="auto" w:sz="6" w:space="0"/>
            </w:tcBorders>
            <w:noWrap/>
          </w:tcPr>
          <w:p w14:paraId="2A9B03DD">
            <w:pPr>
              <w:widowControl/>
              <w:spacing w:before="100" w:beforeAutospacing="1" w:after="100" w:afterAutospacing="1"/>
              <w:jc w:val="center"/>
              <w:rPr>
                <w:rFonts w:ascii="宋体" w:hAnsi="宋体" w:eastAsia="宋体" w:cs="宋体"/>
                <w:kern w:val="0"/>
                <w:sz w:val="24"/>
                <w:szCs w:val="24"/>
              </w:rPr>
            </w:pPr>
            <w:r>
              <w:rPr>
                <w:rFonts w:hint="eastAsia" w:ascii="宋体" w:hAnsi="宋体" w:eastAsia="宋体" w:cs="宋体"/>
                <w:kern w:val="0"/>
                <w:sz w:val="24"/>
                <w:szCs w:val="24"/>
              </w:rPr>
              <w:t>17.9</w:t>
            </w:r>
          </w:p>
        </w:tc>
        <w:tc>
          <w:tcPr>
            <w:tcW w:w="1332" w:type="dxa"/>
            <w:tcBorders>
              <w:top w:val="outset" w:color="auto" w:sz="6" w:space="0"/>
              <w:left w:val="outset" w:color="auto" w:sz="6" w:space="0"/>
              <w:right w:val="outset" w:color="auto" w:sz="6" w:space="0"/>
            </w:tcBorders>
            <w:noWrap/>
          </w:tcPr>
          <w:p w14:paraId="14E2E9FA">
            <w:pPr>
              <w:widowControl/>
              <w:jc w:val="center"/>
              <w:rPr>
                <w:rFonts w:ascii="宋体" w:hAnsi="宋体" w:eastAsia="宋体" w:cs="宋体"/>
                <w:kern w:val="0"/>
                <w:sz w:val="24"/>
                <w:szCs w:val="24"/>
              </w:rPr>
            </w:pPr>
            <w:r>
              <w:rPr>
                <w:rFonts w:hint="eastAsia" w:ascii="宋体" w:hAnsi="宋体" w:eastAsia="宋体" w:cs="宋体"/>
                <w:kern w:val="0"/>
                <w:sz w:val="24"/>
                <w:szCs w:val="24"/>
              </w:rPr>
              <w:t>17.8</w:t>
            </w:r>
          </w:p>
        </w:tc>
        <w:tc>
          <w:tcPr>
            <w:tcW w:w="1313" w:type="dxa"/>
            <w:tcBorders>
              <w:top w:val="outset" w:color="auto" w:sz="6" w:space="0"/>
              <w:left w:val="outset" w:color="auto" w:sz="6" w:space="0"/>
            </w:tcBorders>
            <w:noWrap/>
          </w:tcPr>
          <w:p w14:paraId="1B2679D5">
            <w:pPr>
              <w:widowControl/>
              <w:jc w:val="center"/>
              <w:rPr>
                <w:rFonts w:ascii="宋体" w:hAnsi="宋体" w:eastAsia="宋体" w:cs="宋体"/>
                <w:kern w:val="0"/>
                <w:sz w:val="24"/>
                <w:szCs w:val="24"/>
              </w:rPr>
            </w:pPr>
            <w:r>
              <w:rPr>
                <w:rFonts w:hint="eastAsia" w:ascii="宋体" w:hAnsi="宋体" w:eastAsia="宋体" w:cs="宋体"/>
                <w:kern w:val="0"/>
                <w:sz w:val="24"/>
                <w:szCs w:val="24"/>
              </w:rPr>
              <w:t>14.1</w:t>
            </w:r>
          </w:p>
        </w:tc>
      </w:tr>
    </w:tbl>
    <w:p w14:paraId="51D4E2F8">
      <w:pPr>
        <w:widowControl/>
        <w:numPr>
          <w:ilvl w:val="0"/>
          <w:numId w:val="5"/>
        </w:numPr>
        <w:spacing w:line="560" w:lineRule="exact"/>
        <w:jc w:val="left"/>
        <w:outlineLvl w:val="1"/>
        <w:rPr>
          <w:rFonts w:ascii="楷体" w:hAnsi="楷体" w:eastAsia="楷体" w:cs="楷体"/>
          <w:b/>
          <w:bCs/>
          <w:sz w:val="28"/>
          <w:szCs w:val="28"/>
        </w:rPr>
      </w:pPr>
      <w:bookmarkStart w:id="74" w:name="_Toc16774"/>
      <w:r>
        <w:rPr>
          <w:rFonts w:hint="eastAsia" w:ascii="楷体" w:hAnsi="楷体" w:eastAsia="楷体" w:cs="楷体"/>
          <w:b/>
          <w:bCs/>
          <w:sz w:val="28"/>
          <w:szCs w:val="28"/>
        </w:rPr>
        <w:t>项目实施背景</w:t>
      </w:r>
      <w:bookmarkEnd w:id="72"/>
      <w:bookmarkEnd w:id="73"/>
      <w:bookmarkEnd w:id="74"/>
    </w:p>
    <w:p w14:paraId="6C59C5F0">
      <w:pPr>
        <w:spacing w:line="520" w:lineRule="exact"/>
        <w:ind w:firstLine="480" w:firstLineChars="200"/>
        <w:rPr>
          <w:rFonts w:ascii="宋体" w:hAnsi="宋体" w:eastAsia="宋体" w:cs="宋体"/>
          <w:sz w:val="24"/>
          <w:szCs w:val="24"/>
        </w:rPr>
      </w:pPr>
      <w:r>
        <w:rPr>
          <w:rFonts w:hint="eastAsia" w:ascii="宋体" w:hAnsi="宋体" w:eastAsia="宋体" w:cs="宋体"/>
          <w:sz w:val="24"/>
          <w:szCs w:val="24"/>
        </w:rPr>
        <w:t>为全面贯彻落实党的十九大、省委十四届九次全会和市委十一届九次会议精神，坚持以人民为中心的思想，把人民对美好生活的向往作为奋斗目标，按照“精心规划、精致建设、精细管理、精美呈现”的总体要求，本着“尽力而为、量力而行”的原则，结合“文明城创建”、“危旧房”排危、国有企业家属区“三供一业”分离移交等工作，重点整治老居民区、开放式社区、老工业生活区、老工矿企业住宅区，完善老旧小区配套设施，消除安全隐患，补齐功能短板，提升社区服务功能和品质，建立健全长效管理机制，营造良好的人居环境，实现全区老旧小区升级提质，提高人民群众获得感、幸福感、安全感。</w:t>
      </w:r>
    </w:p>
    <w:p w14:paraId="2A6BC5B6">
      <w:pPr>
        <w:spacing w:line="520" w:lineRule="exact"/>
        <w:ind w:firstLine="480" w:firstLineChars="200"/>
        <w:rPr>
          <w:rFonts w:ascii="宋体" w:hAnsi="宋体" w:eastAsia="宋体" w:cs="宋体"/>
          <w:sz w:val="24"/>
          <w:szCs w:val="24"/>
        </w:rPr>
      </w:pPr>
      <w:r>
        <w:rPr>
          <w:rFonts w:hint="eastAsia" w:ascii="宋体" w:hAnsi="宋体" w:eastAsia="宋体" w:cs="宋体"/>
          <w:sz w:val="24"/>
          <w:szCs w:val="24"/>
        </w:rPr>
        <w:t>南昌市人民政府办公厅关于印发 2020 年南昌市老旧小区改造工作实施方案的通知文件指出：根据国家住建部、发改委、财政部《关于申报 2020 年城镇老旧小区改造计划任务的通知》（建办城〔2019〕70 号）和省住建厅关于做好 2020 年老旧小区改造工作的通知有关文件精神，在近几年老旧小区改造的基础上，继续加大老旧小区改造力度，深入推进城市建管十大提升行动，提升城市功能与品质。老旧小区改造主要针对以下几点：</w:t>
      </w:r>
    </w:p>
    <w:p w14:paraId="3DF44FC2">
      <w:pPr>
        <w:spacing w:line="520" w:lineRule="exact"/>
        <w:ind w:firstLine="480" w:firstLineChars="200"/>
        <w:rPr>
          <w:rFonts w:ascii="宋体" w:hAnsi="宋体" w:eastAsia="宋体" w:cs="宋体"/>
          <w:sz w:val="24"/>
          <w:szCs w:val="24"/>
        </w:rPr>
      </w:pPr>
      <w:r>
        <w:rPr>
          <w:rFonts w:hint="eastAsia" w:ascii="宋体" w:hAnsi="宋体" w:eastAsia="宋体" w:cs="宋体"/>
          <w:sz w:val="24"/>
          <w:szCs w:val="24"/>
        </w:rPr>
        <w:t>（1）两让基本方向：一是让“路”于民，针对小区违章建筑的占用消防通道现象，通过拆违，让出保障居民生命财产安全通道。二是让“场”于民，充分尊重居民意愿，将房前屋后的小院落进行整合，科学规划的建设小游园“邮票绿地”“共享停车位”以满足群众日益增长美丽生活需要。</w:t>
      </w:r>
    </w:p>
    <w:p w14:paraId="2EE43DCB">
      <w:pPr>
        <w:spacing w:line="520" w:lineRule="exact"/>
        <w:ind w:firstLine="480" w:firstLineChars="200"/>
        <w:rPr>
          <w:rFonts w:ascii="宋体" w:hAnsi="宋体" w:eastAsia="宋体" w:cs="宋体"/>
          <w:sz w:val="24"/>
          <w:szCs w:val="24"/>
        </w:rPr>
      </w:pPr>
      <w:r>
        <w:rPr>
          <w:rFonts w:hint="eastAsia" w:ascii="宋体" w:hAnsi="宋体" w:eastAsia="宋体" w:cs="宋体"/>
          <w:sz w:val="24"/>
          <w:szCs w:val="24"/>
        </w:rPr>
        <w:t>（2）突出三项整治：一是整治违法建设，对侵占公共空间、消防通道的地面违建进行统一拆除。二是整治危险房屋，全面排查房屋安全结构，通过综合整治全面排除C类、D类危房。三是整治环境卫生，建立老旧小区环境管理长效机制，实现小区长效管理。</w:t>
      </w:r>
    </w:p>
    <w:p w14:paraId="372A1E11">
      <w:pPr>
        <w:spacing w:line="520" w:lineRule="exact"/>
        <w:ind w:firstLine="480" w:firstLineChars="200"/>
        <w:rPr>
          <w:rFonts w:ascii="宋体" w:hAnsi="宋体" w:eastAsia="宋体" w:cs="宋体"/>
          <w:sz w:val="24"/>
          <w:szCs w:val="24"/>
        </w:rPr>
      </w:pPr>
      <w:r>
        <w:rPr>
          <w:rFonts w:hint="eastAsia" w:ascii="宋体" w:hAnsi="宋体" w:eastAsia="宋体" w:cs="宋体"/>
          <w:sz w:val="24"/>
          <w:szCs w:val="24"/>
        </w:rPr>
        <w:t>（3）民生六项改造：改造用水(供水管网、水表入户等设施、排水管网、建筑排水、雨水管、化粪池等设施)、改造用电(电表入户、楼道照明、路灯照明等用电设施)、改造道路(小区道路、消防通道、无障碍设施、拆违及通道清理)、改造用气(燃气管网、管道入户)、建筑修缮(楼道修缮、楼栋门、楼栋三线、屋面防水、外墙治理、建筑户外构造构件、安防设施等)、消防改造(建筑消防、消防设施)。</w:t>
      </w:r>
    </w:p>
    <w:p w14:paraId="01615B89">
      <w:pPr>
        <w:spacing w:line="520" w:lineRule="exact"/>
        <w:ind w:firstLine="480" w:firstLineChars="200"/>
        <w:rPr>
          <w:rFonts w:ascii="宋体" w:hAnsi="宋体" w:eastAsia="宋体" w:cs="宋体"/>
          <w:sz w:val="24"/>
          <w:szCs w:val="24"/>
        </w:rPr>
      </w:pPr>
      <w:r>
        <w:rPr>
          <w:rFonts w:hint="eastAsia" w:ascii="宋体" w:hAnsi="宋体" w:eastAsia="宋体" w:cs="宋体"/>
          <w:sz w:val="24"/>
          <w:szCs w:val="24"/>
        </w:rPr>
        <w:t>（4）综合六项提升：提升社区配套设施(幼儿园、养老中心、医疗卫生、商业、文体中心)打造社区邻里中心、提升景观环境(外立面改造、强弱电管线规整、绿化提升)、提升社区办公条件(提升公共用房)、提升出行条件(加建电梯)、提升智慧小区建设(垃圾分类、智能快件箱、智慧安防系统)、提升社区服务功能(完善环卫健身设施、完善停车设施)。</w:t>
      </w:r>
    </w:p>
    <w:p w14:paraId="0D1D5D2E">
      <w:pPr>
        <w:spacing w:line="520" w:lineRule="exact"/>
        <w:ind w:firstLine="480" w:firstLineChars="200"/>
        <w:rPr>
          <w:rFonts w:ascii="宋体" w:hAnsi="宋体" w:eastAsia="宋体" w:cs="宋体"/>
          <w:sz w:val="24"/>
          <w:szCs w:val="24"/>
        </w:rPr>
      </w:pPr>
      <w:r>
        <w:rPr>
          <w:rFonts w:hint="eastAsia" w:ascii="宋体" w:hAnsi="宋体" w:eastAsia="宋体" w:cs="宋体"/>
          <w:sz w:val="24"/>
          <w:szCs w:val="24"/>
        </w:rPr>
        <w:t>随着我国城市建设步伐的加快，当前</w:t>
      </w:r>
      <w:r>
        <w:rPr>
          <w:rFonts w:hint="eastAsia" w:ascii="宋体" w:hAnsi="宋体" w:eastAsia="宋体" w:cs="宋体"/>
          <w:kern w:val="0"/>
          <w:sz w:val="24"/>
          <w:szCs w:val="24"/>
        </w:rPr>
        <w:t>我国一些老旧社区痕迹成为困扰城市发展的“痼疾”：房屋本体年久失修，线路管网老化陈旧；小区配套设施缺失，道路系统破损，场地未进行硬化、绿化，无管理用房、无路灯、停车难等一系列这样的“印记”产生各种各样的问题。为此，</w:t>
      </w:r>
      <w:r>
        <w:rPr>
          <w:rFonts w:hint="eastAsia" w:ascii="宋体" w:hAnsi="宋体" w:eastAsia="宋体" w:cs="宋体"/>
          <w:sz w:val="24"/>
          <w:szCs w:val="24"/>
        </w:rPr>
        <w:t>老旧社区的现状成为日益突出的问题，这不仅影响居民的总体生活质量提高，也制约着现代化智慧文明城市的发展进程，因此，加快老旧社区改造，有序推进老旧住宅小区综合整治成为目前亟待重视的民生课题。</w:t>
      </w:r>
    </w:p>
    <w:p w14:paraId="0AEAFF85">
      <w:pPr>
        <w:spacing w:line="520" w:lineRule="exact"/>
        <w:ind w:firstLine="480" w:firstLineChars="200"/>
        <w:rPr>
          <w:rFonts w:ascii="宋体" w:hAnsi="宋体" w:eastAsia="宋体" w:cs="宋体"/>
          <w:kern w:val="0"/>
          <w:sz w:val="24"/>
          <w:szCs w:val="24"/>
        </w:rPr>
      </w:pPr>
      <w:r>
        <w:rPr>
          <w:rFonts w:hint="eastAsia" w:ascii="宋体" w:hAnsi="宋体" w:eastAsia="宋体" w:cs="宋体"/>
          <w:sz w:val="24"/>
          <w:szCs w:val="24"/>
        </w:rPr>
        <w:t>近年来，南昌县城市化的不断推进，地区经济和城市建设迅速发展，对于南昌县提出的新发展需求，目前，由于莲塘镇老旧社区区域普遍存在居住人员众多，人口密集，区域内部分社区居住、商业、工业等建筑在设计施工时未进行统一规划，区域内风格及色彩缺乏协调。加上，项目区块周边居民区较多，人口比较密集，附近居民缺少休闲娱乐的区域，原有市政基础配套设施缺乏的问题亟待改进，当前其已不能满足当地城市快速发展和市政配套设施建设的需要。</w:t>
      </w:r>
    </w:p>
    <w:p w14:paraId="65CCF402">
      <w:pPr>
        <w:spacing w:line="520" w:lineRule="exact"/>
        <w:ind w:firstLine="480" w:firstLineChars="200"/>
        <w:rPr>
          <w:rFonts w:ascii="宋体" w:hAnsi="宋体" w:eastAsia="宋体" w:cs="宋体"/>
          <w:sz w:val="24"/>
          <w:szCs w:val="24"/>
        </w:rPr>
      </w:pPr>
      <w:r>
        <w:rPr>
          <w:rFonts w:hint="eastAsia" w:ascii="宋体" w:hAnsi="宋体" w:eastAsia="宋体" w:cs="宋体"/>
          <w:sz w:val="24"/>
          <w:szCs w:val="24"/>
        </w:rPr>
        <w:t>社区是城市的基本单元，开展社区综合整治项目，对于完善城市功能，改善居民工作生活环境，提高人民群众生活质量具有重要意义。实践证明，社区人居环境的改善，能不断提升居民荣誉感，进步激发广大市民爱我家乡、兴我南昌的热情，从而不断增强城市核心竞争力，促进和谐南昌建设。</w:t>
      </w:r>
    </w:p>
    <w:p w14:paraId="42B4828E">
      <w:pPr>
        <w:spacing w:line="52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一直以来，为民办实事项目事关广大人民群众的切身利益和生活幸福指数的提升，慢不得、拖不起。各镇街、园区和相关职能部门要牢固树立以人民为中心的思想，从为人民谋福祉的角度出发，把抓好为民办实事项目摆在更加突出的位置，盯紧项目进度、找准主要问题、打通关键环节，采取更加务实高效的举措，以最快的速度、最短的时限加快推进民生实事项目建设，不断提升人民群众的获得感幸福感安全感。本次南昌县老旧小区综合改造十二期工程的实施正是为进一步提升城市形象，完善当地城市功能，改善当地居民生活质量，按照南昌市当地政府的统一部署，从而不断提升人民群众的获得感幸福感安全感具有十分重要的意义。</w:t>
      </w:r>
    </w:p>
    <w:p w14:paraId="1CF632F7">
      <w:pPr>
        <w:spacing w:line="52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根据《省委办公厅省政府办公厅关于印发&lt;江西省城市功能与品质提升三年行动方案&gt;的通知》（赣办字〔2018〕55号）、江西省住房和城乡建设厅《关于推进全省城镇老旧社区改造工作的指导意见》等相关文件要求，并结合南昌县莲塘镇当地老旧社区的实际情况，提出本项目的建设。</w:t>
      </w:r>
    </w:p>
    <w:p w14:paraId="7E17B0AB">
      <w:pPr>
        <w:widowControl/>
        <w:spacing w:line="560" w:lineRule="exact"/>
        <w:jc w:val="left"/>
        <w:outlineLvl w:val="1"/>
        <w:rPr>
          <w:rFonts w:ascii="楷体" w:hAnsi="楷体" w:eastAsia="楷体" w:cs="楷体"/>
          <w:b/>
          <w:bCs/>
          <w:sz w:val="28"/>
          <w:szCs w:val="28"/>
        </w:rPr>
      </w:pPr>
      <w:bookmarkStart w:id="75" w:name="_Toc20330"/>
      <w:bookmarkStart w:id="76" w:name="_Toc36580093"/>
      <w:bookmarkStart w:id="77" w:name="_Toc44517284"/>
      <w:r>
        <w:rPr>
          <w:rFonts w:hint="eastAsia" w:ascii="楷体" w:hAnsi="楷体" w:eastAsia="楷体" w:cs="楷体"/>
          <w:b/>
          <w:bCs/>
          <w:sz w:val="28"/>
          <w:szCs w:val="28"/>
        </w:rPr>
        <w:t>（三）项目基本情况</w:t>
      </w:r>
      <w:bookmarkEnd w:id="75"/>
      <w:bookmarkEnd w:id="76"/>
      <w:bookmarkEnd w:id="77"/>
    </w:p>
    <w:p w14:paraId="134AF2E9">
      <w:pPr>
        <w:widowControl/>
        <w:spacing w:line="560" w:lineRule="exact"/>
        <w:jc w:val="left"/>
        <w:rPr>
          <w:rFonts w:ascii="宋体" w:hAnsi="宋体" w:eastAsia="宋体" w:cs="宋体"/>
          <w:sz w:val="24"/>
          <w:szCs w:val="24"/>
        </w:rPr>
      </w:pPr>
      <w:r>
        <w:rPr>
          <w:rFonts w:hint="eastAsia" w:ascii="宋体" w:hAnsi="宋体" w:eastAsia="宋体" w:cs="宋体"/>
          <w:sz w:val="24"/>
          <w:szCs w:val="24"/>
        </w:rPr>
        <w:t>项目名称：南昌县老旧小区综合改造十二期工程</w:t>
      </w:r>
    </w:p>
    <w:p w14:paraId="0932DBDC">
      <w:pPr>
        <w:widowControl/>
        <w:spacing w:line="560" w:lineRule="exact"/>
        <w:jc w:val="left"/>
        <w:rPr>
          <w:rFonts w:ascii="宋体" w:hAnsi="宋体" w:eastAsia="宋体" w:cs="宋体"/>
          <w:sz w:val="24"/>
          <w:szCs w:val="24"/>
        </w:rPr>
      </w:pPr>
      <w:r>
        <w:rPr>
          <w:rFonts w:hint="eastAsia" w:ascii="宋体" w:hAnsi="宋体" w:eastAsia="宋体" w:cs="宋体"/>
          <w:sz w:val="24"/>
          <w:szCs w:val="24"/>
        </w:rPr>
        <w:t>建设单位：南昌县城市管理和综合执法局</w:t>
      </w:r>
    </w:p>
    <w:p w14:paraId="5D2FDB42">
      <w:pPr>
        <w:tabs>
          <w:tab w:val="left" w:pos="709"/>
        </w:tabs>
        <w:spacing w:line="520" w:lineRule="exact"/>
        <w:rPr>
          <w:rFonts w:ascii="宋体" w:hAnsi="宋体" w:eastAsia="宋体" w:cs="宋体"/>
          <w:bCs/>
          <w:sz w:val="24"/>
          <w:szCs w:val="24"/>
        </w:rPr>
      </w:pPr>
      <w:r>
        <w:rPr>
          <w:rFonts w:hint="eastAsia" w:ascii="宋体" w:hAnsi="宋体" w:eastAsia="宋体" w:cs="宋体"/>
          <w:sz w:val="24"/>
          <w:szCs w:val="24"/>
        </w:rPr>
        <w:t>项目建设地址：</w:t>
      </w:r>
      <w:r>
        <w:rPr>
          <w:rFonts w:hint="eastAsia" w:ascii="宋体" w:hAnsi="宋体" w:eastAsia="宋体" w:cs="宋体"/>
          <w:bCs/>
          <w:sz w:val="24"/>
          <w:szCs w:val="24"/>
        </w:rPr>
        <w:t>本次改造地点位于三个社区：莲塘镇玺园社区、莲塘镇公园路社区、向阳路社区。</w:t>
      </w:r>
    </w:p>
    <w:p w14:paraId="0B9C4A9D">
      <w:pPr>
        <w:pStyle w:val="5"/>
        <w:spacing w:after="0" w:line="560" w:lineRule="exact"/>
        <w:rPr>
          <w:rFonts w:ascii="宋体" w:hAnsi="宋体" w:eastAsia="宋体" w:cs="宋体"/>
          <w:sz w:val="24"/>
          <w:szCs w:val="24"/>
        </w:rPr>
      </w:pPr>
      <w:r>
        <w:rPr>
          <w:rFonts w:hint="eastAsia" w:ascii="宋体" w:hAnsi="宋体" w:eastAsia="宋体" w:cs="宋体"/>
          <w:sz w:val="24"/>
          <w:szCs w:val="24"/>
        </w:rPr>
        <w:t>建设内容及规模：</w:t>
      </w:r>
      <w:r>
        <w:rPr>
          <w:rFonts w:hint="eastAsia" w:ascii="宋体" w:hAnsi="宋体" w:eastAsia="宋体" w:cs="宋体"/>
          <w:kern w:val="0"/>
          <w:sz w:val="24"/>
          <w:szCs w:val="24"/>
        </w:rPr>
        <w:t>本次南昌县老旧小区综合改造十二期工程主要涉及莲塘镇玺园社区、莲塘镇公园路社区、向阳路社区3个老旧社区综合改造，涉及1627户，55栋，主要改造内容包括社区建筑立面改造、社区道路、电气、地下排水管网、绿化改造等。</w:t>
      </w:r>
    </w:p>
    <w:p w14:paraId="442C4D7B">
      <w:pPr>
        <w:widowControl/>
        <w:spacing w:line="560" w:lineRule="exact"/>
        <w:jc w:val="left"/>
        <w:outlineLvl w:val="0"/>
        <w:rPr>
          <w:rFonts w:ascii="楷体" w:hAnsi="楷体" w:eastAsia="楷体" w:cs="楷体"/>
          <w:b/>
          <w:bCs/>
          <w:sz w:val="28"/>
          <w:szCs w:val="28"/>
        </w:rPr>
      </w:pPr>
      <w:bookmarkStart w:id="78" w:name="_Toc11012"/>
      <w:r>
        <w:rPr>
          <w:rFonts w:hint="eastAsia" w:ascii="楷体" w:hAnsi="楷体" w:eastAsia="楷体" w:cs="楷体"/>
          <w:b/>
          <w:bCs/>
          <w:sz w:val="28"/>
          <w:szCs w:val="28"/>
        </w:rPr>
        <w:t>项目总投资</w:t>
      </w:r>
      <w:bookmarkEnd w:id="78"/>
    </w:p>
    <w:p w14:paraId="2A2445D1">
      <w:pPr>
        <w:widowControl/>
        <w:spacing w:line="56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2024年江西省南昌县老旧小区综合改造十二期工程建设项目（以下简称“本项目”）为基建项目，根据赣江新区行政审批局《关于南昌县老旧小区综合改造十二期工程可行性研究报告的批复》（南发改投字〔2023〕29号），批复总投资额10300万元。本次债券利息（包含建设期与运营期）我们按照统一标准进行预测，详见表3-2（专项债券还本付息情况预测表），因预计支付的债券利息与可行性研究报告的建设期利息存在差异，我们按照预计建设期利息及债券发行费用估算总投资额，详细见下表：</w:t>
      </w:r>
    </w:p>
    <w:p w14:paraId="7A80E3E0">
      <w:pPr>
        <w:pStyle w:val="23"/>
        <w:jc w:val="right"/>
      </w:pPr>
      <w:r>
        <w:rPr>
          <w:rFonts w:hint="eastAsia"/>
        </w:rPr>
        <w:t>单位：万元</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435"/>
        <w:gridCol w:w="1343"/>
        <w:gridCol w:w="1338"/>
        <w:gridCol w:w="1523"/>
        <w:gridCol w:w="1338"/>
        <w:gridCol w:w="1149"/>
      </w:tblGrid>
      <w:tr w14:paraId="08280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41" w:type="pct"/>
            <w:shd w:val="clear" w:color="auto" w:fill="auto"/>
            <w:noWrap/>
            <w:vAlign w:val="center"/>
          </w:tcPr>
          <w:p w14:paraId="173FE2B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823" w:type="pct"/>
            <w:shd w:val="clear" w:color="auto" w:fill="auto"/>
            <w:noWrap/>
            <w:vAlign w:val="center"/>
          </w:tcPr>
          <w:p w14:paraId="1FDB0D4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项目单位</w:t>
            </w:r>
          </w:p>
        </w:tc>
        <w:tc>
          <w:tcPr>
            <w:tcW w:w="770" w:type="pct"/>
            <w:shd w:val="clear" w:color="auto" w:fill="auto"/>
            <w:noWrap/>
            <w:vAlign w:val="center"/>
          </w:tcPr>
          <w:p w14:paraId="0CB1D5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767" w:type="pct"/>
            <w:shd w:val="clear" w:color="auto" w:fill="auto"/>
            <w:noWrap/>
            <w:vAlign w:val="center"/>
          </w:tcPr>
          <w:p w14:paraId="2CA85C1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静态总投资额</w:t>
            </w:r>
          </w:p>
        </w:tc>
        <w:tc>
          <w:tcPr>
            <w:tcW w:w="873" w:type="pct"/>
            <w:shd w:val="clear" w:color="auto" w:fill="auto"/>
            <w:noWrap/>
            <w:vAlign w:val="center"/>
          </w:tcPr>
          <w:p w14:paraId="4F333CD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预计建设期利息</w:t>
            </w:r>
          </w:p>
        </w:tc>
        <w:tc>
          <w:tcPr>
            <w:tcW w:w="767" w:type="pct"/>
            <w:shd w:val="clear" w:color="auto" w:fill="auto"/>
            <w:noWrap/>
            <w:vAlign w:val="center"/>
          </w:tcPr>
          <w:p w14:paraId="7084242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债券发行费用</w:t>
            </w:r>
          </w:p>
        </w:tc>
        <w:tc>
          <w:tcPr>
            <w:tcW w:w="659" w:type="pct"/>
            <w:shd w:val="clear" w:color="auto" w:fill="auto"/>
            <w:noWrap/>
            <w:vAlign w:val="center"/>
          </w:tcPr>
          <w:p w14:paraId="6B8715A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r>
      <w:tr w14:paraId="7C9A5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341" w:type="pct"/>
            <w:shd w:val="clear" w:color="auto" w:fill="auto"/>
            <w:noWrap/>
            <w:vAlign w:val="center"/>
          </w:tcPr>
          <w:p w14:paraId="2D15986D">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823" w:type="pct"/>
            <w:shd w:val="clear" w:color="auto" w:fill="auto"/>
            <w:vAlign w:val="center"/>
          </w:tcPr>
          <w:p w14:paraId="4C6E1100">
            <w:pPr>
              <w:widowControl/>
              <w:jc w:val="center"/>
              <w:rPr>
                <w:rFonts w:ascii="宋体" w:hAnsi="宋体" w:cs="宋体"/>
                <w:color w:val="000000"/>
                <w:kern w:val="0"/>
                <w:sz w:val="18"/>
                <w:szCs w:val="18"/>
              </w:rPr>
            </w:pPr>
            <w:r>
              <w:rPr>
                <w:rFonts w:hint="eastAsia" w:ascii="宋体" w:hAnsi="宋体" w:cs="宋体"/>
                <w:color w:val="000000"/>
                <w:kern w:val="0"/>
                <w:sz w:val="18"/>
                <w:szCs w:val="18"/>
              </w:rPr>
              <w:t>南昌县城市管理和综合执法局</w:t>
            </w:r>
          </w:p>
        </w:tc>
        <w:tc>
          <w:tcPr>
            <w:tcW w:w="770" w:type="pct"/>
            <w:shd w:val="clear" w:color="auto" w:fill="auto"/>
            <w:vAlign w:val="center"/>
          </w:tcPr>
          <w:p w14:paraId="1EDC9FF8">
            <w:pPr>
              <w:widowControl/>
              <w:jc w:val="center"/>
              <w:rPr>
                <w:rFonts w:ascii="宋体" w:hAnsi="宋体" w:cs="宋体"/>
                <w:color w:val="000000"/>
                <w:kern w:val="0"/>
                <w:sz w:val="18"/>
                <w:szCs w:val="18"/>
              </w:rPr>
            </w:pPr>
            <w:r>
              <w:rPr>
                <w:rFonts w:hint="eastAsia" w:ascii="宋体" w:hAnsi="宋体" w:cs="宋体"/>
                <w:color w:val="000000"/>
                <w:kern w:val="0"/>
                <w:sz w:val="18"/>
                <w:szCs w:val="18"/>
              </w:rPr>
              <w:t>南昌县老旧小区综合改造十二期工程</w:t>
            </w:r>
          </w:p>
        </w:tc>
        <w:tc>
          <w:tcPr>
            <w:tcW w:w="767" w:type="pct"/>
            <w:shd w:val="clear" w:color="auto" w:fill="auto"/>
            <w:noWrap/>
            <w:vAlign w:val="center"/>
          </w:tcPr>
          <w:p w14:paraId="581EC0B5">
            <w:pPr>
              <w:widowControl/>
              <w:jc w:val="center"/>
              <w:rPr>
                <w:rFonts w:ascii="宋体" w:hAnsi="宋体" w:cs="宋体"/>
                <w:color w:val="000000"/>
                <w:kern w:val="0"/>
                <w:sz w:val="18"/>
                <w:szCs w:val="18"/>
              </w:rPr>
            </w:pPr>
            <w:r>
              <w:rPr>
                <w:rFonts w:ascii="宋体" w:hAnsi="宋体" w:cs="宋体"/>
                <w:color w:val="000000"/>
                <w:kern w:val="0"/>
                <w:sz w:val="18"/>
                <w:szCs w:val="18"/>
              </w:rPr>
              <w:t>10,300.00</w:t>
            </w:r>
          </w:p>
        </w:tc>
        <w:tc>
          <w:tcPr>
            <w:tcW w:w="873" w:type="pct"/>
            <w:shd w:val="clear" w:color="auto" w:fill="auto"/>
            <w:vAlign w:val="center"/>
          </w:tcPr>
          <w:p w14:paraId="05594965">
            <w:pPr>
              <w:widowControl/>
              <w:jc w:val="center"/>
              <w:rPr>
                <w:rFonts w:ascii="宋体" w:hAnsi="宋体" w:cs="宋体"/>
                <w:color w:val="000000"/>
                <w:kern w:val="0"/>
                <w:sz w:val="18"/>
                <w:szCs w:val="18"/>
              </w:rPr>
            </w:pPr>
            <w:r>
              <w:rPr>
                <w:rFonts w:ascii="宋体" w:hAnsi="宋体" w:cs="宋体"/>
                <w:color w:val="000000"/>
                <w:kern w:val="0"/>
                <w:sz w:val="18"/>
                <w:szCs w:val="18"/>
              </w:rPr>
              <w:t>311.30</w:t>
            </w:r>
          </w:p>
        </w:tc>
        <w:tc>
          <w:tcPr>
            <w:tcW w:w="767" w:type="pct"/>
            <w:shd w:val="clear" w:color="auto" w:fill="auto"/>
            <w:noWrap/>
            <w:vAlign w:val="center"/>
          </w:tcPr>
          <w:p w14:paraId="3BAE58C0">
            <w:pPr>
              <w:widowControl/>
              <w:jc w:val="center"/>
              <w:rPr>
                <w:rFonts w:ascii="宋体" w:hAnsi="宋体" w:cs="宋体"/>
                <w:color w:val="000000"/>
                <w:kern w:val="0"/>
                <w:sz w:val="18"/>
                <w:szCs w:val="18"/>
              </w:rPr>
            </w:pPr>
            <w:r>
              <w:rPr>
                <w:rFonts w:ascii="宋体" w:hAnsi="宋体" w:cs="宋体"/>
                <w:color w:val="000000"/>
                <w:kern w:val="0"/>
                <w:sz w:val="18"/>
                <w:szCs w:val="18"/>
              </w:rPr>
              <w:t>8.70</w:t>
            </w:r>
          </w:p>
        </w:tc>
        <w:tc>
          <w:tcPr>
            <w:tcW w:w="659" w:type="pct"/>
            <w:shd w:val="clear" w:color="auto" w:fill="auto"/>
            <w:noWrap/>
            <w:vAlign w:val="center"/>
          </w:tcPr>
          <w:p w14:paraId="6114CA13">
            <w:pPr>
              <w:widowControl/>
              <w:jc w:val="center"/>
              <w:rPr>
                <w:rFonts w:ascii="宋体" w:hAnsi="宋体" w:cs="宋体"/>
                <w:color w:val="000000"/>
                <w:kern w:val="0"/>
                <w:sz w:val="18"/>
                <w:szCs w:val="18"/>
              </w:rPr>
            </w:pPr>
            <w:r>
              <w:rPr>
                <w:rFonts w:ascii="宋体" w:hAnsi="宋体" w:cs="宋体"/>
                <w:color w:val="000000"/>
                <w:kern w:val="0"/>
                <w:sz w:val="18"/>
                <w:szCs w:val="18"/>
              </w:rPr>
              <w:t>10,620.00</w:t>
            </w:r>
          </w:p>
        </w:tc>
      </w:tr>
    </w:tbl>
    <w:p w14:paraId="12D0A612">
      <w:pPr>
        <w:widowControl/>
        <w:spacing w:line="560" w:lineRule="exact"/>
        <w:jc w:val="left"/>
        <w:rPr>
          <w:rFonts w:ascii="楷体" w:hAnsi="楷体" w:eastAsia="楷体" w:cs="楷体"/>
          <w:b/>
          <w:bCs/>
          <w:sz w:val="28"/>
          <w:szCs w:val="28"/>
        </w:rPr>
      </w:pPr>
      <w:r>
        <w:rPr>
          <w:rFonts w:hint="eastAsia" w:ascii="楷体" w:hAnsi="楷体" w:eastAsia="楷体" w:cs="楷体"/>
          <w:b/>
          <w:bCs/>
          <w:sz w:val="28"/>
          <w:szCs w:val="28"/>
        </w:rPr>
        <w:t>项目实施</w:t>
      </w:r>
    </w:p>
    <w:p w14:paraId="6249F1BA">
      <w:pPr>
        <w:spacing w:line="600" w:lineRule="exact"/>
        <w:ind w:firstLine="477" w:firstLineChars="199"/>
        <w:outlineLvl w:val="0"/>
        <w:rPr>
          <w:rFonts w:asciiTheme="minorEastAsia" w:hAnsiTheme="minorEastAsia"/>
          <w:sz w:val="24"/>
          <w:szCs w:val="24"/>
        </w:rPr>
      </w:pPr>
      <w:bookmarkStart w:id="79" w:name="_Toc22998"/>
      <w:bookmarkStart w:id="80" w:name="_Toc44517285"/>
      <w:bookmarkStart w:id="81" w:name="_Toc36580094"/>
      <w:r>
        <w:rPr>
          <w:rFonts w:hint="eastAsia" w:cs="仿宋" w:asciiTheme="minorEastAsia" w:hAnsiTheme="minorEastAsia"/>
          <w:sz w:val="24"/>
          <w:szCs w:val="24"/>
        </w:rPr>
        <w:t>南昌县老旧小区综合改造十二期工程</w:t>
      </w:r>
      <w:r>
        <w:rPr>
          <w:rFonts w:hint="eastAsia" w:asciiTheme="minorEastAsia" w:hAnsiTheme="minorEastAsia"/>
          <w:sz w:val="24"/>
          <w:szCs w:val="24"/>
        </w:rPr>
        <w:t>项目2</w:t>
      </w:r>
      <w:r>
        <w:rPr>
          <w:rFonts w:asciiTheme="minorEastAsia" w:hAnsiTheme="minorEastAsia"/>
          <w:sz w:val="24"/>
          <w:szCs w:val="24"/>
        </w:rPr>
        <w:t>02</w:t>
      </w:r>
      <w:r>
        <w:rPr>
          <w:rFonts w:hint="eastAsia" w:asciiTheme="minorEastAsia" w:hAnsiTheme="minorEastAsia"/>
          <w:sz w:val="24"/>
          <w:szCs w:val="24"/>
        </w:rPr>
        <w:t>3年1月开工建设，建设期24个月，预计2</w:t>
      </w:r>
      <w:r>
        <w:rPr>
          <w:rFonts w:asciiTheme="minorEastAsia" w:hAnsiTheme="minorEastAsia"/>
          <w:sz w:val="24"/>
          <w:szCs w:val="24"/>
        </w:rPr>
        <w:t>0</w:t>
      </w:r>
      <w:r>
        <w:rPr>
          <w:rFonts w:hint="eastAsia" w:asciiTheme="minorEastAsia" w:hAnsiTheme="minorEastAsia"/>
          <w:sz w:val="24"/>
          <w:szCs w:val="24"/>
        </w:rPr>
        <w:t>24年12月完工。</w:t>
      </w:r>
      <w:bookmarkEnd w:id="79"/>
    </w:p>
    <w:p w14:paraId="627A2488">
      <w:pPr>
        <w:widowControl/>
        <w:spacing w:line="600" w:lineRule="exact"/>
        <w:ind w:firstLine="560" w:firstLineChars="200"/>
        <w:jc w:val="left"/>
        <w:outlineLvl w:val="0"/>
        <w:rPr>
          <w:rFonts w:ascii="黑体" w:hAnsi="黑体" w:eastAsia="黑体" w:cs="黑体"/>
          <w:sz w:val="28"/>
          <w:szCs w:val="28"/>
        </w:rPr>
      </w:pPr>
      <w:bookmarkStart w:id="82" w:name="_Toc21554"/>
      <w:r>
        <w:rPr>
          <w:rFonts w:hint="eastAsia" w:ascii="黑体" w:hAnsi="黑体" w:eastAsia="黑体" w:cs="黑体"/>
          <w:sz w:val="28"/>
          <w:szCs w:val="28"/>
        </w:rPr>
        <w:t>二、项目投资估算及资金筹措方案</w:t>
      </w:r>
      <w:bookmarkEnd w:id="80"/>
      <w:bookmarkEnd w:id="81"/>
      <w:bookmarkEnd w:id="82"/>
    </w:p>
    <w:p w14:paraId="19FFF5F9">
      <w:pPr>
        <w:widowControl/>
        <w:spacing w:line="600" w:lineRule="exact"/>
        <w:ind w:firstLine="560" w:firstLineChars="200"/>
        <w:jc w:val="left"/>
        <w:outlineLvl w:val="1"/>
        <w:rPr>
          <w:rFonts w:ascii="楷体" w:hAnsi="楷体" w:eastAsia="楷体" w:cs="楷体"/>
          <w:b/>
          <w:bCs/>
          <w:sz w:val="28"/>
          <w:szCs w:val="28"/>
        </w:rPr>
      </w:pPr>
      <w:bookmarkStart w:id="83" w:name="_Toc36580095"/>
      <w:bookmarkStart w:id="84" w:name="_Toc44517286"/>
      <w:bookmarkStart w:id="85" w:name="_Toc11671"/>
      <w:r>
        <w:rPr>
          <w:rFonts w:hint="eastAsia" w:ascii="楷体" w:hAnsi="楷体" w:eastAsia="楷体" w:cs="楷体"/>
          <w:b/>
          <w:bCs/>
          <w:sz w:val="28"/>
          <w:szCs w:val="28"/>
        </w:rPr>
        <w:t>（一）投资估算</w:t>
      </w:r>
      <w:bookmarkEnd w:id="83"/>
      <w:bookmarkEnd w:id="84"/>
      <w:bookmarkEnd w:id="85"/>
    </w:p>
    <w:p w14:paraId="2CFBEAB4">
      <w:pPr>
        <w:pStyle w:val="45"/>
        <w:spacing w:line="600" w:lineRule="exact"/>
        <w:ind w:left="0" w:firstLine="560" w:firstLineChars="200"/>
        <w:outlineLvl w:val="2"/>
        <w:rPr>
          <w:rFonts w:ascii="楷体" w:hAnsi="楷体" w:eastAsia="楷体"/>
          <w:b w:val="0"/>
        </w:rPr>
      </w:pPr>
      <w:bookmarkStart w:id="86" w:name="_Toc36580096"/>
      <w:bookmarkStart w:id="87" w:name="_Toc44517287"/>
      <w:r>
        <w:rPr>
          <w:rFonts w:hint="eastAsia" w:ascii="楷体" w:hAnsi="楷体" w:eastAsia="楷体"/>
          <w:b w:val="0"/>
        </w:rPr>
        <w:t>1、估算编制依据</w:t>
      </w:r>
      <w:bookmarkEnd w:id="86"/>
      <w:bookmarkEnd w:id="87"/>
    </w:p>
    <w:p w14:paraId="12D73E3B">
      <w:pPr>
        <w:spacing w:line="600" w:lineRule="exact"/>
        <w:rPr>
          <w:rFonts w:ascii="宋体" w:hAnsi="宋体" w:cs="宋体"/>
          <w:color w:val="000000" w:themeColor="text1"/>
          <w:sz w:val="24"/>
          <w:szCs w:val="24"/>
        </w:rPr>
      </w:pPr>
      <w:bookmarkStart w:id="88" w:name="_Toc44517288"/>
      <w:bookmarkStart w:id="89" w:name="_Toc36580097"/>
      <w:r>
        <w:rPr>
          <w:rFonts w:hint="eastAsia" w:ascii="宋体" w:hAnsi="宋体" w:eastAsia="宋体" w:cs="宋体"/>
          <w:color w:val="000000" w:themeColor="text1"/>
          <w:sz w:val="24"/>
          <w:szCs w:val="24"/>
        </w:rPr>
        <w:t>1)</w:t>
      </w:r>
      <w:r>
        <w:rPr>
          <w:rFonts w:hint="eastAsia" w:asciiTheme="minorEastAsia" w:hAnsiTheme="minorEastAsia"/>
          <w:sz w:val="24"/>
          <w:szCs w:val="24"/>
        </w:rPr>
        <w:t>关于对</w:t>
      </w:r>
      <w:r>
        <w:rPr>
          <w:rFonts w:hint="eastAsia" w:cs="仿宋" w:asciiTheme="minorEastAsia" w:hAnsiTheme="minorEastAsia"/>
          <w:sz w:val="24"/>
          <w:szCs w:val="24"/>
        </w:rPr>
        <w:t>南昌县老旧小区综合改造十二期工程</w:t>
      </w:r>
      <w:r>
        <w:rPr>
          <w:rFonts w:hint="eastAsia" w:asciiTheme="minorEastAsia" w:hAnsiTheme="minorEastAsia"/>
          <w:sz w:val="24"/>
          <w:szCs w:val="24"/>
        </w:rPr>
        <w:t>可行性研究报告的批复（南行审投资投字[2023]29号</w:t>
      </w:r>
      <w:r>
        <w:rPr>
          <w:rFonts w:hint="eastAsia" w:ascii="宋体" w:hAnsi="宋体" w:eastAsia="宋体" w:cs="宋体"/>
          <w:color w:val="000000" w:themeColor="text1"/>
          <w:sz w:val="24"/>
          <w:szCs w:val="24"/>
        </w:rPr>
        <w:t>；</w:t>
      </w:r>
    </w:p>
    <w:p w14:paraId="004C06F2">
      <w:pPr>
        <w:spacing w:beforeLines="50" w:afterLines="50"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2)财政部《关于试点发展项目收益与融资自求平衡的地方政府专项债券品种的通知》（财预〔2017〕89号文）；</w:t>
      </w:r>
    </w:p>
    <w:p w14:paraId="7A4AC280">
      <w:pPr>
        <w:spacing w:beforeLines="50" w:afterLines="50"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3)财政部《关于做好2018年地方政府债券发行工作的意见》（财库〔2018〕61号）；</w:t>
      </w:r>
    </w:p>
    <w:p w14:paraId="05D3B394">
      <w:pPr>
        <w:spacing w:beforeLines="50" w:afterLines="50"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4)《国家鼓励发展的资源节约综合利用和环境保护技术》（国家发展改革委令[2005]第65号）；</w:t>
      </w:r>
    </w:p>
    <w:p w14:paraId="669277AC">
      <w:pPr>
        <w:spacing w:beforeLines="50" w:afterLines="50"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5)《中华人民共和国电力法（2015年修正）》（国家主席令[2015]第24号）；</w:t>
      </w:r>
    </w:p>
    <w:p w14:paraId="0E1D5C08">
      <w:pPr>
        <w:spacing w:beforeLines="50" w:afterLines="50"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6)《水利建设项目经济评价规范》（SL72-2013）；</w:t>
      </w:r>
    </w:p>
    <w:p w14:paraId="60828BE2">
      <w:pPr>
        <w:spacing w:beforeLines="50" w:afterLines="50"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7)《水电建设项目经济评价规范》（DL/T5441-2010）；</w:t>
      </w:r>
    </w:p>
    <w:p w14:paraId="06457BA0">
      <w:pPr>
        <w:spacing w:beforeLines="50" w:afterLines="50"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8)《</w:t>
      </w:r>
      <w:r>
        <w:rPr>
          <w:rFonts w:hint="eastAsia" w:cs="仿宋" w:asciiTheme="minorEastAsia" w:hAnsiTheme="minorEastAsia"/>
          <w:sz w:val="24"/>
          <w:szCs w:val="24"/>
        </w:rPr>
        <w:t>南昌县老旧小区综合改造十二期工程</w:t>
      </w:r>
      <w:r>
        <w:rPr>
          <w:rFonts w:hint="eastAsia" w:asciiTheme="minorEastAsia" w:hAnsiTheme="minorEastAsia"/>
          <w:sz w:val="24"/>
          <w:szCs w:val="24"/>
        </w:rPr>
        <w:t>项目</w:t>
      </w:r>
      <w:r>
        <w:rPr>
          <w:rFonts w:hint="eastAsia" w:ascii="宋体" w:hAnsi="宋体" w:eastAsia="宋体" w:cs="宋体"/>
          <w:color w:val="000000" w:themeColor="text1"/>
          <w:sz w:val="24"/>
          <w:szCs w:val="24"/>
        </w:rPr>
        <w:t>可行性研究报告》；</w:t>
      </w:r>
    </w:p>
    <w:p w14:paraId="2B06DC31">
      <w:pPr>
        <w:widowControl/>
        <w:spacing w:line="560" w:lineRule="exact"/>
        <w:ind w:firstLine="480" w:firstLineChars="200"/>
        <w:jc w:val="left"/>
        <w:rPr>
          <w:rFonts w:ascii="楷体" w:hAnsi="楷体" w:eastAsia="楷体" w:cs="楷体"/>
          <w:sz w:val="28"/>
          <w:szCs w:val="28"/>
        </w:rPr>
      </w:pPr>
      <w:r>
        <w:rPr>
          <w:rFonts w:hint="eastAsia" w:ascii="宋体" w:hAnsi="宋体" w:eastAsia="宋体" w:cs="宋体"/>
          <w:color w:val="000000" w:themeColor="text1"/>
          <w:sz w:val="24"/>
          <w:szCs w:val="24"/>
        </w:rPr>
        <w:t>9)建设工程规划设计要求（蓝协（2</w:t>
      </w:r>
      <w:r>
        <w:rPr>
          <w:rFonts w:ascii="宋体" w:hAnsi="宋体" w:eastAsia="宋体" w:cs="宋体"/>
          <w:color w:val="000000" w:themeColor="text1"/>
          <w:sz w:val="24"/>
          <w:szCs w:val="24"/>
        </w:rPr>
        <w:t>018</w:t>
      </w:r>
      <w:r>
        <w:rPr>
          <w:rFonts w:hint="eastAsia" w:ascii="宋体" w:hAnsi="宋体" w:eastAsia="宋体" w:cs="宋体"/>
          <w:color w:val="000000" w:themeColor="text1"/>
          <w:sz w:val="24"/>
          <w:szCs w:val="24"/>
        </w:rPr>
        <w:t>）第0</w:t>
      </w:r>
      <w:r>
        <w:rPr>
          <w:rFonts w:ascii="宋体" w:hAnsi="宋体" w:eastAsia="宋体" w:cs="宋体"/>
          <w:color w:val="000000" w:themeColor="text1"/>
          <w:sz w:val="24"/>
          <w:szCs w:val="24"/>
        </w:rPr>
        <w:t>01</w:t>
      </w:r>
      <w:r>
        <w:rPr>
          <w:rFonts w:hint="eastAsia" w:ascii="宋体" w:hAnsi="宋体" w:eastAsia="宋体" w:cs="宋体"/>
          <w:color w:val="000000" w:themeColor="text1"/>
          <w:sz w:val="24"/>
          <w:szCs w:val="24"/>
        </w:rPr>
        <w:t>号）；</w:t>
      </w:r>
    </w:p>
    <w:p w14:paraId="7A61ACA7">
      <w:pPr>
        <w:pStyle w:val="45"/>
        <w:spacing w:before="244"/>
        <w:ind w:left="-140" w:leftChars="-67" w:right="-98" w:rightChars="-47" w:firstLine="560" w:firstLineChars="200"/>
        <w:outlineLvl w:val="2"/>
        <w:rPr>
          <w:rFonts w:ascii="楷体" w:hAnsi="楷体" w:eastAsia="楷体"/>
          <w:b w:val="0"/>
        </w:rPr>
      </w:pPr>
      <w:r>
        <w:rPr>
          <w:rFonts w:hint="eastAsia" w:ascii="楷体" w:hAnsi="楷体" w:eastAsia="楷体"/>
          <w:b w:val="0"/>
        </w:rPr>
        <w:t>2、费率及参数</w:t>
      </w:r>
      <w:bookmarkEnd w:id="88"/>
      <w:bookmarkEnd w:id="89"/>
    </w:p>
    <w:p w14:paraId="40351879">
      <w:pPr>
        <w:spacing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本项目从客观、谨慎角度出发、发行利率取4.3%进行测算，本次债券发行按照每半年付息，到期一次性还本的方式。另外，按0.1%费率计算债券发行费用，符合专项债发行现状。</w:t>
      </w:r>
    </w:p>
    <w:p w14:paraId="5806E2C3">
      <w:pPr>
        <w:widowControl/>
        <w:spacing w:line="560" w:lineRule="exact"/>
        <w:ind w:firstLine="560" w:firstLineChars="200"/>
        <w:jc w:val="left"/>
        <w:outlineLvl w:val="1"/>
        <w:rPr>
          <w:rFonts w:ascii="楷体" w:hAnsi="楷体" w:eastAsia="楷体" w:cs="楷体"/>
          <w:b/>
          <w:bCs/>
          <w:sz w:val="28"/>
          <w:szCs w:val="28"/>
        </w:rPr>
      </w:pPr>
      <w:bookmarkStart w:id="90" w:name="_Toc28974"/>
      <w:bookmarkStart w:id="91" w:name="_Toc44517290"/>
      <w:bookmarkStart w:id="92" w:name="_Toc36580100"/>
      <w:r>
        <w:rPr>
          <w:rFonts w:hint="eastAsia" w:ascii="楷体" w:hAnsi="楷体" w:eastAsia="楷体" w:cs="楷体"/>
          <w:b/>
          <w:bCs/>
          <w:sz w:val="28"/>
          <w:szCs w:val="28"/>
        </w:rPr>
        <w:t>（二）资金筹措方案</w:t>
      </w:r>
      <w:bookmarkEnd w:id="90"/>
      <w:bookmarkEnd w:id="91"/>
      <w:bookmarkEnd w:id="92"/>
    </w:p>
    <w:p w14:paraId="2EA24218">
      <w:pPr>
        <w:pStyle w:val="45"/>
        <w:spacing w:before="244"/>
        <w:ind w:left="-140" w:leftChars="-67" w:right="-98" w:rightChars="-47" w:firstLine="560" w:firstLineChars="200"/>
        <w:outlineLvl w:val="2"/>
        <w:rPr>
          <w:rFonts w:ascii="楷体" w:hAnsi="楷体" w:eastAsia="楷体"/>
          <w:b w:val="0"/>
        </w:rPr>
      </w:pPr>
      <w:bookmarkStart w:id="93" w:name="_Toc44517291"/>
      <w:bookmarkStart w:id="94" w:name="_Toc36580101"/>
      <w:r>
        <w:rPr>
          <w:rFonts w:hint="eastAsia" w:ascii="楷体" w:hAnsi="楷体" w:eastAsia="楷体"/>
          <w:b w:val="0"/>
        </w:rPr>
        <w:t>1、资金筹措原则</w:t>
      </w:r>
      <w:bookmarkEnd w:id="93"/>
      <w:bookmarkEnd w:id="94"/>
    </w:p>
    <w:p w14:paraId="7F5043AA">
      <w:pPr>
        <w:spacing w:line="560" w:lineRule="exact"/>
        <w:ind w:left="-140" w:leftChars="-67" w:right="-98" w:rightChars="-47" w:firstLine="480" w:firstLineChars="200"/>
        <w:rPr>
          <w:rFonts w:cs="宋体" w:asciiTheme="minorEastAsia" w:hAnsiTheme="minorEastAsia"/>
          <w:color w:val="000000" w:themeColor="text1"/>
          <w:sz w:val="24"/>
          <w:szCs w:val="24"/>
        </w:rPr>
      </w:pPr>
      <w:r>
        <w:rPr>
          <w:rFonts w:hint="eastAsia" w:cs="宋体" w:asciiTheme="minorEastAsia" w:hAnsiTheme="minorEastAsia"/>
          <w:color w:val="000000" w:themeColor="text1"/>
          <w:sz w:val="24"/>
          <w:szCs w:val="24"/>
        </w:rPr>
        <w:t>本次资金筹措遵循以下原则：</w:t>
      </w:r>
    </w:p>
    <w:p w14:paraId="204B2159">
      <w:pPr>
        <w:spacing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（1）项目投入一定资本金，保证项目顺利开工及后续融资的可能；</w:t>
      </w:r>
    </w:p>
    <w:p w14:paraId="53F117AF">
      <w:pPr>
        <w:spacing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（2）发行地方政府专项债券、其他融资。</w:t>
      </w:r>
    </w:p>
    <w:p w14:paraId="59B8A42C">
      <w:pPr>
        <w:pStyle w:val="45"/>
        <w:spacing w:before="244"/>
        <w:ind w:left="-140" w:leftChars="-67" w:right="-98" w:rightChars="-47" w:firstLine="560" w:firstLineChars="200"/>
        <w:outlineLvl w:val="2"/>
        <w:rPr>
          <w:rFonts w:ascii="楷体" w:hAnsi="楷体" w:eastAsia="楷体"/>
          <w:b w:val="0"/>
        </w:rPr>
      </w:pPr>
      <w:bookmarkStart w:id="95" w:name="_Toc36580102"/>
      <w:bookmarkStart w:id="96" w:name="_Toc44517292"/>
      <w:r>
        <w:rPr>
          <w:rFonts w:hint="eastAsia" w:ascii="楷体" w:hAnsi="楷体" w:eastAsia="楷体"/>
          <w:b w:val="0"/>
        </w:rPr>
        <w:t>2、资金筹措方案</w:t>
      </w:r>
      <w:bookmarkEnd w:id="95"/>
      <w:bookmarkEnd w:id="96"/>
    </w:p>
    <w:p w14:paraId="6E1ED18B">
      <w:pPr>
        <w:spacing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考虑资金成本，结合本次发行项目实际情况，为降低资金成本，减轻财务负担，提高资金流动性，保障项目现金流最大化，本项目投资人根据国家相关规定，初步确定项目资金来源如下：</w:t>
      </w:r>
    </w:p>
    <w:p w14:paraId="71176D1A">
      <w:pPr>
        <w:widowControl/>
        <w:spacing w:line="560" w:lineRule="exact"/>
        <w:jc w:val="left"/>
        <w:outlineLvl w:val="0"/>
        <w:rPr>
          <w:rFonts w:ascii="黑体" w:hAnsi="黑体" w:eastAsia="黑体" w:cs="黑体"/>
          <w:sz w:val="28"/>
          <w:szCs w:val="28"/>
        </w:rPr>
      </w:pPr>
      <w:bookmarkStart w:id="97" w:name="_Toc31622"/>
      <w:bookmarkStart w:id="98" w:name="_Toc36580103"/>
      <w:bookmarkStart w:id="99" w:name="_Toc44517293"/>
      <w:r>
        <w:rPr>
          <w:rFonts w:hint="eastAsia" w:ascii="宋体" w:hAnsi="宋体" w:eastAsia="宋体" w:cs="宋体"/>
          <w:sz w:val="24"/>
          <w:szCs w:val="24"/>
        </w:rPr>
        <w:t>项目资金筹措方式由资本金、其他融资和发行地方政府专项债构成，</w:t>
      </w:r>
      <w:bookmarkEnd w:id="97"/>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1434"/>
        <w:gridCol w:w="1896"/>
        <w:gridCol w:w="1198"/>
        <w:gridCol w:w="1495"/>
        <w:gridCol w:w="1957"/>
      </w:tblGrid>
      <w:tr w14:paraId="4F38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4" w:type="pct"/>
            <w:vMerge w:val="restart"/>
            <w:shd w:val="clear" w:color="auto" w:fill="auto"/>
            <w:noWrap/>
            <w:vAlign w:val="center"/>
          </w:tcPr>
          <w:p w14:paraId="6E859BB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822" w:type="pct"/>
            <w:vMerge w:val="restart"/>
            <w:shd w:val="clear" w:color="auto" w:fill="auto"/>
            <w:noWrap/>
            <w:vAlign w:val="center"/>
          </w:tcPr>
          <w:p w14:paraId="7D64015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总投资估算</w:t>
            </w:r>
          </w:p>
        </w:tc>
        <w:tc>
          <w:tcPr>
            <w:tcW w:w="1087" w:type="pct"/>
            <w:vMerge w:val="restart"/>
            <w:shd w:val="clear" w:color="auto" w:fill="auto"/>
            <w:vAlign w:val="center"/>
          </w:tcPr>
          <w:p w14:paraId="046721E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其中：自筹资金</w:t>
            </w:r>
          </w:p>
        </w:tc>
        <w:tc>
          <w:tcPr>
            <w:tcW w:w="2666" w:type="pct"/>
            <w:gridSpan w:val="3"/>
            <w:shd w:val="clear" w:color="auto" w:fill="auto"/>
            <w:vAlign w:val="center"/>
          </w:tcPr>
          <w:p w14:paraId="5E61559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其中：债券金额</w:t>
            </w:r>
          </w:p>
        </w:tc>
      </w:tr>
      <w:tr w14:paraId="576C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4" w:type="pct"/>
            <w:vMerge w:val="continue"/>
            <w:vAlign w:val="center"/>
          </w:tcPr>
          <w:p w14:paraId="614D44AC">
            <w:pPr>
              <w:widowControl/>
              <w:jc w:val="center"/>
              <w:rPr>
                <w:rFonts w:ascii="宋体" w:hAnsi="宋体" w:cs="宋体"/>
                <w:b/>
                <w:bCs/>
                <w:color w:val="000000"/>
                <w:kern w:val="0"/>
                <w:sz w:val="18"/>
                <w:szCs w:val="18"/>
              </w:rPr>
            </w:pPr>
          </w:p>
        </w:tc>
        <w:tc>
          <w:tcPr>
            <w:tcW w:w="822" w:type="pct"/>
            <w:vMerge w:val="continue"/>
            <w:vAlign w:val="center"/>
          </w:tcPr>
          <w:p w14:paraId="1A3F8376">
            <w:pPr>
              <w:widowControl/>
              <w:jc w:val="center"/>
              <w:rPr>
                <w:rFonts w:ascii="宋体" w:hAnsi="宋体" w:cs="宋体"/>
                <w:b/>
                <w:bCs/>
                <w:color w:val="000000"/>
                <w:kern w:val="0"/>
                <w:sz w:val="18"/>
                <w:szCs w:val="18"/>
              </w:rPr>
            </w:pPr>
          </w:p>
        </w:tc>
        <w:tc>
          <w:tcPr>
            <w:tcW w:w="1087" w:type="pct"/>
            <w:vMerge w:val="continue"/>
            <w:vAlign w:val="center"/>
          </w:tcPr>
          <w:p w14:paraId="03DBC03F">
            <w:pPr>
              <w:widowControl/>
              <w:jc w:val="center"/>
              <w:rPr>
                <w:rFonts w:ascii="宋体" w:hAnsi="宋体" w:cs="宋体"/>
                <w:b/>
                <w:bCs/>
                <w:color w:val="000000"/>
                <w:kern w:val="0"/>
                <w:sz w:val="18"/>
                <w:szCs w:val="18"/>
              </w:rPr>
            </w:pPr>
          </w:p>
        </w:tc>
        <w:tc>
          <w:tcPr>
            <w:tcW w:w="687" w:type="pct"/>
            <w:shd w:val="clear" w:color="auto" w:fill="auto"/>
            <w:vAlign w:val="center"/>
          </w:tcPr>
          <w:p w14:paraId="667907F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小计</w:t>
            </w:r>
          </w:p>
        </w:tc>
        <w:tc>
          <w:tcPr>
            <w:tcW w:w="857" w:type="pct"/>
            <w:shd w:val="clear" w:color="auto" w:fill="auto"/>
            <w:vAlign w:val="center"/>
          </w:tcPr>
          <w:p w14:paraId="4E6C0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w:t>
            </w:r>
            <w:r>
              <w:rPr>
                <w:rFonts w:ascii="宋体" w:hAnsi="宋体" w:cs="宋体"/>
                <w:b/>
                <w:bCs/>
                <w:color w:val="000000"/>
                <w:kern w:val="0"/>
                <w:sz w:val="18"/>
                <w:szCs w:val="18"/>
              </w:rPr>
              <w:t>023</w:t>
            </w:r>
            <w:r>
              <w:rPr>
                <w:rFonts w:hint="eastAsia" w:ascii="宋体" w:hAnsi="宋体" w:cs="宋体"/>
                <w:b/>
                <w:bCs/>
                <w:color w:val="000000"/>
                <w:kern w:val="0"/>
                <w:sz w:val="18"/>
                <w:szCs w:val="18"/>
              </w:rPr>
              <w:t>年发行</w:t>
            </w:r>
          </w:p>
        </w:tc>
        <w:tc>
          <w:tcPr>
            <w:tcW w:w="1122" w:type="pct"/>
            <w:shd w:val="clear" w:color="auto" w:fill="auto"/>
            <w:noWrap/>
            <w:vAlign w:val="center"/>
          </w:tcPr>
          <w:p w14:paraId="6BF1CFD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w:t>
            </w:r>
            <w:r>
              <w:rPr>
                <w:rFonts w:ascii="宋体" w:hAnsi="宋体" w:cs="宋体"/>
                <w:b/>
                <w:bCs/>
                <w:color w:val="000000"/>
                <w:kern w:val="0"/>
                <w:sz w:val="18"/>
                <w:szCs w:val="18"/>
              </w:rPr>
              <w:t>4</w:t>
            </w:r>
            <w:r>
              <w:rPr>
                <w:rFonts w:hint="eastAsia" w:ascii="宋体" w:hAnsi="宋体" w:cs="宋体"/>
                <w:b/>
                <w:bCs/>
                <w:color w:val="000000"/>
                <w:kern w:val="0"/>
                <w:sz w:val="18"/>
                <w:szCs w:val="18"/>
              </w:rPr>
              <w:t>年计划发行</w:t>
            </w:r>
          </w:p>
        </w:tc>
      </w:tr>
      <w:tr w14:paraId="102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24" w:type="pct"/>
            <w:shd w:val="clear" w:color="auto" w:fill="auto"/>
            <w:noWrap/>
            <w:vAlign w:val="center"/>
          </w:tcPr>
          <w:p w14:paraId="3343EE00">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822" w:type="pct"/>
            <w:shd w:val="clear" w:color="auto" w:fill="auto"/>
            <w:noWrap/>
            <w:vAlign w:val="center"/>
          </w:tcPr>
          <w:p w14:paraId="2D3C76FE">
            <w:pPr>
              <w:widowControl/>
              <w:jc w:val="center"/>
              <w:rPr>
                <w:rFonts w:ascii="宋体" w:hAnsi="宋体" w:cs="宋体"/>
                <w:color w:val="000000"/>
                <w:kern w:val="0"/>
                <w:sz w:val="18"/>
                <w:szCs w:val="18"/>
              </w:rPr>
            </w:pPr>
            <w:r>
              <w:rPr>
                <w:rFonts w:ascii="宋体" w:hAnsi="宋体" w:cs="宋体"/>
                <w:color w:val="000000"/>
                <w:kern w:val="0"/>
                <w:sz w:val="18"/>
                <w:szCs w:val="18"/>
              </w:rPr>
              <w:t>10,620.00</w:t>
            </w:r>
          </w:p>
        </w:tc>
        <w:tc>
          <w:tcPr>
            <w:tcW w:w="1087" w:type="pct"/>
            <w:shd w:val="clear" w:color="auto" w:fill="auto"/>
            <w:noWrap/>
            <w:vAlign w:val="center"/>
          </w:tcPr>
          <w:p w14:paraId="1CB29D92">
            <w:pPr>
              <w:widowControl/>
              <w:jc w:val="center"/>
              <w:rPr>
                <w:rFonts w:ascii="宋体" w:hAnsi="宋体" w:cs="宋体"/>
                <w:color w:val="000000"/>
                <w:kern w:val="0"/>
                <w:sz w:val="18"/>
                <w:szCs w:val="18"/>
              </w:rPr>
            </w:pPr>
            <w:r>
              <w:rPr>
                <w:rFonts w:ascii="宋体" w:hAnsi="宋体" w:cs="宋体"/>
                <w:color w:val="000000"/>
                <w:kern w:val="0"/>
                <w:sz w:val="18"/>
                <w:szCs w:val="18"/>
              </w:rPr>
              <w:t>1,920.00</w:t>
            </w:r>
          </w:p>
        </w:tc>
        <w:tc>
          <w:tcPr>
            <w:tcW w:w="687" w:type="pct"/>
            <w:shd w:val="clear" w:color="auto" w:fill="auto"/>
            <w:vAlign w:val="center"/>
          </w:tcPr>
          <w:p w14:paraId="4FAE5476">
            <w:pPr>
              <w:widowControl/>
              <w:jc w:val="center"/>
              <w:rPr>
                <w:rFonts w:ascii="宋体" w:hAnsi="宋体" w:cs="宋体"/>
                <w:color w:val="000000"/>
                <w:kern w:val="0"/>
                <w:sz w:val="18"/>
                <w:szCs w:val="18"/>
              </w:rPr>
            </w:pPr>
            <w:r>
              <w:rPr>
                <w:rFonts w:ascii="宋体" w:hAnsi="宋体" w:cs="宋体"/>
                <w:color w:val="000000"/>
                <w:kern w:val="0"/>
                <w:sz w:val="18"/>
                <w:szCs w:val="18"/>
              </w:rPr>
              <w:t>8,700.00</w:t>
            </w:r>
          </w:p>
        </w:tc>
        <w:tc>
          <w:tcPr>
            <w:tcW w:w="857" w:type="pct"/>
            <w:shd w:val="clear" w:color="auto" w:fill="auto"/>
            <w:noWrap/>
            <w:vAlign w:val="center"/>
          </w:tcPr>
          <w:p w14:paraId="5CC40C56">
            <w:pPr>
              <w:widowControl/>
              <w:jc w:val="center"/>
              <w:rPr>
                <w:rFonts w:ascii="宋体" w:hAnsi="宋体" w:cs="宋体"/>
                <w:color w:val="000000"/>
                <w:kern w:val="0"/>
                <w:sz w:val="18"/>
                <w:szCs w:val="18"/>
              </w:rPr>
            </w:pPr>
            <w:r>
              <w:rPr>
                <w:rFonts w:ascii="宋体" w:hAnsi="宋体" w:cs="宋体"/>
                <w:color w:val="000000"/>
                <w:kern w:val="0"/>
                <w:sz w:val="18"/>
                <w:szCs w:val="18"/>
              </w:rPr>
              <w:t>5,000.00</w:t>
            </w:r>
          </w:p>
        </w:tc>
        <w:tc>
          <w:tcPr>
            <w:tcW w:w="1122" w:type="pct"/>
            <w:shd w:val="clear" w:color="auto" w:fill="auto"/>
            <w:noWrap/>
            <w:vAlign w:val="center"/>
          </w:tcPr>
          <w:p w14:paraId="7D696838">
            <w:pPr>
              <w:widowControl/>
              <w:jc w:val="center"/>
              <w:rPr>
                <w:rFonts w:ascii="宋体" w:hAnsi="宋体" w:cs="宋体"/>
                <w:color w:val="000000"/>
                <w:kern w:val="0"/>
                <w:sz w:val="18"/>
                <w:szCs w:val="18"/>
              </w:rPr>
            </w:pPr>
            <w:r>
              <w:rPr>
                <w:rFonts w:ascii="宋体" w:hAnsi="宋体" w:cs="宋体"/>
                <w:color w:val="000000"/>
                <w:kern w:val="0"/>
                <w:sz w:val="18"/>
                <w:szCs w:val="18"/>
              </w:rPr>
              <w:t>3,700.00</w:t>
            </w:r>
          </w:p>
        </w:tc>
      </w:tr>
    </w:tbl>
    <w:p w14:paraId="1111E8CC">
      <w:pPr>
        <w:spacing w:line="560" w:lineRule="exact"/>
        <w:ind w:firstLine="480" w:firstLineChars="200"/>
        <w:rPr>
          <w:rFonts w:ascii="宋体" w:hAnsi="宋体" w:eastAsia="宋体" w:cs="宋体"/>
          <w:color w:val="000000" w:themeColor="text1"/>
          <w:sz w:val="24"/>
          <w:szCs w:val="24"/>
        </w:rPr>
      </w:pPr>
      <w:r>
        <w:rPr>
          <w:rFonts w:hint="eastAsia" w:ascii="宋体" w:hAnsi="宋体" w:eastAsia="宋体" w:cs="宋体"/>
          <w:color w:val="000000" w:themeColor="text1"/>
          <w:sz w:val="24"/>
          <w:szCs w:val="24"/>
        </w:rPr>
        <w:t>按照发行方案及筹资计划，本次拟发行项目的总投资估算为10,620.00万元，通过自筹资金、申请专项债券等途径解决，其一，自筹资金1,920.00万元；其二，拟发行专项债券8,700.00万元，发行期限15年，其中，2023年已发行5,000.00万元，2024年计划发行3,700.00万元，发行期限15年。</w:t>
      </w:r>
    </w:p>
    <w:p w14:paraId="0EFF28CC">
      <w:pPr>
        <w:widowControl/>
        <w:spacing w:line="560" w:lineRule="exact"/>
        <w:jc w:val="left"/>
        <w:outlineLvl w:val="0"/>
        <w:rPr>
          <w:rFonts w:ascii="黑体" w:hAnsi="黑体" w:eastAsia="黑体" w:cs="黑体"/>
          <w:sz w:val="28"/>
          <w:szCs w:val="28"/>
        </w:rPr>
      </w:pPr>
      <w:bookmarkStart w:id="100" w:name="_Toc20439"/>
      <w:r>
        <w:rPr>
          <w:rFonts w:hint="eastAsia" w:ascii="黑体" w:hAnsi="黑体" w:eastAsia="黑体" w:cs="黑体"/>
          <w:sz w:val="28"/>
          <w:szCs w:val="28"/>
        </w:rPr>
        <w:t>三、项目预期收益、成本及融资平衡情况</w:t>
      </w:r>
      <w:bookmarkEnd w:id="98"/>
      <w:bookmarkEnd w:id="99"/>
      <w:bookmarkEnd w:id="100"/>
    </w:p>
    <w:p w14:paraId="0928A192">
      <w:pPr>
        <w:widowControl/>
        <w:spacing w:line="560" w:lineRule="exact"/>
        <w:ind w:firstLine="560" w:firstLineChars="200"/>
        <w:jc w:val="left"/>
        <w:outlineLvl w:val="1"/>
        <w:rPr>
          <w:rFonts w:ascii="楷体" w:hAnsi="楷体" w:eastAsia="楷体" w:cs="楷体"/>
          <w:b/>
          <w:bCs/>
          <w:sz w:val="28"/>
          <w:szCs w:val="28"/>
        </w:rPr>
      </w:pPr>
      <w:bookmarkStart w:id="101" w:name="_Toc44517294"/>
      <w:bookmarkStart w:id="102" w:name="_Toc24777"/>
      <w:bookmarkStart w:id="103" w:name="_Toc36580104"/>
      <w:r>
        <w:rPr>
          <w:rFonts w:hint="eastAsia" w:ascii="楷体" w:hAnsi="楷体" w:eastAsia="楷体" w:cs="楷体"/>
          <w:b/>
          <w:bCs/>
          <w:sz w:val="28"/>
          <w:szCs w:val="28"/>
        </w:rPr>
        <w:t>（一）收入测算</w:t>
      </w:r>
      <w:bookmarkEnd w:id="101"/>
      <w:bookmarkEnd w:id="102"/>
      <w:bookmarkEnd w:id="103"/>
    </w:p>
    <w:p w14:paraId="316AA0DA">
      <w:pPr>
        <w:pStyle w:val="23"/>
        <w:spacing w:before="0" w:beforeAutospacing="0" w:after="0" w:afterAutospacing="0" w:line="600" w:lineRule="exact"/>
        <w:ind w:firstLine="560"/>
        <w:jc w:val="both"/>
        <w:rPr>
          <w:kern w:val="2"/>
          <w:sz w:val="24"/>
          <w:szCs w:val="24"/>
        </w:rPr>
      </w:pPr>
      <w:bookmarkStart w:id="104" w:name="_Toc36580111"/>
      <w:bookmarkStart w:id="105" w:name="_Toc44517301"/>
      <w:r>
        <w:rPr>
          <w:rFonts w:hint="eastAsia"/>
          <w:kern w:val="2"/>
          <w:sz w:val="24"/>
          <w:szCs w:val="24"/>
        </w:rPr>
        <w:t>收入主要包括停车位收入、充电桩收入及广告位收入。本项目价格单价参考南昌当地类似市场价格。</w:t>
      </w:r>
    </w:p>
    <w:p w14:paraId="3AAE09AD">
      <w:pPr>
        <w:pStyle w:val="23"/>
        <w:spacing w:line="360" w:lineRule="auto"/>
        <w:ind w:firstLine="480" w:firstLineChars="200"/>
        <w:rPr>
          <w:sz w:val="24"/>
          <w:szCs w:val="24"/>
        </w:rPr>
      </w:pPr>
      <w:r>
        <w:rPr>
          <w:rFonts w:hint="eastAsia"/>
          <w:sz w:val="24"/>
          <w:szCs w:val="24"/>
        </w:rPr>
        <w:t>本次申请发行的202</w:t>
      </w:r>
      <w:r>
        <w:rPr>
          <w:sz w:val="24"/>
          <w:szCs w:val="24"/>
        </w:rPr>
        <w:t>4</w:t>
      </w:r>
      <w:r>
        <w:rPr>
          <w:rFonts w:hint="eastAsia"/>
          <w:sz w:val="24"/>
          <w:szCs w:val="24"/>
        </w:rPr>
        <w:t>年江西省南昌县老旧小区综合改造十二期工程专项债券项目，预计业务活动现金流入合计为</w:t>
      </w:r>
      <w:r>
        <w:rPr>
          <w:sz w:val="24"/>
          <w:szCs w:val="24"/>
        </w:rPr>
        <w:t>25,155.59</w:t>
      </w:r>
      <w:r>
        <w:rPr>
          <w:rFonts w:hint="eastAsia"/>
          <w:sz w:val="24"/>
          <w:szCs w:val="24"/>
        </w:rPr>
        <w:t>万元，其中停车位收入</w:t>
      </w:r>
      <w:r>
        <w:rPr>
          <w:sz w:val="24"/>
          <w:szCs w:val="24"/>
        </w:rPr>
        <w:t>2,923.44</w:t>
      </w:r>
      <w:r>
        <w:rPr>
          <w:rFonts w:hint="eastAsia"/>
          <w:sz w:val="24"/>
          <w:szCs w:val="24"/>
        </w:rPr>
        <w:t>万元，充电桩收入</w:t>
      </w:r>
      <w:r>
        <w:rPr>
          <w:sz w:val="24"/>
          <w:szCs w:val="24"/>
        </w:rPr>
        <w:t>5,091.24</w:t>
      </w:r>
      <w:r>
        <w:rPr>
          <w:rFonts w:hint="eastAsia"/>
          <w:sz w:val="24"/>
          <w:szCs w:val="24"/>
        </w:rPr>
        <w:t>万元，广告牌租赁收入</w:t>
      </w:r>
      <w:r>
        <w:rPr>
          <w:sz w:val="24"/>
          <w:szCs w:val="24"/>
        </w:rPr>
        <w:t>17,140.91</w:t>
      </w:r>
      <w:r>
        <w:rPr>
          <w:rFonts w:hint="eastAsia"/>
          <w:sz w:val="24"/>
          <w:szCs w:val="24"/>
        </w:rPr>
        <w:t>万元</w:t>
      </w:r>
      <w:r>
        <w:rPr>
          <w:sz w:val="24"/>
          <w:szCs w:val="24"/>
        </w:rPr>
        <w:t>。</w:t>
      </w:r>
      <w:r>
        <w:rPr>
          <w:rFonts w:hint="eastAsia"/>
          <w:sz w:val="24"/>
          <w:szCs w:val="24"/>
        </w:rPr>
        <w:t>项目自运营期（202</w:t>
      </w:r>
      <w:r>
        <w:rPr>
          <w:sz w:val="24"/>
          <w:szCs w:val="24"/>
        </w:rPr>
        <w:t>5年</w:t>
      </w:r>
      <w:r>
        <w:rPr>
          <w:rFonts w:hint="eastAsia"/>
          <w:sz w:val="24"/>
          <w:szCs w:val="24"/>
        </w:rPr>
        <w:t>1月）开始至债券到期的项目收益年度分布情况如下：</w:t>
      </w:r>
    </w:p>
    <w:p w14:paraId="39DBF678">
      <w:pPr>
        <w:pStyle w:val="23"/>
        <w:keepNext/>
        <w:ind w:firstLine="422"/>
        <w:jc w:val="center"/>
        <w:rPr>
          <w:b/>
        </w:rPr>
      </w:pPr>
      <w:r>
        <w:rPr>
          <w:rFonts w:hint="eastAsia"/>
          <w:b/>
        </w:rPr>
        <w:t>表3-</w:t>
      </w:r>
      <w:r>
        <w:rPr>
          <w:b/>
        </w:rPr>
        <w:t xml:space="preserve">1  </w:t>
      </w:r>
      <w:r>
        <w:rPr>
          <w:rFonts w:hint="eastAsia"/>
          <w:b/>
        </w:rPr>
        <w:t>项目收益年度分布情况分析</w:t>
      </w:r>
    </w:p>
    <w:p w14:paraId="6F968870">
      <w:pPr>
        <w:pStyle w:val="23"/>
        <w:keepNext/>
        <w:ind w:right="54" w:rightChars="26" w:firstLine="360"/>
        <w:jc w:val="right"/>
        <w:rPr>
          <w:sz w:val="18"/>
          <w:szCs w:val="18"/>
        </w:rPr>
      </w:pPr>
      <w:r>
        <w:rPr>
          <w:rFonts w:hint="eastAsia"/>
          <w:sz w:val="18"/>
          <w:szCs w:val="18"/>
        </w:rPr>
        <w:t>单位：万元</w:t>
      </w:r>
    </w:p>
    <w:tbl>
      <w:tblPr>
        <w:tblStyle w:val="2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6"/>
        <w:gridCol w:w="1722"/>
        <w:gridCol w:w="1722"/>
        <w:gridCol w:w="2394"/>
        <w:gridCol w:w="1560"/>
      </w:tblGrid>
      <w:tr w14:paraId="0AD1F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blHeader/>
          <w:jc w:val="center"/>
        </w:trPr>
        <w:tc>
          <w:tcPr>
            <w:tcW w:w="661" w:type="pct"/>
            <w:shd w:val="clear" w:color="auto" w:fill="auto"/>
            <w:noWrap/>
            <w:tcMar>
              <w:top w:w="10" w:type="dxa"/>
              <w:left w:w="10" w:type="dxa"/>
              <w:right w:w="10" w:type="dxa"/>
            </w:tcMar>
            <w:vAlign w:val="center"/>
          </w:tcPr>
          <w:p w14:paraId="2CA4412F">
            <w:pPr>
              <w:widowControl/>
              <w:jc w:val="center"/>
              <w:textAlignment w:val="center"/>
              <w:rPr>
                <w:rFonts w:ascii="宋体" w:hAnsi="宋体" w:cs="宋体"/>
                <w:b/>
                <w:sz w:val="18"/>
                <w:szCs w:val="18"/>
              </w:rPr>
            </w:pPr>
            <w:r>
              <w:rPr>
                <w:rFonts w:hint="eastAsia" w:ascii="宋体" w:hAnsi="宋体" w:cs="宋体"/>
                <w:b/>
                <w:kern w:val="0"/>
                <w:sz w:val="18"/>
                <w:szCs w:val="18"/>
              </w:rPr>
              <w:t>年份</w:t>
            </w:r>
          </w:p>
        </w:tc>
        <w:tc>
          <w:tcPr>
            <w:tcW w:w="1010" w:type="pct"/>
            <w:shd w:val="clear" w:color="auto" w:fill="auto"/>
            <w:noWrap/>
            <w:tcMar>
              <w:top w:w="10" w:type="dxa"/>
              <w:left w:w="10" w:type="dxa"/>
              <w:right w:w="10" w:type="dxa"/>
            </w:tcMar>
            <w:vAlign w:val="center"/>
          </w:tcPr>
          <w:p w14:paraId="0081427D">
            <w:pPr>
              <w:widowControl/>
              <w:jc w:val="center"/>
              <w:textAlignment w:val="center"/>
              <w:rPr>
                <w:rFonts w:ascii="宋体" w:hAnsi="宋体" w:cs="宋体"/>
                <w:b/>
                <w:kern w:val="0"/>
                <w:sz w:val="18"/>
                <w:szCs w:val="18"/>
              </w:rPr>
            </w:pPr>
            <w:r>
              <w:rPr>
                <w:rFonts w:hint="eastAsia" w:ascii="宋体" w:hAnsi="宋体" w:cs="宋体"/>
                <w:b/>
                <w:kern w:val="0"/>
                <w:sz w:val="18"/>
                <w:szCs w:val="18"/>
              </w:rPr>
              <w:t>停车位收入</w:t>
            </w:r>
          </w:p>
        </w:tc>
        <w:tc>
          <w:tcPr>
            <w:tcW w:w="1010" w:type="pct"/>
            <w:shd w:val="clear" w:color="auto" w:fill="auto"/>
            <w:noWrap/>
            <w:tcMar>
              <w:top w:w="10" w:type="dxa"/>
              <w:left w:w="10" w:type="dxa"/>
              <w:right w:w="10" w:type="dxa"/>
            </w:tcMar>
            <w:vAlign w:val="center"/>
          </w:tcPr>
          <w:p w14:paraId="3B66CDCE">
            <w:pPr>
              <w:widowControl/>
              <w:jc w:val="center"/>
              <w:textAlignment w:val="center"/>
              <w:rPr>
                <w:rFonts w:ascii="宋体" w:hAnsi="宋体" w:cs="宋体"/>
                <w:b/>
                <w:kern w:val="0"/>
                <w:sz w:val="18"/>
                <w:szCs w:val="18"/>
              </w:rPr>
            </w:pPr>
            <w:r>
              <w:rPr>
                <w:rFonts w:hint="eastAsia" w:ascii="宋体" w:hAnsi="宋体" w:cs="宋体"/>
                <w:b/>
                <w:kern w:val="0"/>
                <w:sz w:val="18"/>
                <w:szCs w:val="18"/>
              </w:rPr>
              <w:t>充电桩收入</w:t>
            </w:r>
          </w:p>
        </w:tc>
        <w:tc>
          <w:tcPr>
            <w:tcW w:w="1404" w:type="pct"/>
            <w:shd w:val="clear" w:color="auto" w:fill="auto"/>
            <w:noWrap/>
            <w:tcMar>
              <w:top w:w="10" w:type="dxa"/>
              <w:left w:w="10" w:type="dxa"/>
              <w:right w:w="10" w:type="dxa"/>
            </w:tcMar>
            <w:vAlign w:val="center"/>
          </w:tcPr>
          <w:p w14:paraId="76DD5844">
            <w:pPr>
              <w:widowControl/>
              <w:jc w:val="center"/>
              <w:textAlignment w:val="center"/>
              <w:rPr>
                <w:rFonts w:ascii="宋体" w:hAnsi="宋体" w:cs="宋体"/>
                <w:b/>
                <w:kern w:val="0"/>
                <w:sz w:val="18"/>
                <w:szCs w:val="18"/>
              </w:rPr>
            </w:pPr>
            <w:r>
              <w:rPr>
                <w:rFonts w:hint="eastAsia" w:ascii="宋体" w:hAnsi="宋体" w:cs="宋体"/>
                <w:b/>
                <w:kern w:val="0"/>
                <w:sz w:val="18"/>
                <w:szCs w:val="18"/>
              </w:rPr>
              <w:t>广告牌租赁收入</w:t>
            </w:r>
          </w:p>
        </w:tc>
        <w:tc>
          <w:tcPr>
            <w:tcW w:w="915" w:type="pct"/>
            <w:shd w:val="clear" w:color="auto" w:fill="auto"/>
            <w:noWrap/>
            <w:tcMar>
              <w:top w:w="10" w:type="dxa"/>
              <w:left w:w="10" w:type="dxa"/>
              <w:right w:w="10" w:type="dxa"/>
            </w:tcMar>
            <w:vAlign w:val="center"/>
          </w:tcPr>
          <w:p w14:paraId="2CCAD646">
            <w:pPr>
              <w:widowControl/>
              <w:jc w:val="center"/>
              <w:textAlignment w:val="center"/>
              <w:rPr>
                <w:rFonts w:ascii="宋体" w:hAnsi="宋体" w:cs="宋体"/>
                <w:b/>
                <w:sz w:val="18"/>
                <w:szCs w:val="18"/>
              </w:rPr>
            </w:pPr>
            <w:r>
              <w:rPr>
                <w:rFonts w:hint="eastAsia" w:ascii="宋体" w:hAnsi="宋体" w:cs="宋体"/>
                <w:b/>
                <w:kern w:val="0"/>
                <w:sz w:val="18"/>
                <w:szCs w:val="18"/>
              </w:rPr>
              <w:t>合计</w:t>
            </w:r>
          </w:p>
        </w:tc>
      </w:tr>
      <w:tr w14:paraId="5D8D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661" w:type="pct"/>
            <w:shd w:val="clear" w:color="auto" w:fill="auto"/>
            <w:noWrap/>
            <w:tcMar>
              <w:top w:w="10" w:type="dxa"/>
              <w:left w:w="10" w:type="dxa"/>
              <w:right w:w="10" w:type="dxa"/>
            </w:tcMar>
            <w:vAlign w:val="center"/>
          </w:tcPr>
          <w:p w14:paraId="14DD9261">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2025年</w:t>
            </w:r>
          </w:p>
        </w:tc>
        <w:tc>
          <w:tcPr>
            <w:tcW w:w="1010" w:type="pct"/>
            <w:shd w:val="clear" w:color="auto" w:fill="auto"/>
            <w:noWrap/>
            <w:tcMar>
              <w:top w:w="10" w:type="dxa"/>
              <w:left w:w="10" w:type="dxa"/>
              <w:right w:w="10" w:type="dxa"/>
            </w:tcMar>
            <w:vAlign w:val="center"/>
          </w:tcPr>
          <w:p w14:paraId="0129D428">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160.92</w:t>
            </w:r>
          </w:p>
        </w:tc>
        <w:tc>
          <w:tcPr>
            <w:tcW w:w="1010" w:type="pct"/>
            <w:shd w:val="clear" w:color="auto" w:fill="auto"/>
            <w:noWrap/>
            <w:tcMar>
              <w:top w:w="10" w:type="dxa"/>
              <w:left w:w="10" w:type="dxa"/>
              <w:right w:w="10" w:type="dxa"/>
            </w:tcMar>
            <w:vAlign w:val="center"/>
          </w:tcPr>
          <w:p w14:paraId="5ECFC29F">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260.46</w:t>
            </w:r>
          </w:p>
        </w:tc>
        <w:tc>
          <w:tcPr>
            <w:tcW w:w="1404" w:type="pct"/>
            <w:shd w:val="clear" w:color="auto" w:fill="auto"/>
            <w:noWrap/>
            <w:tcMar>
              <w:top w:w="10" w:type="dxa"/>
              <w:left w:w="10" w:type="dxa"/>
              <w:right w:w="10" w:type="dxa"/>
            </w:tcMar>
            <w:vAlign w:val="center"/>
          </w:tcPr>
          <w:p w14:paraId="184508C1">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733.20</w:t>
            </w:r>
          </w:p>
        </w:tc>
        <w:tc>
          <w:tcPr>
            <w:tcW w:w="915" w:type="pct"/>
            <w:shd w:val="clear" w:color="auto" w:fill="auto"/>
            <w:noWrap/>
            <w:tcMar>
              <w:top w:w="10" w:type="dxa"/>
              <w:left w:w="10" w:type="dxa"/>
              <w:right w:w="10" w:type="dxa"/>
            </w:tcMar>
            <w:vAlign w:val="center"/>
          </w:tcPr>
          <w:p w14:paraId="453F9F76">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1,154.58</w:t>
            </w:r>
          </w:p>
        </w:tc>
      </w:tr>
      <w:tr w14:paraId="2B3EE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661" w:type="pct"/>
            <w:shd w:val="clear" w:color="auto" w:fill="auto"/>
            <w:noWrap/>
            <w:tcMar>
              <w:top w:w="10" w:type="dxa"/>
              <w:left w:w="10" w:type="dxa"/>
              <w:right w:w="10" w:type="dxa"/>
            </w:tcMar>
            <w:vAlign w:val="center"/>
          </w:tcPr>
          <w:p w14:paraId="6334A9B4">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2026年</w:t>
            </w:r>
          </w:p>
        </w:tc>
        <w:tc>
          <w:tcPr>
            <w:tcW w:w="1010" w:type="pct"/>
            <w:shd w:val="clear" w:color="auto" w:fill="auto"/>
            <w:noWrap/>
            <w:tcMar>
              <w:top w:w="10" w:type="dxa"/>
              <w:left w:w="10" w:type="dxa"/>
              <w:right w:w="10" w:type="dxa"/>
            </w:tcMar>
            <w:vAlign w:val="center"/>
          </w:tcPr>
          <w:p w14:paraId="53E71AD2">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182.38</w:t>
            </w:r>
          </w:p>
        </w:tc>
        <w:tc>
          <w:tcPr>
            <w:tcW w:w="1010" w:type="pct"/>
            <w:shd w:val="clear" w:color="auto" w:fill="auto"/>
            <w:noWrap/>
            <w:tcMar>
              <w:top w:w="10" w:type="dxa"/>
              <w:left w:w="10" w:type="dxa"/>
              <w:right w:w="10" w:type="dxa"/>
            </w:tcMar>
            <w:vAlign w:val="center"/>
          </w:tcPr>
          <w:p w14:paraId="54BF46C8">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312.56</w:t>
            </w:r>
          </w:p>
        </w:tc>
        <w:tc>
          <w:tcPr>
            <w:tcW w:w="1404" w:type="pct"/>
            <w:shd w:val="clear" w:color="auto" w:fill="auto"/>
            <w:noWrap/>
            <w:tcMar>
              <w:top w:w="10" w:type="dxa"/>
              <w:left w:w="10" w:type="dxa"/>
              <w:right w:w="10" w:type="dxa"/>
            </w:tcMar>
            <w:vAlign w:val="center"/>
          </w:tcPr>
          <w:p w14:paraId="624A6FBA">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879.84</w:t>
            </w:r>
          </w:p>
        </w:tc>
        <w:tc>
          <w:tcPr>
            <w:tcW w:w="915" w:type="pct"/>
            <w:shd w:val="clear" w:color="auto" w:fill="auto"/>
            <w:noWrap/>
            <w:tcMar>
              <w:top w:w="10" w:type="dxa"/>
              <w:left w:w="10" w:type="dxa"/>
              <w:right w:w="10" w:type="dxa"/>
            </w:tcMar>
            <w:vAlign w:val="center"/>
          </w:tcPr>
          <w:p w14:paraId="116D2B8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1,374.78</w:t>
            </w:r>
          </w:p>
        </w:tc>
      </w:tr>
      <w:tr w14:paraId="26203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661" w:type="pct"/>
            <w:shd w:val="clear" w:color="auto" w:fill="auto"/>
            <w:noWrap/>
            <w:tcMar>
              <w:top w:w="10" w:type="dxa"/>
              <w:left w:w="10" w:type="dxa"/>
              <w:right w:w="10" w:type="dxa"/>
            </w:tcMar>
            <w:vAlign w:val="center"/>
          </w:tcPr>
          <w:p w14:paraId="73475F50">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2027年</w:t>
            </w:r>
          </w:p>
        </w:tc>
        <w:tc>
          <w:tcPr>
            <w:tcW w:w="1010" w:type="pct"/>
            <w:shd w:val="clear" w:color="auto" w:fill="auto"/>
            <w:noWrap/>
            <w:tcMar>
              <w:top w:w="10" w:type="dxa"/>
              <w:left w:w="10" w:type="dxa"/>
              <w:right w:w="10" w:type="dxa"/>
            </w:tcMar>
            <w:vAlign w:val="center"/>
          </w:tcPr>
          <w:p w14:paraId="4735A3C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193.10</w:t>
            </w:r>
          </w:p>
        </w:tc>
        <w:tc>
          <w:tcPr>
            <w:tcW w:w="1010" w:type="pct"/>
            <w:shd w:val="clear" w:color="auto" w:fill="auto"/>
            <w:noWrap/>
            <w:tcMar>
              <w:top w:w="10" w:type="dxa"/>
              <w:left w:w="10" w:type="dxa"/>
              <w:right w:w="10" w:type="dxa"/>
            </w:tcMar>
            <w:vAlign w:val="center"/>
          </w:tcPr>
          <w:p w14:paraId="0AA6F624">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338.60</w:t>
            </w:r>
          </w:p>
        </w:tc>
        <w:tc>
          <w:tcPr>
            <w:tcW w:w="1404" w:type="pct"/>
            <w:shd w:val="clear" w:color="auto" w:fill="auto"/>
            <w:noWrap/>
            <w:tcMar>
              <w:top w:w="10" w:type="dxa"/>
              <w:left w:w="10" w:type="dxa"/>
              <w:right w:w="10" w:type="dxa"/>
            </w:tcMar>
            <w:vAlign w:val="center"/>
          </w:tcPr>
          <w:p w14:paraId="6E68AC6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1,026.48</w:t>
            </w:r>
          </w:p>
        </w:tc>
        <w:tc>
          <w:tcPr>
            <w:tcW w:w="915" w:type="pct"/>
            <w:shd w:val="clear" w:color="auto" w:fill="auto"/>
            <w:noWrap/>
            <w:tcMar>
              <w:top w:w="10" w:type="dxa"/>
              <w:left w:w="10" w:type="dxa"/>
              <w:right w:w="10" w:type="dxa"/>
            </w:tcMar>
            <w:vAlign w:val="center"/>
          </w:tcPr>
          <w:p w14:paraId="682C63D3">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1,558.18</w:t>
            </w:r>
          </w:p>
        </w:tc>
      </w:tr>
      <w:tr w14:paraId="1ECA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661" w:type="pct"/>
            <w:shd w:val="clear" w:color="auto" w:fill="auto"/>
            <w:noWrap/>
            <w:tcMar>
              <w:top w:w="10" w:type="dxa"/>
              <w:left w:w="10" w:type="dxa"/>
              <w:right w:w="10" w:type="dxa"/>
            </w:tcMar>
            <w:vAlign w:val="center"/>
          </w:tcPr>
          <w:p w14:paraId="454CF63D">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2028年</w:t>
            </w:r>
          </w:p>
        </w:tc>
        <w:tc>
          <w:tcPr>
            <w:tcW w:w="1010" w:type="pct"/>
            <w:shd w:val="clear" w:color="auto" w:fill="auto"/>
            <w:noWrap/>
            <w:tcMar>
              <w:top w:w="10" w:type="dxa"/>
              <w:left w:w="10" w:type="dxa"/>
              <w:right w:w="10" w:type="dxa"/>
            </w:tcMar>
            <w:vAlign w:val="center"/>
          </w:tcPr>
          <w:p w14:paraId="3A23E04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202.76</w:t>
            </w:r>
          </w:p>
        </w:tc>
        <w:tc>
          <w:tcPr>
            <w:tcW w:w="1010" w:type="pct"/>
            <w:shd w:val="clear" w:color="auto" w:fill="auto"/>
            <w:noWrap/>
            <w:tcMar>
              <w:top w:w="10" w:type="dxa"/>
              <w:left w:w="10" w:type="dxa"/>
              <w:right w:w="10" w:type="dxa"/>
            </w:tcMar>
            <w:vAlign w:val="center"/>
          </w:tcPr>
          <w:p w14:paraId="4C18DE92">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355.53</w:t>
            </w:r>
          </w:p>
        </w:tc>
        <w:tc>
          <w:tcPr>
            <w:tcW w:w="1404" w:type="pct"/>
            <w:shd w:val="clear" w:color="auto" w:fill="auto"/>
            <w:noWrap/>
            <w:tcMar>
              <w:top w:w="10" w:type="dxa"/>
              <w:left w:w="10" w:type="dxa"/>
              <w:right w:w="10" w:type="dxa"/>
            </w:tcMar>
            <w:vAlign w:val="center"/>
          </w:tcPr>
          <w:p w14:paraId="6D5895F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1,231.78</w:t>
            </w:r>
          </w:p>
        </w:tc>
        <w:tc>
          <w:tcPr>
            <w:tcW w:w="915" w:type="pct"/>
            <w:shd w:val="clear" w:color="auto" w:fill="auto"/>
            <w:noWrap/>
            <w:tcMar>
              <w:top w:w="10" w:type="dxa"/>
              <w:left w:w="10" w:type="dxa"/>
              <w:right w:w="10" w:type="dxa"/>
            </w:tcMar>
            <w:vAlign w:val="center"/>
          </w:tcPr>
          <w:p w14:paraId="76C5DCAD">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1,790.07</w:t>
            </w:r>
          </w:p>
        </w:tc>
      </w:tr>
      <w:tr w14:paraId="48DF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661" w:type="pct"/>
            <w:shd w:val="clear" w:color="auto" w:fill="auto"/>
            <w:noWrap/>
            <w:tcMar>
              <w:top w:w="10" w:type="dxa"/>
              <w:left w:w="10" w:type="dxa"/>
              <w:right w:w="10" w:type="dxa"/>
            </w:tcMar>
            <w:vAlign w:val="center"/>
          </w:tcPr>
          <w:p w14:paraId="28F2D956">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2029年</w:t>
            </w:r>
          </w:p>
        </w:tc>
        <w:tc>
          <w:tcPr>
            <w:tcW w:w="1010" w:type="pct"/>
            <w:shd w:val="clear" w:color="auto" w:fill="auto"/>
            <w:noWrap/>
            <w:tcMar>
              <w:top w:w="10" w:type="dxa"/>
              <w:left w:w="10" w:type="dxa"/>
              <w:right w:w="10" w:type="dxa"/>
            </w:tcMar>
            <w:vAlign w:val="center"/>
          </w:tcPr>
          <w:p w14:paraId="6B7E8193">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202.76</w:t>
            </w:r>
          </w:p>
        </w:tc>
        <w:tc>
          <w:tcPr>
            <w:tcW w:w="1010" w:type="pct"/>
            <w:shd w:val="clear" w:color="auto" w:fill="auto"/>
            <w:noWrap/>
            <w:tcMar>
              <w:top w:w="10" w:type="dxa"/>
              <w:left w:w="10" w:type="dxa"/>
              <w:right w:w="10" w:type="dxa"/>
            </w:tcMar>
            <w:vAlign w:val="center"/>
          </w:tcPr>
          <w:p w14:paraId="333718D2">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355.53</w:t>
            </w:r>
          </w:p>
        </w:tc>
        <w:tc>
          <w:tcPr>
            <w:tcW w:w="1404" w:type="pct"/>
            <w:shd w:val="clear" w:color="auto" w:fill="auto"/>
            <w:noWrap/>
            <w:tcMar>
              <w:top w:w="10" w:type="dxa"/>
              <w:left w:w="10" w:type="dxa"/>
              <w:right w:w="10" w:type="dxa"/>
            </w:tcMar>
            <w:vAlign w:val="center"/>
          </w:tcPr>
          <w:p w14:paraId="16E09A01">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1,231.78</w:t>
            </w:r>
          </w:p>
        </w:tc>
        <w:tc>
          <w:tcPr>
            <w:tcW w:w="915" w:type="pct"/>
            <w:shd w:val="clear" w:color="auto" w:fill="auto"/>
            <w:noWrap/>
            <w:tcMar>
              <w:top w:w="10" w:type="dxa"/>
              <w:left w:w="10" w:type="dxa"/>
              <w:right w:w="10" w:type="dxa"/>
            </w:tcMar>
            <w:vAlign w:val="center"/>
          </w:tcPr>
          <w:p w14:paraId="02EB535D">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1,790.07</w:t>
            </w:r>
          </w:p>
        </w:tc>
      </w:tr>
      <w:tr w14:paraId="375E9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61" w:type="pct"/>
            <w:shd w:val="clear" w:color="auto" w:fill="auto"/>
            <w:noWrap/>
            <w:tcMar>
              <w:top w:w="10" w:type="dxa"/>
              <w:left w:w="10" w:type="dxa"/>
              <w:right w:w="10" w:type="dxa"/>
            </w:tcMar>
            <w:vAlign w:val="center"/>
          </w:tcPr>
          <w:p w14:paraId="08D18090">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2030年</w:t>
            </w:r>
          </w:p>
        </w:tc>
        <w:tc>
          <w:tcPr>
            <w:tcW w:w="1010" w:type="pct"/>
            <w:shd w:val="clear" w:color="auto" w:fill="auto"/>
            <w:noWrap/>
            <w:tcMar>
              <w:top w:w="10" w:type="dxa"/>
              <w:left w:w="10" w:type="dxa"/>
              <w:right w:w="10" w:type="dxa"/>
            </w:tcMar>
            <w:vAlign w:val="center"/>
          </w:tcPr>
          <w:p w14:paraId="646F334B">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202.76</w:t>
            </w:r>
          </w:p>
        </w:tc>
        <w:tc>
          <w:tcPr>
            <w:tcW w:w="1010" w:type="pct"/>
            <w:shd w:val="clear" w:color="auto" w:fill="auto"/>
            <w:noWrap/>
            <w:tcMar>
              <w:top w:w="10" w:type="dxa"/>
              <w:left w:w="10" w:type="dxa"/>
              <w:right w:w="10" w:type="dxa"/>
            </w:tcMar>
            <w:vAlign w:val="center"/>
          </w:tcPr>
          <w:p w14:paraId="14BB42B4">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355.53</w:t>
            </w:r>
          </w:p>
        </w:tc>
        <w:tc>
          <w:tcPr>
            <w:tcW w:w="1404" w:type="pct"/>
            <w:shd w:val="clear" w:color="auto" w:fill="auto"/>
            <w:noWrap/>
            <w:tcMar>
              <w:top w:w="10" w:type="dxa"/>
              <w:left w:w="10" w:type="dxa"/>
              <w:right w:w="10" w:type="dxa"/>
            </w:tcMar>
            <w:vAlign w:val="center"/>
          </w:tcPr>
          <w:p w14:paraId="0C6555CA">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1,231.78</w:t>
            </w:r>
          </w:p>
        </w:tc>
        <w:tc>
          <w:tcPr>
            <w:tcW w:w="915" w:type="pct"/>
            <w:shd w:val="clear" w:color="auto" w:fill="auto"/>
            <w:noWrap/>
            <w:tcMar>
              <w:top w:w="10" w:type="dxa"/>
              <w:left w:w="10" w:type="dxa"/>
              <w:right w:w="10" w:type="dxa"/>
            </w:tcMar>
            <w:vAlign w:val="center"/>
          </w:tcPr>
          <w:p w14:paraId="0BC136CF">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1,790.07</w:t>
            </w:r>
          </w:p>
        </w:tc>
      </w:tr>
      <w:tr w14:paraId="26D2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661" w:type="pct"/>
            <w:shd w:val="clear" w:color="auto" w:fill="auto"/>
            <w:noWrap/>
            <w:tcMar>
              <w:top w:w="10" w:type="dxa"/>
              <w:left w:w="10" w:type="dxa"/>
              <w:right w:w="10" w:type="dxa"/>
            </w:tcMar>
            <w:vAlign w:val="center"/>
          </w:tcPr>
          <w:p w14:paraId="0427DDB4">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2031年</w:t>
            </w:r>
          </w:p>
        </w:tc>
        <w:tc>
          <w:tcPr>
            <w:tcW w:w="1010" w:type="pct"/>
            <w:shd w:val="clear" w:color="auto" w:fill="auto"/>
            <w:noWrap/>
            <w:tcMar>
              <w:top w:w="10" w:type="dxa"/>
              <w:left w:w="10" w:type="dxa"/>
              <w:right w:w="10" w:type="dxa"/>
            </w:tcMar>
            <w:vAlign w:val="center"/>
          </w:tcPr>
          <w:p w14:paraId="245DCB77">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212.90</w:t>
            </w:r>
          </w:p>
        </w:tc>
        <w:tc>
          <w:tcPr>
            <w:tcW w:w="1010" w:type="pct"/>
            <w:shd w:val="clear" w:color="auto" w:fill="auto"/>
            <w:noWrap/>
            <w:tcMar>
              <w:top w:w="10" w:type="dxa"/>
              <w:left w:w="10" w:type="dxa"/>
              <w:right w:w="10" w:type="dxa"/>
            </w:tcMar>
            <w:vAlign w:val="center"/>
          </w:tcPr>
          <w:p w14:paraId="18214824">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372.46</w:t>
            </w:r>
          </w:p>
        </w:tc>
        <w:tc>
          <w:tcPr>
            <w:tcW w:w="1404" w:type="pct"/>
            <w:shd w:val="clear" w:color="auto" w:fill="auto"/>
            <w:noWrap/>
            <w:tcMar>
              <w:top w:w="10" w:type="dxa"/>
              <w:left w:w="10" w:type="dxa"/>
              <w:right w:w="10" w:type="dxa"/>
            </w:tcMar>
            <w:vAlign w:val="center"/>
          </w:tcPr>
          <w:p w14:paraId="705C67AC">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1,293.36</w:t>
            </w:r>
          </w:p>
        </w:tc>
        <w:tc>
          <w:tcPr>
            <w:tcW w:w="915" w:type="pct"/>
            <w:shd w:val="clear" w:color="auto" w:fill="auto"/>
            <w:noWrap/>
            <w:tcMar>
              <w:top w:w="10" w:type="dxa"/>
              <w:left w:w="10" w:type="dxa"/>
              <w:right w:w="10" w:type="dxa"/>
            </w:tcMar>
            <w:vAlign w:val="center"/>
          </w:tcPr>
          <w:p w14:paraId="757CCC15">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1,878.72</w:t>
            </w:r>
          </w:p>
        </w:tc>
      </w:tr>
      <w:tr w14:paraId="61E9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661" w:type="pct"/>
            <w:shd w:val="clear" w:color="auto" w:fill="auto"/>
            <w:noWrap/>
            <w:tcMar>
              <w:top w:w="10" w:type="dxa"/>
              <w:left w:w="10" w:type="dxa"/>
              <w:right w:w="10" w:type="dxa"/>
            </w:tcMar>
            <w:vAlign w:val="center"/>
          </w:tcPr>
          <w:p w14:paraId="6BEDC25A">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2032年</w:t>
            </w:r>
          </w:p>
        </w:tc>
        <w:tc>
          <w:tcPr>
            <w:tcW w:w="1010" w:type="pct"/>
            <w:shd w:val="clear" w:color="auto" w:fill="auto"/>
            <w:noWrap/>
            <w:tcMar>
              <w:top w:w="10" w:type="dxa"/>
              <w:left w:w="10" w:type="dxa"/>
              <w:right w:w="10" w:type="dxa"/>
            </w:tcMar>
            <w:vAlign w:val="center"/>
          </w:tcPr>
          <w:p w14:paraId="5520E90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212.90</w:t>
            </w:r>
          </w:p>
        </w:tc>
        <w:tc>
          <w:tcPr>
            <w:tcW w:w="1010" w:type="pct"/>
            <w:shd w:val="clear" w:color="auto" w:fill="auto"/>
            <w:noWrap/>
            <w:tcMar>
              <w:top w:w="10" w:type="dxa"/>
              <w:left w:w="10" w:type="dxa"/>
              <w:right w:w="10" w:type="dxa"/>
            </w:tcMar>
            <w:vAlign w:val="center"/>
          </w:tcPr>
          <w:p w14:paraId="06C7842D">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372.46</w:t>
            </w:r>
          </w:p>
        </w:tc>
        <w:tc>
          <w:tcPr>
            <w:tcW w:w="1404" w:type="pct"/>
            <w:shd w:val="clear" w:color="auto" w:fill="auto"/>
            <w:noWrap/>
            <w:tcMar>
              <w:top w:w="10" w:type="dxa"/>
              <w:left w:w="10" w:type="dxa"/>
              <w:right w:w="10" w:type="dxa"/>
            </w:tcMar>
            <w:vAlign w:val="center"/>
          </w:tcPr>
          <w:p w14:paraId="0FC9F49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1,293.36</w:t>
            </w:r>
          </w:p>
        </w:tc>
        <w:tc>
          <w:tcPr>
            <w:tcW w:w="915" w:type="pct"/>
            <w:shd w:val="clear" w:color="auto" w:fill="auto"/>
            <w:noWrap/>
            <w:tcMar>
              <w:top w:w="10" w:type="dxa"/>
              <w:left w:w="10" w:type="dxa"/>
              <w:right w:w="10" w:type="dxa"/>
            </w:tcMar>
            <w:vAlign w:val="center"/>
          </w:tcPr>
          <w:p w14:paraId="3455C17D">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1,878.72</w:t>
            </w:r>
          </w:p>
        </w:tc>
      </w:tr>
      <w:tr w14:paraId="57EF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 w:hRule="atLeast"/>
          <w:jc w:val="center"/>
        </w:trPr>
        <w:tc>
          <w:tcPr>
            <w:tcW w:w="661" w:type="pct"/>
            <w:shd w:val="clear" w:color="auto" w:fill="auto"/>
            <w:noWrap/>
            <w:tcMar>
              <w:top w:w="10" w:type="dxa"/>
              <w:left w:w="10" w:type="dxa"/>
              <w:right w:w="10" w:type="dxa"/>
            </w:tcMar>
            <w:vAlign w:val="center"/>
          </w:tcPr>
          <w:p w14:paraId="631FF06D">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2033年</w:t>
            </w:r>
          </w:p>
        </w:tc>
        <w:tc>
          <w:tcPr>
            <w:tcW w:w="1010" w:type="pct"/>
            <w:shd w:val="clear" w:color="auto" w:fill="auto"/>
            <w:noWrap/>
            <w:tcMar>
              <w:top w:w="10" w:type="dxa"/>
              <w:left w:w="10" w:type="dxa"/>
              <w:right w:w="10" w:type="dxa"/>
            </w:tcMar>
            <w:vAlign w:val="center"/>
          </w:tcPr>
          <w:p w14:paraId="763CF89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212.90</w:t>
            </w:r>
          </w:p>
        </w:tc>
        <w:tc>
          <w:tcPr>
            <w:tcW w:w="1010" w:type="pct"/>
            <w:shd w:val="clear" w:color="auto" w:fill="auto"/>
            <w:noWrap/>
            <w:tcMar>
              <w:top w:w="10" w:type="dxa"/>
              <w:left w:w="10" w:type="dxa"/>
              <w:right w:w="10" w:type="dxa"/>
            </w:tcMar>
            <w:vAlign w:val="center"/>
          </w:tcPr>
          <w:p w14:paraId="36A69BF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372.46</w:t>
            </w:r>
          </w:p>
        </w:tc>
        <w:tc>
          <w:tcPr>
            <w:tcW w:w="1404" w:type="pct"/>
            <w:shd w:val="clear" w:color="auto" w:fill="auto"/>
            <w:noWrap/>
            <w:tcMar>
              <w:top w:w="10" w:type="dxa"/>
              <w:left w:w="10" w:type="dxa"/>
              <w:right w:w="10" w:type="dxa"/>
            </w:tcMar>
            <w:vAlign w:val="center"/>
          </w:tcPr>
          <w:p w14:paraId="20832B07">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1,293.36</w:t>
            </w:r>
          </w:p>
        </w:tc>
        <w:tc>
          <w:tcPr>
            <w:tcW w:w="915" w:type="pct"/>
            <w:shd w:val="clear" w:color="auto" w:fill="auto"/>
            <w:noWrap/>
            <w:tcMar>
              <w:top w:w="10" w:type="dxa"/>
              <w:left w:w="10" w:type="dxa"/>
              <w:right w:w="10" w:type="dxa"/>
            </w:tcMar>
            <w:vAlign w:val="center"/>
          </w:tcPr>
          <w:p w14:paraId="0B034F2B">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1,878.72</w:t>
            </w:r>
          </w:p>
        </w:tc>
      </w:tr>
      <w:tr w14:paraId="422D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661" w:type="pct"/>
            <w:shd w:val="clear" w:color="auto" w:fill="auto"/>
            <w:noWrap/>
            <w:tcMar>
              <w:top w:w="10" w:type="dxa"/>
              <w:left w:w="10" w:type="dxa"/>
              <w:right w:w="10" w:type="dxa"/>
            </w:tcMar>
            <w:vAlign w:val="center"/>
          </w:tcPr>
          <w:p w14:paraId="3A330623">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2034年</w:t>
            </w:r>
          </w:p>
        </w:tc>
        <w:tc>
          <w:tcPr>
            <w:tcW w:w="1010" w:type="pct"/>
            <w:shd w:val="clear" w:color="auto" w:fill="auto"/>
            <w:noWrap/>
            <w:tcMar>
              <w:top w:w="10" w:type="dxa"/>
              <w:left w:w="10" w:type="dxa"/>
              <w:right w:w="10" w:type="dxa"/>
            </w:tcMar>
            <w:vAlign w:val="center"/>
          </w:tcPr>
          <w:p w14:paraId="0ED4C02D">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223.54</w:t>
            </w:r>
          </w:p>
        </w:tc>
        <w:tc>
          <w:tcPr>
            <w:tcW w:w="1010" w:type="pct"/>
            <w:shd w:val="clear" w:color="auto" w:fill="auto"/>
            <w:noWrap/>
            <w:tcMar>
              <w:top w:w="10" w:type="dxa"/>
              <w:left w:w="10" w:type="dxa"/>
              <w:right w:w="10" w:type="dxa"/>
            </w:tcMar>
            <w:vAlign w:val="center"/>
          </w:tcPr>
          <w:p w14:paraId="6610988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391.51</w:t>
            </w:r>
          </w:p>
        </w:tc>
        <w:tc>
          <w:tcPr>
            <w:tcW w:w="1404" w:type="pct"/>
            <w:shd w:val="clear" w:color="auto" w:fill="auto"/>
            <w:noWrap/>
            <w:tcMar>
              <w:top w:w="10" w:type="dxa"/>
              <w:left w:w="10" w:type="dxa"/>
              <w:right w:w="10" w:type="dxa"/>
            </w:tcMar>
            <w:vAlign w:val="center"/>
          </w:tcPr>
          <w:p w14:paraId="408BF4D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1,358.03</w:t>
            </w:r>
          </w:p>
        </w:tc>
        <w:tc>
          <w:tcPr>
            <w:tcW w:w="915" w:type="pct"/>
            <w:shd w:val="clear" w:color="auto" w:fill="auto"/>
            <w:noWrap/>
            <w:tcMar>
              <w:top w:w="10" w:type="dxa"/>
              <w:left w:w="10" w:type="dxa"/>
              <w:right w:w="10" w:type="dxa"/>
            </w:tcMar>
            <w:vAlign w:val="center"/>
          </w:tcPr>
          <w:p w14:paraId="01E57B55">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1,973.08</w:t>
            </w:r>
          </w:p>
        </w:tc>
      </w:tr>
      <w:tr w14:paraId="72936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jc w:val="center"/>
        </w:trPr>
        <w:tc>
          <w:tcPr>
            <w:tcW w:w="661" w:type="pct"/>
            <w:shd w:val="clear" w:color="auto" w:fill="auto"/>
            <w:noWrap/>
            <w:tcMar>
              <w:top w:w="10" w:type="dxa"/>
              <w:left w:w="10" w:type="dxa"/>
              <w:right w:w="10" w:type="dxa"/>
            </w:tcMar>
            <w:vAlign w:val="center"/>
          </w:tcPr>
          <w:p w14:paraId="291B9B56">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2035年</w:t>
            </w:r>
          </w:p>
        </w:tc>
        <w:tc>
          <w:tcPr>
            <w:tcW w:w="1010" w:type="pct"/>
            <w:shd w:val="clear" w:color="auto" w:fill="auto"/>
            <w:noWrap/>
            <w:tcMar>
              <w:top w:w="10" w:type="dxa"/>
              <w:left w:w="10" w:type="dxa"/>
              <w:right w:w="10" w:type="dxa"/>
            </w:tcMar>
            <w:vAlign w:val="center"/>
          </w:tcPr>
          <w:p w14:paraId="1B884B3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223.54</w:t>
            </w:r>
          </w:p>
        </w:tc>
        <w:tc>
          <w:tcPr>
            <w:tcW w:w="1010" w:type="pct"/>
            <w:shd w:val="clear" w:color="auto" w:fill="auto"/>
            <w:noWrap/>
            <w:tcMar>
              <w:top w:w="10" w:type="dxa"/>
              <w:left w:w="10" w:type="dxa"/>
              <w:right w:w="10" w:type="dxa"/>
            </w:tcMar>
            <w:vAlign w:val="center"/>
          </w:tcPr>
          <w:p w14:paraId="460EEA7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391.51</w:t>
            </w:r>
          </w:p>
        </w:tc>
        <w:tc>
          <w:tcPr>
            <w:tcW w:w="1404" w:type="pct"/>
            <w:shd w:val="clear" w:color="auto" w:fill="auto"/>
            <w:noWrap/>
            <w:tcMar>
              <w:top w:w="10" w:type="dxa"/>
              <w:left w:w="10" w:type="dxa"/>
              <w:right w:w="10" w:type="dxa"/>
            </w:tcMar>
            <w:vAlign w:val="center"/>
          </w:tcPr>
          <w:p w14:paraId="7A101C16">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1,358.03</w:t>
            </w:r>
          </w:p>
        </w:tc>
        <w:tc>
          <w:tcPr>
            <w:tcW w:w="915" w:type="pct"/>
            <w:shd w:val="clear" w:color="auto" w:fill="auto"/>
            <w:noWrap/>
            <w:tcMar>
              <w:top w:w="10" w:type="dxa"/>
              <w:left w:w="10" w:type="dxa"/>
              <w:right w:w="10" w:type="dxa"/>
            </w:tcMar>
            <w:vAlign w:val="center"/>
          </w:tcPr>
          <w:p w14:paraId="7198CCE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1,973.08</w:t>
            </w:r>
          </w:p>
        </w:tc>
      </w:tr>
      <w:tr w14:paraId="63C1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8" w:hRule="atLeast"/>
          <w:jc w:val="center"/>
        </w:trPr>
        <w:tc>
          <w:tcPr>
            <w:tcW w:w="661" w:type="pct"/>
            <w:shd w:val="clear" w:color="auto" w:fill="auto"/>
            <w:noWrap/>
            <w:tcMar>
              <w:top w:w="10" w:type="dxa"/>
              <w:left w:w="10" w:type="dxa"/>
              <w:right w:w="10" w:type="dxa"/>
            </w:tcMar>
            <w:vAlign w:val="center"/>
          </w:tcPr>
          <w:p w14:paraId="7DF30DF3">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2036年</w:t>
            </w:r>
          </w:p>
        </w:tc>
        <w:tc>
          <w:tcPr>
            <w:tcW w:w="1010" w:type="pct"/>
            <w:shd w:val="clear" w:color="auto" w:fill="auto"/>
            <w:noWrap/>
            <w:tcMar>
              <w:top w:w="10" w:type="dxa"/>
              <w:left w:w="10" w:type="dxa"/>
              <w:right w:w="10" w:type="dxa"/>
            </w:tcMar>
            <w:vAlign w:val="center"/>
          </w:tcPr>
          <w:p w14:paraId="7EA9667D">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223.54</w:t>
            </w:r>
          </w:p>
        </w:tc>
        <w:tc>
          <w:tcPr>
            <w:tcW w:w="1010" w:type="pct"/>
            <w:shd w:val="clear" w:color="auto" w:fill="auto"/>
            <w:noWrap/>
            <w:tcMar>
              <w:top w:w="10" w:type="dxa"/>
              <w:left w:w="10" w:type="dxa"/>
              <w:right w:w="10" w:type="dxa"/>
            </w:tcMar>
            <w:vAlign w:val="center"/>
          </w:tcPr>
          <w:p w14:paraId="430F951F">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391.51</w:t>
            </w:r>
          </w:p>
        </w:tc>
        <w:tc>
          <w:tcPr>
            <w:tcW w:w="1404" w:type="pct"/>
            <w:shd w:val="clear" w:color="auto" w:fill="auto"/>
            <w:noWrap/>
            <w:tcMar>
              <w:top w:w="10" w:type="dxa"/>
              <w:left w:w="10" w:type="dxa"/>
              <w:right w:w="10" w:type="dxa"/>
            </w:tcMar>
            <w:vAlign w:val="center"/>
          </w:tcPr>
          <w:p w14:paraId="07F56AD6">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1,358.03</w:t>
            </w:r>
          </w:p>
        </w:tc>
        <w:tc>
          <w:tcPr>
            <w:tcW w:w="915" w:type="pct"/>
            <w:shd w:val="clear" w:color="auto" w:fill="auto"/>
            <w:noWrap/>
            <w:tcMar>
              <w:top w:w="10" w:type="dxa"/>
              <w:left w:w="10" w:type="dxa"/>
              <w:right w:w="10" w:type="dxa"/>
            </w:tcMar>
            <w:vAlign w:val="center"/>
          </w:tcPr>
          <w:p w14:paraId="68AB04AC">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1,973.08</w:t>
            </w:r>
          </w:p>
        </w:tc>
      </w:tr>
      <w:tr w14:paraId="23D7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661" w:type="pct"/>
            <w:shd w:val="clear" w:color="auto" w:fill="auto"/>
            <w:noWrap/>
            <w:tcMar>
              <w:top w:w="10" w:type="dxa"/>
              <w:left w:w="10" w:type="dxa"/>
              <w:right w:w="10" w:type="dxa"/>
            </w:tcMar>
            <w:vAlign w:val="center"/>
          </w:tcPr>
          <w:p w14:paraId="0F7427DA">
            <w:pPr>
              <w:widowControl/>
              <w:jc w:val="center"/>
              <w:textAlignment w:val="bottom"/>
              <w:rPr>
                <w:rFonts w:ascii="宋体" w:hAnsi="宋体" w:cs="宋体"/>
                <w:kern w:val="0"/>
                <w:sz w:val="18"/>
                <w:szCs w:val="18"/>
              </w:rPr>
            </w:pPr>
            <w:r>
              <w:rPr>
                <w:rFonts w:hint="eastAsia" w:ascii="宋体" w:hAnsi="宋体" w:cs="宋体"/>
                <w:color w:val="000000"/>
                <w:kern w:val="0"/>
                <w:sz w:val="18"/>
                <w:szCs w:val="18"/>
              </w:rPr>
              <w:t>2037年</w:t>
            </w:r>
          </w:p>
        </w:tc>
        <w:tc>
          <w:tcPr>
            <w:tcW w:w="1010" w:type="pct"/>
            <w:shd w:val="clear" w:color="auto" w:fill="auto"/>
            <w:noWrap/>
            <w:tcMar>
              <w:top w:w="10" w:type="dxa"/>
              <w:left w:w="10" w:type="dxa"/>
              <w:right w:w="10" w:type="dxa"/>
            </w:tcMar>
            <w:vAlign w:val="center"/>
          </w:tcPr>
          <w:p w14:paraId="4481C2E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234.72</w:t>
            </w:r>
          </w:p>
        </w:tc>
        <w:tc>
          <w:tcPr>
            <w:tcW w:w="1010" w:type="pct"/>
            <w:shd w:val="clear" w:color="auto" w:fill="auto"/>
            <w:noWrap/>
            <w:tcMar>
              <w:top w:w="10" w:type="dxa"/>
              <w:left w:w="10" w:type="dxa"/>
              <w:right w:w="10" w:type="dxa"/>
            </w:tcMar>
            <w:vAlign w:val="center"/>
          </w:tcPr>
          <w:p w14:paraId="38FB67EC">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410.56</w:t>
            </w:r>
          </w:p>
        </w:tc>
        <w:tc>
          <w:tcPr>
            <w:tcW w:w="1404" w:type="pct"/>
            <w:shd w:val="clear" w:color="auto" w:fill="auto"/>
            <w:noWrap/>
            <w:tcMar>
              <w:top w:w="10" w:type="dxa"/>
              <w:left w:w="10" w:type="dxa"/>
              <w:right w:w="10" w:type="dxa"/>
            </w:tcMar>
            <w:vAlign w:val="center"/>
          </w:tcPr>
          <w:p w14:paraId="38B3750B">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1,425.94</w:t>
            </w:r>
          </w:p>
        </w:tc>
        <w:tc>
          <w:tcPr>
            <w:tcW w:w="915" w:type="pct"/>
            <w:shd w:val="clear" w:color="auto" w:fill="auto"/>
            <w:noWrap/>
            <w:tcMar>
              <w:top w:w="10" w:type="dxa"/>
              <w:left w:w="10" w:type="dxa"/>
              <w:right w:w="10" w:type="dxa"/>
            </w:tcMar>
            <w:vAlign w:val="center"/>
          </w:tcPr>
          <w:p w14:paraId="31CE5365">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2,071.22</w:t>
            </w:r>
          </w:p>
        </w:tc>
      </w:tr>
      <w:tr w14:paraId="4B76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661" w:type="pct"/>
            <w:shd w:val="clear" w:color="auto" w:fill="auto"/>
            <w:noWrap/>
            <w:tcMar>
              <w:top w:w="10" w:type="dxa"/>
              <w:left w:w="10" w:type="dxa"/>
              <w:right w:w="10" w:type="dxa"/>
            </w:tcMar>
            <w:vAlign w:val="center"/>
          </w:tcPr>
          <w:p w14:paraId="5D76F6A1">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2038年</w:t>
            </w:r>
          </w:p>
        </w:tc>
        <w:tc>
          <w:tcPr>
            <w:tcW w:w="1010" w:type="pct"/>
            <w:shd w:val="clear" w:color="auto" w:fill="auto"/>
            <w:noWrap/>
            <w:tcMar>
              <w:top w:w="10" w:type="dxa"/>
              <w:left w:w="10" w:type="dxa"/>
              <w:right w:w="10" w:type="dxa"/>
            </w:tcMar>
            <w:vAlign w:val="center"/>
          </w:tcPr>
          <w:p w14:paraId="3B70EBB4">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234.72</w:t>
            </w:r>
          </w:p>
        </w:tc>
        <w:tc>
          <w:tcPr>
            <w:tcW w:w="1010" w:type="pct"/>
            <w:shd w:val="clear" w:color="auto" w:fill="auto"/>
            <w:noWrap/>
            <w:tcMar>
              <w:top w:w="10" w:type="dxa"/>
              <w:left w:w="10" w:type="dxa"/>
              <w:right w:w="10" w:type="dxa"/>
            </w:tcMar>
            <w:vAlign w:val="center"/>
          </w:tcPr>
          <w:p w14:paraId="796B5466">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410.56</w:t>
            </w:r>
          </w:p>
        </w:tc>
        <w:tc>
          <w:tcPr>
            <w:tcW w:w="1404" w:type="pct"/>
            <w:shd w:val="clear" w:color="auto" w:fill="auto"/>
            <w:noWrap/>
            <w:tcMar>
              <w:top w:w="10" w:type="dxa"/>
              <w:left w:w="10" w:type="dxa"/>
              <w:right w:w="10" w:type="dxa"/>
            </w:tcMar>
            <w:vAlign w:val="center"/>
          </w:tcPr>
          <w:p w14:paraId="4C506C55">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1,425.94</w:t>
            </w:r>
          </w:p>
        </w:tc>
        <w:tc>
          <w:tcPr>
            <w:tcW w:w="915" w:type="pct"/>
            <w:shd w:val="clear" w:color="auto" w:fill="auto"/>
            <w:noWrap/>
            <w:tcMar>
              <w:top w:w="10" w:type="dxa"/>
              <w:left w:w="10" w:type="dxa"/>
              <w:right w:w="10" w:type="dxa"/>
            </w:tcMar>
            <w:vAlign w:val="center"/>
          </w:tcPr>
          <w:p w14:paraId="157F1A1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2,071.22</w:t>
            </w:r>
          </w:p>
        </w:tc>
      </w:tr>
      <w:tr w14:paraId="7C54E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5" w:hRule="atLeast"/>
          <w:jc w:val="center"/>
        </w:trPr>
        <w:tc>
          <w:tcPr>
            <w:tcW w:w="661" w:type="pct"/>
            <w:shd w:val="clear" w:color="auto" w:fill="auto"/>
            <w:noWrap/>
            <w:tcMar>
              <w:top w:w="10" w:type="dxa"/>
              <w:left w:w="10" w:type="dxa"/>
              <w:right w:w="10" w:type="dxa"/>
            </w:tcMar>
            <w:vAlign w:val="center"/>
          </w:tcPr>
          <w:p w14:paraId="34FE09B8">
            <w:pPr>
              <w:widowControl/>
              <w:jc w:val="center"/>
              <w:textAlignment w:val="bottom"/>
              <w:rPr>
                <w:rFonts w:ascii="宋体" w:hAnsi="宋体" w:cs="宋体"/>
                <w:b/>
                <w:color w:val="000000"/>
                <w:kern w:val="0"/>
                <w:sz w:val="18"/>
                <w:szCs w:val="18"/>
              </w:rPr>
            </w:pPr>
            <w:r>
              <w:rPr>
                <w:rFonts w:hint="eastAsia" w:ascii="宋体" w:hAnsi="宋体" w:cs="宋体"/>
                <w:b/>
                <w:color w:val="000000"/>
                <w:kern w:val="0"/>
                <w:sz w:val="18"/>
                <w:szCs w:val="18"/>
              </w:rPr>
              <w:t>合计</w:t>
            </w:r>
          </w:p>
        </w:tc>
        <w:tc>
          <w:tcPr>
            <w:tcW w:w="1010" w:type="pct"/>
            <w:shd w:val="clear" w:color="auto" w:fill="auto"/>
            <w:noWrap/>
            <w:tcMar>
              <w:top w:w="10" w:type="dxa"/>
              <w:left w:w="10" w:type="dxa"/>
              <w:right w:w="10" w:type="dxa"/>
            </w:tcMar>
            <w:vAlign w:val="center"/>
          </w:tcPr>
          <w:p w14:paraId="27DCA1B6">
            <w:pPr>
              <w:widowControl/>
              <w:jc w:val="center"/>
              <w:textAlignment w:val="bottom"/>
              <w:rPr>
                <w:rFonts w:ascii="宋体" w:hAnsi="宋体" w:cs="宋体"/>
                <w:b/>
                <w:color w:val="000000"/>
                <w:kern w:val="0"/>
                <w:sz w:val="18"/>
                <w:szCs w:val="18"/>
              </w:rPr>
            </w:pPr>
            <w:r>
              <w:rPr>
                <w:rFonts w:ascii="宋体" w:hAnsi="宋体" w:cs="宋体"/>
                <w:b/>
                <w:color w:val="000000"/>
                <w:kern w:val="0"/>
                <w:sz w:val="18"/>
                <w:szCs w:val="18"/>
              </w:rPr>
              <w:t>2,923.44</w:t>
            </w:r>
          </w:p>
        </w:tc>
        <w:tc>
          <w:tcPr>
            <w:tcW w:w="1010" w:type="pct"/>
            <w:shd w:val="clear" w:color="auto" w:fill="auto"/>
            <w:noWrap/>
            <w:tcMar>
              <w:top w:w="10" w:type="dxa"/>
              <w:left w:w="10" w:type="dxa"/>
              <w:right w:w="10" w:type="dxa"/>
            </w:tcMar>
            <w:vAlign w:val="center"/>
          </w:tcPr>
          <w:p w14:paraId="03C02DFB">
            <w:pPr>
              <w:widowControl/>
              <w:jc w:val="center"/>
              <w:textAlignment w:val="bottom"/>
              <w:rPr>
                <w:rFonts w:ascii="宋体" w:hAnsi="宋体" w:cs="宋体"/>
                <w:b/>
                <w:color w:val="000000"/>
                <w:kern w:val="0"/>
                <w:sz w:val="18"/>
                <w:szCs w:val="18"/>
              </w:rPr>
            </w:pPr>
            <w:r>
              <w:rPr>
                <w:rFonts w:ascii="宋体" w:hAnsi="宋体" w:cs="宋体"/>
                <w:b/>
                <w:color w:val="000000"/>
                <w:kern w:val="0"/>
                <w:sz w:val="18"/>
                <w:szCs w:val="18"/>
              </w:rPr>
              <w:t>5,091.24</w:t>
            </w:r>
          </w:p>
        </w:tc>
        <w:tc>
          <w:tcPr>
            <w:tcW w:w="1404" w:type="pct"/>
            <w:shd w:val="clear" w:color="auto" w:fill="auto"/>
            <w:noWrap/>
            <w:tcMar>
              <w:top w:w="10" w:type="dxa"/>
              <w:left w:w="10" w:type="dxa"/>
              <w:right w:w="10" w:type="dxa"/>
            </w:tcMar>
            <w:vAlign w:val="center"/>
          </w:tcPr>
          <w:p w14:paraId="2C1AF9F2">
            <w:pPr>
              <w:widowControl/>
              <w:jc w:val="center"/>
              <w:textAlignment w:val="bottom"/>
              <w:rPr>
                <w:rFonts w:ascii="宋体" w:hAnsi="宋体" w:cs="宋体"/>
                <w:b/>
                <w:color w:val="000000"/>
                <w:kern w:val="0"/>
                <w:sz w:val="18"/>
                <w:szCs w:val="18"/>
              </w:rPr>
            </w:pPr>
            <w:r>
              <w:rPr>
                <w:rFonts w:ascii="宋体" w:hAnsi="宋体" w:cs="宋体"/>
                <w:b/>
                <w:color w:val="000000"/>
                <w:kern w:val="0"/>
                <w:sz w:val="18"/>
                <w:szCs w:val="18"/>
              </w:rPr>
              <w:t>17,140.91</w:t>
            </w:r>
          </w:p>
        </w:tc>
        <w:tc>
          <w:tcPr>
            <w:tcW w:w="915" w:type="pct"/>
            <w:shd w:val="clear" w:color="auto" w:fill="auto"/>
            <w:noWrap/>
            <w:tcMar>
              <w:top w:w="10" w:type="dxa"/>
              <w:left w:w="10" w:type="dxa"/>
              <w:right w:w="10" w:type="dxa"/>
            </w:tcMar>
            <w:vAlign w:val="center"/>
          </w:tcPr>
          <w:p w14:paraId="0F21BC07">
            <w:pPr>
              <w:widowControl/>
              <w:jc w:val="center"/>
              <w:textAlignment w:val="bottom"/>
              <w:rPr>
                <w:rFonts w:ascii="宋体" w:hAnsi="宋体" w:cs="宋体"/>
                <w:b/>
                <w:color w:val="000000"/>
                <w:kern w:val="0"/>
                <w:sz w:val="18"/>
                <w:szCs w:val="18"/>
              </w:rPr>
            </w:pPr>
            <w:r>
              <w:rPr>
                <w:rFonts w:ascii="宋体" w:hAnsi="宋体" w:cs="宋体"/>
                <w:b/>
                <w:color w:val="000000"/>
                <w:kern w:val="0"/>
                <w:sz w:val="18"/>
                <w:szCs w:val="18"/>
              </w:rPr>
              <w:t>25,155.59</w:t>
            </w:r>
          </w:p>
        </w:tc>
      </w:tr>
    </w:tbl>
    <w:p w14:paraId="020B514B">
      <w:pPr>
        <w:pStyle w:val="23"/>
      </w:pPr>
      <w:r>
        <w:rPr>
          <w:rFonts w:hint="eastAsia"/>
        </w:rPr>
        <w:t>注：2</w:t>
      </w:r>
      <w:r>
        <w:t>023</w:t>
      </w:r>
      <w:r>
        <w:rPr>
          <w:rFonts w:hint="eastAsia"/>
        </w:rPr>
        <w:t>年、202</w:t>
      </w:r>
      <w:r>
        <w:t>4</w:t>
      </w:r>
      <w:r>
        <w:rPr>
          <w:rFonts w:hint="eastAsia"/>
        </w:rPr>
        <w:t>年发行债券，最后一期债券到期年份为2</w:t>
      </w:r>
      <w:r>
        <w:t>039年</w:t>
      </w:r>
      <w:r>
        <w:rPr>
          <w:rFonts w:hint="eastAsia"/>
        </w:rPr>
        <w:t>。因此，2</w:t>
      </w:r>
      <w:r>
        <w:t>039年</w:t>
      </w:r>
      <w:r>
        <w:rPr>
          <w:rFonts w:hint="eastAsia"/>
        </w:rPr>
        <w:t>及以后的收入成本暂忽略不计，故上表中仅列示从运营期（202</w:t>
      </w:r>
      <w:r>
        <w:t>5</w:t>
      </w:r>
      <w:r>
        <w:rPr>
          <w:rFonts w:hint="eastAsia"/>
        </w:rPr>
        <w:t>年1月）开始至2</w:t>
      </w:r>
      <w:r>
        <w:t>038年12</w:t>
      </w:r>
      <w:r>
        <w:rPr>
          <w:rFonts w:hint="eastAsia"/>
        </w:rPr>
        <w:t>月的收入数据。</w:t>
      </w:r>
    </w:p>
    <w:p w14:paraId="0090DBFA">
      <w:pPr>
        <w:pStyle w:val="23"/>
        <w:rPr>
          <w:sz w:val="24"/>
          <w:szCs w:val="24"/>
        </w:rPr>
      </w:pPr>
      <w:r>
        <w:rPr>
          <w:rFonts w:hint="eastAsia"/>
          <w:sz w:val="24"/>
          <w:szCs w:val="24"/>
        </w:rPr>
        <w:t>本项目经营收入的估算依据如下：</w:t>
      </w:r>
    </w:p>
    <w:p w14:paraId="13F43509">
      <w:pPr>
        <w:pStyle w:val="23"/>
        <w:rPr>
          <w:b/>
          <w:bCs/>
          <w:sz w:val="24"/>
          <w:szCs w:val="24"/>
          <w:shd w:val="clear" w:color="auto" w:fill="FFFFFF" w:themeFill="background1"/>
        </w:rPr>
      </w:pPr>
      <w:r>
        <w:rPr>
          <w:rFonts w:hint="eastAsia"/>
          <w:b/>
          <w:bCs/>
          <w:sz w:val="24"/>
          <w:szCs w:val="24"/>
          <w:shd w:val="clear" w:color="auto" w:fill="FFFFFF" w:themeFill="background1"/>
        </w:rPr>
        <w:t>1、停车位租赁收入</w:t>
      </w:r>
    </w:p>
    <w:p w14:paraId="5908FC1D">
      <w:pPr>
        <w:pStyle w:val="23"/>
        <w:spacing w:line="360" w:lineRule="auto"/>
        <w:ind w:firstLine="480" w:firstLineChars="200"/>
        <w:rPr>
          <w:sz w:val="24"/>
          <w:szCs w:val="24"/>
          <w:shd w:val="clear" w:color="auto" w:fill="FFFFFF" w:themeFill="background1"/>
        </w:rPr>
      </w:pPr>
      <w:r>
        <w:rPr>
          <w:rFonts w:hint="eastAsia"/>
          <w:sz w:val="24"/>
          <w:szCs w:val="24"/>
          <w:shd w:val="clear" w:color="auto" w:fill="FFFFFF" w:themeFill="background1"/>
        </w:rPr>
        <w:t>本项目四个小区共计车位数894个，考虑项目主要为住宅小区内车位，基本考虑均为包月收入，其出租率最高90%(南昌市内各小区车位非常紧张)，项目运营期前三年出租率分别为75%、85%、90%。本项目包月价格参照南昌市物价局文件《关于印发【南昌市进一步完善机动车停放服务收费政策方案】的通知》(洪价字【2017】66号)文件规定，本项目位于南昌县内，本项目位于南昌县内，参照三类区域价格，即 200元/月/个进行出租，每三年增长5%。</w:t>
      </w:r>
    </w:p>
    <w:p w14:paraId="4D8095C1">
      <w:pPr>
        <w:pStyle w:val="23"/>
        <w:spacing w:line="360" w:lineRule="auto"/>
        <w:rPr>
          <w:b/>
          <w:bCs/>
          <w:sz w:val="24"/>
          <w:szCs w:val="24"/>
          <w:shd w:val="clear" w:color="auto" w:fill="FFFFFF" w:themeFill="background1"/>
        </w:rPr>
      </w:pPr>
      <w:r>
        <w:rPr>
          <w:rFonts w:hint="eastAsia"/>
          <w:b/>
          <w:bCs/>
          <w:sz w:val="24"/>
          <w:szCs w:val="24"/>
          <w:shd w:val="clear" w:color="auto" w:fill="FFFFFF" w:themeFill="background1"/>
        </w:rPr>
        <w:t>2、充电桩收入</w:t>
      </w:r>
    </w:p>
    <w:p w14:paraId="2EB4D32C">
      <w:pPr>
        <w:pStyle w:val="23"/>
        <w:spacing w:line="360" w:lineRule="auto"/>
        <w:ind w:firstLine="480" w:firstLineChars="200"/>
        <w:rPr>
          <w:sz w:val="24"/>
          <w:szCs w:val="24"/>
          <w:shd w:val="clear" w:color="auto" w:fill="FFFFFF" w:themeFill="background1"/>
        </w:rPr>
      </w:pPr>
      <w:r>
        <w:rPr>
          <w:rFonts w:hint="eastAsia"/>
          <w:sz w:val="24"/>
          <w:szCs w:val="24"/>
          <w:shd w:val="clear" w:color="auto" w:fill="FFFFFF" w:themeFill="background1"/>
        </w:rPr>
        <w:t>根据《江西省发展改革委关于电动汽车充换电服务费有关问题的通知》(赣发改商价(2014)1309号)文件精神，经营性集中式充换电设施充电服务费，上限标准暂定为每千瓦时 2.36 元(含电费)，考虑南昌市社会经济发展情况及区域内电动汽车充换电行业现状，本次充电桩电价取1.6元/度。本项目新增223个新能源汽车充电桩，经市场分析及充电桩技术分析，平均单次充电需电40度，电价1.6元/度(包括电费+服务费，电费计算在经营成本中)，本项目充电使用率按运营期第一年 50%、第二年60%，第三年及之后每年65%估算，且考虑社会经济发展及通货膨胀率，充电桩电价按每三年5%的增长率计算。</w:t>
      </w:r>
    </w:p>
    <w:p w14:paraId="1B179CAA">
      <w:pPr>
        <w:pStyle w:val="23"/>
        <w:spacing w:line="360" w:lineRule="auto"/>
        <w:rPr>
          <w:b/>
          <w:bCs/>
          <w:sz w:val="24"/>
          <w:szCs w:val="24"/>
          <w:shd w:val="clear" w:color="auto" w:fill="FFFFFF" w:themeFill="background1"/>
        </w:rPr>
      </w:pPr>
      <w:r>
        <w:rPr>
          <w:rFonts w:hint="eastAsia"/>
          <w:b/>
          <w:bCs/>
          <w:sz w:val="24"/>
          <w:szCs w:val="24"/>
          <w:shd w:val="clear" w:color="auto" w:fill="FFFFFF" w:themeFill="background1"/>
        </w:rPr>
        <w:t>3、广告牌租赁收入</w:t>
      </w:r>
    </w:p>
    <w:p w14:paraId="5051CFC5">
      <w:pPr>
        <w:pStyle w:val="23"/>
        <w:spacing w:line="360" w:lineRule="auto"/>
        <w:ind w:firstLine="480" w:firstLineChars="200"/>
        <w:rPr>
          <w:sz w:val="24"/>
          <w:szCs w:val="24"/>
          <w:shd w:val="clear" w:color="auto" w:fill="FFFFFF" w:themeFill="background1"/>
        </w:rPr>
      </w:pPr>
      <w:r>
        <w:rPr>
          <w:rFonts w:hint="eastAsia"/>
          <w:sz w:val="24"/>
          <w:szCs w:val="24"/>
          <w:shd w:val="clear" w:color="auto" w:fill="FFFFFF" w:themeFill="background1"/>
        </w:rPr>
        <w:t>小区内广告收入主要为广告牌等收入，本项目规划老旧社区广告位约940个，考虑到为老旧小区，租赁单价参考南昌县周边小区计算，粗略，租赁单价按照1300元/个/月计算，考虑到本项目位于南昌市南昌县，单价每三年上涨5%，广告牌出租率参照项目周边其他小区广告租赁及未来区域发展，考虑最大广告牌出租率为80%，项目运营期前4年出租率分别为50%、60%、70%、80%。</w:t>
      </w:r>
    </w:p>
    <w:p w14:paraId="038E69E6">
      <w:pPr>
        <w:pStyle w:val="23"/>
        <w:spacing w:line="360" w:lineRule="auto"/>
        <w:ind w:firstLine="480" w:firstLineChars="200"/>
        <w:rPr>
          <w:sz w:val="24"/>
          <w:szCs w:val="24"/>
        </w:rPr>
      </w:pPr>
      <w:r>
        <w:rPr>
          <w:rFonts w:hint="eastAsia"/>
          <w:sz w:val="24"/>
          <w:szCs w:val="24"/>
        </w:rPr>
        <w:t>南昌县城市管理和综合执法局综合考虑适度增长因素，保守预测了202</w:t>
      </w:r>
      <w:r>
        <w:rPr>
          <w:sz w:val="24"/>
          <w:szCs w:val="24"/>
        </w:rPr>
        <w:t>5-</w:t>
      </w:r>
      <w:r>
        <w:rPr>
          <w:rFonts w:hint="eastAsia"/>
          <w:sz w:val="24"/>
          <w:szCs w:val="24"/>
        </w:rPr>
        <w:t>20</w:t>
      </w:r>
      <w:r>
        <w:rPr>
          <w:sz w:val="24"/>
          <w:szCs w:val="24"/>
        </w:rPr>
        <w:t>38</w:t>
      </w:r>
      <w:r>
        <w:rPr>
          <w:rFonts w:hint="eastAsia"/>
          <w:sz w:val="24"/>
          <w:szCs w:val="24"/>
        </w:rPr>
        <w:t>年的收入、支出，在本项目的实施过程中，可以产生持续稳定的收益，各年现金流入及现金流出均保持了稳定的增长，且保持了现金结余的总体增长。</w:t>
      </w:r>
    </w:p>
    <w:p w14:paraId="13F1C60C">
      <w:pPr>
        <w:pStyle w:val="23"/>
        <w:ind w:firstLine="422"/>
        <w:outlineLvl w:val="1"/>
        <w:rPr>
          <w:b/>
        </w:rPr>
      </w:pPr>
      <w:bookmarkStart w:id="106" w:name="_Toc3189"/>
      <w:r>
        <w:rPr>
          <w:rFonts w:hint="eastAsia"/>
          <w:b/>
        </w:rPr>
        <w:t>（二）资金充足性</w:t>
      </w:r>
      <w:bookmarkEnd w:id="106"/>
    </w:p>
    <w:p w14:paraId="029B4201">
      <w:pPr>
        <w:pStyle w:val="23"/>
        <w:spacing w:line="360" w:lineRule="auto"/>
        <w:ind w:firstLine="480" w:firstLineChars="200"/>
        <w:rPr>
          <w:sz w:val="24"/>
          <w:szCs w:val="24"/>
        </w:rPr>
      </w:pPr>
      <w:r>
        <w:rPr>
          <w:rFonts w:hint="eastAsia"/>
          <w:sz w:val="24"/>
          <w:szCs w:val="24"/>
        </w:rPr>
        <w:t>资金充足性分析情况表从项目开工年份开始编制，至债券存续期最后一年结束。</w:t>
      </w:r>
    </w:p>
    <w:p w14:paraId="18E384FF">
      <w:pPr>
        <w:pStyle w:val="23"/>
        <w:spacing w:line="360" w:lineRule="auto"/>
        <w:ind w:firstLine="480" w:firstLineChars="200"/>
        <w:rPr>
          <w:sz w:val="24"/>
          <w:szCs w:val="24"/>
        </w:rPr>
      </w:pPr>
      <w:r>
        <w:rPr>
          <w:rFonts w:hint="eastAsia"/>
          <w:sz w:val="24"/>
          <w:szCs w:val="24"/>
        </w:rPr>
        <w:t>202</w:t>
      </w:r>
      <w:r>
        <w:rPr>
          <w:sz w:val="24"/>
          <w:szCs w:val="24"/>
        </w:rPr>
        <w:t>4</w:t>
      </w:r>
      <w:r>
        <w:rPr>
          <w:rFonts w:hint="eastAsia"/>
          <w:sz w:val="24"/>
          <w:szCs w:val="24"/>
        </w:rPr>
        <w:t>年江西省南昌县老旧小区综合改造十二期工程专项债券项目资金充足性分析情况具体如下表3</w:t>
      </w:r>
      <w:r>
        <w:rPr>
          <w:sz w:val="24"/>
          <w:szCs w:val="24"/>
        </w:rPr>
        <w:t>-4</w:t>
      </w:r>
      <w:r>
        <w:rPr>
          <w:rFonts w:hint="eastAsia"/>
          <w:sz w:val="24"/>
          <w:szCs w:val="24"/>
        </w:rPr>
        <w:t>及图3-</w:t>
      </w:r>
      <w:r>
        <w:rPr>
          <w:sz w:val="24"/>
          <w:szCs w:val="24"/>
        </w:rPr>
        <w:t>1</w:t>
      </w:r>
      <w:r>
        <w:rPr>
          <w:rFonts w:hint="eastAsia"/>
          <w:sz w:val="24"/>
          <w:szCs w:val="24"/>
        </w:rPr>
        <w:t>所示：</w:t>
      </w:r>
    </w:p>
    <w:p w14:paraId="5846DE5A">
      <w:pPr>
        <w:pStyle w:val="23"/>
        <w:sectPr>
          <w:pgSz w:w="11906" w:h="16838"/>
          <w:pgMar w:top="1531" w:right="1701" w:bottom="1418" w:left="1701" w:header="851" w:footer="992" w:gutter="0"/>
          <w:cols w:space="425" w:num="1"/>
          <w:docGrid w:type="linesAndChars" w:linePitch="312" w:charSpace="0"/>
        </w:sectPr>
      </w:pPr>
    </w:p>
    <w:p w14:paraId="063ADBEF">
      <w:pPr>
        <w:pStyle w:val="23"/>
        <w:ind w:firstLine="422"/>
        <w:jc w:val="center"/>
        <w:rPr>
          <w:b/>
        </w:rPr>
      </w:pPr>
      <w:r>
        <w:rPr>
          <w:rFonts w:hint="eastAsia"/>
          <w:b/>
        </w:rPr>
        <w:t>表3-</w:t>
      </w:r>
      <w:r>
        <w:rPr>
          <w:b/>
        </w:rPr>
        <w:t xml:space="preserve">4  </w:t>
      </w:r>
      <w:r>
        <w:rPr>
          <w:rFonts w:hint="eastAsia"/>
          <w:b/>
        </w:rPr>
        <w:t>202</w:t>
      </w:r>
      <w:r>
        <w:rPr>
          <w:b/>
        </w:rPr>
        <w:t>4</w:t>
      </w:r>
      <w:r>
        <w:rPr>
          <w:rFonts w:hint="eastAsia"/>
          <w:b/>
        </w:rPr>
        <w:t>年江西省南昌县老旧小区综合改造十二期工程实施方案资金充足性分析情况表</w:t>
      </w:r>
    </w:p>
    <w:p w14:paraId="1BC20142">
      <w:pPr>
        <w:pStyle w:val="23"/>
        <w:jc w:val="right"/>
      </w:pPr>
      <w:r>
        <w:rPr>
          <w:rFonts w:hint="eastAsia"/>
        </w:rPr>
        <w:t>单位：万元</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5"/>
        <w:gridCol w:w="1850"/>
        <w:gridCol w:w="1144"/>
        <w:gridCol w:w="1046"/>
        <w:gridCol w:w="1047"/>
        <w:gridCol w:w="1047"/>
        <w:gridCol w:w="1047"/>
        <w:gridCol w:w="1047"/>
        <w:gridCol w:w="1047"/>
        <w:gridCol w:w="1047"/>
        <w:gridCol w:w="1047"/>
        <w:gridCol w:w="1047"/>
        <w:gridCol w:w="1044"/>
      </w:tblGrid>
      <w:tr w14:paraId="2B0ED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trPr>
        <w:tc>
          <w:tcPr>
            <w:tcW w:w="229" w:type="pct"/>
            <w:shd w:val="clear" w:color="auto" w:fill="auto"/>
            <w:vAlign w:val="center"/>
          </w:tcPr>
          <w:p w14:paraId="5D0ADDC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656" w:type="pct"/>
            <w:shd w:val="clear" w:color="auto" w:fill="auto"/>
            <w:vAlign w:val="center"/>
          </w:tcPr>
          <w:p w14:paraId="2C067E1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406" w:type="pct"/>
            <w:shd w:val="clear" w:color="auto" w:fill="auto"/>
            <w:vAlign w:val="center"/>
          </w:tcPr>
          <w:p w14:paraId="4CE51A5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371" w:type="pct"/>
            <w:shd w:val="clear" w:color="auto" w:fill="auto"/>
            <w:vAlign w:val="center"/>
          </w:tcPr>
          <w:p w14:paraId="521A47D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2023年</w:t>
            </w:r>
          </w:p>
        </w:tc>
        <w:tc>
          <w:tcPr>
            <w:tcW w:w="371" w:type="pct"/>
            <w:shd w:val="clear" w:color="auto" w:fill="auto"/>
            <w:vAlign w:val="center"/>
          </w:tcPr>
          <w:p w14:paraId="4965A69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2024年</w:t>
            </w:r>
          </w:p>
        </w:tc>
        <w:tc>
          <w:tcPr>
            <w:tcW w:w="371" w:type="pct"/>
            <w:shd w:val="clear" w:color="auto" w:fill="auto"/>
            <w:vAlign w:val="center"/>
          </w:tcPr>
          <w:p w14:paraId="3BD074D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2025年</w:t>
            </w:r>
          </w:p>
        </w:tc>
        <w:tc>
          <w:tcPr>
            <w:tcW w:w="371" w:type="pct"/>
            <w:shd w:val="clear" w:color="auto" w:fill="auto"/>
            <w:vAlign w:val="center"/>
          </w:tcPr>
          <w:p w14:paraId="733592A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2026年</w:t>
            </w:r>
          </w:p>
        </w:tc>
        <w:tc>
          <w:tcPr>
            <w:tcW w:w="371" w:type="pct"/>
            <w:shd w:val="clear" w:color="auto" w:fill="auto"/>
            <w:vAlign w:val="center"/>
          </w:tcPr>
          <w:p w14:paraId="7B517A0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2027年</w:t>
            </w:r>
          </w:p>
        </w:tc>
        <w:tc>
          <w:tcPr>
            <w:tcW w:w="371" w:type="pct"/>
            <w:shd w:val="clear" w:color="auto" w:fill="auto"/>
            <w:vAlign w:val="center"/>
          </w:tcPr>
          <w:p w14:paraId="313848F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2028年</w:t>
            </w:r>
          </w:p>
        </w:tc>
        <w:tc>
          <w:tcPr>
            <w:tcW w:w="371" w:type="pct"/>
            <w:shd w:val="clear" w:color="auto" w:fill="auto"/>
            <w:vAlign w:val="center"/>
          </w:tcPr>
          <w:p w14:paraId="25361A4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2029年</w:t>
            </w:r>
          </w:p>
        </w:tc>
        <w:tc>
          <w:tcPr>
            <w:tcW w:w="371" w:type="pct"/>
            <w:shd w:val="clear" w:color="auto" w:fill="auto"/>
            <w:vAlign w:val="center"/>
          </w:tcPr>
          <w:p w14:paraId="7805645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2030年</w:t>
            </w:r>
          </w:p>
        </w:tc>
        <w:tc>
          <w:tcPr>
            <w:tcW w:w="371" w:type="pct"/>
            <w:vAlign w:val="center"/>
          </w:tcPr>
          <w:p w14:paraId="436B8A9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2031年</w:t>
            </w:r>
          </w:p>
        </w:tc>
        <w:tc>
          <w:tcPr>
            <w:tcW w:w="371" w:type="pct"/>
            <w:vAlign w:val="center"/>
          </w:tcPr>
          <w:p w14:paraId="5F46A05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2032年</w:t>
            </w:r>
          </w:p>
        </w:tc>
      </w:tr>
      <w:tr w14:paraId="555C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5C42B06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656" w:type="pct"/>
            <w:shd w:val="clear" w:color="auto" w:fill="auto"/>
            <w:vAlign w:val="center"/>
          </w:tcPr>
          <w:p w14:paraId="2FA415A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406" w:type="pct"/>
            <w:shd w:val="clear" w:color="auto" w:fill="auto"/>
            <w:vAlign w:val="center"/>
          </w:tcPr>
          <w:p w14:paraId="20553E0F">
            <w:pPr>
              <w:widowControl/>
              <w:jc w:val="center"/>
              <w:rPr>
                <w:rFonts w:ascii="宋体" w:hAnsi="宋体" w:cs="宋体"/>
                <w:color w:val="000000"/>
                <w:kern w:val="0"/>
                <w:sz w:val="18"/>
                <w:szCs w:val="18"/>
              </w:rPr>
            </w:pPr>
            <w:r>
              <w:rPr>
                <w:rFonts w:ascii="宋体" w:hAnsi="宋体" w:cs="宋体"/>
                <w:color w:val="000000"/>
                <w:kern w:val="0"/>
                <w:sz w:val="18"/>
                <w:szCs w:val="18"/>
              </w:rPr>
              <w:t>35,775.59</w:t>
            </w:r>
          </w:p>
        </w:tc>
        <w:tc>
          <w:tcPr>
            <w:tcW w:w="371" w:type="pct"/>
            <w:shd w:val="clear" w:color="auto" w:fill="auto"/>
            <w:vAlign w:val="center"/>
          </w:tcPr>
          <w:p w14:paraId="566600C5">
            <w:pPr>
              <w:widowControl/>
              <w:jc w:val="center"/>
              <w:rPr>
                <w:rFonts w:ascii="宋体" w:hAnsi="宋体" w:cs="宋体"/>
                <w:color w:val="000000"/>
                <w:kern w:val="0"/>
                <w:sz w:val="18"/>
                <w:szCs w:val="18"/>
              </w:rPr>
            </w:pPr>
            <w:r>
              <w:rPr>
                <w:rFonts w:ascii="宋体" w:hAnsi="宋体" w:cs="宋体"/>
                <w:color w:val="000000"/>
                <w:kern w:val="0"/>
                <w:sz w:val="18"/>
                <w:szCs w:val="18"/>
              </w:rPr>
              <w:t>6,082.25</w:t>
            </w:r>
          </w:p>
        </w:tc>
        <w:tc>
          <w:tcPr>
            <w:tcW w:w="371" w:type="pct"/>
            <w:shd w:val="clear" w:color="auto" w:fill="auto"/>
            <w:vAlign w:val="center"/>
          </w:tcPr>
          <w:p w14:paraId="65AA4134">
            <w:pPr>
              <w:widowControl/>
              <w:jc w:val="center"/>
              <w:rPr>
                <w:rFonts w:ascii="宋体" w:hAnsi="宋体" w:cs="宋体"/>
                <w:color w:val="000000"/>
                <w:kern w:val="0"/>
                <w:sz w:val="18"/>
                <w:szCs w:val="18"/>
              </w:rPr>
            </w:pPr>
            <w:r>
              <w:rPr>
                <w:rFonts w:ascii="宋体" w:hAnsi="宋体" w:cs="宋体"/>
                <w:color w:val="000000"/>
                <w:kern w:val="0"/>
                <w:sz w:val="18"/>
                <w:szCs w:val="18"/>
              </w:rPr>
              <w:t>4,537.75</w:t>
            </w:r>
          </w:p>
        </w:tc>
        <w:tc>
          <w:tcPr>
            <w:tcW w:w="371" w:type="pct"/>
            <w:shd w:val="clear" w:color="auto" w:fill="auto"/>
            <w:vAlign w:val="center"/>
          </w:tcPr>
          <w:p w14:paraId="0165CCB6">
            <w:pPr>
              <w:widowControl/>
              <w:jc w:val="center"/>
              <w:rPr>
                <w:rFonts w:ascii="宋体" w:hAnsi="宋体" w:cs="宋体"/>
                <w:color w:val="000000"/>
                <w:kern w:val="0"/>
                <w:sz w:val="18"/>
                <w:szCs w:val="18"/>
              </w:rPr>
            </w:pPr>
            <w:r>
              <w:rPr>
                <w:rFonts w:ascii="宋体" w:hAnsi="宋体" w:cs="宋体"/>
                <w:color w:val="000000"/>
                <w:kern w:val="0"/>
                <w:sz w:val="18"/>
                <w:szCs w:val="18"/>
              </w:rPr>
              <w:t>1,154.58</w:t>
            </w:r>
          </w:p>
        </w:tc>
        <w:tc>
          <w:tcPr>
            <w:tcW w:w="371" w:type="pct"/>
            <w:shd w:val="clear" w:color="auto" w:fill="auto"/>
            <w:vAlign w:val="center"/>
          </w:tcPr>
          <w:p w14:paraId="014E5CE6">
            <w:pPr>
              <w:widowControl/>
              <w:jc w:val="center"/>
              <w:rPr>
                <w:rFonts w:ascii="宋体" w:hAnsi="宋体" w:cs="宋体"/>
                <w:color w:val="000000"/>
                <w:kern w:val="0"/>
                <w:sz w:val="18"/>
                <w:szCs w:val="18"/>
              </w:rPr>
            </w:pPr>
            <w:r>
              <w:rPr>
                <w:rFonts w:ascii="宋体" w:hAnsi="宋体" w:cs="宋体"/>
                <w:color w:val="000000"/>
                <w:kern w:val="0"/>
                <w:sz w:val="18"/>
                <w:szCs w:val="18"/>
              </w:rPr>
              <w:t>1,374.78</w:t>
            </w:r>
          </w:p>
        </w:tc>
        <w:tc>
          <w:tcPr>
            <w:tcW w:w="371" w:type="pct"/>
            <w:shd w:val="clear" w:color="auto" w:fill="auto"/>
            <w:vAlign w:val="center"/>
          </w:tcPr>
          <w:p w14:paraId="196F0FE5">
            <w:pPr>
              <w:widowControl/>
              <w:jc w:val="center"/>
              <w:rPr>
                <w:rFonts w:ascii="宋体" w:hAnsi="宋体" w:cs="宋体"/>
                <w:color w:val="000000"/>
                <w:kern w:val="0"/>
                <w:sz w:val="18"/>
                <w:szCs w:val="18"/>
              </w:rPr>
            </w:pPr>
            <w:r>
              <w:rPr>
                <w:rFonts w:ascii="宋体" w:hAnsi="宋体" w:cs="宋体"/>
                <w:color w:val="000000"/>
                <w:kern w:val="0"/>
                <w:sz w:val="18"/>
                <w:szCs w:val="18"/>
              </w:rPr>
              <w:t>1,558.18</w:t>
            </w:r>
          </w:p>
        </w:tc>
        <w:tc>
          <w:tcPr>
            <w:tcW w:w="371" w:type="pct"/>
            <w:shd w:val="clear" w:color="auto" w:fill="auto"/>
            <w:vAlign w:val="center"/>
          </w:tcPr>
          <w:p w14:paraId="3137ABB0">
            <w:pPr>
              <w:widowControl/>
              <w:jc w:val="center"/>
              <w:rPr>
                <w:rFonts w:ascii="宋体" w:hAnsi="宋体" w:cs="宋体"/>
                <w:color w:val="000000"/>
                <w:kern w:val="0"/>
                <w:sz w:val="18"/>
                <w:szCs w:val="18"/>
              </w:rPr>
            </w:pPr>
            <w:r>
              <w:rPr>
                <w:rFonts w:ascii="宋体" w:hAnsi="宋体" w:cs="宋体"/>
                <w:color w:val="000000"/>
                <w:kern w:val="0"/>
                <w:sz w:val="18"/>
                <w:szCs w:val="18"/>
              </w:rPr>
              <w:t>1,790.07</w:t>
            </w:r>
          </w:p>
        </w:tc>
        <w:tc>
          <w:tcPr>
            <w:tcW w:w="371" w:type="pct"/>
            <w:shd w:val="clear" w:color="auto" w:fill="auto"/>
            <w:vAlign w:val="center"/>
          </w:tcPr>
          <w:p w14:paraId="3D93B949">
            <w:pPr>
              <w:widowControl/>
              <w:jc w:val="center"/>
              <w:rPr>
                <w:rFonts w:ascii="宋体" w:hAnsi="宋体" w:cs="宋体"/>
                <w:color w:val="000000"/>
                <w:kern w:val="0"/>
                <w:sz w:val="18"/>
                <w:szCs w:val="18"/>
              </w:rPr>
            </w:pPr>
            <w:r>
              <w:rPr>
                <w:rFonts w:ascii="宋体" w:hAnsi="宋体" w:cs="宋体"/>
                <w:color w:val="000000"/>
                <w:kern w:val="0"/>
                <w:sz w:val="18"/>
                <w:szCs w:val="18"/>
              </w:rPr>
              <w:t>1,790.07</w:t>
            </w:r>
          </w:p>
        </w:tc>
        <w:tc>
          <w:tcPr>
            <w:tcW w:w="371" w:type="pct"/>
            <w:shd w:val="clear" w:color="auto" w:fill="auto"/>
            <w:vAlign w:val="center"/>
          </w:tcPr>
          <w:p w14:paraId="10CF9593">
            <w:pPr>
              <w:widowControl/>
              <w:jc w:val="center"/>
              <w:rPr>
                <w:rFonts w:ascii="宋体" w:hAnsi="宋体" w:cs="宋体"/>
                <w:color w:val="000000"/>
                <w:kern w:val="0"/>
                <w:sz w:val="18"/>
                <w:szCs w:val="18"/>
              </w:rPr>
            </w:pPr>
            <w:r>
              <w:rPr>
                <w:rFonts w:ascii="宋体" w:hAnsi="宋体" w:cs="宋体"/>
                <w:color w:val="000000"/>
                <w:kern w:val="0"/>
                <w:sz w:val="18"/>
                <w:szCs w:val="18"/>
              </w:rPr>
              <w:t>1,790.07</w:t>
            </w:r>
          </w:p>
        </w:tc>
        <w:tc>
          <w:tcPr>
            <w:tcW w:w="371" w:type="pct"/>
            <w:vAlign w:val="center"/>
          </w:tcPr>
          <w:p w14:paraId="38615F6E">
            <w:pPr>
              <w:widowControl/>
              <w:jc w:val="center"/>
              <w:rPr>
                <w:rFonts w:ascii="宋体" w:hAnsi="宋体" w:cs="宋体"/>
                <w:color w:val="000000"/>
                <w:kern w:val="0"/>
                <w:sz w:val="18"/>
                <w:szCs w:val="18"/>
              </w:rPr>
            </w:pPr>
            <w:r>
              <w:rPr>
                <w:rFonts w:ascii="宋体" w:hAnsi="宋体" w:cs="宋体"/>
                <w:color w:val="000000"/>
                <w:kern w:val="0"/>
                <w:sz w:val="18"/>
                <w:szCs w:val="18"/>
              </w:rPr>
              <w:t>1,878.72</w:t>
            </w:r>
          </w:p>
        </w:tc>
        <w:tc>
          <w:tcPr>
            <w:tcW w:w="371" w:type="pct"/>
            <w:vAlign w:val="center"/>
          </w:tcPr>
          <w:p w14:paraId="19CF3A07">
            <w:pPr>
              <w:widowControl/>
              <w:jc w:val="center"/>
              <w:rPr>
                <w:rFonts w:ascii="宋体" w:hAnsi="宋体" w:cs="宋体"/>
                <w:color w:val="000000"/>
                <w:kern w:val="0"/>
                <w:sz w:val="18"/>
                <w:szCs w:val="18"/>
              </w:rPr>
            </w:pPr>
            <w:r>
              <w:rPr>
                <w:rFonts w:ascii="宋体" w:hAnsi="宋体" w:cs="宋体"/>
                <w:color w:val="000000"/>
                <w:kern w:val="0"/>
                <w:sz w:val="18"/>
                <w:szCs w:val="18"/>
              </w:rPr>
              <w:t>1,878.72</w:t>
            </w:r>
          </w:p>
        </w:tc>
      </w:tr>
      <w:tr w14:paraId="0100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29" w:type="pct"/>
            <w:shd w:val="clear" w:color="auto" w:fill="auto"/>
            <w:vAlign w:val="center"/>
          </w:tcPr>
          <w:p w14:paraId="1155A565">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56" w:type="pct"/>
            <w:shd w:val="clear" w:color="auto" w:fill="auto"/>
            <w:vAlign w:val="center"/>
          </w:tcPr>
          <w:p w14:paraId="5B2D332C">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406" w:type="pct"/>
            <w:shd w:val="clear" w:color="auto" w:fill="auto"/>
            <w:vAlign w:val="center"/>
          </w:tcPr>
          <w:p w14:paraId="08D61F8E">
            <w:pPr>
              <w:widowControl/>
              <w:jc w:val="center"/>
              <w:rPr>
                <w:rFonts w:ascii="宋体" w:hAnsi="宋体" w:cs="宋体"/>
                <w:color w:val="000000"/>
                <w:kern w:val="0"/>
                <w:sz w:val="18"/>
                <w:szCs w:val="18"/>
              </w:rPr>
            </w:pPr>
            <w:r>
              <w:rPr>
                <w:rFonts w:ascii="宋体" w:hAnsi="宋体" w:cs="宋体"/>
                <w:color w:val="000000"/>
                <w:kern w:val="0"/>
                <w:sz w:val="18"/>
                <w:szCs w:val="18"/>
              </w:rPr>
              <w:t>25,155.59</w:t>
            </w:r>
          </w:p>
        </w:tc>
        <w:tc>
          <w:tcPr>
            <w:tcW w:w="371" w:type="pct"/>
            <w:shd w:val="clear" w:color="auto" w:fill="auto"/>
            <w:vAlign w:val="center"/>
          </w:tcPr>
          <w:p w14:paraId="11468017">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34DCC156">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1A50748F">
            <w:pPr>
              <w:widowControl/>
              <w:jc w:val="center"/>
              <w:rPr>
                <w:rFonts w:ascii="宋体" w:hAnsi="宋体" w:cs="宋体"/>
                <w:color w:val="000000"/>
                <w:kern w:val="0"/>
                <w:sz w:val="18"/>
                <w:szCs w:val="18"/>
              </w:rPr>
            </w:pPr>
            <w:r>
              <w:rPr>
                <w:rFonts w:ascii="宋体" w:hAnsi="宋体" w:cs="宋体"/>
                <w:color w:val="000000"/>
                <w:kern w:val="0"/>
                <w:sz w:val="18"/>
                <w:szCs w:val="18"/>
              </w:rPr>
              <w:t>1,154.58</w:t>
            </w:r>
          </w:p>
        </w:tc>
        <w:tc>
          <w:tcPr>
            <w:tcW w:w="371" w:type="pct"/>
            <w:shd w:val="clear" w:color="auto" w:fill="auto"/>
            <w:vAlign w:val="center"/>
          </w:tcPr>
          <w:p w14:paraId="5364CFCA">
            <w:pPr>
              <w:widowControl/>
              <w:jc w:val="center"/>
              <w:rPr>
                <w:rFonts w:ascii="宋体" w:hAnsi="宋体" w:cs="宋体"/>
                <w:color w:val="000000"/>
                <w:kern w:val="0"/>
                <w:sz w:val="18"/>
                <w:szCs w:val="18"/>
              </w:rPr>
            </w:pPr>
            <w:r>
              <w:rPr>
                <w:rFonts w:ascii="宋体" w:hAnsi="宋体" w:cs="宋体"/>
                <w:color w:val="000000"/>
                <w:kern w:val="0"/>
                <w:sz w:val="18"/>
                <w:szCs w:val="18"/>
              </w:rPr>
              <w:t>1,374.78</w:t>
            </w:r>
          </w:p>
        </w:tc>
        <w:tc>
          <w:tcPr>
            <w:tcW w:w="371" w:type="pct"/>
            <w:shd w:val="clear" w:color="auto" w:fill="auto"/>
            <w:vAlign w:val="center"/>
          </w:tcPr>
          <w:p w14:paraId="647F44F5">
            <w:pPr>
              <w:widowControl/>
              <w:jc w:val="center"/>
              <w:rPr>
                <w:rFonts w:ascii="宋体" w:hAnsi="宋体" w:cs="宋体"/>
                <w:color w:val="000000"/>
                <w:kern w:val="0"/>
                <w:sz w:val="18"/>
                <w:szCs w:val="18"/>
              </w:rPr>
            </w:pPr>
            <w:r>
              <w:rPr>
                <w:rFonts w:ascii="宋体" w:hAnsi="宋体" w:cs="宋体"/>
                <w:color w:val="000000"/>
                <w:kern w:val="0"/>
                <w:sz w:val="18"/>
                <w:szCs w:val="18"/>
              </w:rPr>
              <w:t>1,558.18</w:t>
            </w:r>
          </w:p>
        </w:tc>
        <w:tc>
          <w:tcPr>
            <w:tcW w:w="371" w:type="pct"/>
            <w:shd w:val="clear" w:color="auto" w:fill="auto"/>
            <w:vAlign w:val="center"/>
          </w:tcPr>
          <w:p w14:paraId="42FB7D71">
            <w:pPr>
              <w:widowControl/>
              <w:jc w:val="center"/>
              <w:rPr>
                <w:rFonts w:ascii="宋体" w:hAnsi="宋体" w:cs="宋体"/>
                <w:color w:val="000000"/>
                <w:kern w:val="0"/>
                <w:sz w:val="18"/>
                <w:szCs w:val="18"/>
              </w:rPr>
            </w:pPr>
            <w:r>
              <w:rPr>
                <w:rFonts w:ascii="宋体" w:hAnsi="宋体" w:cs="宋体"/>
                <w:color w:val="000000"/>
                <w:kern w:val="0"/>
                <w:sz w:val="18"/>
                <w:szCs w:val="18"/>
              </w:rPr>
              <w:t>1,790.07</w:t>
            </w:r>
          </w:p>
        </w:tc>
        <w:tc>
          <w:tcPr>
            <w:tcW w:w="371" w:type="pct"/>
            <w:shd w:val="clear" w:color="auto" w:fill="auto"/>
            <w:vAlign w:val="center"/>
          </w:tcPr>
          <w:p w14:paraId="1FE6AF20">
            <w:pPr>
              <w:widowControl/>
              <w:jc w:val="center"/>
              <w:rPr>
                <w:rFonts w:ascii="宋体" w:hAnsi="宋体" w:cs="宋体"/>
                <w:color w:val="000000"/>
                <w:kern w:val="0"/>
                <w:sz w:val="18"/>
                <w:szCs w:val="18"/>
              </w:rPr>
            </w:pPr>
            <w:r>
              <w:rPr>
                <w:rFonts w:ascii="宋体" w:hAnsi="宋体" w:cs="宋体"/>
                <w:color w:val="000000"/>
                <w:kern w:val="0"/>
                <w:sz w:val="18"/>
                <w:szCs w:val="18"/>
              </w:rPr>
              <w:t>1,790.07</w:t>
            </w:r>
          </w:p>
        </w:tc>
        <w:tc>
          <w:tcPr>
            <w:tcW w:w="371" w:type="pct"/>
            <w:shd w:val="clear" w:color="auto" w:fill="auto"/>
            <w:vAlign w:val="center"/>
          </w:tcPr>
          <w:p w14:paraId="05334AC5">
            <w:pPr>
              <w:widowControl/>
              <w:jc w:val="center"/>
              <w:rPr>
                <w:rFonts w:ascii="宋体" w:hAnsi="宋体" w:cs="宋体"/>
                <w:color w:val="000000"/>
                <w:kern w:val="0"/>
                <w:sz w:val="18"/>
                <w:szCs w:val="18"/>
              </w:rPr>
            </w:pPr>
            <w:r>
              <w:rPr>
                <w:rFonts w:ascii="宋体" w:hAnsi="宋体" w:cs="宋体"/>
                <w:color w:val="000000"/>
                <w:kern w:val="0"/>
                <w:sz w:val="18"/>
                <w:szCs w:val="18"/>
              </w:rPr>
              <w:t>1,790.07</w:t>
            </w:r>
          </w:p>
        </w:tc>
        <w:tc>
          <w:tcPr>
            <w:tcW w:w="371" w:type="pct"/>
            <w:vAlign w:val="center"/>
          </w:tcPr>
          <w:p w14:paraId="17014641">
            <w:pPr>
              <w:widowControl/>
              <w:jc w:val="center"/>
              <w:rPr>
                <w:rFonts w:ascii="宋体" w:hAnsi="宋体" w:cs="宋体"/>
                <w:color w:val="000000"/>
                <w:kern w:val="0"/>
                <w:sz w:val="18"/>
                <w:szCs w:val="18"/>
              </w:rPr>
            </w:pPr>
            <w:r>
              <w:rPr>
                <w:rFonts w:ascii="宋体" w:hAnsi="宋体" w:cs="宋体"/>
                <w:color w:val="000000"/>
                <w:kern w:val="0"/>
                <w:sz w:val="18"/>
                <w:szCs w:val="18"/>
              </w:rPr>
              <w:t>1,878.72</w:t>
            </w:r>
          </w:p>
        </w:tc>
        <w:tc>
          <w:tcPr>
            <w:tcW w:w="371" w:type="pct"/>
            <w:vAlign w:val="center"/>
          </w:tcPr>
          <w:p w14:paraId="012ED659">
            <w:pPr>
              <w:widowControl/>
              <w:jc w:val="center"/>
              <w:rPr>
                <w:rFonts w:ascii="宋体" w:hAnsi="宋体" w:cs="宋体"/>
                <w:color w:val="000000"/>
                <w:kern w:val="0"/>
                <w:sz w:val="18"/>
                <w:szCs w:val="18"/>
              </w:rPr>
            </w:pPr>
            <w:r>
              <w:rPr>
                <w:rFonts w:ascii="宋体" w:hAnsi="宋体" w:cs="宋体"/>
                <w:color w:val="000000"/>
                <w:kern w:val="0"/>
                <w:sz w:val="18"/>
                <w:szCs w:val="18"/>
              </w:rPr>
              <w:t>1,878.72</w:t>
            </w:r>
          </w:p>
        </w:tc>
      </w:tr>
      <w:tr w14:paraId="14BD4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0CDC8143">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56" w:type="pct"/>
            <w:shd w:val="clear" w:color="auto" w:fill="auto"/>
            <w:vAlign w:val="center"/>
          </w:tcPr>
          <w:p w14:paraId="1B4A9EDA">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406" w:type="pct"/>
            <w:shd w:val="clear" w:color="auto" w:fill="auto"/>
            <w:vAlign w:val="center"/>
          </w:tcPr>
          <w:p w14:paraId="1BF45595">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2C5459D2">
            <w:pPr>
              <w:widowControl/>
              <w:jc w:val="center"/>
              <w:rPr>
                <w:rFonts w:ascii="宋体" w:hAnsi="宋体" w:cs="宋体"/>
                <w:color w:val="000000"/>
                <w:kern w:val="0"/>
                <w:sz w:val="18"/>
                <w:szCs w:val="18"/>
              </w:rPr>
            </w:pPr>
          </w:p>
        </w:tc>
        <w:tc>
          <w:tcPr>
            <w:tcW w:w="371" w:type="pct"/>
            <w:shd w:val="clear" w:color="auto" w:fill="auto"/>
            <w:vAlign w:val="center"/>
          </w:tcPr>
          <w:p w14:paraId="7119BC91">
            <w:pPr>
              <w:widowControl/>
              <w:jc w:val="center"/>
              <w:rPr>
                <w:rFonts w:ascii="宋体" w:hAnsi="宋体" w:cs="宋体"/>
                <w:color w:val="000000"/>
                <w:kern w:val="0"/>
                <w:sz w:val="18"/>
                <w:szCs w:val="18"/>
              </w:rPr>
            </w:pPr>
          </w:p>
        </w:tc>
        <w:tc>
          <w:tcPr>
            <w:tcW w:w="371" w:type="pct"/>
            <w:shd w:val="clear" w:color="auto" w:fill="auto"/>
            <w:vAlign w:val="center"/>
          </w:tcPr>
          <w:p w14:paraId="1301AF36">
            <w:pPr>
              <w:widowControl/>
              <w:jc w:val="center"/>
              <w:rPr>
                <w:rFonts w:ascii="宋体" w:hAnsi="宋体" w:cs="宋体"/>
                <w:color w:val="000000"/>
                <w:kern w:val="0"/>
                <w:sz w:val="18"/>
                <w:szCs w:val="18"/>
              </w:rPr>
            </w:pPr>
          </w:p>
        </w:tc>
        <w:tc>
          <w:tcPr>
            <w:tcW w:w="371" w:type="pct"/>
            <w:shd w:val="clear" w:color="auto" w:fill="auto"/>
            <w:vAlign w:val="center"/>
          </w:tcPr>
          <w:p w14:paraId="660F9B4F">
            <w:pPr>
              <w:widowControl/>
              <w:jc w:val="center"/>
              <w:rPr>
                <w:rFonts w:ascii="宋体" w:hAnsi="宋体" w:cs="宋体"/>
                <w:color w:val="000000"/>
                <w:kern w:val="0"/>
                <w:sz w:val="18"/>
                <w:szCs w:val="18"/>
              </w:rPr>
            </w:pPr>
          </w:p>
        </w:tc>
        <w:tc>
          <w:tcPr>
            <w:tcW w:w="371" w:type="pct"/>
            <w:shd w:val="clear" w:color="auto" w:fill="auto"/>
            <w:vAlign w:val="center"/>
          </w:tcPr>
          <w:p w14:paraId="0F8C17FD">
            <w:pPr>
              <w:widowControl/>
              <w:jc w:val="center"/>
              <w:rPr>
                <w:rFonts w:ascii="宋体" w:hAnsi="宋体" w:cs="宋体"/>
                <w:color w:val="000000"/>
                <w:kern w:val="0"/>
                <w:sz w:val="18"/>
                <w:szCs w:val="18"/>
              </w:rPr>
            </w:pPr>
          </w:p>
        </w:tc>
        <w:tc>
          <w:tcPr>
            <w:tcW w:w="371" w:type="pct"/>
            <w:shd w:val="clear" w:color="auto" w:fill="auto"/>
            <w:vAlign w:val="center"/>
          </w:tcPr>
          <w:p w14:paraId="651A55A7">
            <w:pPr>
              <w:widowControl/>
              <w:jc w:val="center"/>
              <w:rPr>
                <w:rFonts w:ascii="宋体" w:hAnsi="宋体" w:cs="宋体"/>
                <w:color w:val="000000"/>
                <w:kern w:val="0"/>
                <w:sz w:val="18"/>
                <w:szCs w:val="18"/>
              </w:rPr>
            </w:pPr>
          </w:p>
        </w:tc>
        <w:tc>
          <w:tcPr>
            <w:tcW w:w="371" w:type="pct"/>
            <w:shd w:val="clear" w:color="auto" w:fill="auto"/>
            <w:vAlign w:val="center"/>
          </w:tcPr>
          <w:p w14:paraId="7BB9C1EA">
            <w:pPr>
              <w:widowControl/>
              <w:jc w:val="center"/>
              <w:rPr>
                <w:rFonts w:ascii="宋体" w:hAnsi="宋体" w:cs="宋体"/>
                <w:color w:val="000000"/>
                <w:kern w:val="0"/>
                <w:sz w:val="18"/>
                <w:szCs w:val="18"/>
              </w:rPr>
            </w:pPr>
          </w:p>
        </w:tc>
        <w:tc>
          <w:tcPr>
            <w:tcW w:w="371" w:type="pct"/>
            <w:shd w:val="clear" w:color="auto" w:fill="auto"/>
            <w:vAlign w:val="center"/>
          </w:tcPr>
          <w:p w14:paraId="0F7D4DA6">
            <w:pPr>
              <w:widowControl/>
              <w:jc w:val="center"/>
              <w:rPr>
                <w:rFonts w:ascii="宋体" w:hAnsi="宋体" w:cs="宋体"/>
                <w:color w:val="000000"/>
                <w:kern w:val="0"/>
                <w:sz w:val="18"/>
                <w:szCs w:val="18"/>
              </w:rPr>
            </w:pPr>
          </w:p>
        </w:tc>
        <w:tc>
          <w:tcPr>
            <w:tcW w:w="371" w:type="pct"/>
            <w:vAlign w:val="center"/>
          </w:tcPr>
          <w:p w14:paraId="30ED5415">
            <w:pPr>
              <w:widowControl/>
              <w:jc w:val="center"/>
              <w:rPr>
                <w:rFonts w:ascii="宋体" w:hAnsi="宋体" w:cs="宋体"/>
                <w:color w:val="000000"/>
                <w:kern w:val="0"/>
                <w:sz w:val="18"/>
                <w:szCs w:val="18"/>
              </w:rPr>
            </w:pPr>
          </w:p>
        </w:tc>
        <w:tc>
          <w:tcPr>
            <w:tcW w:w="371" w:type="pct"/>
            <w:vAlign w:val="center"/>
          </w:tcPr>
          <w:p w14:paraId="3A49BAC3">
            <w:pPr>
              <w:widowControl/>
              <w:jc w:val="center"/>
              <w:rPr>
                <w:rFonts w:ascii="宋体" w:hAnsi="宋体" w:cs="宋体"/>
                <w:color w:val="000000"/>
                <w:kern w:val="0"/>
                <w:sz w:val="18"/>
                <w:szCs w:val="18"/>
              </w:rPr>
            </w:pPr>
          </w:p>
        </w:tc>
      </w:tr>
      <w:tr w14:paraId="4A4F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10FFD0D2">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56" w:type="pct"/>
            <w:shd w:val="clear" w:color="auto" w:fill="auto"/>
            <w:vAlign w:val="center"/>
          </w:tcPr>
          <w:p w14:paraId="2A3897CE">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406" w:type="pct"/>
            <w:shd w:val="clear" w:color="auto" w:fill="auto"/>
            <w:vAlign w:val="center"/>
          </w:tcPr>
          <w:p w14:paraId="4494BD3A">
            <w:pPr>
              <w:widowControl/>
              <w:jc w:val="center"/>
              <w:rPr>
                <w:rFonts w:ascii="宋体" w:hAnsi="宋体" w:cs="宋体"/>
                <w:color w:val="000000"/>
                <w:kern w:val="0"/>
                <w:sz w:val="18"/>
                <w:szCs w:val="18"/>
              </w:rPr>
            </w:pPr>
            <w:r>
              <w:rPr>
                <w:rFonts w:ascii="宋体" w:hAnsi="宋体" w:cs="宋体"/>
                <w:color w:val="000000"/>
                <w:kern w:val="0"/>
                <w:sz w:val="18"/>
                <w:szCs w:val="18"/>
              </w:rPr>
              <w:t>25,155.59</w:t>
            </w:r>
          </w:p>
        </w:tc>
        <w:tc>
          <w:tcPr>
            <w:tcW w:w="371" w:type="pct"/>
            <w:shd w:val="clear" w:color="auto" w:fill="auto"/>
            <w:vAlign w:val="center"/>
          </w:tcPr>
          <w:p w14:paraId="48EF07F0">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0C07C51A">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04DEFED7">
            <w:pPr>
              <w:widowControl/>
              <w:jc w:val="center"/>
              <w:rPr>
                <w:rFonts w:ascii="宋体" w:hAnsi="宋体" w:cs="宋体"/>
                <w:color w:val="000000"/>
                <w:kern w:val="0"/>
                <w:sz w:val="18"/>
                <w:szCs w:val="18"/>
              </w:rPr>
            </w:pPr>
            <w:r>
              <w:rPr>
                <w:rFonts w:ascii="宋体" w:hAnsi="宋体" w:cs="宋体"/>
                <w:color w:val="000000"/>
                <w:kern w:val="0"/>
                <w:sz w:val="18"/>
                <w:szCs w:val="18"/>
              </w:rPr>
              <w:t>1,154.58</w:t>
            </w:r>
          </w:p>
        </w:tc>
        <w:tc>
          <w:tcPr>
            <w:tcW w:w="371" w:type="pct"/>
            <w:shd w:val="clear" w:color="auto" w:fill="auto"/>
            <w:vAlign w:val="center"/>
          </w:tcPr>
          <w:p w14:paraId="22D9E4C3">
            <w:pPr>
              <w:widowControl/>
              <w:jc w:val="center"/>
              <w:rPr>
                <w:rFonts w:ascii="宋体" w:hAnsi="宋体" w:cs="宋体"/>
                <w:color w:val="000000"/>
                <w:kern w:val="0"/>
                <w:sz w:val="18"/>
                <w:szCs w:val="18"/>
              </w:rPr>
            </w:pPr>
            <w:r>
              <w:rPr>
                <w:rFonts w:ascii="宋体" w:hAnsi="宋体" w:cs="宋体"/>
                <w:color w:val="000000"/>
                <w:kern w:val="0"/>
                <w:sz w:val="18"/>
                <w:szCs w:val="18"/>
              </w:rPr>
              <w:t>1,374.78</w:t>
            </w:r>
          </w:p>
        </w:tc>
        <w:tc>
          <w:tcPr>
            <w:tcW w:w="371" w:type="pct"/>
            <w:shd w:val="clear" w:color="auto" w:fill="auto"/>
            <w:vAlign w:val="center"/>
          </w:tcPr>
          <w:p w14:paraId="6399DD32">
            <w:pPr>
              <w:widowControl/>
              <w:jc w:val="center"/>
              <w:rPr>
                <w:rFonts w:ascii="宋体" w:hAnsi="宋体" w:cs="宋体"/>
                <w:color w:val="000000"/>
                <w:kern w:val="0"/>
                <w:sz w:val="18"/>
                <w:szCs w:val="18"/>
              </w:rPr>
            </w:pPr>
            <w:r>
              <w:rPr>
                <w:rFonts w:ascii="宋体" w:hAnsi="宋体" w:cs="宋体"/>
                <w:color w:val="000000"/>
                <w:kern w:val="0"/>
                <w:sz w:val="18"/>
                <w:szCs w:val="18"/>
              </w:rPr>
              <w:t>1,558.18</w:t>
            </w:r>
          </w:p>
        </w:tc>
        <w:tc>
          <w:tcPr>
            <w:tcW w:w="371" w:type="pct"/>
            <w:shd w:val="clear" w:color="auto" w:fill="auto"/>
            <w:vAlign w:val="center"/>
          </w:tcPr>
          <w:p w14:paraId="38571B01">
            <w:pPr>
              <w:widowControl/>
              <w:jc w:val="center"/>
              <w:rPr>
                <w:rFonts w:ascii="宋体" w:hAnsi="宋体" w:cs="宋体"/>
                <w:color w:val="000000"/>
                <w:kern w:val="0"/>
                <w:sz w:val="18"/>
                <w:szCs w:val="18"/>
              </w:rPr>
            </w:pPr>
            <w:r>
              <w:rPr>
                <w:rFonts w:ascii="宋体" w:hAnsi="宋体" w:cs="宋体"/>
                <w:color w:val="000000"/>
                <w:kern w:val="0"/>
                <w:sz w:val="18"/>
                <w:szCs w:val="18"/>
              </w:rPr>
              <w:t>1,790.07</w:t>
            </w:r>
          </w:p>
        </w:tc>
        <w:tc>
          <w:tcPr>
            <w:tcW w:w="371" w:type="pct"/>
            <w:shd w:val="clear" w:color="auto" w:fill="auto"/>
            <w:vAlign w:val="center"/>
          </w:tcPr>
          <w:p w14:paraId="2A1BD248">
            <w:pPr>
              <w:widowControl/>
              <w:jc w:val="center"/>
              <w:rPr>
                <w:rFonts w:ascii="宋体" w:hAnsi="宋体" w:cs="宋体"/>
                <w:color w:val="000000"/>
                <w:kern w:val="0"/>
                <w:sz w:val="18"/>
                <w:szCs w:val="18"/>
              </w:rPr>
            </w:pPr>
            <w:r>
              <w:rPr>
                <w:rFonts w:ascii="宋体" w:hAnsi="宋体" w:cs="宋体"/>
                <w:color w:val="000000"/>
                <w:kern w:val="0"/>
                <w:sz w:val="18"/>
                <w:szCs w:val="18"/>
              </w:rPr>
              <w:t>1,790.07</w:t>
            </w:r>
          </w:p>
        </w:tc>
        <w:tc>
          <w:tcPr>
            <w:tcW w:w="371" w:type="pct"/>
            <w:shd w:val="clear" w:color="auto" w:fill="auto"/>
            <w:vAlign w:val="center"/>
          </w:tcPr>
          <w:p w14:paraId="5C682046">
            <w:pPr>
              <w:widowControl/>
              <w:jc w:val="center"/>
              <w:rPr>
                <w:rFonts w:ascii="宋体" w:hAnsi="宋体" w:cs="宋体"/>
                <w:color w:val="000000"/>
                <w:kern w:val="0"/>
                <w:sz w:val="18"/>
                <w:szCs w:val="18"/>
              </w:rPr>
            </w:pPr>
            <w:r>
              <w:rPr>
                <w:rFonts w:ascii="宋体" w:hAnsi="宋体" w:cs="宋体"/>
                <w:color w:val="000000"/>
                <w:kern w:val="0"/>
                <w:sz w:val="18"/>
                <w:szCs w:val="18"/>
              </w:rPr>
              <w:t>1,790.07</w:t>
            </w:r>
          </w:p>
        </w:tc>
        <w:tc>
          <w:tcPr>
            <w:tcW w:w="371" w:type="pct"/>
            <w:vAlign w:val="center"/>
          </w:tcPr>
          <w:p w14:paraId="79674A72">
            <w:pPr>
              <w:widowControl/>
              <w:jc w:val="center"/>
              <w:rPr>
                <w:rFonts w:ascii="宋体" w:hAnsi="宋体" w:cs="宋体"/>
                <w:color w:val="000000"/>
                <w:kern w:val="0"/>
                <w:sz w:val="18"/>
                <w:szCs w:val="18"/>
              </w:rPr>
            </w:pPr>
            <w:r>
              <w:rPr>
                <w:rFonts w:ascii="宋体" w:hAnsi="宋体" w:cs="宋体"/>
                <w:color w:val="000000"/>
                <w:kern w:val="0"/>
                <w:sz w:val="18"/>
                <w:szCs w:val="18"/>
              </w:rPr>
              <w:t>1,878.72</w:t>
            </w:r>
          </w:p>
        </w:tc>
        <w:tc>
          <w:tcPr>
            <w:tcW w:w="371" w:type="pct"/>
            <w:vAlign w:val="center"/>
          </w:tcPr>
          <w:p w14:paraId="7ADE9AFB">
            <w:pPr>
              <w:widowControl/>
              <w:jc w:val="center"/>
              <w:rPr>
                <w:rFonts w:ascii="宋体" w:hAnsi="宋体" w:cs="宋体"/>
                <w:color w:val="000000"/>
                <w:kern w:val="0"/>
                <w:sz w:val="18"/>
                <w:szCs w:val="18"/>
              </w:rPr>
            </w:pPr>
            <w:r>
              <w:rPr>
                <w:rFonts w:ascii="宋体" w:hAnsi="宋体" w:cs="宋体"/>
                <w:color w:val="000000"/>
                <w:kern w:val="0"/>
                <w:sz w:val="18"/>
                <w:szCs w:val="18"/>
              </w:rPr>
              <w:t>1,878.72</w:t>
            </w:r>
          </w:p>
        </w:tc>
      </w:tr>
      <w:tr w14:paraId="74684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29" w:type="pct"/>
            <w:shd w:val="clear" w:color="auto" w:fill="auto"/>
            <w:vAlign w:val="center"/>
          </w:tcPr>
          <w:p w14:paraId="655112CE">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56" w:type="pct"/>
            <w:shd w:val="clear" w:color="auto" w:fill="auto"/>
            <w:vAlign w:val="center"/>
          </w:tcPr>
          <w:p w14:paraId="5BEF37A0">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406" w:type="pct"/>
            <w:shd w:val="clear" w:color="auto" w:fill="auto"/>
            <w:vAlign w:val="center"/>
          </w:tcPr>
          <w:p w14:paraId="59B39E57">
            <w:pPr>
              <w:widowControl/>
              <w:jc w:val="center"/>
              <w:rPr>
                <w:rFonts w:ascii="宋体" w:hAnsi="宋体" w:cs="宋体"/>
                <w:color w:val="000000"/>
                <w:kern w:val="0"/>
                <w:sz w:val="18"/>
                <w:szCs w:val="18"/>
              </w:rPr>
            </w:pPr>
            <w:r>
              <w:rPr>
                <w:rFonts w:ascii="宋体" w:hAnsi="宋体" w:cs="宋体"/>
                <w:color w:val="000000"/>
                <w:kern w:val="0"/>
                <w:sz w:val="18"/>
                <w:szCs w:val="18"/>
              </w:rPr>
              <w:t>8,700.00</w:t>
            </w:r>
          </w:p>
        </w:tc>
        <w:tc>
          <w:tcPr>
            <w:tcW w:w="371" w:type="pct"/>
            <w:shd w:val="clear" w:color="auto" w:fill="auto"/>
            <w:vAlign w:val="center"/>
          </w:tcPr>
          <w:p w14:paraId="75392FE7">
            <w:pPr>
              <w:widowControl/>
              <w:jc w:val="center"/>
              <w:rPr>
                <w:rFonts w:ascii="宋体" w:hAnsi="宋体" w:cs="宋体"/>
                <w:color w:val="000000"/>
                <w:kern w:val="0"/>
                <w:sz w:val="18"/>
                <w:szCs w:val="18"/>
              </w:rPr>
            </w:pPr>
            <w:r>
              <w:rPr>
                <w:rFonts w:ascii="宋体" w:hAnsi="宋体" w:cs="宋体"/>
                <w:color w:val="000000"/>
                <w:kern w:val="0"/>
                <w:sz w:val="18"/>
                <w:szCs w:val="18"/>
              </w:rPr>
              <w:t>5,000.00</w:t>
            </w:r>
          </w:p>
        </w:tc>
        <w:tc>
          <w:tcPr>
            <w:tcW w:w="371" w:type="pct"/>
            <w:shd w:val="clear" w:color="auto" w:fill="auto"/>
            <w:vAlign w:val="center"/>
          </w:tcPr>
          <w:p w14:paraId="4193E8A5">
            <w:pPr>
              <w:widowControl/>
              <w:jc w:val="center"/>
              <w:rPr>
                <w:rFonts w:ascii="宋体" w:hAnsi="宋体" w:cs="宋体"/>
                <w:color w:val="000000"/>
                <w:kern w:val="0"/>
                <w:sz w:val="18"/>
                <w:szCs w:val="18"/>
              </w:rPr>
            </w:pPr>
            <w:r>
              <w:rPr>
                <w:rFonts w:ascii="宋体" w:hAnsi="宋体" w:cs="宋体"/>
                <w:color w:val="000000"/>
                <w:kern w:val="0"/>
                <w:sz w:val="18"/>
                <w:szCs w:val="18"/>
              </w:rPr>
              <w:t>3,700.00</w:t>
            </w:r>
          </w:p>
        </w:tc>
        <w:tc>
          <w:tcPr>
            <w:tcW w:w="371" w:type="pct"/>
            <w:shd w:val="clear" w:color="auto" w:fill="auto"/>
            <w:vAlign w:val="center"/>
          </w:tcPr>
          <w:p w14:paraId="29BDD29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02EB5F3A">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4FF08573">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4263260F">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49DC70CA">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4A856581">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vAlign w:val="center"/>
          </w:tcPr>
          <w:p w14:paraId="4C5F2639">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vAlign w:val="center"/>
          </w:tcPr>
          <w:p w14:paraId="64CD60E8">
            <w:pPr>
              <w:widowControl/>
              <w:jc w:val="center"/>
              <w:rPr>
                <w:rFonts w:ascii="宋体" w:hAnsi="宋体" w:cs="宋体"/>
                <w:color w:val="000000"/>
                <w:kern w:val="0"/>
                <w:sz w:val="18"/>
                <w:szCs w:val="18"/>
              </w:rPr>
            </w:pPr>
            <w:r>
              <w:rPr>
                <w:rFonts w:ascii="宋体" w:hAnsi="宋体" w:cs="宋体"/>
                <w:color w:val="000000"/>
                <w:kern w:val="0"/>
                <w:sz w:val="18"/>
                <w:szCs w:val="18"/>
              </w:rPr>
              <w:t>-</w:t>
            </w:r>
          </w:p>
        </w:tc>
      </w:tr>
      <w:tr w14:paraId="65B04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57D7E6FA">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656" w:type="pct"/>
            <w:shd w:val="clear" w:color="auto" w:fill="auto"/>
            <w:vAlign w:val="center"/>
          </w:tcPr>
          <w:p w14:paraId="6E50926D">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406" w:type="pct"/>
            <w:shd w:val="clear" w:color="auto" w:fill="auto"/>
            <w:vAlign w:val="center"/>
          </w:tcPr>
          <w:p w14:paraId="0458485B">
            <w:pPr>
              <w:widowControl/>
              <w:jc w:val="center"/>
              <w:rPr>
                <w:rFonts w:ascii="宋体" w:hAnsi="宋体" w:cs="宋体"/>
                <w:color w:val="000000"/>
                <w:kern w:val="0"/>
                <w:sz w:val="18"/>
                <w:szCs w:val="18"/>
              </w:rPr>
            </w:pPr>
            <w:r>
              <w:rPr>
                <w:rFonts w:ascii="宋体" w:hAnsi="宋体" w:cs="宋体"/>
                <w:color w:val="000000"/>
                <w:kern w:val="0"/>
                <w:sz w:val="18"/>
                <w:szCs w:val="18"/>
              </w:rPr>
              <w:t>8,700.00</w:t>
            </w:r>
          </w:p>
        </w:tc>
        <w:tc>
          <w:tcPr>
            <w:tcW w:w="371" w:type="pct"/>
            <w:shd w:val="clear" w:color="auto" w:fill="auto"/>
            <w:vAlign w:val="center"/>
          </w:tcPr>
          <w:p w14:paraId="2866BB65">
            <w:pPr>
              <w:widowControl/>
              <w:jc w:val="center"/>
              <w:rPr>
                <w:rFonts w:ascii="宋体" w:hAnsi="宋体" w:cs="宋体"/>
                <w:color w:val="000000"/>
                <w:kern w:val="0"/>
                <w:sz w:val="18"/>
                <w:szCs w:val="18"/>
              </w:rPr>
            </w:pPr>
            <w:r>
              <w:rPr>
                <w:rFonts w:ascii="宋体" w:hAnsi="宋体" w:cs="宋体"/>
                <w:color w:val="000000"/>
                <w:kern w:val="0"/>
                <w:sz w:val="18"/>
                <w:szCs w:val="18"/>
              </w:rPr>
              <w:t>5,000.00</w:t>
            </w:r>
          </w:p>
        </w:tc>
        <w:tc>
          <w:tcPr>
            <w:tcW w:w="371" w:type="pct"/>
            <w:shd w:val="clear" w:color="auto" w:fill="auto"/>
            <w:vAlign w:val="center"/>
          </w:tcPr>
          <w:p w14:paraId="67952AF8">
            <w:pPr>
              <w:widowControl/>
              <w:jc w:val="center"/>
              <w:rPr>
                <w:rFonts w:ascii="宋体" w:hAnsi="宋体" w:cs="宋体"/>
                <w:color w:val="000000"/>
                <w:kern w:val="0"/>
                <w:sz w:val="18"/>
                <w:szCs w:val="18"/>
              </w:rPr>
            </w:pPr>
            <w:r>
              <w:rPr>
                <w:rFonts w:ascii="宋体" w:hAnsi="宋体" w:cs="宋体"/>
                <w:color w:val="000000"/>
                <w:kern w:val="0"/>
                <w:sz w:val="18"/>
                <w:szCs w:val="18"/>
              </w:rPr>
              <w:t>3,700.00</w:t>
            </w:r>
          </w:p>
        </w:tc>
        <w:tc>
          <w:tcPr>
            <w:tcW w:w="371" w:type="pct"/>
            <w:shd w:val="clear" w:color="auto" w:fill="auto"/>
            <w:vAlign w:val="center"/>
          </w:tcPr>
          <w:p w14:paraId="4698FA5D">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413748D">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107FD86D">
            <w:pPr>
              <w:widowControl/>
              <w:jc w:val="center"/>
              <w:rPr>
                <w:rFonts w:ascii="宋体" w:hAnsi="宋体" w:cs="宋体"/>
                <w:color w:val="000000"/>
                <w:kern w:val="0"/>
                <w:sz w:val="18"/>
                <w:szCs w:val="18"/>
              </w:rPr>
            </w:pPr>
          </w:p>
        </w:tc>
        <w:tc>
          <w:tcPr>
            <w:tcW w:w="371" w:type="pct"/>
            <w:shd w:val="clear" w:color="auto" w:fill="auto"/>
            <w:vAlign w:val="center"/>
          </w:tcPr>
          <w:p w14:paraId="66868E21">
            <w:pPr>
              <w:widowControl/>
              <w:jc w:val="center"/>
              <w:rPr>
                <w:rFonts w:ascii="宋体" w:hAnsi="宋体" w:cs="宋体"/>
                <w:color w:val="000000"/>
                <w:kern w:val="0"/>
                <w:sz w:val="18"/>
                <w:szCs w:val="18"/>
              </w:rPr>
            </w:pPr>
          </w:p>
        </w:tc>
        <w:tc>
          <w:tcPr>
            <w:tcW w:w="371" w:type="pct"/>
            <w:shd w:val="clear" w:color="auto" w:fill="auto"/>
            <w:vAlign w:val="center"/>
          </w:tcPr>
          <w:p w14:paraId="50ED325C">
            <w:pPr>
              <w:widowControl/>
              <w:jc w:val="center"/>
              <w:rPr>
                <w:rFonts w:ascii="宋体" w:hAnsi="宋体" w:cs="宋体"/>
                <w:color w:val="000000"/>
                <w:kern w:val="0"/>
                <w:sz w:val="18"/>
                <w:szCs w:val="18"/>
              </w:rPr>
            </w:pPr>
          </w:p>
        </w:tc>
        <w:tc>
          <w:tcPr>
            <w:tcW w:w="371" w:type="pct"/>
            <w:shd w:val="clear" w:color="auto" w:fill="auto"/>
            <w:vAlign w:val="center"/>
          </w:tcPr>
          <w:p w14:paraId="235839D9">
            <w:pPr>
              <w:widowControl/>
              <w:jc w:val="center"/>
              <w:rPr>
                <w:rFonts w:ascii="宋体" w:hAnsi="宋体" w:cs="宋体"/>
                <w:color w:val="000000"/>
                <w:kern w:val="0"/>
                <w:sz w:val="18"/>
                <w:szCs w:val="18"/>
              </w:rPr>
            </w:pPr>
          </w:p>
        </w:tc>
        <w:tc>
          <w:tcPr>
            <w:tcW w:w="371" w:type="pct"/>
            <w:vAlign w:val="center"/>
          </w:tcPr>
          <w:p w14:paraId="69056809">
            <w:pPr>
              <w:widowControl/>
              <w:jc w:val="center"/>
              <w:rPr>
                <w:rFonts w:ascii="宋体" w:hAnsi="宋体" w:cs="宋体"/>
                <w:color w:val="000000"/>
                <w:kern w:val="0"/>
                <w:sz w:val="18"/>
                <w:szCs w:val="18"/>
              </w:rPr>
            </w:pPr>
          </w:p>
        </w:tc>
        <w:tc>
          <w:tcPr>
            <w:tcW w:w="371" w:type="pct"/>
            <w:vAlign w:val="center"/>
          </w:tcPr>
          <w:p w14:paraId="55DEB0CB">
            <w:pPr>
              <w:widowControl/>
              <w:jc w:val="center"/>
              <w:rPr>
                <w:rFonts w:ascii="宋体" w:hAnsi="宋体" w:cs="宋体"/>
                <w:color w:val="000000"/>
                <w:kern w:val="0"/>
                <w:sz w:val="18"/>
                <w:szCs w:val="18"/>
              </w:rPr>
            </w:pPr>
          </w:p>
        </w:tc>
      </w:tr>
      <w:tr w14:paraId="1D29F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03C97F1A">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656" w:type="pct"/>
            <w:shd w:val="clear" w:color="auto" w:fill="auto"/>
            <w:vAlign w:val="center"/>
          </w:tcPr>
          <w:p w14:paraId="460520BC">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406" w:type="pct"/>
            <w:shd w:val="clear" w:color="auto" w:fill="auto"/>
            <w:vAlign w:val="center"/>
          </w:tcPr>
          <w:p w14:paraId="3EE812C1">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925CC29">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34DED77C">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68575DBD">
            <w:pPr>
              <w:widowControl/>
              <w:jc w:val="center"/>
              <w:rPr>
                <w:rFonts w:ascii="宋体" w:hAnsi="宋体" w:cs="宋体"/>
                <w:color w:val="000000"/>
                <w:kern w:val="0"/>
                <w:sz w:val="18"/>
                <w:szCs w:val="18"/>
              </w:rPr>
            </w:pPr>
          </w:p>
        </w:tc>
        <w:tc>
          <w:tcPr>
            <w:tcW w:w="371" w:type="pct"/>
            <w:shd w:val="clear" w:color="auto" w:fill="auto"/>
            <w:vAlign w:val="center"/>
          </w:tcPr>
          <w:p w14:paraId="17A8CFCB">
            <w:pPr>
              <w:widowControl/>
              <w:jc w:val="center"/>
              <w:rPr>
                <w:rFonts w:ascii="宋体" w:hAnsi="宋体" w:cs="宋体"/>
                <w:color w:val="000000"/>
                <w:kern w:val="0"/>
                <w:sz w:val="18"/>
                <w:szCs w:val="18"/>
              </w:rPr>
            </w:pPr>
          </w:p>
        </w:tc>
        <w:tc>
          <w:tcPr>
            <w:tcW w:w="371" w:type="pct"/>
            <w:shd w:val="clear" w:color="auto" w:fill="auto"/>
            <w:vAlign w:val="center"/>
          </w:tcPr>
          <w:p w14:paraId="2A2059CC">
            <w:pPr>
              <w:widowControl/>
              <w:jc w:val="center"/>
              <w:rPr>
                <w:rFonts w:ascii="宋体" w:hAnsi="宋体" w:cs="宋体"/>
                <w:color w:val="000000"/>
                <w:kern w:val="0"/>
                <w:sz w:val="18"/>
                <w:szCs w:val="18"/>
              </w:rPr>
            </w:pPr>
          </w:p>
        </w:tc>
        <w:tc>
          <w:tcPr>
            <w:tcW w:w="371" w:type="pct"/>
            <w:shd w:val="clear" w:color="auto" w:fill="auto"/>
            <w:vAlign w:val="center"/>
          </w:tcPr>
          <w:p w14:paraId="693C59D2">
            <w:pPr>
              <w:widowControl/>
              <w:jc w:val="center"/>
              <w:rPr>
                <w:rFonts w:ascii="宋体" w:hAnsi="宋体" w:cs="宋体"/>
                <w:color w:val="000000"/>
                <w:kern w:val="0"/>
                <w:sz w:val="18"/>
                <w:szCs w:val="18"/>
              </w:rPr>
            </w:pPr>
          </w:p>
        </w:tc>
        <w:tc>
          <w:tcPr>
            <w:tcW w:w="371" w:type="pct"/>
            <w:shd w:val="clear" w:color="auto" w:fill="auto"/>
            <w:vAlign w:val="center"/>
          </w:tcPr>
          <w:p w14:paraId="2BC0471D">
            <w:pPr>
              <w:widowControl/>
              <w:jc w:val="center"/>
              <w:rPr>
                <w:rFonts w:ascii="宋体" w:hAnsi="宋体" w:cs="宋体"/>
                <w:color w:val="000000"/>
                <w:kern w:val="0"/>
                <w:sz w:val="18"/>
                <w:szCs w:val="18"/>
              </w:rPr>
            </w:pPr>
          </w:p>
        </w:tc>
        <w:tc>
          <w:tcPr>
            <w:tcW w:w="371" w:type="pct"/>
            <w:shd w:val="clear" w:color="auto" w:fill="auto"/>
            <w:vAlign w:val="center"/>
          </w:tcPr>
          <w:p w14:paraId="3DA0B72A">
            <w:pPr>
              <w:widowControl/>
              <w:jc w:val="center"/>
              <w:rPr>
                <w:rFonts w:ascii="宋体" w:hAnsi="宋体" w:cs="宋体"/>
                <w:color w:val="000000"/>
                <w:kern w:val="0"/>
                <w:sz w:val="18"/>
                <w:szCs w:val="18"/>
              </w:rPr>
            </w:pPr>
          </w:p>
        </w:tc>
        <w:tc>
          <w:tcPr>
            <w:tcW w:w="371" w:type="pct"/>
            <w:vAlign w:val="center"/>
          </w:tcPr>
          <w:p w14:paraId="7DAD6DD5">
            <w:pPr>
              <w:widowControl/>
              <w:jc w:val="center"/>
              <w:rPr>
                <w:rFonts w:ascii="宋体" w:hAnsi="宋体" w:cs="宋体"/>
                <w:color w:val="000000"/>
                <w:kern w:val="0"/>
                <w:sz w:val="18"/>
                <w:szCs w:val="18"/>
              </w:rPr>
            </w:pPr>
          </w:p>
        </w:tc>
        <w:tc>
          <w:tcPr>
            <w:tcW w:w="371" w:type="pct"/>
            <w:vAlign w:val="center"/>
          </w:tcPr>
          <w:p w14:paraId="5F21AEFF">
            <w:pPr>
              <w:widowControl/>
              <w:jc w:val="center"/>
              <w:rPr>
                <w:rFonts w:ascii="宋体" w:hAnsi="宋体" w:cs="宋体"/>
                <w:color w:val="000000"/>
                <w:kern w:val="0"/>
                <w:sz w:val="18"/>
                <w:szCs w:val="18"/>
              </w:rPr>
            </w:pPr>
          </w:p>
        </w:tc>
      </w:tr>
      <w:tr w14:paraId="02D60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44914AB7">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56" w:type="pct"/>
            <w:shd w:val="clear" w:color="auto" w:fill="auto"/>
            <w:vAlign w:val="center"/>
          </w:tcPr>
          <w:p w14:paraId="313F2B64">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406" w:type="pct"/>
            <w:shd w:val="clear" w:color="auto" w:fill="auto"/>
            <w:vAlign w:val="center"/>
          </w:tcPr>
          <w:p w14:paraId="35250505">
            <w:pPr>
              <w:widowControl/>
              <w:jc w:val="center"/>
              <w:rPr>
                <w:rFonts w:ascii="宋体" w:hAnsi="宋体" w:cs="宋体"/>
                <w:color w:val="000000"/>
                <w:kern w:val="0"/>
                <w:sz w:val="18"/>
                <w:szCs w:val="18"/>
              </w:rPr>
            </w:pPr>
            <w:r>
              <w:rPr>
                <w:rFonts w:ascii="宋体" w:hAnsi="宋体" w:cs="宋体"/>
                <w:color w:val="000000"/>
                <w:kern w:val="0"/>
                <w:sz w:val="18"/>
                <w:szCs w:val="18"/>
              </w:rPr>
              <w:t>1,920.00</w:t>
            </w:r>
          </w:p>
        </w:tc>
        <w:tc>
          <w:tcPr>
            <w:tcW w:w="371" w:type="pct"/>
            <w:shd w:val="clear" w:color="auto" w:fill="auto"/>
            <w:vAlign w:val="center"/>
          </w:tcPr>
          <w:p w14:paraId="2CA0A55C">
            <w:pPr>
              <w:widowControl/>
              <w:jc w:val="center"/>
              <w:rPr>
                <w:rFonts w:ascii="宋体" w:hAnsi="宋体" w:cs="宋体"/>
                <w:color w:val="000000"/>
                <w:kern w:val="0"/>
                <w:sz w:val="18"/>
                <w:szCs w:val="18"/>
              </w:rPr>
            </w:pPr>
            <w:r>
              <w:rPr>
                <w:rFonts w:ascii="宋体" w:hAnsi="宋体" w:cs="宋体"/>
                <w:color w:val="000000"/>
                <w:kern w:val="0"/>
                <w:sz w:val="18"/>
                <w:szCs w:val="18"/>
              </w:rPr>
              <w:t>1,082.25</w:t>
            </w:r>
          </w:p>
        </w:tc>
        <w:tc>
          <w:tcPr>
            <w:tcW w:w="371" w:type="pct"/>
            <w:shd w:val="clear" w:color="auto" w:fill="auto"/>
            <w:vAlign w:val="center"/>
          </w:tcPr>
          <w:p w14:paraId="33CC7E78">
            <w:pPr>
              <w:widowControl/>
              <w:jc w:val="center"/>
              <w:rPr>
                <w:rFonts w:ascii="宋体" w:hAnsi="宋体" w:cs="宋体"/>
                <w:color w:val="000000"/>
                <w:kern w:val="0"/>
                <w:sz w:val="18"/>
                <w:szCs w:val="18"/>
              </w:rPr>
            </w:pPr>
            <w:r>
              <w:rPr>
                <w:rFonts w:ascii="宋体" w:hAnsi="宋体" w:cs="宋体"/>
                <w:color w:val="000000"/>
                <w:kern w:val="0"/>
                <w:sz w:val="18"/>
                <w:szCs w:val="18"/>
              </w:rPr>
              <w:t>837.75</w:t>
            </w:r>
          </w:p>
        </w:tc>
        <w:tc>
          <w:tcPr>
            <w:tcW w:w="371" w:type="pct"/>
            <w:shd w:val="clear" w:color="auto" w:fill="auto"/>
            <w:vAlign w:val="center"/>
          </w:tcPr>
          <w:p w14:paraId="594C510F">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EB6DF13">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1F336D3C">
            <w:pPr>
              <w:widowControl/>
              <w:jc w:val="center"/>
              <w:rPr>
                <w:rFonts w:ascii="宋体" w:hAnsi="宋体" w:cs="宋体"/>
                <w:color w:val="000000"/>
                <w:kern w:val="0"/>
                <w:sz w:val="18"/>
                <w:szCs w:val="18"/>
              </w:rPr>
            </w:pPr>
          </w:p>
        </w:tc>
        <w:tc>
          <w:tcPr>
            <w:tcW w:w="371" w:type="pct"/>
            <w:shd w:val="clear" w:color="auto" w:fill="auto"/>
            <w:vAlign w:val="center"/>
          </w:tcPr>
          <w:p w14:paraId="18D2C3D3">
            <w:pPr>
              <w:widowControl/>
              <w:jc w:val="center"/>
              <w:rPr>
                <w:rFonts w:ascii="宋体" w:hAnsi="宋体" w:cs="宋体"/>
                <w:color w:val="000000"/>
                <w:kern w:val="0"/>
                <w:sz w:val="18"/>
                <w:szCs w:val="18"/>
              </w:rPr>
            </w:pPr>
          </w:p>
        </w:tc>
        <w:tc>
          <w:tcPr>
            <w:tcW w:w="371" w:type="pct"/>
            <w:shd w:val="clear" w:color="auto" w:fill="auto"/>
            <w:vAlign w:val="center"/>
          </w:tcPr>
          <w:p w14:paraId="1B9DD0A4">
            <w:pPr>
              <w:widowControl/>
              <w:jc w:val="center"/>
              <w:rPr>
                <w:rFonts w:ascii="宋体" w:hAnsi="宋体" w:cs="宋体"/>
                <w:color w:val="000000"/>
                <w:kern w:val="0"/>
                <w:sz w:val="18"/>
                <w:szCs w:val="18"/>
              </w:rPr>
            </w:pPr>
          </w:p>
        </w:tc>
        <w:tc>
          <w:tcPr>
            <w:tcW w:w="371" w:type="pct"/>
            <w:shd w:val="clear" w:color="auto" w:fill="auto"/>
            <w:vAlign w:val="center"/>
          </w:tcPr>
          <w:p w14:paraId="4AD92183">
            <w:pPr>
              <w:widowControl/>
              <w:jc w:val="center"/>
              <w:rPr>
                <w:rFonts w:ascii="宋体" w:hAnsi="宋体" w:cs="宋体"/>
                <w:color w:val="000000"/>
                <w:kern w:val="0"/>
                <w:sz w:val="18"/>
                <w:szCs w:val="18"/>
              </w:rPr>
            </w:pPr>
          </w:p>
        </w:tc>
        <w:tc>
          <w:tcPr>
            <w:tcW w:w="371" w:type="pct"/>
            <w:vAlign w:val="center"/>
          </w:tcPr>
          <w:p w14:paraId="48A89F24">
            <w:pPr>
              <w:widowControl/>
              <w:jc w:val="center"/>
              <w:rPr>
                <w:rFonts w:ascii="宋体" w:hAnsi="宋体" w:cs="宋体"/>
                <w:color w:val="000000"/>
                <w:kern w:val="0"/>
                <w:sz w:val="18"/>
                <w:szCs w:val="18"/>
              </w:rPr>
            </w:pPr>
          </w:p>
        </w:tc>
        <w:tc>
          <w:tcPr>
            <w:tcW w:w="371" w:type="pct"/>
            <w:vAlign w:val="center"/>
          </w:tcPr>
          <w:p w14:paraId="7B07F0D3">
            <w:pPr>
              <w:widowControl/>
              <w:jc w:val="center"/>
              <w:rPr>
                <w:rFonts w:ascii="宋体" w:hAnsi="宋体" w:cs="宋体"/>
                <w:color w:val="000000"/>
                <w:kern w:val="0"/>
                <w:sz w:val="18"/>
                <w:szCs w:val="18"/>
              </w:rPr>
            </w:pPr>
          </w:p>
        </w:tc>
      </w:tr>
      <w:tr w14:paraId="636E0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2B50695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656" w:type="pct"/>
            <w:shd w:val="clear" w:color="auto" w:fill="auto"/>
            <w:vAlign w:val="center"/>
          </w:tcPr>
          <w:p w14:paraId="5F79B75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406" w:type="pct"/>
            <w:shd w:val="clear" w:color="auto" w:fill="auto"/>
            <w:vAlign w:val="center"/>
          </w:tcPr>
          <w:p w14:paraId="0E7B67D0">
            <w:pPr>
              <w:widowControl/>
              <w:jc w:val="center"/>
              <w:rPr>
                <w:rFonts w:ascii="宋体" w:hAnsi="宋体" w:cs="宋体"/>
                <w:color w:val="000000"/>
                <w:kern w:val="0"/>
                <w:sz w:val="18"/>
                <w:szCs w:val="18"/>
              </w:rPr>
            </w:pPr>
            <w:r>
              <w:rPr>
                <w:rFonts w:ascii="宋体" w:hAnsi="宋体" w:cs="宋体"/>
                <w:color w:val="000000"/>
                <w:kern w:val="0"/>
                <w:sz w:val="18"/>
                <w:szCs w:val="18"/>
              </w:rPr>
              <w:t>29,109.11</w:t>
            </w:r>
          </w:p>
        </w:tc>
        <w:tc>
          <w:tcPr>
            <w:tcW w:w="371" w:type="pct"/>
            <w:shd w:val="clear" w:color="auto" w:fill="auto"/>
            <w:vAlign w:val="center"/>
          </w:tcPr>
          <w:p w14:paraId="382377E4">
            <w:pPr>
              <w:widowControl/>
              <w:jc w:val="center"/>
              <w:rPr>
                <w:rFonts w:ascii="宋体" w:hAnsi="宋体" w:cs="宋体"/>
                <w:color w:val="000000"/>
                <w:kern w:val="0"/>
                <w:sz w:val="18"/>
                <w:szCs w:val="18"/>
              </w:rPr>
            </w:pPr>
            <w:r>
              <w:rPr>
                <w:rFonts w:ascii="宋体" w:hAnsi="宋体" w:cs="宋体"/>
                <w:color w:val="000000"/>
                <w:kern w:val="0"/>
                <w:sz w:val="18"/>
                <w:szCs w:val="18"/>
              </w:rPr>
              <w:t>6,082.25</w:t>
            </w:r>
          </w:p>
        </w:tc>
        <w:tc>
          <w:tcPr>
            <w:tcW w:w="371" w:type="pct"/>
            <w:shd w:val="clear" w:color="auto" w:fill="auto"/>
            <w:vAlign w:val="center"/>
          </w:tcPr>
          <w:p w14:paraId="5FA58C95">
            <w:pPr>
              <w:widowControl/>
              <w:jc w:val="center"/>
              <w:rPr>
                <w:rFonts w:ascii="宋体" w:hAnsi="宋体" w:cs="宋体"/>
                <w:color w:val="000000"/>
                <w:kern w:val="0"/>
                <w:sz w:val="18"/>
                <w:szCs w:val="18"/>
              </w:rPr>
            </w:pPr>
            <w:r>
              <w:rPr>
                <w:rFonts w:ascii="宋体" w:hAnsi="宋体" w:cs="宋体"/>
                <w:color w:val="000000"/>
                <w:kern w:val="0"/>
                <w:sz w:val="18"/>
                <w:szCs w:val="18"/>
              </w:rPr>
              <w:t>4,537.75</w:t>
            </w:r>
          </w:p>
        </w:tc>
        <w:tc>
          <w:tcPr>
            <w:tcW w:w="371" w:type="pct"/>
            <w:shd w:val="clear" w:color="auto" w:fill="auto"/>
            <w:vAlign w:val="center"/>
          </w:tcPr>
          <w:p w14:paraId="40451B7E">
            <w:pPr>
              <w:widowControl/>
              <w:jc w:val="center"/>
              <w:rPr>
                <w:rFonts w:ascii="宋体" w:hAnsi="宋体" w:cs="宋体"/>
                <w:color w:val="000000"/>
                <w:kern w:val="0"/>
                <w:sz w:val="18"/>
                <w:szCs w:val="18"/>
              </w:rPr>
            </w:pPr>
            <w:r>
              <w:rPr>
                <w:rFonts w:ascii="宋体" w:hAnsi="宋体" w:cs="宋体"/>
                <w:color w:val="000000"/>
                <w:kern w:val="0"/>
                <w:sz w:val="18"/>
                <w:szCs w:val="18"/>
              </w:rPr>
              <w:t>530.78</w:t>
            </w:r>
          </w:p>
        </w:tc>
        <w:tc>
          <w:tcPr>
            <w:tcW w:w="371" w:type="pct"/>
            <w:shd w:val="clear" w:color="auto" w:fill="auto"/>
            <w:vAlign w:val="center"/>
          </w:tcPr>
          <w:p w14:paraId="2FCD1409">
            <w:pPr>
              <w:widowControl/>
              <w:jc w:val="center"/>
              <w:rPr>
                <w:rFonts w:ascii="宋体" w:hAnsi="宋体" w:cs="宋体"/>
                <w:color w:val="000000"/>
                <w:kern w:val="0"/>
                <w:sz w:val="18"/>
                <w:szCs w:val="18"/>
              </w:rPr>
            </w:pPr>
            <w:r>
              <w:rPr>
                <w:rFonts w:ascii="宋体" w:hAnsi="宋体" w:cs="宋体"/>
                <w:color w:val="000000"/>
                <w:kern w:val="0"/>
                <w:sz w:val="18"/>
                <w:szCs w:val="18"/>
              </w:rPr>
              <w:t>552.80</w:t>
            </w:r>
          </w:p>
        </w:tc>
        <w:tc>
          <w:tcPr>
            <w:tcW w:w="371" w:type="pct"/>
            <w:shd w:val="clear" w:color="auto" w:fill="auto"/>
            <w:vAlign w:val="center"/>
          </w:tcPr>
          <w:p w14:paraId="5293DCD6">
            <w:pPr>
              <w:widowControl/>
              <w:jc w:val="center"/>
              <w:rPr>
                <w:rFonts w:ascii="宋体" w:hAnsi="宋体" w:cs="宋体"/>
                <w:color w:val="000000"/>
                <w:kern w:val="0"/>
                <w:sz w:val="18"/>
                <w:szCs w:val="18"/>
              </w:rPr>
            </w:pPr>
            <w:r>
              <w:rPr>
                <w:rFonts w:ascii="宋体" w:hAnsi="宋体" w:cs="宋体"/>
                <w:color w:val="000000"/>
                <w:kern w:val="0"/>
                <w:sz w:val="18"/>
                <w:szCs w:val="18"/>
              </w:rPr>
              <w:t>571.14</w:t>
            </w:r>
          </w:p>
        </w:tc>
        <w:tc>
          <w:tcPr>
            <w:tcW w:w="371" w:type="pct"/>
            <w:shd w:val="clear" w:color="auto" w:fill="auto"/>
            <w:vAlign w:val="center"/>
          </w:tcPr>
          <w:p w14:paraId="41F16FBE">
            <w:pPr>
              <w:widowControl/>
              <w:jc w:val="center"/>
              <w:rPr>
                <w:rFonts w:ascii="宋体" w:hAnsi="宋体" w:cs="宋体"/>
                <w:color w:val="000000"/>
                <w:kern w:val="0"/>
                <w:sz w:val="18"/>
                <w:szCs w:val="18"/>
              </w:rPr>
            </w:pPr>
            <w:r>
              <w:rPr>
                <w:rFonts w:ascii="宋体" w:hAnsi="宋体" w:cs="宋体"/>
                <w:color w:val="000000"/>
                <w:kern w:val="0"/>
                <w:sz w:val="18"/>
                <w:szCs w:val="18"/>
              </w:rPr>
              <w:t>597.93</w:t>
            </w:r>
          </w:p>
        </w:tc>
        <w:tc>
          <w:tcPr>
            <w:tcW w:w="371" w:type="pct"/>
            <w:shd w:val="clear" w:color="auto" w:fill="auto"/>
            <w:vAlign w:val="center"/>
          </w:tcPr>
          <w:p w14:paraId="4E5EF853">
            <w:pPr>
              <w:widowControl/>
              <w:jc w:val="center"/>
              <w:rPr>
                <w:rFonts w:ascii="宋体" w:hAnsi="宋体" w:cs="宋体"/>
                <w:color w:val="000000"/>
                <w:kern w:val="0"/>
                <w:sz w:val="18"/>
                <w:szCs w:val="18"/>
              </w:rPr>
            </w:pPr>
            <w:r>
              <w:rPr>
                <w:rFonts w:ascii="宋体" w:hAnsi="宋体" w:cs="宋体"/>
                <w:color w:val="000000"/>
                <w:kern w:val="0"/>
                <w:sz w:val="18"/>
                <w:szCs w:val="18"/>
              </w:rPr>
              <w:t>597.93</w:t>
            </w:r>
          </w:p>
        </w:tc>
        <w:tc>
          <w:tcPr>
            <w:tcW w:w="371" w:type="pct"/>
            <w:shd w:val="clear" w:color="auto" w:fill="auto"/>
            <w:vAlign w:val="center"/>
          </w:tcPr>
          <w:p w14:paraId="79F16345">
            <w:pPr>
              <w:widowControl/>
              <w:jc w:val="center"/>
              <w:rPr>
                <w:rFonts w:ascii="宋体" w:hAnsi="宋体" w:cs="宋体"/>
                <w:color w:val="000000"/>
                <w:kern w:val="0"/>
                <w:sz w:val="18"/>
                <w:szCs w:val="18"/>
              </w:rPr>
            </w:pPr>
            <w:r>
              <w:rPr>
                <w:rFonts w:ascii="宋体" w:hAnsi="宋体" w:cs="宋体"/>
                <w:color w:val="000000"/>
                <w:kern w:val="0"/>
                <w:sz w:val="18"/>
                <w:szCs w:val="18"/>
              </w:rPr>
              <w:t>597.93</w:t>
            </w:r>
          </w:p>
        </w:tc>
        <w:tc>
          <w:tcPr>
            <w:tcW w:w="371" w:type="pct"/>
            <w:vAlign w:val="center"/>
          </w:tcPr>
          <w:p w14:paraId="418FEB57">
            <w:pPr>
              <w:widowControl/>
              <w:jc w:val="center"/>
              <w:rPr>
                <w:rFonts w:ascii="宋体" w:hAnsi="宋体" w:cs="宋体"/>
                <w:color w:val="000000"/>
                <w:kern w:val="0"/>
                <w:sz w:val="18"/>
                <w:szCs w:val="18"/>
              </w:rPr>
            </w:pPr>
            <w:r>
              <w:rPr>
                <w:rFonts w:ascii="宋体" w:hAnsi="宋体" w:cs="宋体"/>
                <w:color w:val="000000"/>
                <w:kern w:val="0"/>
                <w:sz w:val="18"/>
                <w:szCs w:val="18"/>
              </w:rPr>
              <w:t>691.33</w:t>
            </w:r>
          </w:p>
        </w:tc>
        <w:tc>
          <w:tcPr>
            <w:tcW w:w="371" w:type="pct"/>
            <w:vAlign w:val="center"/>
          </w:tcPr>
          <w:p w14:paraId="2486A035">
            <w:pPr>
              <w:widowControl/>
              <w:jc w:val="center"/>
              <w:rPr>
                <w:rFonts w:ascii="宋体" w:hAnsi="宋体" w:cs="宋体"/>
                <w:color w:val="000000"/>
                <w:kern w:val="0"/>
                <w:sz w:val="18"/>
                <w:szCs w:val="18"/>
              </w:rPr>
            </w:pPr>
            <w:r>
              <w:rPr>
                <w:rFonts w:ascii="宋体" w:hAnsi="宋体" w:cs="宋体"/>
                <w:color w:val="000000"/>
                <w:kern w:val="0"/>
                <w:sz w:val="18"/>
                <w:szCs w:val="18"/>
              </w:rPr>
              <w:t>784.31</w:t>
            </w:r>
          </w:p>
        </w:tc>
      </w:tr>
      <w:tr w14:paraId="3EA65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29" w:type="pct"/>
            <w:shd w:val="clear" w:color="auto" w:fill="auto"/>
            <w:vAlign w:val="center"/>
          </w:tcPr>
          <w:p w14:paraId="6F66CD17">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656" w:type="pct"/>
            <w:shd w:val="clear" w:color="auto" w:fill="auto"/>
            <w:vAlign w:val="center"/>
          </w:tcPr>
          <w:p w14:paraId="3406A49A">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406" w:type="pct"/>
            <w:shd w:val="clear" w:color="auto" w:fill="auto"/>
            <w:vAlign w:val="center"/>
          </w:tcPr>
          <w:p w14:paraId="7B5C97AF">
            <w:pPr>
              <w:widowControl/>
              <w:jc w:val="center"/>
              <w:rPr>
                <w:rFonts w:ascii="宋体" w:hAnsi="宋体" w:cs="宋体"/>
                <w:color w:val="000000"/>
                <w:kern w:val="0"/>
                <w:sz w:val="18"/>
                <w:szCs w:val="18"/>
              </w:rPr>
            </w:pPr>
            <w:r>
              <w:rPr>
                <w:rFonts w:ascii="宋体" w:hAnsi="宋体" w:cs="宋体"/>
                <w:color w:val="000000"/>
                <w:kern w:val="0"/>
                <w:sz w:val="18"/>
                <w:szCs w:val="18"/>
              </w:rPr>
              <w:t>5,396.41</w:t>
            </w:r>
          </w:p>
        </w:tc>
        <w:tc>
          <w:tcPr>
            <w:tcW w:w="371" w:type="pct"/>
            <w:shd w:val="clear" w:color="auto" w:fill="auto"/>
            <w:vAlign w:val="center"/>
          </w:tcPr>
          <w:p w14:paraId="531CF49C">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0AEA1633">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07009180">
            <w:pPr>
              <w:widowControl/>
              <w:jc w:val="center"/>
              <w:rPr>
                <w:rFonts w:ascii="宋体" w:hAnsi="宋体" w:cs="宋体"/>
                <w:color w:val="000000"/>
                <w:kern w:val="0"/>
                <w:sz w:val="18"/>
                <w:szCs w:val="18"/>
              </w:rPr>
            </w:pPr>
            <w:r>
              <w:rPr>
                <w:rFonts w:ascii="宋体" w:hAnsi="宋体" w:cs="宋体"/>
                <w:color w:val="000000"/>
                <w:kern w:val="0"/>
                <w:sz w:val="18"/>
                <w:szCs w:val="18"/>
              </w:rPr>
              <w:t>217.18</w:t>
            </w:r>
          </w:p>
        </w:tc>
        <w:tc>
          <w:tcPr>
            <w:tcW w:w="371" w:type="pct"/>
            <w:shd w:val="clear" w:color="auto" w:fill="auto"/>
            <w:vAlign w:val="center"/>
          </w:tcPr>
          <w:p w14:paraId="67019C9D">
            <w:pPr>
              <w:widowControl/>
              <w:jc w:val="center"/>
              <w:rPr>
                <w:rFonts w:ascii="宋体" w:hAnsi="宋体" w:cs="宋体"/>
                <w:color w:val="000000"/>
                <w:kern w:val="0"/>
                <w:sz w:val="18"/>
                <w:szCs w:val="18"/>
              </w:rPr>
            </w:pPr>
            <w:r>
              <w:rPr>
                <w:rFonts w:ascii="宋体" w:hAnsi="宋体" w:cs="宋体"/>
                <w:color w:val="000000"/>
                <w:kern w:val="0"/>
                <w:sz w:val="18"/>
                <w:szCs w:val="18"/>
              </w:rPr>
              <w:t>239.20</w:t>
            </w:r>
          </w:p>
        </w:tc>
        <w:tc>
          <w:tcPr>
            <w:tcW w:w="371" w:type="pct"/>
            <w:shd w:val="clear" w:color="auto" w:fill="auto"/>
            <w:vAlign w:val="center"/>
          </w:tcPr>
          <w:p w14:paraId="08C40DB0">
            <w:pPr>
              <w:widowControl/>
              <w:jc w:val="center"/>
              <w:rPr>
                <w:rFonts w:ascii="宋体" w:hAnsi="宋体" w:cs="宋体"/>
                <w:color w:val="000000"/>
                <w:kern w:val="0"/>
                <w:sz w:val="18"/>
                <w:szCs w:val="18"/>
              </w:rPr>
            </w:pPr>
            <w:r>
              <w:rPr>
                <w:rFonts w:ascii="宋体" w:hAnsi="宋体" w:cs="宋体"/>
                <w:color w:val="000000"/>
                <w:kern w:val="0"/>
                <w:sz w:val="18"/>
                <w:szCs w:val="18"/>
              </w:rPr>
              <w:t>257.54</w:t>
            </w:r>
          </w:p>
        </w:tc>
        <w:tc>
          <w:tcPr>
            <w:tcW w:w="371" w:type="pct"/>
            <w:shd w:val="clear" w:color="auto" w:fill="auto"/>
            <w:vAlign w:val="center"/>
          </w:tcPr>
          <w:p w14:paraId="6A0225A1">
            <w:pPr>
              <w:widowControl/>
              <w:jc w:val="center"/>
              <w:rPr>
                <w:rFonts w:ascii="宋体" w:hAnsi="宋体" w:cs="宋体"/>
                <w:color w:val="000000"/>
                <w:kern w:val="0"/>
                <w:sz w:val="18"/>
                <w:szCs w:val="18"/>
              </w:rPr>
            </w:pPr>
            <w:r>
              <w:rPr>
                <w:rFonts w:ascii="宋体" w:hAnsi="宋体" w:cs="宋体"/>
                <w:color w:val="000000"/>
                <w:kern w:val="0"/>
                <w:sz w:val="18"/>
                <w:szCs w:val="18"/>
              </w:rPr>
              <w:t>284.33</w:t>
            </w:r>
          </w:p>
        </w:tc>
        <w:tc>
          <w:tcPr>
            <w:tcW w:w="371" w:type="pct"/>
            <w:shd w:val="clear" w:color="auto" w:fill="auto"/>
            <w:vAlign w:val="center"/>
          </w:tcPr>
          <w:p w14:paraId="1F1F4767">
            <w:pPr>
              <w:widowControl/>
              <w:jc w:val="center"/>
              <w:rPr>
                <w:rFonts w:ascii="宋体" w:hAnsi="宋体" w:cs="宋体"/>
                <w:color w:val="000000"/>
                <w:kern w:val="0"/>
                <w:sz w:val="18"/>
                <w:szCs w:val="18"/>
              </w:rPr>
            </w:pPr>
            <w:r>
              <w:rPr>
                <w:rFonts w:ascii="宋体" w:hAnsi="宋体" w:cs="宋体"/>
                <w:color w:val="000000"/>
                <w:kern w:val="0"/>
                <w:sz w:val="18"/>
                <w:szCs w:val="18"/>
              </w:rPr>
              <w:t>284.33</w:t>
            </w:r>
          </w:p>
        </w:tc>
        <w:tc>
          <w:tcPr>
            <w:tcW w:w="371" w:type="pct"/>
            <w:shd w:val="clear" w:color="auto" w:fill="auto"/>
            <w:vAlign w:val="center"/>
          </w:tcPr>
          <w:p w14:paraId="072A6E08">
            <w:pPr>
              <w:widowControl/>
              <w:jc w:val="center"/>
              <w:rPr>
                <w:rFonts w:ascii="宋体" w:hAnsi="宋体" w:cs="宋体"/>
                <w:color w:val="000000"/>
                <w:kern w:val="0"/>
                <w:sz w:val="18"/>
                <w:szCs w:val="18"/>
              </w:rPr>
            </w:pPr>
            <w:r>
              <w:rPr>
                <w:rFonts w:ascii="宋体" w:hAnsi="宋体" w:cs="宋体"/>
                <w:color w:val="000000"/>
                <w:kern w:val="0"/>
                <w:sz w:val="18"/>
                <w:szCs w:val="18"/>
              </w:rPr>
              <w:t>284.33</w:t>
            </w:r>
          </w:p>
        </w:tc>
        <w:tc>
          <w:tcPr>
            <w:tcW w:w="371" w:type="pct"/>
            <w:vAlign w:val="center"/>
          </w:tcPr>
          <w:p w14:paraId="25A0FB1D">
            <w:pPr>
              <w:widowControl/>
              <w:jc w:val="center"/>
              <w:rPr>
                <w:rFonts w:ascii="宋体" w:hAnsi="宋体" w:cs="宋体"/>
                <w:color w:val="000000"/>
                <w:kern w:val="0"/>
                <w:sz w:val="18"/>
                <w:szCs w:val="18"/>
              </w:rPr>
            </w:pPr>
            <w:r>
              <w:rPr>
                <w:rFonts w:ascii="宋体" w:hAnsi="宋体" w:cs="宋体"/>
                <w:color w:val="000000"/>
                <w:kern w:val="0"/>
                <w:sz w:val="18"/>
                <w:szCs w:val="18"/>
              </w:rPr>
              <w:t>377.73</w:t>
            </w:r>
          </w:p>
        </w:tc>
        <w:tc>
          <w:tcPr>
            <w:tcW w:w="371" w:type="pct"/>
            <w:vAlign w:val="center"/>
          </w:tcPr>
          <w:p w14:paraId="155A8C71">
            <w:pPr>
              <w:widowControl/>
              <w:jc w:val="center"/>
              <w:rPr>
                <w:rFonts w:ascii="宋体" w:hAnsi="宋体" w:cs="宋体"/>
                <w:color w:val="000000"/>
                <w:kern w:val="0"/>
                <w:sz w:val="18"/>
                <w:szCs w:val="18"/>
              </w:rPr>
            </w:pPr>
            <w:r>
              <w:rPr>
                <w:rFonts w:ascii="宋体" w:hAnsi="宋体" w:cs="宋体"/>
                <w:color w:val="000000"/>
                <w:kern w:val="0"/>
                <w:sz w:val="18"/>
                <w:szCs w:val="18"/>
              </w:rPr>
              <w:t>470.71</w:t>
            </w:r>
          </w:p>
        </w:tc>
      </w:tr>
      <w:tr w14:paraId="64BF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6578F615">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656" w:type="pct"/>
            <w:shd w:val="clear" w:color="auto" w:fill="auto"/>
            <w:vAlign w:val="center"/>
          </w:tcPr>
          <w:p w14:paraId="326764D3">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406" w:type="pct"/>
            <w:shd w:val="clear" w:color="auto" w:fill="auto"/>
            <w:vAlign w:val="center"/>
          </w:tcPr>
          <w:p w14:paraId="1F3A8029">
            <w:pPr>
              <w:widowControl/>
              <w:jc w:val="center"/>
              <w:rPr>
                <w:rFonts w:ascii="宋体" w:hAnsi="宋体" w:cs="宋体"/>
                <w:color w:val="000000"/>
                <w:kern w:val="0"/>
                <w:sz w:val="18"/>
                <w:szCs w:val="18"/>
              </w:rPr>
            </w:pPr>
            <w:r>
              <w:rPr>
                <w:rFonts w:ascii="宋体" w:hAnsi="宋体" w:cs="宋体"/>
                <w:color w:val="000000"/>
                <w:kern w:val="0"/>
                <w:sz w:val="18"/>
                <w:szCs w:val="18"/>
              </w:rPr>
              <w:t>4,037.68</w:t>
            </w:r>
          </w:p>
        </w:tc>
        <w:tc>
          <w:tcPr>
            <w:tcW w:w="371" w:type="pct"/>
            <w:shd w:val="clear" w:color="auto" w:fill="auto"/>
            <w:vAlign w:val="center"/>
          </w:tcPr>
          <w:p w14:paraId="0C3BB83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7D9AC2B">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11BA62C1">
            <w:pPr>
              <w:widowControl/>
              <w:jc w:val="center"/>
              <w:rPr>
                <w:rFonts w:ascii="宋体" w:hAnsi="宋体" w:cs="宋体"/>
                <w:color w:val="000000"/>
                <w:kern w:val="0"/>
                <w:sz w:val="18"/>
                <w:szCs w:val="18"/>
              </w:rPr>
            </w:pPr>
            <w:r>
              <w:rPr>
                <w:rFonts w:ascii="宋体" w:hAnsi="宋体" w:cs="宋体"/>
                <w:color w:val="000000"/>
                <w:kern w:val="0"/>
                <w:sz w:val="18"/>
                <w:szCs w:val="18"/>
              </w:rPr>
              <w:t>217.18</w:t>
            </w:r>
          </w:p>
        </w:tc>
        <w:tc>
          <w:tcPr>
            <w:tcW w:w="371" w:type="pct"/>
            <w:shd w:val="clear" w:color="auto" w:fill="auto"/>
            <w:vAlign w:val="center"/>
          </w:tcPr>
          <w:p w14:paraId="1459E770">
            <w:pPr>
              <w:widowControl/>
              <w:jc w:val="center"/>
              <w:rPr>
                <w:rFonts w:ascii="宋体" w:hAnsi="宋体" w:cs="宋体"/>
                <w:color w:val="000000"/>
                <w:kern w:val="0"/>
                <w:sz w:val="18"/>
                <w:szCs w:val="18"/>
              </w:rPr>
            </w:pPr>
            <w:r>
              <w:rPr>
                <w:rFonts w:ascii="宋体" w:hAnsi="宋体" w:cs="宋体"/>
                <w:color w:val="000000"/>
                <w:kern w:val="0"/>
                <w:sz w:val="18"/>
                <w:szCs w:val="18"/>
              </w:rPr>
              <w:t>239.20</w:t>
            </w:r>
          </w:p>
        </w:tc>
        <w:tc>
          <w:tcPr>
            <w:tcW w:w="371" w:type="pct"/>
            <w:shd w:val="clear" w:color="auto" w:fill="auto"/>
            <w:vAlign w:val="center"/>
          </w:tcPr>
          <w:p w14:paraId="42328196">
            <w:pPr>
              <w:widowControl/>
              <w:jc w:val="center"/>
              <w:rPr>
                <w:rFonts w:ascii="宋体" w:hAnsi="宋体" w:cs="宋体"/>
                <w:color w:val="000000"/>
                <w:kern w:val="0"/>
                <w:sz w:val="18"/>
                <w:szCs w:val="18"/>
              </w:rPr>
            </w:pPr>
            <w:r>
              <w:rPr>
                <w:rFonts w:ascii="宋体" w:hAnsi="宋体" w:cs="宋体"/>
                <w:color w:val="000000"/>
                <w:kern w:val="0"/>
                <w:sz w:val="18"/>
                <w:szCs w:val="18"/>
              </w:rPr>
              <w:t>257.54</w:t>
            </w:r>
          </w:p>
        </w:tc>
        <w:tc>
          <w:tcPr>
            <w:tcW w:w="371" w:type="pct"/>
            <w:shd w:val="clear" w:color="auto" w:fill="auto"/>
            <w:vAlign w:val="center"/>
          </w:tcPr>
          <w:p w14:paraId="752F9EA3">
            <w:pPr>
              <w:widowControl/>
              <w:jc w:val="center"/>
              <w:rPr>
                <w:rFonts w:ascii="宋体" w:hAnsi="宋体" w:cs="宋体"/>
                <w:color w:val="000000"/>
                <w:kern w:val="0"/>
                <w:sz w:val="18"/>
                <w:szCs w:val="18"/>
              </w:rPr>
            </w:pPr>
            <w:r>
              <w:rPr>
                <w:rFonts w:ascii="宋体" w:hAnsi="宋体" w:cs="宋体"/>
                <w:color w:val="000000"/>
                <w:kern w:val="0"/>
                <w:sz w:val="18"/>
                <w:szCs w:val="18"/>
              </w:rPr>
              <w:t>284.33</w:t>
            </w:r>
          </w:p>
        </w:tc>
        <w:tc>
          <w:tcPr>
            <w:tcW w:w="371" w:type="pct"/>
            <w:shd w:val="clear" w:color="auto" w:fill="auto"/>
            <w:vAlign w:val="center"/>
          </w:tcPr>
          <w:p w14:paraId="633DDFA5">
            <w:pPr>
              <w:widowControl/>
              <w:jc w:val="center"/>
              <w:rPr>
                <w:rFonts w:ascii="宋体" w:hAnsi="宋体" w:cs="宋体"/>
                <w:color w:val="000000"/>
                <w:kern w:val="0"/>
                <w:sz w:val="18"/>
                <w:szCs w:val="18"/>
              </w:rPr>
            </w:pPr>
            <w:r>
              <w:rPr>
                <w:rFonts w:ascii="宋体" w:hAnsi="宋体" w:cs="宋体"/>
                <w:color w:val="000000"/>
                <w:kern w:val="0"/>
                <w:sz w:val="18"/>
                <w:szCs w:val="18"/>
              </w:rPr>
              <w:t>284.33</w:t>
            </w:r>
          </w:p>
        </w:tc>
        <w:tc>
          <w:tcPr>
            <w:tcW w:w="371" w:type="pct"/>
            <w:shd w:val="clear" w:color="auto" w:fill="auto"/>
            <w:vAlign w:val="center"/>
          </w:tcPr>
          <w:p w14:paraId="5C69E1E8">
            <w:pPr>
              <w:widowControl/>
              <w:jc w:val="center"/>
              <w:rPr>
                <w:rFonts w:ascii="宋体" w:hAnsi="宋体" w:cs="宋体"/>
                <w:color w:val="000000"/>
                <w:kern w:val="0"/>
                <w:sz w:val="18"/>
                <w:szCs w:val="18"/>
              </w:rPr>
            </w:pPr>
            <w:r>
              <w:rPr>
                <w:rFonts w:ascii="宋体" w:hAnsi="宋体" w:cs="宋体"/>
                <w:color w:val="000000"/>
                <w:kern w:val="0"/>
                <w:sz w:val="18"/>
                <w:szCs w:val="18"/>
              </w:rPr>
              <w:t>284.33</w:t>
            </w:r>
          </w:p>
        </w:tc>
        <w:tc>
          <w:tcPr>
            <w:tcW w:w="371" w:type="pct"/>
            <w:vAlign w:val="center"/>
          </w:tcPr>
          <w:p w14:paraId="628592AE">
            <w:pPr>
              <w:widowControl/>
              <w:jc w:val="center"/>
              <w:rPr>
                <w:rFonts w:ascii="宋体" w:hAnsi="宋体" w:cs="宋体"/>
                <w:color w:val="000000"/>
                <w:kern w:val="0"/>
                <w:sz w:val="18"/>
                <w:szCs w:val="18"/>
              </w:rPr>
            </w:pPr>
            <w:r>
              <w:rPr>
                <w:rFonts w:ascii="宋体" w:hAnsi="宋体" w:cs="宋体"/>
                <w:color w:val="000000"/>
                <w:kern w:val="0"/>
                <w:sz w:val="18"/>
                <w:szCs w:val="18"/>
              </w:rPr>
              <w:t>296.97</w:t>
            </w:r>
          </w:p>
        </w:tc>
        <w:tc>
          <w:tcPr>
            <w:tcW w:w="371" w:type="pct"/>
            <w:vAlign w:val="center"/>
          </w:tcPr>
          <w:p w14:paraId="7DE4A8C8">
            <w:pPr>
              <w:widowControl/>
              <w:jc w:val="center"/>
              <w:rPr>
                <w:rFonts w:ascii="宋体" w:hAnsi="宋体" w:cs="宋体"/>
                <w:color w:val="000000"/>
                <w:kern w:val="0"/>
                <w:sz w:val="18"/>
                <w:szCs w:val="18"/>
              </w:rPr>
            </w:pPr>
            <w:r>
              <w:rPr>
                <w:rFonts w:ascii="宋体" w:hAnsi="宋体" w:cs="宋体"/>
                <w:color w:val="000000"/>
                <w:kern w:val="0"/>
                <w:sz w:val="18"/>
                <w:szCs w:val="18"/>
              </w:rPr>
              <w:t>296.97</w:t>
            </w:r>
          </w:p>
        </w:tc>
      </w:tr>
      <w:tr w14:paraId="1CC2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6E537818">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656" w:type="pct"/>
            <w:shd w:val="clear" w:color="auto" w:fill="auto"/>
            <w:vAlign w:val="center"/>
          </w:tcPr>
          <w:p w14:paraId="2CA36B66">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406" w:type="pct"/>
            <w:shd w:val="clear" w:color="auto" w:fill="auto"/>
            <w:vAlign w:val="center"/>
          </w:tcPr>
          <w:p w14:paraId="03F5EF8A">
            <w:pPr>
              <w:widowControl/>
              <w:jc w:val="center"/>
              <w:rPr>
                <w:rFonts w:ascii="宋体" w:hAnsi="宋体" w:cs="宋体"/>
                <w:color w:val="000000"/>
                <w:kern w:val="0"/>
                <w:sz w:val="18"/>
                <w:szCs w:val="18"/>
              </w:rPr>
            </w:pPr>
            <w:r>
              <w:rPr>
                <w:rFonts w:ascii="宋体" w:hAnsi="宋体" w:cs="宋体"/>
                <w:color w:val="000000"/>
                <w:kern w:val="0"/>
                <w:sz w:val="18"/>
                <w:szCs w:val="18"/>
              </w:rPr>
              <w:t>1,358.73</w:t>
            </w:r>
          </w:p>
        </w:tc>
        <w:tc>
          <w:tcPr>
            <w:tcW w:w="371" w:type="pct"/>
            <w:shd w:val="clear" w:color="auto" w:fill="auto"/>
            <w:vAlign w:val="center"/>
          </w:tcPr>
          <w:p w14:paraId="686C2FBB">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5A80907">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2035052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16DB351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0E6148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37E29AF3">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34E66FC3">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288354A1">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vAlign w:val="center"/>
          </w:tcPr>
          <w:p w14:paraId="651848DC">
            <w:pPr>
              <w:widowControl/>
              <w:jc w:val="center"/>
              <w:rPr>
                <w:rFonts w:ascii="宋体" w:hAnsi="宋体" w:cs="宋体"/>
                <w:color w:val="000000"/>
                <w:kern w:val="0"/>
                <w:sz w:val="18"/>
                <w:szCs w:val="18"/>
              </w:rPr>
            </w:pPr>
            <w:r>
              <w:rPr>
                <w:rFonts w:ascii="宋体" w:hAnsi="宋体" w:cs="宋体"/>
                <w:color w:val="000000"/>
                <w:kern w:val="0"/>
                <w:sz w:val="18"/>
                <w:szCs w:val="18"/>
              </w:rPr>
              <w:t>80.76</w:t>
            </w:r>
          </w:p>
        </w:tc>
        <w:tc>
          <w:tcPr>
            <w:tcW w:w="371" w:type="pct"/>
            <w:vAlign w:val="center"/>
          </w:tcPr>
          <w:p w14:paraId="65056A0B">
            <w:pPr>
              <w:widowControl/>
              <w:jc w:val="center"/>
              <w:rPr>
                <w:rFonts w:ascii="宋体" w:hAnsi="宋体" w:cs="宋体"/>
                <w:color w:val="000000"/>
                <w:kern w:val="0"/>
                <w:sz w:val="18"/>
                <w:szCs w:val="18"/>
              </w:rPr>
            </w:pPr>
            <w:r>
              <w:rPr>
                <w:rFonts w:ascii="宋体" w:hAnsi="宋体" w:cs="宋体"/>
                <w:color w:val="000000"/>
                <w:kern w:val="0"/>
                <w:sz w:val="18"/>
                <w:szCs w:val="18"/>
              </w:rPr>
              <w:t>173.74</w:t>
            </w:r>
          </w:p>
        </w:tc>
      </w:tr>
      <w:tr w14:paraId="5F825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29" w:type="pct"/>
            <w:shd w:val="clear" w:color="auto" w:fill="auto"/>
            <w:vAlign w:val="center"/>
          </w:tcPr>
          <w:p w14:paraId="38F7B85B">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656" w:type="pct"/>
            <w:shd w:val="clear" w:color="auto" w:fill="auto"/>
            <w:vAlign w:val="center"/>
          </w:tcPr>
          <w:p w14:paraId="3DD7B633">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406" w:type="pct"/>
            <w:shd w:val="clear" w:color="auto" w:fill="auto"/>
            <w:vAlign w:val="center"/>
          </w:tcPr>
          <w:p w14:paraId="272DECB6">
            <w:pPr>
              <w:widowControl/>
              <w:jc w:val="center"/>
              <w:rPr>
                <w:rFonts w:ascii="宋体" w:hAnsi="宋体" w:cs="宋体"/>
                <w:color w:val="000000"/>
                <w:kern w:val="0"/>
                <w:sz w:val="18"/>
                <w:szCs w:val="18"/>
              </w:rPr>
            </w:pPr>
            <w:r>
              <w:rPr>
                <w:rFonts w:ascii="宋体" w:hAnsi="宋体" w:cs="宋体"/>
                <w:color w:val="000000"/>
                <w:kern w:val="0"/>
                <w:sz w:val="18"/>
                <w:szCs w:val="18"/>
              </w:rPr>
              <w:t>10,300.00</w:t>
            </w:r>
          </w:p>
        </w:tc>
        <w:tc>
          <w:tcPr>
            <w:tcW w:w="371" w:type="pct"/>
            <w:shd w:val="clear" w:color="auto" w:fill="auto"/>
            <w:vAlign w:val="center"/>
          </w:tcPr>
          <w:p w14:paraId="205D64B9">
            <w:pPr>
              <w:widowControl/>
              <w:jc w:val="center"/>
              <w:rPr>
                <w:rFonts w:ascii="宋体" w:hAnsi="宋体" w:cs="宋体"/>
                <w:color w:val="000000"/>
                <w:kern w:val="0"/>
                <w:sz w:val="18"/>
                <w:szCs w:val="18"/>
              </w:rPr>
            </w:pPr>
            <w:r>
              <w:rPr>
                <w:rFonts w:ascii="宋体" w:hAnsi="宋体" w:cs="宋体"/>
                <w:color w:val="000000"/>
                <w:kern w:val="0"/>
                <w:sz w:val="18"/>
                <w:szCs w:val="18"/>
              </w:rPr>
              <w:t>6,000.00</w:t>
            </w:r>
          </w:p>
        </w:tc>
        <w:tc>
          <w:tcPr>
            <w:tcW w:w="371" w:type="pct"/>
            <w:shd w:val="clear" w:color="auto" w:fill="auto"/>
            <w:vAlign w:val="center"/>
          </w:tcPr>
          <w:p w14:paraId="5CFE2BED">
            <w:pPr>
              <w:widowControl/>
              <w:jc w:val="center"/>
              <w:rPr>
                <w:rFonts w:ascii="宋体" w:hAnsi="宋体" w:cs="宋体"/>
                <w:color w:val="000000"/>
                <w:kern w:val="0"/>
                <w:sz w:val="18"/>
                <w:szCs w:val="18"/>
              </w:rPr>
            </w:pPr>
            <w:r>
              <w:rPr>
                <w:rFonts w:ascii="宋体" w:hAnsi="宋体" w:cs="宋体"/>
                <w:color w:val="000000"/>
                <w:kern w:val="0"/>
                <w:sz w:val="18"/>
                <w:szCs w:val="18"/>
              </w:rPr>
              <w:t>4,300.00</w:t>
            </w:r>
          </w:p>
        </w:tc>
        <w:tc>
          <w:tcPr>
            <w:tcW w:w="371" w:type="pct"/>
            <w:shd w:val="clear" w:color="auto" w:fill="auto"/>
            <w:vAlign w:val="center"/>
          </w:tcPr>
          <w:p w14:paraId="3AE65528">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44AD3FF0">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76A0037A">
            <w:pPr>
              <w:widowControl/>
              <w:jc w:val="center"/>
              <w:rPr>
                <w:rFonts w:ascii="宋体" w:hAnsi="宋体" w:cs="宋体"/>
                <w:color w:val="000000"/>
                <w:kern w:val="0"/>
                <w:sz w:val="18"/>
                <w:szCs w:val="18"/>
              </w:rPr>
            </w:pPr>
          </w:p>
        </w:tc>
        <w:tc>
          <w:tcPr>
            <w:tcW w:w="371" w:type="pct"/>
            <w:shd w:val="clear" w:color="auto" w:fill="auto"/>
            <w:vAlign w:val="center"/>
          </w:tcPr>
          <w:p w14:paraId="307B569F">
            <w:pPr>
              <w:widowControl/>
              <w:jc w:val="center"/>
              <w:rPr>
                <w:rFonts w:ascii="宋体" w:hAnsi="宋体" w:cs="宋体"/>
                <w:color w:val="000000"/>
                <w:kern w:val="0"/>
                <w:sz w:val="18"/>
                <w:szCs w:val="18"/>
              </w:rPr>
            </w:pPr>
          </w:p>
        </w:tc>
        <w:tc>
          <w:tcPr>
            <w:tcW w:w="371" w:type="pct"/>
            <w:shd w:val="clear" w:color="auto" w:fill="auto"/>
            <w:vAlign w:val="center"/>
          </w:tcPr>
          <w:p w14:paraId="2CA01B78">
            <w:pPr>
              <w:widowControl/>
              <w:jc w:val="center"/>
              <w:rPr>
                <w:rFonts w:ascii="宋体" w:hAnsi="宋体" w:cs="宋体"/>
                <w:color w:val="000000"/>
                <w:kern w:val="0"/>
                <w:sz w:val="18"/>
                <w:szCs w:val="18"/>
              </w:rPr>
            </w:pPr>
          </w:p>
        </w:tc>
        <w:tc>
          <w:tcPr>
            <w:tcW w:w="371" w:type="pct"/>
            <w:shd w:val="clear" w:color="auto" w:fill="auto"/>
            <w:vAlign w:val="center"/>
          </w:tcPr>
          <w:p w14:paraId="355842B3">
            <w:pPr>
              <w:widowControl/>
              <w:jc w:val="center"/>
              <w:rPr>
                <w:rFonts w:ascii="宋体" w:hAnsi="宋体" w:cs="宋体"/>
                <w:color w:val="000000"/>
                <w:kern w:val="0"/>
                <w:sz w:val="18"/>
                <w:szCs w:val="18"/>
              </w:rPr>
            </w:pPr>
          </w:p>
        </w:tc>
        <w:tc>
          <w:tcPr>
            <w:tcW w:w="371" w:type="pct"/>
            <w:vAlign w:val="center"/>
          </w:tcPr>
          <w:p w14:paraId="671D856D">
            <w:pPr>
              <w:widowControl/>
              <w:jc w:val="center"/>
              <w:rPr>
                <w:rFonts w:ascii="宋体" w:hAnsi="宋体" w:cs="宋体"/>
                <w:color w:val="000000"/>
                <w:kern w:val="0"/>
                <w:sz w:val="18"/>
                <w:szCs w:val="18"/>
              </w:rPr>
            </w:pPr>
          </w:p>
        </w:tc>
        <w:tc>
          <w:tcPr>
            <w:tcW w:w="371" w:type="pct"/>
            <w:vAlign w:val="center"/>
          </w:tcPr>
          <w:p w14:paraId="7B880A0B">
            <w:pPr>
              <w:widowControl/>
              <w:jc w:val="center"/>
              <w:rPr>
                <w:rFonts w:ascii="宋体" w:hAnsi="宋体" w:cs="宋体"/>
                <w:color w:val="000000"/>
                <w:kern w:val="0"/>
                <w:sz w:val="18"/>
                <w:szCs w:val="18"/>
              </w:rPr>
            </w:pPr>
          </w:p>
        </w:tc>
      </w:tr>
      <w:tr w14:paraId="7C88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29" w:type="pct"/>
            <w:shd w:val="clear" w:color="auto" w:fill="auto"/>
            <w:vAlign w:val="center"/>
          </w:tcPr>
          <w:p w14:paraId="001BFD31">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656" w:type="pct"/>
            <w:shd w:val="clear" w:color="auto" w:fill="auto"/>
            <w:vAlign w:val="center"/>
          </w:tcPr>
          <w:p w14:paraId="731D8F30">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406" w:type="pct"/>
            <w:shd w:val="clear" w:color="auto" w:fill="auto"/>
            <w:vAlign w:val="center"/>
          </w:tcPr>
          <w:p w14:paraId="3C0BF142">
            <w:pPr>
              <w:widowControl/>
              <w:jc w:val="center"/>
              <w:rPr>
                <w:rFonts w:ascii="宋体" w:hAnsi="宋体" w:cs="宋体"/>
                <w:color w:val="000000"/>
                <w:kern w:val="0"/>
                <w:sz w:val="18"/>
                <w:szCs w:val="18"/>
              </w:rPr>
            </w:pPr>
            <w:r>
              <w:rPr>
                <w:rFonts w:ascii="宋体" w:hAnsi="宋体" w:cs="宋体"/>
                <w:color w:val="000000"/>
                <w:kern w:val="0"/>
                <w:sz w:val="18"/>
                <w:szCs w:val="18"/>
              </w:rPr>
              <w:t>13,412.70</w:t>
            </w:r>
          </w:p>
        </w:tc>
        <w:tc>
          <w:tcPr>
            <w:tcW w:w="371" w:type="pct"/>
            <w:shd w:val="clear" w:color="auto" w:fill="auto"/>
            <w:vAlign w:val="center"/>
          </w:tcPr>
          <w:p w14:paraId="7D9D4E37">
            <w:pPr>
              <w:widowControl/>
              <w:jc w:val="center"/>
              <w:rPr>
                <w:rFonts w:ascii="宋体" w:hAnsi="宋体" w:cs="宋体"/>
                <w:color w:val="000000"/>
                <w:kern w:val="0"/>
                <w:sz w:val="18"/>
                <w:szCs w:val="18"/>
              </w:rPr>
            </w:pPr>
            <w:r>
              <w:rPr>
                <w:rFonts w:ascii="宋体" w:hAnsi="宋体" w:cs="宋体"/>
                <w:color w:val="000000"/>
                <w:kern w:val="0"/>
                <w:sz w:val="18"/>
                <w:szCs w:val="18"/>
              </w:rPr>
              <w:t>82.25</w:t>
            </w:r>
          </w:p>
        </w:tc>
        <w:tc>
          <w:tcPr>
            <w:tcW w:w="371" w:type="pct"/>
            <w:shd w:val="clear" w:color="auto" w:fill="auto"/>
            <w:vAlign w:val="center"/>
          </w:tcPr>
          <w:p w14:paraId="1CAFDA10">
            <w:pPr>
              <w:widowControl/>
              <w:jc w:val="center"/>
              <w:rPr>
                <w:rFonts w:ascii="宋体" w:hAnsi="宋体" w:cs="宋体"/>
                <w:color w:val="000000"/>
                <w:kern w:val="0"/>
                <w:sz w:val="18"/>
                <w:szCs w:val="18"/>
              </w:rPr>
            </w:pPr>
            <w:r>
              <w:rPr>
                <w:rFonts w:ascii="宋体" w:hAnsi="宋体" w:cs="宋体"/>
                <w:color w:val="000000"/>
                <w:kern w:val="0"/>
                <w:sz w:val="18"/>
                <w:szCs w:val="18"/>
              </w:rPr>
              <w:t>237.75</w:t>
            </w:r>
          </w:p>
        </w:tc>
        <w:tc>
          <w:tcPr>
            <w:tcW w:w="371" w:type="pct"/>
            <w:shd w:val="clear" w:color="auto" w:fill="auto"/>
            <w:vAlign w:val="center"/>
          </w:tcPr>
          <w:p w14:paraId="61706640">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shd w:val="clear" w:color="auto" w:fill="auto"/>
            <w:vAlign w:val="center"/>
          </w:tcPr>
          <w:p w14:paraId="06934054">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shd w:val="clear" w:color="auto" w:fill="auto"/>
            <w:vAlign w:val="center"/>
          </w:tcPr>
          <w:p w14:paraId="40A8A97E">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shd w:val="clear" w:color="auto" w:fill="auto"/>
            <w:vAlign w:val="center"/>
          </w:tcPr>
          <w:p w14:paraId="6C06083B">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shd w:val="clear" w:color="auto" w:fill="auto"/>
            <w:vAlign w:val="center"/>
          </w:tcPr>
          <w:p w14:paraId="6D7013DE">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shd w:val="clear" w:color="auto" w:fill="auto"/>
            <w:vAlign w:val="center"/>
          </w:tcPr>
          <w:p w14:paraId="6B4D180C">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vAlign w:val="center"/>
          </w:tcPr>
          <w:p w14:paraId="6DEEA1AE">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vAlign w:val="center"/>
          </w:tcPr>
          <w:p w14:paraId="7FAD6DD8">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r>
      <w:tr w14:paraId="236A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75B2F2DB">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656" w:type="pct"/>
            <w:shd w:val="clear" w:color="auto" w:fill="auto"/>
            <w:vAlign w:val="center"/>
          </w:tcPr>
          <w:p w14:paraId="777C346A">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406" w:type="pct"/>
            <w:shd w:val="clear" w:color="auto" w:fill="auto"/>
            <w:vAlign w:val="center"/>
          </w:tcPr>
          <w:p w14:paraId="2523B7CC">
            <w:pPr>
              <w:widowControl/>
              <w:jc w:val="center"/>
              <w:rPr>
                <w:rFonts w:ascii="宋体" w:hAnsi="宋体" w:cs="宋体"/>
                <w:color w:val="000000"/>
                <w:kern w:val="0"/>
                <w:sz w:val="18"/>
                <w:szCs w:val="18"/>
              </w:rPr>
            </w:pPr>
            <w:r>
              <w:rPr>
                <w:rFonts w:ascii="宋体" w:hAnsi="宋体" w:cs="宋体"/>
                <w:color w:val="000000"/>
                <w:kern w:val="0"/>
                <w:sz w:val="18"/>
                <w:szCs w:val="18"/>
              </w:rPr>
              <w:t>8.70</w:t>
            </w:r>
          </w:p>
        </w:tc>
        <w:tc>
          <w:tcPr>
            <w:tcW w:w="371" w:type="pct"/>
            <w:shd w:val="clear" w:color="auto" w:fill="auto"/>
            <w:vAlign w:val="center"/>
          </w:tcPr>
          <w:p w14:paraId="536F9E3E">
            <w:pPr>
              <w:widowControl/>
              <w:jc w:val="center"/>
              <w:rPr>
                <w:rFonts w:ascii="宋体" w:hAnsi="宋体" w:cs="宋体"/>
                <w:color w:val="000000"/>
                <w:kern w:val="0"/>
                <w:sz w:val="18"/>
                <w:szCs w:val="18"/>
              </w:rPr>
            </w:pPr>
            <w:r>
              <w:rPr>
                <w:rFonts w:ascii="宋体" w:hAnsi="宋体" w:cs="宋体"/>
                <w:color w:val="000000"/>
                <w:kern w:val="0"/>
                <w:sz w:val="18"/>
                <w:szCs w:val="18"/>
              </w:rPr>
              <w:t>5.00</w:t>
            </w:r>
          </w:p>
        </w:tc>
        <w:tc>
          <w:tcPr>
            <w:tcW w:w="371" w:type="pct"/>
            <w:shd w:val="clear" w:color="auto" w:fill="auto"/>
            <w:vAlign w:val="center"/>
          </w:tcPr>
          <w:p w14:paraId="339C8CCC">
            <w:pPr>
              <w:widowControl/>
              <w:jc w:val="center"/>
              <w:rPr>
                <w:rFonts w:ascii="宋体" w:hAnsi="宋体" w:cs="宋体"/>
                <w:color w:val="000000"/>
                <w:kern w:val="0"/>
                <w:sz w:val="18"/>
                <w:szCs w:val="18"/>
              </w:rPr>
            </w:pPr>
            <w:r>
              <w:rPr>
                <w:rFonts w:ascii="宋体" w:hAnsi="宋体" w:cs="宋体"/>
                <w:color w:val="000000"/>
                <w:kern w:val="0"/>
                <w:sz w:val="18"/>
                <w:szCs w:val="18"/>
              </w:rPr>
              <w:t>3.70</w:t>
            </w:r>
          </w:p>
        </w:tc>
        <w:tc>
          <w:tcPr>
            <w:tcW w:w="371" w:type="pct"/>
            <w:shd w:val="clear" w:color="auto" w:fill="auto"/>
            <w:vAlign w:val="center"/>
          </w:tcPr>
          <w:p w14:paraId="4E6E98BC">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3A5DD45B">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7F4323D">
            <w:pPr>
              <w:widowControl/>
              <w:jc w:val="center"/>
              <w:rPr>
                <w:rFonts w:ascii="宋体" w:hAnsi="宋体" w:cs="宋体"/>
                <w:color w:val="000000"/>
                <w:kern w:val="0"/>
                <w:sz w:val="18"/>
                <w:szCs w:val="18"/>
              </w:rPr>
            </w:pPr>
          </w:p>
        </w:tc>
        <w:tc>
          <w:tcPr>
            <w:tcW w:w="371" w:type="pct"/>
            <w:shd w:val="clear" w:color="auto" w:fill="auto"/>
            <w:vAlign w:val="center"/>
          </w:tcPr>
          <w:p w14:paraId="7F4243F9">
            <w:pPr>
              <w:widowControl/>
              <w:jc w:val="center"/>
              <w:rPr>
                <w:rFonts w:ascii="宋体" w:hAnsi="宋体" w:cs="宋体"/>
                <w:color w:val="000000"/>
                <w:kern w:val="0"/>
                <w:sz w:val="18"/>
                <w:szCs w:val="18"/>
              </w:rPr>
            </w:pPr>
          </w:p>
        </w:tc>
        <w:tc>
          <w:tcPr>
            <w:tcW w:w="371" w:type="pct"/>
            <w:shd w:val="clear" w:color="auto" w:fill="auto"/>
            <w:vAlign w:val="center"/>
          </w:tcPr>
          <w:p w14:paraId="63679552">
            <w:pPr>
              <w:widowControl/>
              <w:jc w:val="center"/>
              <w:rPr>
                <w:rFonts w:ascii="宋体" w:hAnsi="宋体" w:cs="宋体"/>
                <w:color w:val="000000"/>
                <w:kern w:val="0"/>
                <w:sz w:val="18"/>
                <w:szCs w:val="18"/>
              </w:rPr>
            </w:pPr>
          </w:p>
        </w:tc>
        <w:tc>
          <w:tcPr>
            <w:tcW w:w="371" w:type="pct"/>
            <w:shd w:val="clear" w:color="auto" w:fill="auto"/>
            <w:vAlign w:val="center"/>
          </w:tcPr>
          <w:p w14:paraId="32248042">
            <w:pPr>
              <w:widowControl/>
              <w:jc w:val="center"/>
              <w:rPr>
                <w:rFonts w:ascii="宋体" w:hAnsi="宋体" w:cs="宋体"/>
                <w:color w:val="000000"/>
                <w:kern w:val="0"/>
                <w:sz w:val="18"/>
                <w:szCs w:val="18"/>
              </w:rPr>
            </w:pPr>
          </w:p>
        </w:tc>
        <w:tc>
          <w:tcPr>
            <w:tcW w:w="371" w:type="pct"/>
            <w:vAlign w:val="center"/>
          </w:tcPr>
          <w:p w14:paraId="6B803EFB">
            <w:pPr>
              <w:widowControl/>
              <w:jc w:val="center"/>
              <w:rPr>
                <w:rFonts w:ascii="宋体" w:hAnsi="宋体" w:cs="宋体"/>
                <w:color w:val="000000"/>
                <w:kern w:val="0"/>
                <w:sz w:val="18"/>
                <w:szCs w:val="18"/>
              </w:rPr>
            </w:pPr>
          </w:p>
        </w:tc>
        <w:tc>
          <w:tcPr>
            <w:tcW w:w="371" w:type="pct"/>
            <w:vAlign w:val="center"/>
          </w:tcPr>
          <w:p w14:paraId="124076DB">
            <w:pPr>
              <w:widowControl/>
              <w:jc w:val="center"/>
              <w:rPr>
                <w:rFonts w:ascii="宋体" w:hAnsi="宋体" w:cs="宋体"/>
                <w:color w:val="000000"/>
                <w:kern w:val="0"/>
                <w:sz w:val="18"/>
                <w:szCs w:val="18"/>
              </w:rPr>
            </w:pPr>
          </w:p>
        </w:tc>
      </w:tr>
      <w:tr w14:paraId="27824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7138D629">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656" w:type="pct"/>
            <w:shd w:val="clear" w:color="auto" w:fill="auto"/>
            <w:vAlign w:val="center"/>
          </w:tcPr>
          <w:p w14:paraId="17B9215A">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406" w:type="pct"/>
            <w:shd w:val="clear" w:color="auto" w:fill="auto"/>
            <w:vAlign w:val="center"/>
          </w:tcPr>
          <w:p w14:paraId="1EDA3014">
            <w:pPr>
              <w:widowControl/>
              <w:jc w:val="center"/>
              <w:rPr>
                <w:rFonts w:ascii="宋体" w:hAnsi="宋体" w:cs="宋体"/>
                <w:color w:val="000000"/>
                <w:kern w:val="0"/>
                <w:sz w:val="18"/>
                <w:szCs w:val="18"/>
              </w:rPr>
            </w:pPr>
            <w:r>
              <w:rPr>
                <w:rFonts w:ascii="宋体" w:hAnsi="宋体" w:cs="宋体"/>
                <w:color w:val="000000"/>
                <w:kern w:val="0"/>
                <w:sz w:val="18"/>
                <w:szCs w:val="18"/>
              </w:rPr>
              <w:t>8,700.00</w:t>
            </w:r>
          </w:p>
        </w:tc>
        <w:tc>
          <w:tcPr>
            <w:tcW w:w="371" w:type="pct"/>
            <w:shd w:val="clear" w:color="auto" w:fill="auto"/>
            <w:vAlign w:val="center"/>
          </w:tcPr>
          <w:p w14:paraId="65BBBB62">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3836AC95">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34D5B68F">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5EA5030">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2F8BD45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1259CB5A">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4DF5414B">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3DD6E75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vAlign w:val="center"/>
          </w:tcPr>
          <w:p w14:paraId="1F69770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vAlign w:val="center"/>
          </w:tcPr>
          <w:p w14:paraId="3A0B6EA1">
            <w:pPr>
              <w:widowControl/>
              <w:jc w:val="center"/>
              <w:rPr>
                <w:rFonts w:ascii="宋体" w:hAnsi="宋体" w:cs="宋体"/>
                <w:color w:val="000000"/>
                <w:kern w:val="0"/>
                <w:sz w:val="18"/>
                <w:szCs w:val="18"/>
              </w:rPr>
            </w:pPr>
            <w:r>
              <w:rPr>
                <w:rFonts w:ascii="宋体" w:hAnsi="宋体" w:cs="宋体"/>
                <w:color w:val="000000"/>
                <w:kern w:val="0"/>
                <w:sz w:val="18"/>
                <w:szCs w:val="18"/>
              </w:rPr>
              <w:t>-</w:t>
            </w:r>
          </w:p>
        </w:tc>
      </w:tr>
      <w:tr w14:paraId="3E36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1F1AEA34">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656" w:type="pct"/>
            <w:shd w:val="clear" w:color="auto" w:fill="auto"/>
            <w:vAlign w:val="center"/>
          </w:tcPr>
          <w:p w14:paraId="7D3A97DD">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406" w:type="pct"/>
            <w:shd w:val="clear" w:color="auto" w:fill="auto"/>
            <w:vAlign w:val="center"/>
          </w:tcPr>
          <w:p w14:paraId="2A3C5EE5">
            <w:pPr>
              <w:widowControl/>
              <w:jc w:val="center"/>
              <w:rPr>
                <w:rFonts w:ascii="宋体" w:hAnsi="宋体" w:cs="宋体"/>
                <w:color w:val="000000"/>
                <w:kern w:val="0"/>
                <w:sz w:val="18"/>
                <w:szCs w:val="18"/>
              </w:rPr>
            </w:pPr>
            <w:r>
              <w:rPr>
                <w:rFonts w:ascii="宋体" w:hAnsi="宋体" w:cs="宋体"/>
                <w:color w:val="000000"/>
                <w:kern w:val="0"/>
                <w:sz w:val="18"/>
                <w:szCs w:val="18"/>
              </w:rPr>
              <w:t>4,704.00</w:t>
            </w:r>
          </w:p>
        </w:tc>
        <w:tc>
          <w:tcPr>
            <w:tcW w:w="371" w:type="pct"/>
            <w:shd w:val="clear" w:color="auto" w:fill="auto"/>
            <w:vAlign w:val="center"/>
          </w:tcPr>
          <w:p w14:paraId="3AAD55A0">
            <w:pPr>
              <w:widowControl/>
              <w:jc w:val="center"/>
              <w:rPr>
                <w:rFonts w:ascii="宋体" w:hAnsi="宋体" w:cs="宋体"/>
                <w:color w:val="000000"/>
                <w:kern w:val="0"/>
                <w:sz w:val="18"/>
                <w:szCs w:val="18"/>
              </w:rPr>
            </w:pPr>
            <w:r>
              <w:rPr>
                <w:rFonts w:ascii="宋体" w:hAnsi="宋体" w:cs="宋体"/>
                <w:color w:val="000000"/>
                <w:kern w:val="0"/>
                <w:sz w:val="18"/>
                <w:szCs w:val="18"/>
              </w:rPr>
              <w:t>77.25</w:t>
            </w:r>
          </w:p>
        </w:tc>
        <w:tc>
          <w:tcPr>
            <w:tcW w:w="371" w:type="pct"/>
            <w:shd w:val="clear" w:color="auto" w:fill="auto"/>
            <w:vAlign w:val="center"/>
          </w:tcPr>
          <w:p w14:paraId="0385F766">
            <w:pPr>
              <w:widowControl/>
              <w:jc w:val="center"/>
              <w:rPr>
                <w:rFonts w:ascii="宋体" w:hAnsi="宋体" w:cs="宋体"/>
                <w:color w:val="000000"/>
                <w:kern w:val="0"/>
                <w:sz w:val="18"/>
                <w:szCs w:val="18"/>
              </w:rPr>
            </w:pPr>
            <w:r>
              <w:rPr>
                <w:rFonts w:ascii="宋体" w:hAnsi="宋体" w:cs="宋体"/>
                <w:color w:val="000000"/>
                <w:kern w:val="0"/>
                <w:sz w:val="18"/>
                <w:szCs w:val="18"/>
              </w:rPr>
              <w:t>234.05</w:t>
            </w:r>
          </w:p>
        </w:tc>
        <w:tc>
          <w:tcPr>
            <w:tcW w:w="371" w:type="pct"/>
            <w:shd w:val="clear" w:color="auto" w:fill="auto"/>
            <w:vAlign w:val="center"/>
          </w:tcPr>
          <w:p w14:paraId="08AA1BDD">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shd w:val="clear" w:color="auto" w:fill="auto"/>
            <w:vAlign w:val="center"/>
          </w:tcPr>
          <w:p w14:paraId="2D9EEE59">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shd w:val="clear" w:color="auto" w:fill="auto"/>
            <w:vAlign w:val="center"/>
          </w:tcPr>
          <w:p w14:paraId="65D19B84">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shd w:val="clear" w:color="auto" w:fill="auto"/>
            <w:vAlign w:val="center"/>
          </w:tcPr>
          <w:p w14:paraId="62678666">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shd w:val="clear" w:color="auto" w:fill="auto"/>
            <w:vAlign w:val="center"/>
          </w:tcPr>
          <w:p w14:paraId="4A33A14D">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shd w:val="clear" w:color="auto" w:fill="auto"/>
            <w:vAlign w:val="center"/>
          </w:tcPr>
          <w:p w14:paraId="67C5C6CB">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vAlign w:val="center"/>
          </w:tcPr>
          <w:p w14:paraId="5D0CC2A2">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371" w:type="pct"/>
            <w:vAlign w:val="center"/>
          </w:tcPr>
          <w:p w14:paraId="16BAF547">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r>
      <w:tr w14:paraId="24EF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29" w:type="pct"/>
            <w:shd w:val="clear" w:color="auto" w:fill="auto"/>
            <w:vAlign w:val="center"/>
          </w:tcPr>
          <w:p w14:paraId="0080161D">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656" w:type="pct"/>
            <w:shd w:val="clear" w:color="auto" w:fill="auto"/>
            <w:vAlign w:val="center"/>
          </w:tcPr>
          <w:p w14:paraId="48933740">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406" w:type="pct"/>
            <w:shd w:val="clear" w:color="auto" w:fill="auto"/>
            <w:vAlign w:val="center"/>
          </w:tcPr>
          <w:p w14:paraId="67E8295E">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6732C8DD">
            <w:pPr>
              <w:widowControl/>
              <w:jc w:val="center"/>
              <w:rPr>
                <w:rFonts w:ascii="宋体" w:hAnsi="宋体" w:cs="宋体"/>
                <w:color w:val="000000"/>
                <w:kern w:val="0"/>
                <w:sz w:val="18"/>
                <w:szCs w:val="18"/>
              </w:rPr>
            </w:pPr>
          </w:p>
        </w:tc>
        <w:tc>
          <w:tcPr>
            <w:tcW w:w="371" w:type="pct"/>
            <w:shd w:val="clear" w:color="auto" w:fill="auto"/>
            <w:vAlign w:val="center"/>
          </w:tcPr>
          <w:p w14:paraId="1833CBD3">
            <w:pPr>
              <w:widowControl/>
              <w:jc w:val="center"/>
              <w:rPr>
                <w:rFonts w:ascii="宋体" w:hAnsi="宋体" w:cs="宋体"/>
                <w:color w:val="000000"/>
                <w:kern w:val="0"/>
                <w:sz w:val="18"/>
                <w:szCs w:val="18"/>
              </w:rPr>
            </w:pPr>
          </w:p>
        </w:tc>
        <w:tc>
          <w:tcPr>
            <w:tcW w:w="371" w:type="pct"/>
            <w:shd w:val="clear" w:color="auto" w:fill="auto"/>
            <w:vAlign w:val="center"/>
          </w:tcPr>
          <w:p w14:paraId="6FDB3850">
            <w:pPr>
              <w:widowControl/>
              <w:jc w:val="center"/>
              <w:rPr>
                <w:rFonts w:ascii="宋体" w:hAnsi="宋体" w:cs="宋体"/>
                <w:color w:val="000000"/>
                <w:kern w:val="0"/>
                <w:sz w:val="18"/>
                <w:szCs w:val="18"/>
              </w:rPr>
            </w:pPr>
          </w:p>
        </w:tc>
        <w:tc>
          <w:tcPr>
            <w:tcW w:w="371" w:type="pct"/>
            <w:shd w:val="clear" w:color="auto" w:fill="auto"/>
            <w:vAlign w:val="center"/>
          </w:tcPr>
          <w:p w14:paraId="0ADB46FD">
            <w:pPr>
              <w:widowControl/>
              <w:jc w:val="center"/>
              <w:rPr>
                <w:rFonts w:ascii="宋体" w:hAnsi="宋体" w:cs="宋体"/>
                <w:color w:val="000000"/>
                <w:kern w:val="0"/>
                <w:sz w:val="18"/>
                <w:szCs w:val="18"/>
              </w:rPr>
            </w:pPr>
          </w:p>
        </w:tc>
        <w:tc>
          <w:tcPr>
            <w:tcW w:w="371" w:type="pct"/>
            <w:shd w:val="clear" w:color="auto" w:fill="auto"/>
            <w:vAlign w:val="center"/>
          </w:tcPr>
          <w:p w14:paraId="3F0623CF">
            <w:pPr>
              <w:widowControl/>
              <w:jc w:val="center"/>
              <w:rPr>
                <w:rFonts w:ascii="宋体" w:hAnsi="宋体" w:cs="宋体"/>
                <w:color w:val="000000"/>
                <w:kern w:val="0"/>
                <w:sz w:val="18"/>
                <w:szCs w:val="18"/>
              </w:rPr>
            </w:pPr>
          </w:p>
        </w:tc>
        <w:tc>
          <w:tcPr>
            <w:tcW w:w="371" w:type="pct"/>
            <w:shd w:val="clear" w:color="auto" w:fill="auto"/>
            <w:vAlign w:val="center"/>
          </w:tcPr>
          <w:p w14:paraId="45BE66E5">
            <w:pPr>
              <w:widowControl/>
              <w:jc w:val="center"/>
              <w:rPr>
                <w:rFonts w:ascii="宋体" w:hAnsi="宋体" w:cs="宋体"/>
                <w:color w:val="000000"/>
                <w:kern w:val="0"/>
                <w:sz w:val="18"/>
                <w:szCs w:val="18"/>
              </w:rPr>
            </w:pPr>
          </w:p>
        </w:tc>
        <w:tc>
          <w:tcPr>
            <w:tcW w:w="371" w:type="pct"/>
            <w:shd w:val="clear" w:color="auto" w:fill="auto"/>
            <w:vAlign w:val="center"/>
          </w:tcPr>
          <w:p w14:paraId="1986B115">
            <w:pPr>
              <w:widowControl/>
              <w:jc w:val="center"/>
              <w:rPr>
                <w:rFonts w:ascii="宋体" w:hAnsi="宋体" w:cs="宋体"/>
                <w:color w:val="000000"/>
                <w:kern w:val="0"/>
                <w:sz w:val="18"/>
                <w:szCs w:val="18"/>
              </w:rPr>
            </w:pPr>
          </w:p>
        </w:tc>
        <w:tc>
          <w:tcPr>
            <w:tcW w:w="371" w:type="pct"/>
            <w:shd w:val="clear" w:color="auto" w:fill="auto"/>
            <w:vAlign w:val="center"/>
          </w:tcPr>
          <w:p w14:paraId="22959B4D">
            <w:pPr>
              <w:widowControl/>
              <w:jc w:val="center"/>
              <w:rPr>
                <w:rFonts w:ascii="宋体" w:hAnsi="宋体" w:cs="宋体"/>
                <w:color w:val="000000"/>
                <w:kern w:val="0"/>
                <w:sz w:val="18"/>
                <w:szCs w:val="18"/>
              </w:rPr>
            </w:pPr>
          </w:p>
        </w:tc>
        <w:tc>
          <w:tcPr>
            <w:tcW w:w="371" w:type="pct"/>
            <w:vAlign w:val="center"/>
          </w:tcPr>
          <w:p w14:paraId="09A4B1A4">
            <w:pPr>
              <w:widowControl/>
              <w:jc w:val="center"/>
              <w:rPr>
                <w:rFonts w:ascii="宋体" w:hAnsi="宋体" w:cs="宋体"/>
                <w:color w:val="000000"/>
                <w:kern w:val="0"/>
                <w:sz w:val="18"/>
                <w:szCs w:val="18"/>
              </w:rPr>
            </w:pPr>
          </w:p>
        </w:tc>
        <w:tc>
          <w:tcPr>
            <w:tcW w:w="371" w:type="pct"/>
            <w:vAlign w:val="center"/>
          </w:tcPr>
          <w:p w14:paraId="61C136A2">
            <w:pPr>
              <w:widowControl/>
              <w:jc w:val="center"/>
              <w:rPr>
                <w:rFonts w:ascii="宋体" w:hAnsi="宋体" w:cs="宋体"/>
                <w:color w:val="000000"/>
                <w:kern w:val="0"/>
                <w:sz w:val="18"/>
                <w:szCs w:val="18"/>
              </w:rPr>
            </w:pPr>
          </w:p>
        </w:tc>
      </w:tr>
      <w:tr w14:paraId="18B39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29" w:type="pct"/>
            <w:shd w:val="clear" w:color="auto" w:fill="auto"/>
            <w:vAlign w:val="center"/>
          </w:tcPr>
          <w:p w14:paraId="5F21B92E">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656" w:type="pct"/>
            <w:shd w:val="clear" w:color="auto" w:fill="auto"/>
            <w:vAlign w:val="center"/>
          </w:tcPr>
          <w:p w14:paraId="6A708D25">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406" w:type="pct"/>
            <w:shd w:val="clear" w:color="auto" w:fill="auto"/>
            <w:vAlign w:val="center"/>
          </w:tcPr>
          <w:p w14:paraId="32D685EA">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63A5D208">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5D21DE7">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67C77DF">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3E96EB9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35FBE04C">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73BED5C1">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7414A9B8">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073390F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vAlign w:val="center"/>
          </w:tcPr>
          <w:p w14:paraId="794EB357">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vAlign w:val="center"/>
          </w:tcPr>
          <w:p w14:paraId="70524892">
            <w:pPr>
              <w:widowControl/>
              <w:jc w:val="center"/>
              <w:rPr>
                <w:rFonts w:ascii="宋体" w:hAnsi="宋体" w:cs="宋体"/>
                <w:color w:val="000000"/>
                <w:kern w:val="0"/>
                <w:sz w:val="18"/>
                <w:szCs w:val="18"/>
              </w:rPr>
            </w:pPr>
            <w:r>
              <w:rPr>
                <w:rFonts w:ascii="宋体" w:hAnsi="宋体" w:cs="宋体"/>
                <w:color w:val="000000"/>
                <w:kern w:val="0"/>
                <w:sz w:val="18"/>
                <w:szCs w:val="18"/>
              </w:rPr>
              <w:t>-</w:t>
            </w:r>
          </w:p>
        </w:tc>
      </w:tr>
      <w:tr w14:paraId="0FA9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28E2891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656" w:type="pct"/>
            <w:shd w:val="clear" w:color="auto" w:fill="auto"/>
            <w:vAlign w:val="center"/>
          </w:tcPr>
          <w:p w14:paraId="4EDC3FE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406" w:type="pct"/>
            <w:shd w:val="clear" w:color="auto" w:fill="auto"/>
            <w:vAlign w:val="center"/>
          </w:tcPr>
          <w:p w14:paraId="24C76C16">
            <w:pPr>
              <w:widowControl/>
              <w:jc w:val="center"/>
              <w:rPr>
                <w:rFonts w:ascii="宋体" w:hAnsi="宋体" w:cs="宋体"/>
                <w:color w:val="000000"/>
                <w:kern w:val="0"/>
                <w:sz w:val="18"/>
                <w:szCs w:val="18"/>
              </w:rPr>
            </w:pPr>
            <w:r>
              <w:rPr>
                <w:rFonts w:ascii="宋体" w:hAnsi="宋体" w:cs="宋体"/>
                <w:color w:val="000000"/>
                <w:kern w:val="0"/>
                <w:sz w:val="18"/>
                <w:szCs w:val="18"/>
              </w:rPr>
              <w:t>6,666.48</w:t>
            </w:r>
          </w:p>
        </w:tc>
        <w:tc>
          <w:tcPr>
            <w:tcW w:w="371" w:type="pct"/>
            <w:shd w:val="clear" w:color="auto" w:fill="auto"/>
            <w:vAlign w:val="center"/>
          </w:tcPr>
          <w:p w14:paraId="3EBA36BA">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108A0D5B">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202A0CB5">
            <w:pPr>
              <w:widowControl/>
              <w:jc w:val="center"/>
              <w:rPr>
                <w:rFonts w:ascii="宋体" w:hAnsi="宋体" w:cs="宋体"/>
                <w:color w:val="000000"/>
                <w:kern w:val="0"/>
                <w:sz w:val="18"/>
                <w:szCs w:val="18"/>
              </w:rPr>
            </w:pPr>
            <w:r>
              <w:rPr>
                <w:rFonts w:ascii="宋体" w:hAnsi="宋体" w:cs="宋体"/>
                <w:color w:val="000000"/>
                <w:kern w:val="0"/>
                <w:sz w:val="18"/>
                <w:szCs w:val="18"/>
              </w:rPr>
              <w:t>623.80</w:t>
            </w:r>
          </w:p>
        </w:tc>
        <w:tc>
          <w:tcPr>
            <w:tcW w:w="371" w:type="pct"/>
            <w:shd w:val="clear" w:color="auto" w:fill="auto"/>
            <w:vAlign w:val="center"/>
          </w:tcPr>
          <w:p w14:paraId="30E184FD">
            <w:pPr>
              <w:widowControl/>
              <w:jc w:val="center"/>
              <w:rPr>
                <w:rFonts w:ascii="宋体" w:hAnsi="宋体" w:cs="宋体"/>
                <w:color w:val="000000"/>
                <w:kern w:val="0"/>
                <w:sz w:val="18"/>
                <w:szCs w:val="18"/>
              </w:rPr>
            </w:pPr>
            <w:r>
              <w:rPr>
                <w:rFonts w:ascii="宋体" w:hAnsi="宋体" w:cs="宋体"/>
                <w:color w:val="000000"/>
                <w:kern w:val="0"/>
                <w:sz w:val="18"/>
                <w:szCs w:val="18"/>
              </w:rPr>
              <w:t>821.98</w:t>
            </w:r>
          </w:p>
        </w:tc>
        <w:tc>
          <w:tcPr>
            <w:tcW w:w="371" w:type="pct"/>
            <w:shd w:val="clear" w:color="auto" w:fill="auto"/>
            <w:vAlign w:val="center"/>
          </w:tcPr>
          <w:p w14:paraId="3F40DA3D">
            <w:pPr>
              <w:widowControl/>
              <w:jc w:val="center"/>
              <w:rPr>
                <w:rFonts w:ascii="宋体" w:hAnsi="宋体" w:cs="宋体"/>
                <w:color w:val="000000"/>
                <w:kern w:val="0"/>
                <w:sz w:val="18"/>
                <w:szCs w:val="18"/>
              </w:rPr>
            </w:pPr>
            <w:r>
              <w:rPr>
                <w:rFonts w:ascii="宋体" w:hAnsi="宋体" w:cs="宋体"/>
                <w:color w:val="000000"/>
                <w:kern w:val="0"/>
                <w:sz w:val="18"/>
                <w:szCs w:val="18"/>
              </w:rPr>
              <w:t>987.04</w:t>
            </w:r>
          </w:p>
        </w:tc>
        <w:tc>
          <w:tcPr>
            <w:tcW w:w="371" w:type="pct"/>
            <w:shd w:val="clear" w:color="auto" w:fill="auto"/>
            <w:vAlign w:val="center"/>
          </w:tcPr>
          <w:p w14:paraId="0DCD02FC">
            <w:pPr>
              <w:widowControl/>
              <w:jc w:val="center"/>
              <w:rPr>
                <w:rFonts w:ascii="宋体" w:hAnsi="宋体" w:cs="宋体"/>
                <w:color w:val="000000"/>
                <w:kern w:val="0"/>
                <w:sz w:val="18"/>
                <w:szCs w:val="18"/>
              </w:rPr>
            </w:pPr>
            <w:r>
              <w:rPr>
                <w:rFonts w:ascii="宋体" w:hAnsi="宋体" w:cs="宋体"/>
                <w:color w:val="000000"/>
                <w:kern w:val="0"/>
                <w:sz w:val="18"/>
                <w:szCs w:val="18"/>
              </w:rPr>
              <w:t>1,192.14</w:t>
            </w:r>
          </w:p>
        </w:tc>
        <w:tc>
          <w:tcPr>
            <w:tcW w:w="371" w:type="pct"/>
            <w:shd w:val="clear" w:color="auto" w:fill="auto"/>
            <w:vAlign w:val="center"/>
          </w:tcPr>
          <w:p w14:paraId="7CE67FB2">
            <w:pPr>
              <w:widowControl/>
              <w:jc w:val="center"/>
              <w:rPr>
                <w:rFonts w:ascii="宋体" w:hAnsi="宋体" w:cs="宋体"/>
                <w:color w:val="000000"/>
                <w:kern w:val="0"/>
                <w:sz w:val="18"/>
                <w:szCs w:val="18"/>
              </w:rPr>
            </w:pPr>
            <w:r>
              <w:rPr>
                <w:rFonts w:ascii="宋体" w:hAnsi="宋体" w:cs="宋体"/>
                <w:color w:val="000000"/>
                <w:kern w:val="0"/>
                <w:sz w:val="18"/>
                <w:szCs w:val="18"/>
              </w:rPr>
              <w:t>1,192.14</w:t>
            </w:r>
          </w:p>
        </w:tc>
        <w:tc>
          <w:tcPr>
            <w:tcW w:w="371" w:type="pct"/>
            <w:shd w:val="clear" w:color="auto" w:fill="auto"/>
            <w:vAlign w:val="center"/>
          </w:tcPr>
          <w:p w14:paraId="05DBBBE1">
            <w:pPr>
              <w:widowControl/>
              <w:jc w:val="center"/>
              <w:rPr>
                <w:rFonts w:ascii="宋体" w:hAnsi="宋体" w:cs="宋体"/>
                <w:color w:val="000000"/>
                <w:kern w:val="0"/>
                <w:sz w:val="18"/>
                <w:szCs w:val="18"/>
              </w:rPr>
            </w:pPr>
            <w:r>
              <w:rPr>
                <w:rFonts w:ascii="宋体" w:hAnsi="宋体" w:cs="宋体"/>
                <w:color w:val="000000"/>
                <w:kern w:val="0"/>
                <w:sz w:val="18"/>
                <w:szCs w:val="18"/>
              </w:rPr>
              <w:t>1,192.14</w:t>
            </w:r>
          </w:p>
        </w:tc>
        <w:tc>
          <w:tcPr>
            <w:tcW w:w="371" w:type="pct"/>
            <w:vAlign w:val="center"/>
          </w:tcPr>
          <w:p w14:paraId="51EB0B94">
            <w:pPr>
              <w:widowControl/>
              <w:jc w:val="center"/>
              <w:rPr>
                <w:rFonts w:ascii="宋体" w:hAnsi="宋体" w:cs="宋体"/>
                <w:color w:val="000000"/>
                <w:kern w:val="0"/>
                <w:sz w:val="18"/>
                <w:szCs w:val="18"/>
              </w:rPr>
            </w:pPr>
            <w:r>
              <w:rPr>
                <w:rFonts w:ascii="宋体" w:hAnsi="宋体" w:cs="宋体"/>
                <w:color w:val="000000"/>
                <w:kern w:val="0"/>
                <w:sz w:val="18"/>
                <w:szCs w:val="18"/>
              </w:rPr>
              <w:t>1,187.39</w:t>
            </w:r>
          </w:p>
        </w:tc>
        <w:tc>
          <w:tcPr>
            <w:tcW w:w="371" w:type="pct"/>
            <w:vAlign w:val="center"/>
          </w:tcPr>
          <w:p w14:paraId="1E535BDE">
            <w:pPr>
              <w:widowControl/>
              <w:jc w:val="center"/>
              <w:rPr>
                <w:rFonts w:ascii="宋体" w:hAnsi="宋体" w:cs="宋体"/>
                <w:color w:val="000000"/>
                <w:kern w:val="0"/>
                <w:sz w:val="18"/>
                <w:szCs w:val="18"/>
              </w:rPr>
            </w:pPr>
            <w:r>
              <w:rPr>
                <w:rFonts w:ascii="宋体" w:hAnsi="宋体" w:cs="宋体"/>
                <w:color w:val="000000"/>
                <w:kern w:val="0"/>
                <w:sz w:val="18"/>
                <w:szCs w:val="18"/>
              </w:rPr>
              <w:t>1,094.41</w:t>
            </w:r>
          </w:p>
        </w:tc>
      </w:tr>
      <w:tr w14:paraId="7237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757A392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656" w:type="pct"/>
            <w:shd w:val="clear" w:color="auto" w:fill="auto"/>
            <w:vAlign w:val="center"/>
          </w:tcPr>
          <w:p w14:paraId="475B56D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406" w:type="pct"/>
            <w:shd w:val="clear" w:color="auto" w:fill="auto"/>
            <w:vAlign w:val="center"/>
          </w:tcPr>
          <w:p w14:paraId="3024047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7A1D6BED">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7EEE47D3">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554E82F0">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272B84B7">
            <w:pPr>
              <w:widowControl/>
              <w:jc w:val="center"/>
              <w:rPr>
                <w:rFonts w:ascii="宋体" w:hAnsi="宋体" w:cs="宋体"/>
                <w:color w:val="000000"/>
                <w:kern w:val="0"/>
                <w:sz w:val="18"/>
                <w:szCs w:val="18"/>
              </w:rPr>
            </w:pPr>
            <w:r>
              <w:rPr>
                <w:rFonts w:ascii="宋体" w:hAnsi="宋体" w:cs="宋体"/>
                <w:color w:val="000000"/>
                <w:kern w:val="0"/>
                <w:sz w:val="18"/>
                <w:szCs w:val="18"/>
              </w:rPr>
              <w:t>623.80</w:t>
            </w:r>
          </w:p>
        </w:tc>
        <w:tc>
          <w:tcPr>
            <w:tcW w:w="371" w:type="pct"/>
            <w:shd w:val="clear" w:color="auto" w:fill="auto"/>
            <w:vAlign w:val="center"/>
          </w:tcPr>
          <w:p w14:paraId="286ABCF3">
            <w:pPr>
              <w:widowControl/>
              <w:jc w:val="center"/>
              <w:rPr>
                <w:rFonts w:ascii="宋体" w:hAnsi="宋体" w:cs="宋体"/>
                <w:color w:val="000000"/>
                <w:kern w:val="0"/>
                <w:sz w:val="18"/>
                <w:szCs w:val="18"/>
              </w:rPr>
            </w:pPr>
            <w:r>
              <w:rPr>
                <w:rFonts w:ascii="宋体" w:hAnsi="宋体" w:cs="宋体"/>
                <w:color w:val="000000"/>
                <w:kern w:val="0"/>
                <w:sz w:val="18"/>
                <w:szCs w:val="18"/>
              </w:rPr>
              <w:t>1,445.78</w:t>
            </w:r>
          </w:p>
        </w:tc>
        <w:tc>
          <w:tcPr>
            <w:tcW w:w="371" w:type="pct"/>
            <w:shd w:val="clear" w:color="auto" w:fill="auto"/>
            <w:vAlign w:val="center"/>
          </w:tcPr>
          <w:p w14:paraId="1A200391">
            <w:pPr>
              <w:widowControl/>
              <w:jc w:val="center"/>
              <w:rPr>
                <w:rFonts w:ascii="宋体" w:hAnsi="宋体" w:cs="宋体"/>
                <w:color w:val="000000"/>
                <w:kern w:val="0"/>
                <w:sz w:val="18"/>
                <w:szCs w:val="18"/>
              </w:rPr>
            </w:pPr>
            <w:r>
              <w:rPr>
                <w:rFonts w:ascii="宋体" w:hAnsi="宋体" w:cs="宋体"/>
                <w:color w:val="000000"/>
                <w:kern w:val="0"/>
                <w:sz w:val="18"/>
                <w:szCs w:val="18"/>
              </w:rPr>
              <w:t>2,432.82</w:t>
            </w:r>
          </w:p>
        </w:tc>
        <w:tc>
          <w:tcPr>
            <w:tcW w:w="371" w:type="pct"/>
            <w:shd w:val="clear" w:color="auto" w:fill="auto"/>
            <w:vAlign w:val="center"/>
          </w:tcPr>
          <w:p w14:paraId="14B08E13">
            <w:pPr>
              <w:widowControl/>
              <w:jc w:val="center"/>
              <w:rPr>
                <w:rFonts w:ascii="宋体" w:hAnsi="宋体" w:cs="宋体"/>
                <w:color w:val="000000"/>
                <w:kern w:val="0"/>
                <w:sz w:val="18"/>
                <w:szCs w:val="18"/>
              </w:rPr>
            </w:pPr>
            <w:r>
              <w:rPr>
                <w:rFonts w:ascii="宋体" w:hAnsi="宋体" w:cs="宋体"/>
                <w:color w:val="000000"/>
                <w:kern w:val="0"/>
                <w:sz w:val="18"/>
                <w:szCs w:val="18"/>
              </w:rPr>
              <w:t>3,624.96</w:t>
            </w:r>
          </w:p>
        </w:tc>
        <w:tc>
          <w:tcPr>
            <w:tcW w:w="371" w:type="pct"/>
            <w:shd w:val="clear" w:color="auto" w:fill="auto"/>
            <w:vAlign w:val="center"/>
          </w:tcPr>
          <w:p w14:paraId="41C05707">
            <w:pPr>
              <w:widowControl/>
              <w:jc w:val="center"/>
              <w:rPr>
                <w:rFonts w:ascii="宋体" w:hAnsi="宋体" w:cs="宋体"/>
                <w:color w:val="000000"/>
                <w:kern w:val="0"/>
                <w:sz w:val="18"/>
                <w:szCs w:val="18"/>
              </w:rPr>
            </w:pPr>
            <w:r>
              <w:rPr>
                <w:rFonts w:ascii="宋体" w:hAnsi="宋体" w:cs="宋体"/>
                <w:color w:val="000000"/>
                <w:kern w:val="0"/>
                <w:sz w:val="18"/>
                <w:szCs w:val="18"/>
              </w:rPr>
              <w:t>4,817.10</w:t>
            </w:r>
          </w:p>
        </w:tc>
        <w:tc>
          <w:tcPr>
            <w:tcW w:w="371" w:type="pct"/>
            <w:vAlign w:val="center"/>
          </w:tcPr>
          <w:p w14:paraId="06CC5282">
            <w:pPr>
              <w:widowControl/>
              <w:jc w:val="center"/>
              <w:rPr>
                <w:rFonts w:ascii="宋体" w:hAnsi="宋体" w:cs="宋体"/>
                <w:color w:val="000000"/>
                <w:kern w:val="0"/>
                <w:sz w:val="18"/>
                <w:szCs w:val="18"/>
              </w:rPr>
            </w:pPr>
            <w:r>
              <w:rPr>
                <w:rFonts w:ascii="宋体" w:hAnsi="宋体" w:cs="宋体"/>
                <w:color w:val="000000"/>
                <w:kern w:val="0"/>
                <w:sz w:val="18"/>
                <w:szCs w:val="18"/>
              </w:rPr>
              <w:t>6,009.24</w:t>
            </w:r>
          </w:p>
        </w:tc>
        <w:tc>
          <w:tcPr>
            <w:tcW w:w="371" w:type="pct"/>
            <w:vAlign w:val="center"/>
          </w:tcPr>
          <w:p w14:paraId="4AECC874">
            <w:pPr>
              <w:widowControl/>
              <w:jc w:val="center"/>
              <w:rPr>
                <w:rFonts w:ascii="宋体" w:hAnsi="宋体" w:cs="宋体"/>
                <w:color w:val="000000"/>
                <w:kern w:val="0"/>
                <w:sz w:val="18"/>
                <w:szCs w:val="18"/>
              </w:rPr>
            </w:pPr>
            <w:r>
              <w:rPr>
                <w:rFonts w:ascii="宋体" w:hAnsi="宋体" w:cs="宋体"/>
                <w:color w:val="000000"/>
                <w:kern w:val="0"/>
                <w:sz w:val="18"/>
                <w:szCs w:val="18"/>
              </w:rPr>
              <w:t>7,196.63</w:t>
            </w:r>
          </w:p>
        </w:tc>
      </w:tr>
      <w:tr w14:paraId="02F2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29" w:type="pct"/>
            <w:shd w:val="clear" w:color="auto" w:fill="auto"/>
            <w:vAlign w:val="center"/>
          </w:tcPr>
          <w:p w14:paraId="628D704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656" w:type="pct"/>
            <w:shd w:val="clear" w:color="auto" w:fill="auto"/>
            <w:vAlign w:val="center"/>
          </w:tcPr>
          <w:p w14:paraId="2D9263D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406" w:type="pct"/>
            <w:shd w:val="clear" w:color="auto" w:fill="auto"/>
            <w:vAlign w:val="center"/>
          </w:tcPr>
          <w:p w14:paraId="6983E322">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1B51D3D2">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42DF0031">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371" w:type="pct"/>
            <w:shd w:val="clear" w:color="auto" w:fill="auto"/>
            <w:vAlign w:val="center"/>
          </w:tcPr>
          <w:p w14:paraId="17E9E109">
            <w:pPr>
              <w:widowControl/>
              <w:jc w:val="center"/>
              <w:rPr>
                <w:rFonts w:ascii="宋体" w:hAnsi="宋体" w:cs="宋体"/>
                <w:color w:val="000000"/>
                <w:kern w:val="0"/>
                <w:sz w:val="18"/>
                <w:szCs w:val="18"/>
              </w:rPr>
            </w:pPr>
            <w:r>
              <w:rPr>
                <w:rFonts w:ascii="宋体" w:hAnsi="宋体" w:cs="宋体"/>
                <w:color w:val="000000"/>
                <w:kern w:val="0"/>
                <w:sz w:val="18"/>
                <w:szCs w:val="18"/>
              </w:rPr>
              <w:t>623.80</w:t>
            </w:r>
          </w:p>
        </w:tc>
        <w:tc>
          <w:tcPr>
            <w:tcW w:w="371" w:type="pct"/>
            <w:shd w:val="clear" w:color="auto" w:fill="auto"/>
            <w:vAlign w:val="center"/>
          </w:tcPr>
          <w:p w14:paraId="78453B49">
            <w:pPr>
              <w:widowControl/>
              <w:jc w:val="center"/>
              <w:rPr>
                <w:rFonts w:ascii="宋体" w:hAnsi="宋体" w:cs="宋体"/>
                <w:color w:val="000000"/>
                <w:kern w:val="0"/>
                <w:sz w:val="18"/>
                <w:szCs w:val="18"/>
              </w:rPr>
            </w:pPr>
            <w:r>
              <w:rPr>
                <w:rFonts w:ascii="宋体" w:hAnsi="宋体" w:cs="宋体"/>
                <w:color w:val="000000"/>
                <w:kern w:val="0"/>
                <w:sz w:val="18"/>
                <w:szCs w:val="18"/>
              </w:rPr>
              <w:t>1,445.78</w:t>
            </w:r>
          </w:p>
        </w:tc>
        <w:tc>
          <w:tcPr>
            <w:tcW w:w="371" w:type="pct"/>
            <w:shd w:val="clear" w:color="auto" w:fill="auto"/>
            <w:vAlign w:val="center"/>
          </w:tcPr>
          <w:p w14:paraId="43978A01">
            <w:pPr>
              <w:widowControl/>
              <w:jc w:val="center"/>
              <w:rPr>
                <w:rFonts w:ascii="宋体" w:hAnsi="宋体" w:cs="宋体"/>
                <w:color w:val="000000"/>
                <w:kern w:val="0"/>
                <w:sz w:val="18"/>
                <w:szCs w:val="18"/>
              </w:rPr>
            </w:pPr>
            <w:r>
              <w:rPr>
                <w:rFonts w:ascii="宋体" w:hAnsi="宋体" w:cs="宋体"/>
                <w:color w:val="000000"/>
                <w:kern w:val="0"/>
                <w:sz w:val="18"/>
                <w:szCs w:val="18"/>
              </w:rPr>
              <w:t>2,432.82</w:t>
            </w:r>
          </w:p>
        </w:tc>
        <w:tc>
          <w:tcPr>
            <w:tcW w:w="371" w:type="pct"/>
            <w:shd w:val="clear" w:color="auto" w:fill="auto"/>
            <w:vAlign w:val="center"/>
          </w:tcPr>
          <w:p w14:paraId="7C7CF5F8">
            <w:pPr>
              <w:widowControl/>
              <w:jc w:val="center"/>
              <w:rPr>
                <w:rFonts w:ascii="宋体" w:hAnsi="宋体" w:cs="宋体"/>
                <w:color w:val="000000"/>
                <w:kern w:val="0"/>
                <w:sz w:val="18"/>
                <w:szCs w:val="18"/>
              </w:rPr>
            </w:pPr>
            <w:r>
              <w:rPr>
                <w:rFonts w:ascii="宋体" w:hAnsi="宋体" w:cs="宋体"/>
                <w:color w:val="000000"/>
                <w:kern w:val="0"/>
                <w:sz w:val="18"/>
                <w:szCs w:val="18"/>
              </w:rPr>
              <w:t>3,624.96</w:t>
            </w:r>
          </w:p>
        </w:tc>
        <w:tc>
          <w:tcPr>
            <w:tcW w:w="371" w:type="pct"/>
            <w:shd w:val="clear" w:color="auto" w:fill="auto"/>
            <w:vAlign w:val="center"/>
          </w:tcPr>
          <w:p w14:paraId="1240478E">
            <w:pPr>
              <w:widowControl/>
              <w:jc w:val="center"/>
              <w:rPr>
                <w:rFonts w:ascii="宋体" w:hAnsi="宋体" w:cs="宋体"/>
                <w:color w:val="000000"/>
                <w:kern w:val="0"/>
                <w:sz w:val="18"/>
                <w:szCs w:val="18"/>
              </w:rPr>
            </w:pPr>
            <w:r>
              <w:rPr>
                <w:rFonts w:ascii="宋体" w:hAnsi="宋体" w:cs="宋体"/>
                <w:color w:val="000000"/>
                <w:kern w:val="0"/>
                <w:sz w:val="18"/>
                <w:szCs w:val="18"/>
              </w:rPr>
              <w:t>4,817.10</w:t>
            </w:r>
          </w:p>
        </w:tc>
        <w:tc>
          <w:tcPr>
            <w:tcW w:w="371" w:type="pct"/>
            <w:shd w:val="clear" w:color="auto" w:fill="auto"/>
            <w:vAlign w:val="center"/>
          </w:tcPr>
          <w:p w14:paraId="7B5F9B9D">
            <w:pPr>
              <w:widowControl/>
              <w:jc w:val="center"/>
              <w:rPr>
                <w:rFonts w:ascii="宋体" w:hAnsi="宋体" w:cs="宋体"/>
                <w:color w:val="000000"/>
                <w:kern w:val="0"/>
                <w:sz w:val="18"/>
                <w:szCs w:val="18"/>
              </w:rPr>
            </w:pPr>
            <w:r>
              <w:rPr>
                <w:rFonts w:ascii="宋体" w:hAnsi="宋体" w:cs="宋体"/>
                <w:color w:val="000000"/>
                <w:kern w:val="0"/>
                <w:sz w:val="18"/>
                <w:szCs w:val="18"/>
              </w:rPr>
              <w:t>6,009.24</w:t>
            </w:r>
          </w:p>
        </w:tc>
        <w:tc>
          <w:tcPr>
            <w:tcW w:w="371" w:type="pct"/>
            <w:vAlign w:val="center"/>
          </w:tcPr>
          <w:p w14:paraId="1D614DE7">
            <w:pPr>
              <w:widowControl/>
              <w:jc w:val="center"/>
              <w:rPr>
                <w:rFonts w:ascii="宋体" w:hAnsi="宋体" w:cs="宋体"/>
                <w:color w:val="000000"/>
                <w:kern w:val="0"/>
                <w:sz w:val="18"/>
                <w:szCs w:val="18"/>
              </w:rPr>
            </w:pPr>
            <w:r>
              <w:rPr>
                <w:rFonts w:ascii="宋体" w:hAnsi="宋体" w:cs="宋体"/>
                <w:color w:val="000000"/>
                <w:kern w:val="0"/>
                <w:sz w:val="18"/>
                <w:szCs w:val="18"/>
              </w:rPr>
              <w:t>7,196.63</w:t>
            </w:r>
          </w:p>
        </w:tc>
        <w:tc>
          <w:tcPr>
            <w:tcW w:w="371" w:type="pct"/>
            <w:vAlign w:val="center"/>
          </w:tcPr>
          <w:p w14:paraId="3D133FC4">
            <w:pPr>
              <w:widowControl/>
              <w:jc w:val="center"/>
              <w:rPr>
                <w:rFonts w:ascii="宋体" w:hAnsi="宋体" w:cs="宋体"/>
                <w:color w:val="000000"/>
                <w:kern w:val="0"/>
                <w:sz w:val="18"/>
                <w:szCs w:val="18"/>
              </w:rPr>
            </w:pPr>
            <w:r>
              <w:rPr>
                <w:rFonts w:ascii="宋体" w:hAnsi="宋体" w:cs="宋体"/>
                <w:color w:val="000000"/>
                <w:kern w:val="0"/>
                <w:sz w:val="18"/>
                <w:szCs w:val="18"/>
              </w:rPr>
              <w:t>8,291.04</w:t>
            </w:r>
          </w:p>
        </w:tc>
      </w:tr>
    </w:tbl>
    <w:p w14:paraId="4E0CC54A">
      <w:pPr>
        <w:pStyle w:val="23"/>
      </w:pPr>
      <w:r>
        <w:rPr>
          <w:rFonts w:hint="eastAsia"/>
        </w:rPr>
        <w:t>续上表：</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2257"/>
        <w:gridCol w:w="1399"/>
        <w:gridCol w:w="1275"/>
        <w:gridCol w:w="1399"/>
        <w:gridCol w:w="1399"/>
        <w:gridCol w:w="1399"/>
        <w:gridCol w:w="1399"/>
        <w:gridCol w:w="1399"/>
        <w:gridCol w:w="1391"/>
      </w:tblGrid>
      <w:tr w14:paraId="0E17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trPr>
        <w:tc>
          <w:tcPr>
            <w:tcW w:w="278" w:type="pct"/>
            <w:shd w:val="clear" w:color="auto" w:fill="auto"/>
            <w:vAlign w:val="center"/>
          </w:tcPr>
          <w:p w14:paraId="1E644741">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序号</w:t>
            </w:r>
          </w:p>
        </w:tc>
        <w:tc>
          <w:tcPr>
            <w:tcW w:w="800" w:type="pct"/>
            <w:shd w:val="clear" w:color="auto" w:fill="auto"/>
            <w:vAlign w:val="center"/>
          </w:tcPr>
          <w:p w14:paraId="623895B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年份</w:t>
            </w:r>
          </w:p>
        </w:tc>
        <w:tc>
          <w:tcPr>
            <w:tcW w:w="496" w:type="pct"/>
            <w:vAlign w:val="center"/>
          </w:tcPr>
          <w:p w14:paraId="6DC0E5E2">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合计</w:t>
            </w:r>
          </w:p>
        </w:tc>
        <w:tc>
          <w:tcPr>
            <w:tcW w:w="452" w:type="pct"/>
            <w:shd w:val="clear" w:color="auto" w:fill="auto"/>
            <w:vAlign w:val="center"/>
          </w:tcPr>
          <w:p w14:paraId="6C99B01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2033年</w:t>
            </w:r>
          </w:p>
        </w:tc>
        <w:tc>
          <w:tcPr>
            <w:tcW w:w="496" w:type="pct"/>
            <w:shd w:val="clear" w:color="auto" w:fill="auto"/>
            <w:vAlign w:val="center"/>
          </w:tcPr>
          <w:p w14:paraId="6B120CD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2034年</w:t>
            </w:r>
          </w:p>
        </w:tc>
        <w:tc>
          <w:tcPr>
            <w:tcW w:w="496" w:type="pct"/>
            <w:shd w:val="clear" w:color="auto" w:fill="auto"/>
            <w:vAlign w:val="center"/>
          </w:tcPr>
          <w:p w14:paraId="66BF3B1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2035年</w:t>
            </w:r>
          </w:p>
        </w:tc>
        <w:tc>
          <w:tcPr>
            <w:tcW w:w="496" w:type="pct"/>
            <w:shd w:val="clear" w:color="auto" w:fill="auto"/>
            <w:vAlign w:val="center"/>
          </w:tcPr>
          <w:p w14:paraId="3B021A8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2036年</w:t>
            </w:r>
          </w:p>
        </w:tc>
        <w:tc>
          <w:tcPr>
            <w:tcW w:w="496" w:type="pct"/>
            <w:shd w:val="clear" w:color="auto" w:fill="auto"/>
            <w:vAlign w:val="center"/>
          </w:tcPr>
          <w:p w14:paraId="4229139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2037年</w:t>
            </w:r>
          </w:p>
        </w:tc>
        <w:tc>
          <w:tcPr>
            <w:tcW w:w="496" w:type="pct"/>
            <w:shd w:val="clear" w:color="auto" w:fill="auto"/>
            <w:vAlign w:val="center"/>
          </w:tcPr>
          <w:p w14:paraId="77BB9FBA">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2038年</w:t>
            </w:r>
          </w:p>
        </w:tc>
        <w:tc>
          <w:tcPr>
            <w:tcW w:w="493" w:type="pct"/>
            <w:shd w:val="clear" w:color="auto" w:fill="auto"/>
            <w:vAlign w:val="center"/>
          </w:tcPr>
          <w:p w14:paraId="09376EC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2039年</w:t>
            </w:r>
          </w:p>
        </w:tc>
      </w:tr>
      <w:tr w14:paraId="5AF54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8" w:type="pct"/>
            <w:shd w:val="clear" w:color="auto" w:fill="auto"/>
            <w:vAlign w:val="center"/>
          </w:tcPr>
          <w:p w14:paraId="52C70FD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一</w:t>
            </w:r>
          </w:p>
        </w:tc>
        <w:tc>
          <w:tcPr>
            <w:tcW w:w="800" w:type="pct"/>
            <w:shd w:val="clear" w:color="auto" w:fill="auto"/>
            <w:vAlign w:val="center"/>
          </w:tcPr>
          <w:p w14:paraId="1772456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现金流入</w:t>
            </w:r>
          </w:p>
        </w:tc>
        <w:tc>
          <w:tcPr>
            <w:tcW w:w="496" w:type="pct"/>
            <w:vAlign w:val="center"/>
          </w:tcPr>
          <w:p w14:paraId="4D22E897">
            <w:pPr>
              <w:widowControl/>
              <w:jc w:val="center"/>
              <w:rPr>
                <w:rFonts w:ascii="宋体" w:hAnsi="宋体" w:cs="宋体"/>
                <w:color w:val="000000"/>
                <w:kern w:val="0"/>
                <w:sz w:val="18"/>
                <w:szCs w:val="18"/>
              </w:rPr>
            </w:pPr>
            <w:r>
              <w:rPr>
                <w:rFonts w:ascii="宋体" w:hAnsi="宋体" w:cs="宋体"/>
                <w:color w:val="000000"/>
                <w:kern w:val="0"/>
                <w:sz w:val="18"/>
                <w:szCs w:val="18"/>
              </w:rPr>
              <w:t>35,775.59</w:t>
            </w:r>
          </w:p>
        </w:tc>
        <w:tc>
          <w:tcPr>
            <w:tcW w:w="452" w:type="pct"/>
            <w:shd w:val="clear" w:color="auto" w:fill="auto"/>
            <w:vAlign w:val="center"/>
          </w:tcPr>
          <w:p w14:paraId="7E9CEF49">
            <w:pPr>
              <w:widowControl/>
              <w:jc w:val="center"/>
              <w:rPr>
                <w:rFonts w:ascii="宋体" w:hAnsi="宋体" w:cs="宋体"/>
                <w:color w:val="000000"/>
                <w:kern w:val="0"/>
                <w:sz w:val="18"/>
                <w:szCs w:val="18"/>
              </w:rPr>
            </w:pPr>
            <w:r>
              <w:rPr>
                <w:rFonts w:ascii="宋体" w:hAnsi="宋体" w:cs="宋体"/>
                <w:color w:val="000000"/>
                <w:kern w:val="0"/>
                <w:sz w:val="18"/>
                <w:szCs w:val="18"/>
              </w:rPr>
              <w:t>1,878.72</w:t>
            </w:r>
          </w:p>
        </w:tc>
        <w:tc>
          <w:tcPr>
            <w:tcW w:w="496" w:type="pct"/>
            <w:shd w:val="clear" w:color="auto" w:fill="auto"/>
            <w:vAlign w:val="center"/>
          </w:tcPr>
          <w:p w14:paraId="62943B21">
            <w:pPr>
              <w:widowControl/>
              <w:jc w:val="center"/>
              <w:rPr>
                <w:rFonts w:ascii="宋体" w:hAnsi="宋体" w:cs="宋体"/>
                <w:color w:val="000000"/>
                <w:kern w:val="0"/>
                <w:sz w:val="18"/>
                <w:szCs w:val="18"/>
              </w:rPr>
            </w:pPr>
            <w:r>
              <w:rPr>
                <w:rFonts w:ascii="宋体" w:hAnsi="宋体" w:cs="宋体"/>
                <w:color w:val="000000"/>
                <w:kern w:val="0"/>
                <w:sz w:val="18"/>
                <w:szCs w:val="18"/>
              </w:rPr>
              <w:t>1,973.08</w:t>
            </w:r>
          </w:p>
        </w:tc>
        <w:tc>
          <w:tcPr>
            <w:tcW w:w="496" w:type="pct"/>
            <w:shd w:val="clear" w:color="auto" w:fill="auto"/>
            <w:vAlign w:val="center"/>
          </w:tcPr>
          <w:p w14:paraId="2C5557BD">
            <w:pPr>
              <w:widowControl/>
              <w:jc w:val="center"/>
              <w:rPr>
                <w:rFonts w:ascii="宋体" w:hAnsi="宋体" w:cs="宋体"/>
                <w:color w:val="000000"/>
                <w:kern w:val="0"/>
                <w:sz w:val="18"/>
                <w:szCs w:val="18"/>
              </w:rPr>
            </w:pPr>
            <w:r>
              <w:rPr>
                <w:rFonts w:ascii="宋体" w:hAnsi="宋体" w:cs="宋体"/>
                <w:color w:val="000000"/>
                <w:kern w:val="0"/>
                <w:sz w:val="18"/>
                <w:szCs w:val="18"/>
              </w:rPr>
              <w:t>1,973.08</w:t>
            </w:r>
          </w:p>
        </w:tc>
        <w:tc>
          <w:tcPr>
            <w:tcW w:w="496" w:type="pct"/>
            <w:shd w:val="clear" w:color="auto" w:fill="auto"/>
            <w:vAlign w:val="center"/>
          </w:tcPr>
          <w:p w14:paraId="67178735">
            <w:pPr>
              <w:widowControl/>
              <w:jc w:val="center"/>
              <w:rPr>
                <w:rFonts w:ascii="宋体" w:hAnsi="宋体" w:cs="宋体"/>
                <w:color w:val="000000"/>
                <w:kern w:val="0"/>
                <w:sz w:val="18"/>
                <w:szCs w:val="18"/>
              </w:rPr>
            </w:pPr>
            <w:r>
              <w:rPr>
                <w:rFonts w:ascii="宋体" w:hAnsi="宋体" w:cs="宋体"/>
                <w:color w:val="000000"/>
                <w:kern w:val="0"/>
                <w:sz w:val="18"/>
                <w:szCs w:val="18"/>
              </w:rPr>
              <w:t>1,973.08</w:t>
            </w:r>
          </w:p>
        </w:tc>
        <w:tc>
          <w:tcPr>
            <w:tcW w:w="496" w:type="pct"/>
            <w:shd w:val="clear" w:color="auto" w:fill="auto"/>
            <w:vAlign w:val="center"/>
          </w:tcPr>
          <w:p w14:paraId="1443C4A2">
            <w:pPr>
              <w:widowControl/>
              <w:jc w:val="center"/>
              <w:rPr>
                <w:rFonts w:ascii="宋体" w:hAnsi="宋体" w:cs="宋体"/>
                <w:color w:val="000000"/>
                <w:kern w:val="0"/>
                <w:sz w:val="18"/>
                <w:szCs w:val="18"/>
              </w:rPr>
            </w:pPr>
            <w:r>
              <w:rPr>
                <w:rFonts w:ascii="宋体" w:hAnsi="宋体" w:cs="宋体"/>
                <w:color w:val="000000"/>
                <w:kern w:val="0"/>
                <w:sz w:val="18"/>
                <w:szCs w:val="18"/>
              </w:rPr>
              <w:t>2,071.22</w:t>
            </w:r>
          </w:p>
        </w:tc>
        <w:tc>
          <w:tcPr>
            <w:tcW w:w="496" w:type="pct"/>
            <w:shd w:val="clear" w:color="auto" w:fill="auto"/>
            <w:vAlign w:val="center"/>
          </w:tcPr>
          <w:p w14:paraId="48D0941D">
            <w:pPr>
              <w:widowControl/>
              <w:jc w:val="center"/>
              <w:rPr>
                <w:rFonts w:ascii="宋体" w:hAnsi="宋体" w:cs="宋体"/>
                <w:color w:val="000000"/>
                <w:kern w:val="0"/>
                <w:sz w:val="18"/>
                <w:szCs w:val="18"/>
              </w:rPr>
            </w:pPr>
            <w:r>
              <w:rPr>
                <w:rFonts w:ascii="宋体" w:hAnsi="宋体" w:cs="宋体"/>
                <w:color w:val="000000"/>
                <w:kern w:val="0"/>
                <w:sz w:val="18"/>
                <w:szCs w:val="18"/>
              </w:rPr>
              <w:t>2,071.22</w:t>
            </w:r>
          </w:p>
        </w:tc>
        <w:tc>
          <w:tcPr>
            <w:tcW w:w="493" w:type="pct"/>
            <w:shd w:val="clear" w:color="auto" w:fill="auto"/>
            <w:vAlign w:val="center"/>
          </w:tcPr>
          <w:p w14:paraId="382DD135">
            <w:pPr>
              <w:widowControl/>
              <w:jc w:val="center"/>
              <w:rPr>
                <w:rFonts w:ascii="宋体" w:hAnsi="宋体" w:cs="宋体"/>
                <w:color w:val="000000"/>
                <w:kern w:val="0"/>
                <w:sz w:val="18"/>
                <w:szCs w:val="18"/>
              </w:rPr>
            </w:pPr>
            <w:r>
              <w:rPr>
                <w:rFonts w:ascii="宋体" w:hAnsi="宋体" w:cs="宋体"/>
                <w:color w:val="000000"/>
                <w:kern w:val="0"/>
                <w:sz w:val="18"/>
                <w:szCs w:val="18"/>
              </w:rPr>
              <w:t>-</w:t>
            </w:r>
          </w:p>
        </w:tc>
      </w:tr>
      <w:tr w14:paraId="14016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79" w:type="pct"/>
            <w:shd w:val="clear" w:color="auto" w:fill="auto"/>
            <w:vAlign w:val="center"/>
          </w:tcPr>
          <w:p w14:paraId="59189E7A">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800" w:type="pct"/>
            <w:shd w:val="clear" w:color="auto" w:fill="auto"/>
            <w:vAlign w:val="center"/>
          </w:tcPr>
          <w:p w14:paraId="1BFBEB4B">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业务活动现金流入</w:t>
            </w:r>
          </w:p>
        </w:tc>
        <w:tc>
          <w:tcPr>
            <w:tcW w:w="496" w:type="pct"/>
            <w:vAlign w:val="center"/>
          </w:tcPr>
          <w:p w14:paraId="0FA12F7D">
            <w:pPr>
              <w:widowControl/>
              <w:jc w:val="center"/>
              <w:rPr>
                <w:rFonts w:ascii="宋体" w:hAnsi="宋体" w:cs="宋体"/>
                <w:color w:val="000000"/>
                <w:kern w:val="0"/>
                <w:sz w:val="18"/>
                <w:szCs w:val="18"/>
              </w:rPr>
            </w:pPr>
            <w:r>
              <w:rPr>
                <w:rFonts w:ascii="宋体" w:hAnsi="宋体" w:cs="宋体"/>
                <w:color w:val="000000"/>
                <w:kern w:val="0"/>
                <w:sz w:val="18"/>
                <w:szCs w:val="18"/>
              </w:rPr>
              <w:t>25,155.59</w:t>
            </w:r>
          </w:p>
        </w:tc>
        <w:tc>
          <w:tcPr>
            <w:tcW w:w="452" w:type="pct"/>
            <w:shd w:val="clear" w:color="auto" w:fill="auto"/>
            <w:vAlign w:val="center"/>
          </w:tcPr>
          <w:p w14:paraId="7BCF5C16">
            <w:pPr>
              <w:widowControl/>
              <w:jc w:val="center"/>
              <w:rPr>
                <w:rFonts w:ascii="宋体" w:hAnsi="宋体" w:cs="宋体"/>
                <w:color w:val="000000"/>
                <w:kern w:val="0"/>
                <w:sz w:val="18"/>
                <w:szCs w:val="18"/>
              </w:rPr>
            </w:pPr>
            <w:r>
              <w:rPr>
                <w:rFonts w:ascii="宋体" w:hAnsi="宋体" w:cs="宋体"/>
                <w:color w:val="000000"/>
                <w:kern w:val="0"/>
                <w:sz w:val="18"/>
                <w:szCs w:val="18"/>
              </w:rPr>
              <w:t>1,878.72</w:t>
            </w:r>
          </w:p>
        </w:tc>
        <w:tc>
          <w:tcPr>
            <w:tcW w:w="496" w:type="pct"/>
            <w:shd w:val="clear" w:color="auto" w:fill="auto"/>
            <w:vAlign w:val="center"/>
          </w:tcPr>
          <w:p w14:paraId="12FDC000">
            <w:pPr>
              <w:widowControl/>
              <w:jc w:val="center"/>
              <w:rPr>
                <w:rFonts w:ascii="宋体" w:hAnsi="宋体" w:cs="宋体"/>
                <w:color w:val="000000"/>
                <w:kern w:val="0"/>
                <w:sz w:val="18"/>
                <w:szCs w:val="18"/>
              </w:rPr>
            </w:pPr>
            <w:r>
              <w:rPr>
                <w:rFonts w:ascii="宋体" w:hAnsi="宋体" w:cs="宋体"/>
                <w:color w:val="000000"/>
                <w:kern w:val="0"/>
                <w:sz w:val="18"/>
                <w:szCs w:val="18"/>
              </w:rPr>
              <w:t>1,973.08</w:t>
            </w:r>
          </w:p>
        </w:tc>
        <w:tc>
          <w:tcPr>
            <w:tcW w:w="496" w:type="pct"/>
            <w:shd w:val="clear" w:color="auto" w:fill="auto"/>
            <w:vAlign w:val="center"/>
          </w:tcPr>
          <w:p w14:paraId="27A6B4B6">
            <w:pPr>
              <w:widowControl/>
              <w:jc w:val="center"/>
              <w:rPr>
                <w:rFonts w:ascii="宋体" w:hAnsi="宋体" w:cs="宋体"/>
                <w:color w:val="000000"/>
                <w:kern w:val="0"/>
                <w:sz w:val="18"/>
                <w:szCs w:val="18"/>
              </w:rPr>
            </w:pPr>
            <w:r>
              <w:rPr>
                <w:rFonts w:ascii="宋体" w:hAnsi="宋体" w:cs="宋体"/>
                <w:color w:val="000000"/>
                <w:kern w:val="0"/>
                <w:sz w:val="18"/>
                <w:szCs w:val="18"/>
              </w:rPr>
              <w:t>1,973.08</w:t>
            </w:r>
          </w:p>
        </w:tc>
        <w:tc>
          <w:tcPr>
            <w:tcW w:w="496" w:type="pct"/>
            <w:shd w:val="clear" w:color="auto" w:fill="auto"/>
            <w:vAlign w:val="center"/>
          </w:tcPr>
          <w:p w14:paraId="74942F68">
            <w:pPr>
              <w:widowControl/>
              <w:jc w:val="center"/>
              <w:rPr>
                <w:rFonts w:ascii="宋体" w:hAnsi="宋体" w:cs="宋体"/>
                <w:color w:val="000000"/>
                <w:kern w:val="0"/>
                <w:sz w:val="18"/>
                <w:szCs w:val="18"/>
              </w:rPr>
            </w:pPr>
            <w:r>
              <w:rPr>
                <w:rFonts w:ascii="宋体" w:hAnsi="宋体" w:cs="宋体"/>
                <w:color w:val="000000"/>
                <w:kern w:val="0"/>
                <w:sz w:val="18"/>
                <w:szCs w:val="18"/>
              </w:rPr>
              <w:t>1,973.08</w:t>
            </w:r>
          </w:p>
        </w:tc>
        <w:tc>
          <w:tcPr>
            <w:tcW w:w="496" w:type="pct"/>
            <w:shd w:val="clear" w:color="auto" w:fill="auto"/>
            <w:vAlign w:val="center"/>
          </w:tcPr>
          <w:p w14:paraId="491BFD09">
            <w:pPr>
              <w:widowControl/>
              <w:jc w:val="center"/>
              <w:rPr>
                <w:rFonts w:ascii="宋体" w:hAnsi="宋体" w:cs="宋体"/>
                <w:color w:val="000000"/>
                <w:kern w:val="0"/>
                <w:sz w:val="18"/>
                <w:szCs w:val="18"/>
              </w:rPr>
            </w:pPr>
            <w:r>
              <w:rPr>
                <w:rFonts w:ascii="宋体" w:hAnsi="宋体" w:cs="宋体"/>
                <w:color w:val="000000"/>
                <w:kern w:val="0"/>
                <w:sz w:val="18"/>
                <w:szCs w:val="18"/>
              </w:rPr>
              <w:t>2,071.22</w:t>
            </w:r>
          </w:p>
        </w:tc>
        <w:tc>
          <w:tcPr>
            <w:tcW w:w="496" w:type="pct"/>
            <w:shd w:val="clear" w:color="auto" w:fill="auto"/>
            <w:vAlign w:val="center"/>
          </w:tcPr>
          <w:p w14:paraId="0DB3CA74">
            <w:pPr>
              <w:widowControl/>
              <w:jc w:val="center"/>
              <w:rPr>
                <w:rFonts w:ascii="宋体" w:hAnsi="宋体" w:cs="宋体"/>
                <w:color w:val="000000"/>
                <w:kern w:val="0"/>
                <w:sz w:val="18"/>
                <w:szCs w:val="18"/>
              </w:rPr>
            </w:pPr>
            <w:r>
              <w:rPr>
                <w:rFonts w:ascii="宋体" w:hAnsi="宋体" w:cs="宋体"/>
                <w:color w:val="000000"/>
                <w:kern w:val="0"/>
                <w:sz w:val="18"/>
                <w:szCs w:val="18"/>
              </w:rPr>
              <w:t>2,071.22</w:t>
            </w:r>
          </w:p>
        </w:tc>
        <w:tc>
          <w:tcPr>
            <w:tcW w:w="496" w:type="pct"/>
            <w:shd w:val="clear" w:color="auto" w:fill="auto"/>
            <w:vAlign w:val="center"/>
          </w:tcPr>
          <w:p w14:paraId="3E2709D1">
            <w:pPr>
              <w:widowControl/>
              <w:jc w:val="center"/>
              <w:rPr>
                <w:rFonts w:ascii="宋体" w:hAnsi="宋体" w:cs="宋体"/>
                <w:color w:val="000000"/>
                <w:kern w:val="0"/>
                <w:sz w:val="18"/>
                <w:szCs w:val="18"/>
              </w:rPr>
            </w:pPr>
            <w:r>
              <w:rPr>
                <w:rFonts w:ascii="宋体" w:hAnsi="宋体" w:cs="宋体"/>
                <w:color w:val="000000"/>
                <w:kern w:val="0"/>
                <w:sz w:val="18"/>
                <w:szCs w:val="18"/>
              </w:rPr>
              <w:t>-</w:t>
            </w:r>
          </w:p>
        </w:tc>
      </w:tr>
      <w:tr w14:paraId="330AB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48179522">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800" w:type="pct"/>
            <w:shd w:val="clear" w:color="auto" w:fill="auto"/>
            <w:vAlign w:val="center"/>
          </w:tcPr>
          <w:p w14:paraId="1635F178">
            <w:pPr>
              <w:widowControl/>
              <w:jc w:val="center"/>
              <w:rPr>
                <w:rFonts w:ascii="宋体" w:hAnsi="宋体" w:cs="宋体"/>
                <w:color w:val="000000"/>
                <w:kern w:val="0"/>
                <w:sz w:val="18"/>
                <w:szCs w:val="18"/>
              </w:rPr>
            </w:pPr>
            <w:r>
              <w:rPr>
                <w:rFonts w:hint="eastAsia" w:ascii="宋体" w:hAnsi="宋体" w:cs="宋体"/>
                <w:color w:val="000000"/>
                <w:kern w:val="0"/>
                <w:sz w:val="18"/>
                <w:szCs w:val="18"/>
              </w:rPr>
              <w:t>财政补贴收入</w:t>
            </w:r>
          </w:p>
        </w:tc>
        <w:tc>
          <w:tcPr>
            <w:tcW w:w="496" w:type="pct"/>
            <w:vAlign w:val="center"/>
          </w:tcPr>
          <w:p w14:paraId="3DEBA43F">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52" w:type="pct"/>
            <w:shd w:val="clear" w:color="auto" w:fill="auto"/>
            <w:vAlign w:val="center"/>
          </w:tcPr>
          <w:p w14:paraId="43575E33">
            <w:pPr>
              <w:widowControl/>
              <w:jc w:val="center"/>
              <w:rPr>
                <w:rFonts w:ascii="宋体" w:hAnsi="宋体" w:cs="宋体"/>
                <w:color w:val="000000"/>
                <w:kern w:val="0"/>
                <w:sz w:val="18"/>
                <w:szCs w:val="18"/>
              </w:rPr>
            </w:pPr>
          </w:p>
        </w:tc>
        <w:tc>
          <w:tcPr>
            <w:tcW w:w="496" w:type="pct"/>
            <w:shd w:val="clear" w:color="auto" w:fill="auto"/>
            <w:vAlign w:val="center"/>
          </w:tcPr>
          <w:p w14:paraId="186C5A8F">
            <w:pPr>
              <w:widowControl/>
              <w:jc w:val="center"/>
              <w:rPr>
                <w:rFonts w:ascii="宋体" w:hAnsi="宋体" w:cs="宋体"/>
                <w:color w:val="000000"/>
                <w:kern w:val="0"/>
                <w:sz w:val="18"/>
                <w:szCs w:val="18"/>
              </w:rPr>
            </w:pPr>
          </w:p>
        </w:tc>
        <w:tc>
          <w:tcPr>
            <w:tcW w:w="496" w:type="pct"/>
            <w:shd w:val="clear" w:color="auto" w:fill="auto"/>
            <w:vAlign w:val="center"/>
          </w:tcPr>
          <w:p w14:paraId="434E7F20">
            <w:pPr>
              <w:widowControl/>
              <w:jc w:val="center"/>
              <w:rPr>
                <w:rFonts w:ascii="宋体" w:hAnsi="宋体" w:cs="宋体"/>
                <w:color w:val="000000"/>
                <w:kern w:val="0"/>
                <w:sz w:val="18"/>
                <w:szCs w:val="18"/>
              </w:rPr>
            </w:pPr>
          </w:p>
        </w:tc>
        <w:tc>
          <w:tcPr>
            <w:tcW w:w="496" w:type="pct"/>
            <w:shd w:val="clear" w:color="auto" w:fill="auto"/>
            <w:vAlign w:val="center"/>
          </w:tcPr>
          <w:p w14:paraId="15F77933">
            <w:pPr>
              <w:widowControl/>
              <w:jc w:val="center"/>
              <w:rPr>
                <w:rFonts w:ascii="宋体" w:hAnsi="宋体" w:cs="宋体"/>
                <w:color w:val="000000"/>
                <w:kern w:val="0"/>
                <w:sz w:val="18"/>
                <w:szCs w:val="18"/>
              </w:rPr>
            </w:pPr>
          </w:p>
        </w:tc>
        <w:tc>
          <w:tcPr>
            <w:tcW w:w="496" w:type="pct"/>
            <w:shd w:val="clear" w:color="auto" w:fill="auto"/>
            <w:vAlign w:val="center"/>
          </w:tcPr>
          <w:p w14:paraId="7C6A2344">
            <w:pPr>
              <w:widowControl/>
              <w:jc w:val="center"/>
              <w:rPr>
                <w:rFonts w:ascii="宋体" w:hAnsi="宋体" w:cs="宋体"/>
                <w:color w:val="000000"/>
                <w:kern w:val="0"/>
                <w:sz w:val="18"/>
                <w:szCs w:val="18"/>
              </w:rPr>
            </w:pPr>
          </w:p>
        </w:tc>
        <w:tc>
          <w:tcPr>
            <w:tcW w:w="496" w:type="pct"/>
            <w:shd w:val="clear" w:color="auto" w:fill="auto"/>
            <w:vAlign w:val="center"/>
          </w:tcPr>
          <w:p w14:paraId="64639C4B">
            <w:pPr>
              <w:widowControl/>
              <w:jc w:val="center"/>
              <w:rPr>
                <w:rFonts w:ascii="宋体" w:hAnsi="宋体" w:cs="宋体"/>
                <w:color w:val="000000"/>
                <w:kern w:val="0"/>
                <w:sz w:val="18"/>
                <w:szCs w:val="18"/>
              </w:rPr>
            </w:pPr>
          </w:p>
        </w:tc>
        <w:tc>
          <w:tcPr>
            <w:tcW w:w="496" w:type="pct"/>
            <w:shd w:val="clear" w:color="auto" w:fill="auto"/>
            <w:vAlign w:val="center"/>
          </w:tcPr>
          <w:p w14:paraId="1D9D7273">
            <w:pPr>
              <w:widowControl/>
              <w:jc w:val="center"/>
              <w:rPr>
                <w:rFonts w:ascii="宋体" w:hAnsi="宋体" w:cs="宋体"/>
                <w:color w:val="000000"/>
                <w:kern w:val="0"/>
                <w:sz w:val="18"/>
                <w:szCs w:val="18"/>
              </w:rPr>
            </w:pPr>
          </w:p>
        </w:tc>
      </w:tr>
      <w:tr w14:paraId="76B59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03C81C0D">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800" w:type="pct"/>
            <w:shd w:val="clear" w:color="auto" w:fill="auto"/>
            <w:vAlign w:val="center"/>
          </w:tcPr>
          <w:p w14:paraId="4674AB46">
            <w:pPr>
              <w:widowControl/>
              <w:jc w:val="center"/>
              <w:rPr>
                <w:rFonts w:ascii="宋体" w:hAnsi="宋体" w:cs="宋体"/>
                <w:color w:val="000000"/>
                <w:kern w:val="0"/>
                <w:sz w:val="18"/>
                <w:szCs w:val="18"/>
              </w:rPr>
            </w:pPr>
            <w:r>
              <w:rPr>
                <w:rFonts w:hint="eastAsia" w:ascii="宋体" w:hAnsi="宋体" w:cs="宋体"/>
                <w:color w:val="000000"/>
                <w:kern w:val="0"/>
                <w:sz w:val="18"/>
                <w:szCs w:val="18"/>
              </w:rPr>
              <w:t>经营收入</w:t>
            </w:r>
          </w:p>
        </w:tc>
        <w:tc>
          <w:tcPr>
            <w:tcW w:w="496" w:type="pct"/>
            <w:vAlign w:val="center"/>
          </w:tcPr>
          <w:p w14:paraId="3D2C6586">
            <w:pPr>
              <w:widowControl/>
              <w:jc w:val="center"/>
              <w:rPr>
                <w:rFonts w:ascii="宋体" w:hAnsi="宋体" w:cs="宋体"/>
                <w:color w:val="000000"/>
                <w:kern w:val="0"/>
                <w:sz w:val="18"/>
                <w:szCs w:val="18"/>
              </w:rPr>
            </w:pPr>
            <w:r>
              <w:rPr>
                <w:rFonts w:ascii="宋体" w:hAnsi="宋体" w:cs="宋体"/>
                <w:color w:val="000000"/>
                <w:kern w:val="0"/>
                <w:sz w:val="18"/>
                <w:szCs w:val="18"/>
              </w:rPr>
              <w:t>25,155.59</w:t>
            </w:r>
          </w:p>
        </w:tc>
        <w:tc>
          <w:tcPr>
            <w:tcW w:w="452" w:type="pct"/>
            <w:shd w:val="clear" w:color="auto" w:fill="auto"/>
            <w:vAlign w:val="center"/>
          </w:tcPr>
          <w:p w14:paraId="4829F35A">
            <w:pPr>
              <w:widowControl/>
              <w:jc w:val="center"/>
              <w:rPr>
                <w:rFonts w:ascii="宋体" w:hAnsi="宋体" w:cs="宋体"/>
                <w:color w:val="000000"/>
                <w:kern w:val="0"/>
                <w:sz w:val="18"/>
                <w:szCs w:val="18"/>
              </w:rPr>
            </w:pPr>
            <w:r>
              <w:rPr>
                <w:rFonts w:ascii="宋体" w:hAnsi="宋体" w:cs="宋体"/>
                <w:color w:val="000000"/>
                <w:kern w:val="0"/>
                <w:sz w:val="18"/>
                <w:szCs w:val="18"/>
              </w:rPr>
              <w:t>1,878.72</w:t>
            </w:r>
          </w:p>
        </w:tc>
        <w:tc>
          <w:tcPr>
            <w:tcW w:w="496" w:type="pct"/>
            <w:shd w:val="clear" w:color="auto" w:fill="auto"/>
            <w:vAlign w:val="center"/>
          </w:tcPr>
          <w:p w14:paraId="37C2E526">
            <w:pPr>
              <w:widowControl/>
              <w:jc w:val="center"/>
              <w:rPr>
                <w:rFonts w:ascii="宋体" w:hAnsi="宋体" w:cs="宋体"/>
                <w:color w:val="000000"/>
                <w:kern w:val="0"/>
                <w:sz w:val="18"/>
                <w:szCs w:val="18"/>
              </w:rPr>
            </w:pPr>
            <w:r>
              <w:rPr>
                <w:rFonts w:ascii="宋体" w:hAnsi="宋体" w:cs="宋体"/>
                <w:color w:val="000000"/>
                <w:kern w:val="0"/>
                <w:sz w:val="18"/>
                <w:szCs w:val="18"/>
              </w:rPr>
              <w:t>1,973.08</w:t>
            </w:r>
          </w:p>
        </w:tc>
        <w:tc>
          <w:tcPr>
            <w:tcW w:w="496" w:type="pct"/>
            <w:shd w:val="clear" w:color="auto" w:fill="auto"/>
            <w:vAlign w:val="center"/>
          </w:tcPr>
          <w:p w14:paraId="74B09C88">
            <w:pPr>
              <w:widowControl/>
              <w:jc w:val="center"/>
              <w:rPr>
                <w:rFonts w:ascii="宋体" w:hAnsi="宋体" w:cs="宋体"/>
                <w:color w:val="000000"/>
                <w:kern w:val="0"/>
                <w:sz w:val="18"/>
                <w:szCs w:val="18"/>
              </w:rPr>
            </w:pPr>
            <w:r>
              <w:rPr>
                <w:rFonts w:ascii="宋体" w:hAnsi="宋体" w:cs="宋体"/>
                <w:color w:val="000000"/>
                <w:kern w:val="0"/>
                <w:sz w:val="18"/>
                <w:szCs w:val="18"/>
              </w:rPr>
              <w:t>1,973.08</w:t>
            </w:r>
          </w:p>
        </w:tc>
        <w:tc>
          <w:tcPr>
            <w:tcW w:w="496" w:type="pct"/>
            <w:shd w:val="clear" w:color="auto" w:fill="auto"/>
            <w:vAlign w:val="center"/>
          </w:tcPr>
          <w:p w14:paraId="72348F8A">
            <w:pPr>
              <w:widowControl/>
              <w:jc w:val="center"/>
              <w:rPr>
                <w:rFonts w:ascii="宋体" w:hAnsi="宋体" w:cs="宋体"/>
                <w:color w:val="000000"/>
                <w:kern w:val="0"/>
                <w:sz w:val="18"/>
                <w:szCs w:val="18"/>
              </w:rPr>
            </w:pPr>
            <w:r>
              <w:rPr>
                <w:rFonts w:ascii="宋体" w:hAnsi="宋体" w:cs="宋体"/>
                <w:color w:val="000000"/>
                <w:kern w:val="0"/>
                <w:sz w:val="18"/>
                <w:szCs w:val="18"/>
              </w:rPr>
              <w:t>1,973.08</w:t>
            </w:r>
          </w:p>
        </w:tc>
        <w:tc>
          <w:tcPr>
            <w:tcW w:w="496" w:type="pct"/>
            <w:shd w:val="clear" w:color="auto" w:fill="auto"/>
            <w:vAlign w:val="center"/>
          </w:tcPr>
          <w:p w14:paraId="6304636C">
            <w:pPr>
              <w:widowControl/>
              <w:jc w:val="center"/>
              <w:rPr>
                <w:rFonts w:ascii="宋体" w:hAnsi="宋体" w:cs="宋体"/>
                <w:color w:val="000000"/>
                <w:kern w:val="0"/>
                <w:sz w:val="18"/>
                <w:szCs w:val="18"/>
              </w:rPr>
            </w:pPr>
            <w:r>
              <w:rPr>
                <w:rFonts w:ascii="宋体" w:hAnsi="宋体" w:cs="宋体"/>
                <w:color w:val="000000"/>
                <w:kern w:val="0"/>
                <w:sz w:val="18"/>
                <w:szCs w:val="18"/>
              </w:rPr>
              <w:t>2,071.22</w:t>
            </w:r>
          </w:p>
        </w:tc>
        <w:tc>
          <w:tcPr>
            <w:tcW w:w="496" w:type="pct"/>
            <w:shd w:val="clear" w:color="auto" w:fill="auto"/>
            <w:vAlign w:val="center"/>
          </w:tcPr>
          <w:p w14:paraId="0857B767">
            <w:pPr>
              <w:widowControl/>
              <w:jc w:val="center"/>
              <w:rPr>
                <w:rFonts w:ascii="宋体" w:hAnsi="宋体" w:cs="宋体"/>
                <w:color w:val="000000"/>
                <w:kern w:val="0"/>
                <w:sz w:val="18"/>
                <w:szCs w:val="18"/>
              </w:rPr>
            </w:pPr>
            <w:r>
              <w:rPr>
                <w:rFonts w:ascii="宋体" w:hAnsi="宋体" w:cs="宋体"/>
                <w:color w:val="000000"/>
                <w:kern w:val="0"/>
                <w:sz w:val="18"/>
                <w:szCs w:val="18"/>
              </w:rPr>
              <w:t>2,071.22</w:t>
            </w:r>
          </w:p>
        </w:tc>
        <w:tc>
          <w:tcPr>
            <w:tcW w:w="496" w:type="pct"/>
            <w:shd w:val="clear" w:color="auto" w:fill="auto"/>
            <w:vAlign w:val="center"/>
          </w:tcPr>
          <w:p w14:paraId="340C0D62">
            <w:pPr>
              <w:widowControl/>
              <w:jc w:val="center"/>
              <w:rPr>
                <w:rFonts w:ascii="宋体" w:hAnsi="宋体" w:cs="宋体"/>
                <w:color w:val="000000"/>
                <w:kern w:val="0"/>
                <w:sz w:val="18"/>
                <w:szCs w:val="18"/>
              </w:rPr>
            </w:pPr>
            <w:r>
              <w:rPr>
                <w:rFonts w:ascii="宋体" w:hAnsi="宋体" w:cs="宋体"/>
                <w:color w:val="000000"/>
                <w:kern w:val="0"/>
                <w:sz w:val="18"/>
                <w:szCs w:val="18"/>
              </w:rPr>
              <w:t>0.00</w:t>
            </w:r>
          </w:p>
        </w:tc>
      </w:tr>
      <w:tr w14:paraId="7AE02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79" w:type="pct"/>
            <w:shd w:val="clear" w:color="auto" w:fill="auto"/>
            <w:vAlign w:val="center"/>
          </w:tcPr>
          <w:p w14:paraId="6763DDD4">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800" w:type="pct"/>
            <w:shd w:val="clear" w:color="auto" w:fill="auto"/>
            <w:vAlign w:val="center"/>
          </w:tcPr>
          <w:p w14:paraId="71D62AA2">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融资活动现金流入</w:t>
            </w:r>
          </w:p>
        </w:tc>
        <w:tc>
          <w:tcPr>
            <w:tcW w:w="496" w:type="pct"/>
            <w:vAlign w:val="center"/>
          </w:tcPr>
          <w:p w14:paraId="3A864CFF">
            <w:pPr>
              <w:widowControl/>
              <w:jc w:val="center"/>
              <w:rPr>
                <w:rFonts w:ascii="宋体" w:hAnsi="宋体" w:cs="宋体"/>
                <w:color w:val="000000"/>
                <w:kern w:val="0"/>
                <w:sz w:val="18"/>
                <w:szCs w:val="18"/>
              </w:rPr>
            </w:pPr>
            <w:r>
              <w:rPr>
                <w:rFonts w:ascii="宋体" w:hAnsi="宋体" w:cs="宋体"/>
                <w:color w:val="000000"/>
                <w:kern w:val="0"/>
                <w:sz w:val="18"/>
                <w:szCs w:val="18"/>
              </w:rPr>
              <w:t>8,700.00</w:t>
            </w:r>
          </w:p>
        </w:tc>
        <w:tc>
          <w:tcPr>
            <w:tcW w:w="452" w:type="pct"/>
            <w:shd w:val="clear" w:color="auto" w:fill="auto"/>
            <w:vAlign w:val="center"/>
          </w:tcPr>
          <w:p w14:paraId="0F2B75C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400BE920">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0BFC80A0">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6F24462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0F7C3431">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7BCD3327">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18932BFA">
            <w:pPr>
              <w:widowControl/>
              <w:jc w:val="center"/>
              <w:rPr>
                <w:rFonts w:ascii="宋体" w:hAnsi="宋体" w:cs="宋体"/>
                <w:color w:val="000000"/>
                <w:kern w:val="0"/>
                <w:sz w:val="18"/>
                <w:szCs w:val="18"/>
              </w:rPr>
            </w:pPr>
            <w:r>
              <w:rPr>
                <w:rFonts w:ascii="宋体" w:hAnsi="宋体" w:cs="宋体"/>
                <w:color w:val="000000"/>
                <w:kern w:val="0"/>
                <w:sz w:val="18"/>
                <w:szCs w:val="18"/>
              </w:rPr>
              <w:t>-</w:t>
            </w:r>
          </w:p>
        </w:tc>
      </w:tr>
      <w:tr w14:paraId="1D4F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3EFFF23E">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800" w:type="pct"/>
            <w:shd w:val="clear" w:color="auto" w:fill="auto"/>
            <w:vAlign w:val="center"/>
          </w:tcPr>
          <w:p w14:paraId="5B866661">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债券融资款</w:t>
            </w:r>
          </w:p>
        </w:tc>
        <w:tc>
          <w:tcPr>
            <w:tcW w:w="496" w:type="pct"/>
            <w:vAlign w:val="center"/>
          </w:tcPr>
          <w:p w14:paraId="00670067">
            <w:pPr>
              <w:widowControl/>
              <w:jc w:val="center"/>
              <w:rPr>
                <w:rFonts w:ascii="宋体" w:hAnsi="宋体" w:cs="宋体"/>
                <w:color w:val="000000"/>
                <w:kern w:val="0"/>
                <w:sz w:val="18"/>
                <w:szCs w:val="18"/>
              </w:rPr>
            </w:pPr>
            <w:r>
              <w:rPr>
                <w:rFonts w:ascii="宋体" w:hAnsi="宋体" w:cs="宋体"/>
                <w:color w:val="000000"/>
                <w:kern w:val="0"/>
                <w:sz w:val="18"/>
                <w:szCs w:val="18"/>
              </w:rPr>
              <w:t>8,700.00</w:t>
            </w:r>
          </w:p>
        </w:tc>
        <w:tc>
          <w:tcPr>
            <w:tcW w:w="452" w:type="pct"/>
            <w:shd w:val="clear" w:color="auto" w:fill="auto"/>
            <w:vAlign w:val="center"/>
          </w:tcPr>
          <w:p w14:paraId="42E1DC6A">
            <w:pPr>
              <w:widowControl/>
              <w:jc w:val="center"/>
              <w:rPr>
                <w:rFonts w:ascii="宋体" w:hAnsi="宋体" w:cs="宋体"/>
                <w:color w:val="000000"/>
                <w:kern w:val="0"/>
                <w:sz w:val="18"/>
                <w:szCs w:val="18"/>
              </w:rPr>
            </w:pPr>
          </w:p>
        </w:tc>
        <w:tc>
          <w:tcPr>
            <w:tcW w:w="496" w:type="pct"/>
            <w:shd w:val="clear" w:color="auto" w:fill="auto"/>
            <w:vAlign w:val="center"/>
          </w:tcPr>
          <w:p w14:paraId="25B74250">
            <w:pPr>
              <w:widowControl/>
              <w:jc w:val="center"/>
              <w:rPr>
                <w:rFonts w:ascii="宋体" w:hAnsi="宋体" w:cs="宋体"/>
                <w:color w:val="000000"/>
                <w:kern w:val="0"/>
                <w:sz w:val="18"/>
                <w:szCs w:val="18"/>
              </w:rPr>
            </w:pPr>
          </w:p>
        </w:tc>
        <w:tc>
          <w:tcPr>
            <w:tcW w:w="496" w:type="pct"/>
            <w:shd w:val="clear" w:color="auto" w:fill="auto"/>
            <w:vAlign w:val="center"/>
          </w:tcPr>
          <w:p w14:paraId="4733ED95">
            <w:pPr>
              <w:widowControl/>
              <w:jc w:val="center"/>
              <w:rPr>
                <w:rFonts w:ascii="宋体" w:hAnsi="宋体" w:cs="宋体"/>
                <w:color w:val="000000"/>
                <w:kern w:val="0"/>
                <w:sz w:val="18"/>
                <w:szCs w:val="18"/>
              </w:rPr>
            </w:pPr>
          </w:p>
        </w:tc>
        <w:tc>
          <w:tcPr>
            <w:tcW w:w="496" w:type="pct"/>
            <w:shd w:val="clear" w:color="auto" w:fill="auto"/>
            <w:vAlign w:val="center"/>
          </w:tcPr>
          <w:p w14:paraId="3E66DF89">
            <w:pPr>
              <w:widowControl/>
              <w:jc w:val="center"/>
              <w:rPr>
                <w:rFonts w:ascii="宋体" w:hAnsi="宋体" w:cs="宋体"/>
                <w:color w:val="000000"/>
                <w:kern w:val="0"/>
                <w:sz w:val="18"/>
                <w:szCs w:val="18"/>
              </w:rPr>
            </w:pPr>
          </w:p>
        </w:tc>
        <w:tc>
          <w:tcPr>
            <w:tcW w:w="496" w:type="pct"/>
            <w:shd w:val="clear" w:color="auto" w:fill="auto"/>
            <w:vAlign w:val="center"/>
          </w:tcPr>
          <w:p w14:paraId="1B5747DC">
            <w:pPr>
              <w:widowControl/>
              <w:jc w:val="center"/>
              <w:rPr>
                <w:rFonts w:ascii="宋体" w:hAnsi="宋体" w:cs="宋体"/>
                <w:color w:val="000000"/>
                <w:kern w:val="0"/>
                <w:sz w:val="18"/>
                <w:szCs w:val="18"/>
              </w:rPr>
            </w:pPr>
          </w:p>
        </w:tc>
        <w:tc>
          <w:tcPr>
            <w:tcW w:w="496" w:type="pct"/>
            <w:shd w:val="clear" w:color="auto" w:fill="auto"/>
            <w:vAlign w:val="center"/>
          </w:tcPr>
          <w:p w14:paraId="1366C431">
            <w:pPr>
              <w:widowControl/>
              <w:jc w:val="center"/>
              <w:rPr>
                <w:rFonts w:ascii="宋体" w:hAnsi="宋体" w:cs="宋体"/>
                <w:color w:val="000000"/>
                <w:kern w:val="0"/>
                <w:sz w:val="18"/>
                <w:szCs w:val="18"/>
              </w:rPr>
            </w:pPr>
          </w:p>
        </w:tc>
        <w:tc>
          <w:tcPr>
            <w:tcW w:w="496" w:type="pct"/>
            <w:shd w:val="clear" w:color="auto" w:fill="auto"/>
            <w:vAlign w:val="center"/>
          </w:tcPr>
          <w:p w14:paraId="1DD7713F">
            <w:pPr>
              <w:widowControl/>
              <w:jc w:val="center"/>
              <w:rPr>
                <w:rFonts w:ascii="宋体" w:hAnsi="宋体" w:cs="宋体"/>
                <w:color w:val="000000"/>
                <w:kern w:val="0"/>
                <w:sz w:val="18"/>
                <w:szCs w:val="18"/>
              </w:rPr>
            </w:pPr>
          </w:p>
        </w:tc>
      </w:tr>
      <w:tr w14:paraId="63E04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568B8D6F">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800" w:type="pct"/>
            <w:shd w:val="clear" w:color="auto" w:fill="auto"/>
            <w:vAlign w:val="center"/>
          </w:tcPr>
          <w:p w14:paraId="08FC9BE2">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其他融资款</w:t>
            </w:r>
          </w:p>
        </w:tc>
        <w:tc>
          <w:tcPr>
            <w:tcW w:w="496" w:type="pct"/>
            <w:vAlign w:val="center"/>
          </w:tcPr>
          <w:p w14:paraId="012957AB">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52" w:type="pct"/>
            <w:shd w:val="clear" w:color="auto" w:fill="auto"/>
            <w:vAlign w:val="center"/>
          </w:tcPr>
          <w:p w14:paraId="6C644E80">
            <w:pPr>
              <w:widowControl/>
              <w:jc w:val="center"/>
              <w:rPr>
                <w:rFonts w:ascii="宋体" w:hAnsi="宋体" w:cs="宋体"/>
                <w:color w:val="000000"/>
                <w:kern w:val="0"/>
                <w:sz w:val="18"/>
                <w:szCs w:val="18"/>
              </w:rPr>
            </w:pPr>
          </w:p>
        </w:tc>
        <w:tc>
          <w:tcPr>
            <w:tcW w:w="496" w:type="pct"/>
            <w:shd w:val="clear" w:color="auto" w:fill="auto"/>
            <w:vAlign w:val="center"/>
          </w:tcPr>
          <w:p w14:paraId="7085FAE8">
            <w:pPr>
              <w:widowControl/>
              <w:jc w:val="center"/>
              <w:rPr>
                <w:rFonts w:ascii="宋体" w:hAnsi="宋体" w:cs="宋体"/>
                <w:color w:val="000000"/>
                <w:kern w:val="0"/>
                <w:sz w:val="18"/>
                <w:szCs w:val="18"/>
              </w:rPr>
            </w:pPr>
          </w:p>
        </w:tc>
        <w:tc>
          <w:tcPr>
            <w:tcW w:w="496" w:type="pct"/>
            <w:shd w:val="clear" w:color="auto" w:fill="auto"/>
            <w:vAlign w:val="center"/>
          </w:tcPr>
          <w:p w14:paraId="469B24E6">
            <w:pPr>
              <w:widowControl/>
              <w:jc w:val="center"/>
              <w:rPr>
                <w:rFonts w:ascii="宋体" w:hAnsi="宋体" w:cs="宋体"/>
                <w:color w:val="000000"/>
                <w:kern w:val="0"/>
                <w:sz w:val="18"/>
                <w:szCs w:val="18"/>
              </w:rPr>
            </w:pPr>
          </w:p>
        </w:tc>
        <w:tc>
          <w:tcPr>
            <w:tcW w:w="496" w:type="pct"/>
            <w:shd w:val="clear" w:color="auto" w:fill="auto"/>
            <w:vAlign w:val="center"/>
          </w:tcPr>
          <w:p w14:paraId="6B123C64">
            <w:pPr>
              <w:widowControl/>
              <w:jc w:val="center"/>
              <w:rPr>
                <w:rFonts w:ascii="宋体" w:hAnsi="宋体" w:cs="宋体"/>
                <w:color w:val="000000"/>
                <w:kern w:val="0"/>
                <w:sz w:val="18"/>
                <w:szCs w:val="18"/>
              </w:rPr>
            </w:pPr>
          </w:p>
        </w:tc>
        <w:tc>
          <w:tcPr>
            <w:tcW w:w="496" w:type="pct"/>
            <w:shd w:val="clear" w:color="auto" w:fill="auto"/>
            <w:vAlign w:val="center"/>
          </w:tcPr>
          <w:p w14:paraId="73A1DDC2">
            <w:pPr>
              <w:widowControl/>
              <w:jc w:val="center"/>
              <w:rPr>
                <w:rFonts w:ascii="宋体" w:hAnsi="宋体" w:cs="宋体"/>
                <w:color w:val="000000"/>
                <w:kern w:val="0"/>
                <w:sz w:val="18"/>
                <w:szCs w:val="18"/>
              </w:rPr>
            </w:pPr>
          </w:p>
        </w:tc>
        <w:tc>
          <w:tcPr>
            <w:tcW w:w="496" w:type="pct"/>
            <w:shd w:val="clear" w:color="auto" w:fill="auto"/>
            <w:vAlign w:val="center"/>
          </w:tcPr>
          <w:p w14:paraId="30BA02BC">
            <w:pPr>
              <w:widowControl/>
              <w:jc w:val="center"/>
              <w:rPr>
                <w:rFonts w:ascii="宋体" w:hAnsi="宋体" w:cs="宋体"/>
                <w:color w:val="000000"/>
                <w:kern w:val="0"/>
                <w:sz w:val="18"/>
                <w:szCs w:val="18"/>
              </w:rPr>
            </w:pPr>
          </w:p>
        </w:tc>
        <w:tc>
          <w:tcPr>
            <w:tcW w:w="496" w:type="pct"/>
            <w:shd w:val="clear" w:color="auto" w:fill="auto"/>
            <w:vAlign w:val="center"/>
          </w:tcPr>
          <w:p w14:paraId="3EE1F3BF">
            <w:pPr>
              <w:widowControl/>
              <w:jc w:val="center"/>
              <w:rPr>
                <w:rFonts w:ascii="宋体" w:hAnsi="宋体" w:cs="宋体"/>
                <w:color w:val="000000"/>
                <w:kern w:val="0"/>
                <w:sz w:val="18"/>
                <w:szCs w:val="18"/>
              </w:rPr>
            </w:pPr>
          </w:p>
        </w:tc>
      </w:tr>
      <w:tr w14:paraId="0034C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35ADD21A">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800" w:type="pct"/>
            <w:shd w:val="clear" w:color="auto" w:fill="auto"/>
            <w:vAlign w:val="center"/>
          </w:tcPr>
          <w:p w14:paraId="218E025D">
            <w:pPr>
              <w:widowControl/>
              <w:jc w:val="center"/>
              <w:rPr>
                <w:rFonts w:ascii="宋体" w:hAnsi="宋体" w:cs="宋体"/>
                <w:color w:val="000000"/>
                <w:kern w:val="0"/>
                <w:sz w:val="18"/>
                <w:szCs w:val="18"/>
              </w:rPr>
            </w:pPr>
            <w:r>
              <w:rPr>
                <w:rFonts w:hint="eastAsia" w:ascii="宋体" w:hAnsi="宋体" w:cs="宋体"/>
                <w:color w:val="000000"/>
                <w:kern w:val="0"/>
                <w:sz w:val="18"/>
                <w:szCs w:val="18"/>
              </w:rPr>
              <w:t>资本金投入</w:t>
            </w:r>
          </w:p>
        </w:tc>
        <w:tc>
          <w:tcPr>
            <w:tcW w:w="496" w:type="pct"/>
            <w:vAlign w:val="center"/>
          </w:tcPr>
          <w:p w14:paraId="728135E3">
            <w:pPr>
              <w:widowControl/>
              <w:jc w:val="center"/>
              <w:rPr>
                <w:rFonts w:ascii="宋体" w:hAnsi="宋体" w:cs="宋体"/>
                <w:color w:val="000000"/>
                <w:kern w:val="0"/>
                <w:sz w:val="18"/>
                <w:szCs w:val="18"/>
              </w:rPr>
            </w:pPr>
            <w:r>
              <w:rPr>
                <w:rFonts w:ascii="宋体" w:hAnsi="宋体" w:cs="宋体"/>
                <w:color w:val="000000"/>
                <w:kern w:val="0"/>
                <w:sz w:val="18"/>
                <w:szCs w:val="18"/>
              </w:rPr>
              <w:t>1,920.00</w:t>
            </w:r>
          </w:p>
        </w:tc>
        <w:tc>
          <w:tcPr>
            <w:tcW w:w="452" w:type="pct"/>
            <w:shd w:val="clear" w:color="auto" w:fill="auto"/>
            <w:vAlign w:val="center"/>
          </w:tcPr>
          <w:p w14:paraId="14D40B05">
            <w:pPr>
              <w:widowControl/>
              <w:jc w:val="center"/>
              <w:rPr>
                <w:rFonts w:ascii="宋体" w:hAnsi="宋体" w:cs="宋体"/>
                <w:color w:val="000000"/>
                <w:kern w:val="0"/>
                <w:sz w:val="18"/>
                <w:szCs w:val="18"/>
              </w:rPr>
            </w:pPr>
          </w:p>
        </w:tc>
        <w:tc>
          <w:tcPr>
            <w:tcW w:w="496" w:type="pct"/>
            <w:shd w:val="clear" w:color="auto" w:fill="auto"/>
            <w:vAlign w:val="center"/>
          </w:tcPr>
          <w:p w14:paraId="06E98FB9">
            <w:pPr>
              <w:widowControl/>
              <w:jc w:val="center"/>
              <w:rPr>
                <w:rFonts w:ascii="宋体" w:hAnsi="宋体" w:cs="宋体"/>
                <w:color w:val="000000"/>
                <w:kern w:val="0"/>
                <w:sz w:val="18"/>
                <w:szCs w:val="18"/>
              </w:rPr>
            </w:pPr>
          </w:p>
        </w:tc>
        <w:tc>
          <w:tcPr>
            <w:tcW w:w="496" w:type="pct"/>
            <w:shd w:val="clear" w:color="auto" w:fill="auto"/>
            <w:vAlign w:val="center"/>
          </w:tcPr>
          <w:p w14:paraId="3CE7CA39">
            <w:pPr>
              <w:widowControl/>
              <w:jc w:val="center"/>
              <w:rPr>
                <w:rFonts w:ascii="宋体" w:hAnsi="宋体" w:cs="宋体"/>
                <w:color w:val="000000"/>
                <w:kern w:val="0"/>
                <w:sz w:val="18"/>
                <w:szCs w:val="18"/>
              </w:rPr>
            </w:pPr>
          </w:p>
        </w:tc>
        <w:tc>
          <w:tcPr>
            <w:tcW w:w="496" w:type="pct"/>
            <w:shd w:val="clear" w:color="auto" w:fill="auto"/>
            <w:vAlign w:val="center"/>
          </w:tcPr>
          <w:p w14:paraId="14116798">
            <w:pPr>
              <w:widowControl/>
              <w:jc w:val="center"/>
              <w:rPr>
                <w:rFonts w:ascii="宋体" w:hAnsi="宋体" w:cs="宋体"/>
                <w:color w:val="000000"/>
                <w:kern w:val="0"/>
                <w:sz w:val="18"/>
                <w:szCs w:val="18"/>
              </w:rPr>
            </w:pPr>
          </w:p>
        </w:tc>
        <w:tc>
          <w:tcPr>
            <w:tcW w:w="496" w:type="pct"/>
            <w:shd w:val="clear" w:color="auto" w:fill="auto"/>
            <w:vAlign w:val="center"/>
          </w:tcPr>
          <w:p w14:paraId="10212069">
            <w:pPr>
              <w:widowControl/>
              <w:jc w:val="center"/>
              <w:rPr>
                <w:rFonts w:ascii="宋体" w:hAnsi="宋体" w:cs="宋体"/>
                <w:color w:val="000000"/>
                <w:kern w:val="0"/>
                <w:sz w:val="18"/>
                <w:szCs w:val="18"/>
              </w:rPr>
            </w:pPr>
          </w:p>
        </w:tc>
        <w:tc>
          <w:tcPr>
            <w:tcW w:w="496" w:type="pct"/>
            <w:shd w:val="clear" w:color="auto" w:fill="auto"/>
            <w:vAlign w:val="center"/>
          </w:tcPr>
          <w:p w14:paraId="0624D826">
            <w:pPr>
              <w:widowControl/>
              <w:jc w:val="center"/>
              <w:rPr>
                <w:rFonts w:ascii="宋体" w:hAnsi="宋体" w:cs="宋体"/>
                <w:color w:val="000000"/>
                <w:kern w:val="0"/>
                <w:sz w:val="18"/>
                <w:szCs w:val="18"/>
              </w:rPr>
            </w:pPr>
          </w:p>
        </w:tc>
        <w:tc>
          <w:tcPr>
            <w:tcW w:w="496" w:type="pct"/>
            <w:shd w:val="clear" w:color="auto" w:fill="auto"/>
            <w:vAlign w:val="center"/>
          </w:tcPr>
          <w:p w14:paraId="496ACC4B">
            <w:pPr>
              <w:widowControl/>
              <w:jc w:val="center"/>
              <w:rPr>
                <w:rFonts w:ascii="宋体" w:hAnsi="宋体" w:cs="宋体"/>
                <w:color w:val="000000"/>
                <w:kern w:val="0"/>
                <w:sz w:val="18"/>
                <w:szCs w:val="18"/>
              </w:rPr>
            </w:pPr>
          </w:p>
        </w:tc>
      </w:tr>
      <w:tr w14:paraId="28250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6012CB9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二</w:t>
            </w:r>
          </w:p>
        </w:tc>
        <w:tc>
          <w:tcPr>
            <w:tcW w:w="800" w:type="pct"/>
            <w:shd w:val="clear" w:color="auto" w:fill="auto"/>
            <w:vAlign w:val="center"/>
          </w:tcPr>
          <w:p w14:paraId="2C433EF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现金流出</w:t>
            </w:r>
          </w:p>
        </w:tc>
        <w:tc>
          <w:tcPr>
            <w:tcW w:w="496" w:type="pct"/>
            <w:vAlign w:val="center"/>
          </w:tcPr>
          <w:p w14:paraId="034713F0">
            <w:pPr>
              <w:widowControl/>
              <w:jc w:val="center"/>
              <w:rPr>
                <w:rFonts w:ascii="宋体" w:hAnsi="宋体" w:cs="宋体"/>
                <w:color w:val="000000"/>
                <w:kern w:val="0"/>
                <w:sz w:val="18"/>
                <w:szCs w:val="18"/>
              </w:rPr>
            </w:pPr>
            <w:r>
              <w:rPr>
                <w:rFonts w:ascii="宋体" w:hAnsi="宋体" w:cs="宋体"/>
                <w:color w:val="000000"/>
                <w:kern w:val="0"/>
                <w:sz w:val="18"/>
                <w:szCs w:val="18"/>
              </w:rPr>
              <w:t>29,109.11</w:t>
            </w:r>
          </w:p>
        </w:tc>
        <w:tc>
          <w:tcPr>
            <w:tcW w:w="452" w:type="pct"/>
            <w:shd w:val="clear" w:color="auto" w:fill="auto"/>
            <w:vAlign w:val="center"/>
          </w:tcPr>
          <w:p w14:paraId="5A1675A3">
            <w:pPr>
              <w:widowControl/>
              <w:jc w:val="center"/>
              <w:rPr>
                <w:rFonts w:ascii="宋体" w:hAnsi="宋体" w:cs="宋体"/>
                <w:color w:val="000000"/>
                <w:kern w:val="0"/>
                <w:sz w:val="18"/>
                <w:szCs w:val="18"/>
              </w:rPr>
            </w:pPr>
            <w:r>
              <w:rPr>
                <w:rFonts w:ascii="宋体" w:hAnsi="宋体" w:cs="宋体"/>
                <w:color w:val="000000"/>
                <w:kern w:val="0"/>
                <w:sz w:val="18"/>
                <w:szCs w:val="18"/>
              </w:rPr>
              <w:t>784.31</w:t>
            </w:r>
          </w:p>
        </w:tc>
        <w:tc>
          <w:tcPr>
            <w:tcW w:w="496" w:type="pct"/>
            <w:shd w:val="clear" w:color="auto" w:fill="auto"/>
            <w:vAlign w:val="center"/>
          </w:tcPr>
          <w:p w14:paraId="4375D9B0">
            <w:pPr>
              <w:widowControl/>
              <w:jc w:val="center"/>
              <w:rPr>
                <w:rFonts w:ascii="宋体" w:hAnsi="宋体" w:cs="宋体"/>
                <w:color w:val="000000"/>
                <w:kern w:val="0"/>
                <w:sz w:val="18"/>
                <w:szCs w:val="18"/>
              </w:rPr>
            </w:pPr>
            <w:r>
              <w:rPr>
                <w:rFonts w:ascii="宋体" w:hAnsi="宋体" w:cs="宋体"/>
                <w:color w:val="000000"/>
                <w:kern w:val="0"/>
                <w:sz w:val="18"/>
                <w:szCs w:val="18"/>
              </w:rPr>
              <w:t>806.45</w:t>
            </w:r>
          </w:p>
        </w:tc>
        <w:tc>
          <w:tcPr>
            <w:tcW w:w="496" w:type="pct"/>
            <w:shd w:val="clear" w:color="auto" w:fill="auto"/>
            <w:vAlign w:val="center"/>
          </w:tcPr>
          <w:p w14:paraId="1A6ABB56">
            <w:pPr>
              <w:widowControl/>
              <w:jc w:val="center"/>
              <w:rPr>
                <w:rFonts w:ascii="宋体" w:hAnsi="宋体" w:cs="宋体"/>
                <w:color w:val="000000"/>
                <w:kern w:val="0"/>
                <w:sz w:val="18"/>
                <w:szCs w:val="18"/>
              </w:rPr>
            </w:pPr>
            <w:r>
              <w:rPr>
                <w:rFonts w:ascii="宋体" w:hAnsi="宋体" w:cs="宋体"/>
                <w:color w:val="000000"/>
                <w:kern w:val="0"/>
                <w:sz w:val="18"/>
                <w:szCs w:val="18"/>
              </w:rPr>
              <w:t>806.45</w:t>
            </w:r>
          </w:p>
        </w:tc>
        <w:tc>
          <w:tcPr>
            <w:tcW w:w="496" w:type="pct"/>
            <w:shd w:val="clear" w:color="auto" w:fill="auto"/>
            <w:vAlign w:val="center"/>
          </w:tcPr>
          <w:p w14:paraId="056883CF">
            <w:pPr>
              <w:widowControl/>
              <w:jc w:val="center"/>
              <w:rPr>
                <w:rFonts w:ascii="宋体" w:hAnsi="宋体" w:cs="宋体"/>
                <w:color w:val="000000"/>
                <w:kern w:val="0"/>
                <w:sz w:val="18"/>
                <w:szCs w:val="18"/>
              </w:rPr>
            </w:pPr>
            <w:r>
              <w:rPr>
                <w:rFonts w:ascii="宋体" w:hAnsi="宋体" w:cs="宋体"/>
                <w:color w:val="000000"/>
                <w:kern w:val="0"/>
                <w:sz w:val="18"/>
                <w:szCs w:val="18"/>
              </w:rPr>
              <w:t>806.45</w:t>
            </w:r>
          </w:p>
        </w:tc>
        <w:tc>
          <w:tcPr>
            <w:tcW w:w="496" w:type="pct"/>
            <w:shd w:val="clear" w:color="auto" w:fill="auto"/>
            <w:vAlign w:val="center"/>
          </w:tcPr>
          <w:p w14:paraId="72D5185E">
            <w:pPr>
              <w:widowControl/>
              <w:jc w:val="center"/>
              <w:rPr>
                <w:rFonts w:ascii="宋体" w:hAnsi="宋体" w:cs="宋体"/>
                <w:color w:val="000000"/>
                <w:kern w:val="0"/>
                <w:sz w:val="18"/>
                <w:szCs w:val="18"/>
              </w:rPr>
            </w:pPr>
            <w:r>
              <w:rPr>
                <w:rFonts w:ascii="宋体" w:hAnsi="宋体" w:cs="宋体"/>
                <w:color w:val="000000"/>
                <w:kern w:val="0"/>
                <w:sz w:val="18"/>
                <w:szCs w:val="18"/>
              </w:rPr>
              <w:t>829.50</w:t>
            </w:r>
          </w:p>
        </w:tc>
        <w:tc>
          <w:tcPr>
            <w:tcW w:w="496" w:type="pct"/>
            <w:shd w:val="clear" w:color="auto" w:fill="auto"/>
            <w:vAlign w:val="center"/>
          </w:tcPr>
          <w:p w14:paraId="39066312">
            <w:pPr>
              <w:widowControl/>
              <w:jc w:val="center"/>
              <w:rPr>
                <w:rFonts w:ascii="宋体" w:hAnsi="宋体" w:cs="宋体"/>
                <w:color w:val="000000"/>
                <w:kern w:val="0"/>
                <w:sz w:val="18"/>
                <w:szCs w:val="18"/>
              </w:rPr>
            </w:pPr>
            <w:r>
              <w:rPr>
                <w:rFonts w:ascii="宋体" w:hAnsi="宋体" w:cs="宋体"/>
                <w:color w:val="000000"/>
                <w:kern w:val="0"/>
                <w:sz w:val="18"/>
                <w:szCs w:val="18"/>
              </w:rPr>
              <w:t>5,752.25</w:t>
            </w:r>
          </w:p>
        </w:tc>
        <w:tc>
          <w:tcPr>
            <w:tcW w:w="496" w:type="pct"/>
            <w:shd w:val="clear" w:color="auto" w:fill="auto"/>
            <w:vAlign w:val="center"/>
          </w:tcPr>
          <w:p w14:paraId="6EBD990F">
            <w:pPr>
              <w:widowControl/>
              <w:jc w:val="center"/>
              <w:rPr>
                <w:rFonts w:ascii="宋体" w:hAnsi="宋体" w:cs="宋体"/>
                <w:color w:val="000000"/>
                <w:kern w:val="0"/>
                <w:sz w:val="18"/>
                <w:szCs w:val="18"/>
              </w:rPr>
            </w:pPr>
            <w:r>
              <w:rPr>
                <w:rFonts w:ascii="宋体" w:hAnsi="宋体" w:cs="宋体"/>
                <w:color w:val="000000"/>
                <w:kern w:val="0"/>
                <w:sz w:val="18"/>
                <w:szCs w:val="18"/>
              </w:rPr>
              <w:t>3,779.55</w:t>
            </w:r>
          </w:p>
        </w:tc>
      </w:tr>
      <w:tr w14:paraId="0144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79" w:type="pct"/>
            <w:shd w:val="clear" w:color="auto" w:fill="auto"/>
            <w:vAlign w:val="center"/>
          </w:tcPr>
          <w:p w14:paraId="501E966B">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800" w:type="pct"/>
            <w:shd w:val="clear" w:color="auto" w:fill="auto"/>
            <w:vAlign w:val="center"/>
          </w:tcPr>
          <w:p w14:paraId="06510120">
            <w:pPr>
              <w:widowControl/>
              <w:jc w:val="center"/>
              <w:rPr>
                <w:rFonts w:ascii="宋体" w:hAnsi="宋体" w:cs="宋体"/>
                <w:color w:val="000000"/>
                <w:kern w:val="0"/>
                <w:sz w:val="18"/>
                <w:szCs w:val="18"/>
              </w:rPr>
            </w:pPr>
            <w:r>
              <w:rPr>
                <w:rFonts w:hint="eastAsia" w:ascii="宋体" w:hAnsi="宋体" w:cs="宋体"/>
                <w:color w:val="000000"/>
                <w:kern w:val="0"/>
                <w:sz w:val="18"/>
                <w:szCs w:val="18"/>
              </w:rPr>
              <w:t>业务活动现金流出</w:t>
            </w:r>
          </w:p>
        </w:tc>
        <w:tc>
          <w:tcPr>
            <w:tcW w:w="496" w:type="pct"/>
            <w:vAlign w:val="center"/>
          </w:tcPr>
          <w:p w14:paraId="144446D1">
            <w:pPr>
              <w:widowControl/>
              <w:jc w:val="center"/>
              <w:rPr>
                <w:rFonts w:ascii="宋体" w:hAnsi="宋体" w:cs="宋体"/>
                <w:color w:val="000000"/>
                <w:kern w:val="0"/>
                <w:sz w:val="18"/>
                <w:szCs w:val="18"/>
              </w:rPr>
            </w:pPr>
            <w:r>
              <w:rPr>
                <w:rFonts w:ascii="宋体" w:hAnsi="宋体" w:cs="宋体"/>
                <w:color w:val="000000"/>
                <w:kern w:val="0"/>
                <w:sz w:val="18"/>
                <w:szCs w:val="18"/>
              </w:rPr>
              <w:t>5,396.41</w:t>
            </w:r>
          </w:p>
        </w:tc>
        <w:tc>
          <w:tcPr>
            <w:tcW w:w="452" w:type="pct"/>
            <w:shd w:val="clear" w:color="auto" w:fill="auto"/>
            <w:vAlign w:val="center"/>
          </w:tcPr>
          <w:p w14:paraId="2864F4DD">
            <w:pPr>
              <w:widowControl/>
              <w:jc w:val="center"/>
              <w:rPr>
                <w:rFonts w:ascii="宋体" w:hAnsi="宋体" w:cs="宋体"/>
                <w:color w:val="000000"/>
                <w:kern w:val="0"/>
                <w:sz w:val="18"/>
                <w:szCs w:val="18"/>
              </w:rPr>
            </w:pPr>
            <w:r>
              <w:rPr>
                <w:rFonts w:ascii="宋体" w:hAnsi="宋体" w:cs="宋体"/>
                <w:color w:val="000000"/>
                <w:kern w:val="0"/>
                <w:sz w:val="18"/>
                <w:szCs w:val="18"/>
              </w:rPr>
              <w:t>470.71</w:t>
            </w:r>
          </w:p>
        </w:tc>
        <w:tc>
          <w:tcPr>
            <w:tcW w:w="496" w:type="pct"/>
            <w:shd w:val="clear" w:color="auto" w:fill="auto"/>
            <w:vAlign w:val="center"/>
          </w:tcPr>
          <w:p w14:paraId="3314E8F0">
            <w:pPr>
              <w:widowControl/>
              <w:jc w:val="center"/>
              <w:rPr>
                <w:rFonts w:ascii="宋体" w:hAnsi="宋体" w:cs="宋体"/>
                <w:color w:val="000000"/>
                <w:kern w:val="0"/>
                <w:sz w:val="18"/>
                <w:szCs w:val="18"/>
              </w:rPr>
            </w:pPr>
            <w:r>
              <w:rPr>
                <w:rFonts w:ascii="宋体" w:hAnsi="宋体" w:cs="宋体"/>
                <w:color w:val="000000"/>
                <w:kern w:val="0"/>
                <w:sz w:val="18"/>
                <w:szCs w:val="18"/>
              </w:rPr>
              <w:t>492.85</w:t>
            </w:r>
          </w:p>
        </w:tc>
        <w:tc>
          <w:tcPr>
            <w:tcW w:w="496" w:type="pct"/>
            <w:shd w:val="clear" w:color="auto" w:fill="auto"/>
            <w:vAlign w:val="center"/>
          </w:tcPr>
          <w:p w14:paraId="5AEAB3B8">
            <w:pPr>
              <w:widowControl/>
              <w:jc w:val="center"/>
              <w:rPr>
                <w:rFonts w:ascii="宋体" w:hAnsi="宋体" w:cs="宋体"/>
                <w:color w:val="000000"/>
                <w:kern w:val="0"/>
                <w:sz w:val="18"/>
                <w:szCs w:val="18"/>
              </w:rPr>
            </w:pPr>
            <w:r>
              <w:rPr>
                <w:rFonts w:ascii="宋体" w:hAnsi="宋体" w:cs="宋体"/>
                <w:color w:val="000000"/>
                <w:kern w:val="0"/>
                <w:sz w:val="18"/>
                <w:szCs w:val="18"/>
              </w:rPr>
              <w:t>492.85</w:t>
            </w:r>
          </w:p>
        </w:tc>
        <w:tc>
          <w:tcPr>
            <w:tcW w:w="496" w:type="pct"/>
            <w:shd w:val="clear" w:color="auto" w:fill="auto"/>
            <w:vAlign w:val="center"/>
          </w:tcPr>
          <w:p w14:paraId="7493F238">
            <w:pPr>
              <w:widowControl/>
              <w:jc w:val="center"/>
              <w:rPr>
                <w:rFonts w:ascii="宋体" w:hAnsi="宋体" w:cs="宋体"/>
                <w:color w:val="000000"/>
                <w:kern w:val="0"/>
                <w:sz w:val="18"/>
                <w:szCs w:val="18"/>
              </w:rPr>
            </w:pPr>
            <w:r>
              <w:rPr>
                <w:rFonts w:ascii="宋体" w:hAnsi="宋体" w:cs="宋体"/>
                <w:color w:val="000000"/>
                <w:kern w:val="0"/>
                <w:sz w:val="18"/>
                <w:szCs w:val="18"/>
              </w:rPr>
              <w:t>492.85</w:t>
            </w:r>
          </w:p>
        </w:tc>
        <w:tc>
          <w:tcPr>
            <w:tcW w:w="496" w:type="pct"/>
            <w:shd w:val="clear" w:color="auto" w:fill="auto"/>
            <w:vAlign w:val="center"/>
          </w:tcPr>
          <w:p w14:paraId="190FCB55">
            <w:pPr>
              <w:widowControl/>
              <w:jc w:val="center"/>
              <w:rPr>
                <w:rFonts w:ascii="宋体" w:hAnsi="宋体" w:cs="宋体"/>
                <w:color w:val="000000"/>
                <w:kern w:val="0"/>
                <w:sz w:val="18"/>
                <w:szCs w:val="18"/>
              </w:rPr>
            </w:pPr>
            <w:r>
              <w:rPr>
                <w:rFonts w:ascii="宋体" w:hAnsi="宋体" w:cs="宋体"/>
                <w:color w:val="000000"/>
                <w:kern w:val="0"/>
                <w:sz w:val="18"/>
                <w:szCs w:val="18"/>
              </w:rPr>
              <w:t>515.90</w:t>
            </w:r>
          </w:p>
        </w:tc>
        <w:tc>
          <w:tcPr>
            <w:tcW w:w="496" w:type="pct"/>
            <w:shd w:val="clear" w:color="auto" w:fill="auto"/>
            <w:vAlign w:val="center"/>
          </w:tcPr>
          <w:p w14:paraId="76C7E453">
            <w:pPr>
              <w:widowControl/>
              <w:jc w:val="center"/>
              <w:rPr>
                <w:rFonts w:ascii="宋体" w:hAnsi="宋体" w:cs="宋体"/>
                <w:color w:val="000000"/>
                <w:kern w:val="0"/>
                <w:sz w:val="18"/>
                <w:szCs w:val="18"/>
              </w:rPr>
            </w:pPr>
            <w:r>
              <w:rPr>
                <w:rFonts w:ascii="宋体" w:hAnsi="宋体" w:cs="宋体"/>
                <w:color w:val="000000"/>
                <w:kern w:val="0"/>
                <w:sz w:val="18"/>
                <w:szCs w:val="18"/>
              </w:rPr>
              <w:t>515.90</w:t>
            </w:r>
          </w:p>
        </w:tc>
        <w:tc>
          <w:tcPr>
            <w:tcW w:w="496" w:type="pct"/>
            <w:shd w:val="clear" w:color="auto" w:fill="auto"/>
            <w:vAlign w:val="center"/>
          </w:tcPr>
          <w:p w14:paraId="4FBDE2C3">
            <w:pPr>
              <w:widowControl/>
              <w:jc w:val="center"/>
              <w:rPr>
                <w:rFonts w:ascii="宋体" w:hAnsi="宋体" w:cs="宋体"/>
                <w:color w:val="000000"/>
                <w:kern w:val="0"/>
                <w:sz w:val="18"/>
                <w:szCs w:val="18"/>
              </w:rPr>
            </w:pPr>
            <w:r>
              <w:rPr>
                <w:rFonts w:ascii="宋体" w:hAnsi="宋体" w:cs="宋体"/>
                <w:color w:val="000000"/>
                <w:kern w:val="0"/>
                <w:sz w:val="18"/>
                <w:szCs w:val="18"/>
              </w:rPr>
              <w:t>-</w:t>
            </w:r>
          </w:p>
        </w:tc>
      </w:tr>
      <w:tr w14:paraId="206E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51A62C68">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800" w:type="pct"/>
            <w:shd w:val="clear" w:color="auto" w:fill="auto"/>
            <w:vAlign w:val="center"/>
          </w:tcPr>
          <w:p w14:paraId="203F0581">
            <w:pPr>
              <w:widowControl/>
              <w:jc w:val="center"/>
              <w:rPr>
                <w:rFonts w:ascii="宋体" w:hAnsi="宋体" w:cs="宋体"/>
                <w:color w:val="000000"/>
                <w:kern w:val="0"/>
                <w:sz w:val="18"/>
                <w:szCs w:val="18"/>
              </w:rPr>
            </w:pPr>
            <w:r>
              <w:rPr>
                <w:rFonts w:hint="eastAsia" w:ascii="宋体" w:hAnsi="宋体" w:cs="宋体"/>
                <w:color w:val="000000"/>
                <w:kern w:val="0"/>
                <w:sz w:val="18"/>
                <w:szCs w:val="18"/>
              </w:rPr>
              <w:t>运营成本</w:t>
            </w:r>
          </w:p>
        </w:tc>
        <w:tc>
          <w:tcPr>
            <w:tcW w:w="496" w:type="pct"/>
            <w:vAlign w:val="center"/>
          </w:tcPr>
          <w:p w14:paraId="7DD4C5D9">
            <w:pPr>
              <w:widowControl/>
              <w:jc w:val="center"/>
              <w:rPr>
                <w:rFonts w:ascii="宋体" w:hAnsi="宋体" w:cs="宋体"/>
                <w:color w:val="000000"/>
                <w:kern w:val="0"/>
                <w:sz w:val="18"/>
                <w:szCs w:val="18"/>
              </w:rPr>
            </w:pPr>
            <w:r>
              <w:rPr>
                <w:rFonts w:ascii="宋体" w:hAnsi="宋体" w:cs="宋体"/>
                <w:color w:val="000000"/>
                <w:kern w:val="0"/>
                <w:sz w:val="18"/>
                <w:szCs w:val="18"/>
              </w:rPr>
              <w:t>4,037.68</w:t>
            </w:r>
          </w:p>
        </w:tc>
        <w:tc>
          <w:tcPr>
            <w:tcW w:w="452" w:type="pct"/>
            <w:shd w:val="clear" w:color="auto" w:fill="auto"/>
            <w:vAlign w:val="center"/>
          </w:tcPr>
          <w:p w14:paraId="41674417">
            <w:pPr>
              <w:widowControl/>
              <w:jc w:val="center"/>
              <w:rPr>
                <w:rFonts w:ascii="宋体" w:hAnsi="宋体" w:cs="宋体"/>
                <w:color w:val="000000"/>
                <w:kern w:val="0"/>
                <w:sz w:val="18"/>
                <w:szCs w:val="18"/>
              </w:rPr>
            </w:pPr>
            <w:r>
              <w:rPr>
                <w:rFonts w:ascii="宋体" w:hAnsi="宋体" w:cs="宋体"/>
                <w:color w:val="000000"/>
                <w:kern w:val="0"/>
                <w:sz w:val="18"/>
                <w:szCs w:val="18"/>
              </w:rPr>
              <w:t>296.97</w:t>
            </w:r>
          </w:p>
        </w:tc>
        <w:tc>
          <w:tcPr>
            <w:tcW w:w="496" w:type="pct"/>
            <w:shd w:val="clear" w:color="auto" w:fill="auto"/>
            <w:vAlign w:val="center"/>
          </w:tcPr>
          <w:p w14:paraId="0DE444AF">
            <w:pPr>
              <w:widowControl/>
              <w:jc w:val="center"/>
              <w:rPr>
                <w:rFonts w:ascii="宋体" w:hAnsi="宋体" w:cs="宋体"/>
                <w:color w:val="000000"/>
                <w:kern w:val="0"/>
                <w:sz w:val="18"/>
                <w:szCs w:val="18"/>
              </w:rPr>
            </w:pPr>
            <w:r>
              <w:rPr>
                <w:rFonts w:ascii="宋体" w:hAnsi="宋体" w:cs="宋体"/>
                <w:color w:val="000000"/>
                <w:kern w:val="0"/>
                <w:sz w:val="18"/>
                <w:szCs w:val="18"/>
              </w:rPr>
              <w:t>310.38</w:t>
            </w:r>
          </w:p>
        </w:tc>
        <w:tc>
          <w:tcPr>
            <w:tcW w:w="496" w:type="pct"/>
            <w:shd w:val="clear" w:color="auto" w:fill="auto"/>
            <w:vAlign w:val="center"/>
          </w:tcPr>
          <w:p w14:paraId="32502E7F">
            <w:pPr>
              <w:widowControl/>
              <w:jc w:val="center"/>
              <w:rPr>
                <w:rFonts w:ascii="宋体" w:hAnsi="宋体" w:cs="宋体"/>
                <w:color w:val="000000"/>
                <w:kern w:val="0"/>
                <w:sz w:val="18"/>
                <w:szCs w:val="18"/>
              </w:rPr>
            </w:pPr>
            <w:r>
              <w:rPr>
                <w:rFonts w:ascii="宋体" w:hAnsi="宋体" w:cs="宋体"/>
                <w:color w:val="000000"/>
                <w:kern w:val="0"/>
                <w:sz w:val="18"/>
                <w:szCs w:val="18"/>
              </w:rPr>
              <w:t>310.38</w:t>
            </w:r>
          </w:p>
        </w:tc>
        <w:tc>
          <w:tcPr>
            <w:tcW w:w="496" w:type="pct"/>
            <w:shd w:val="clear" w:color="auto" w:fill="auto"/>
            <w:vAlign w:val="center"/>
          </w:tcPr>
          <w:p w14:paraId="0625F79D">
            <w:pPr>
              <w:widowControl/>
              <w:jc w:val="center"/>
              <w:rPr>
                <w:rFonts w:ascii="宋体" w:hAnsi="宋体" w:cs="宋体"/>
                <w:color w:val="000000"/>
                <w:kern w:val="0"/>
                <w:sz w:val="18"/>
                <w:szCs w:val="18"/>
              </w:rPr>
            </w:pPr>
            <w:r>
              <w:rPr>
                <w:rFonts w:ascii="宋体" w:hAnsi="宋体" w:cs="宋体"/>
                <w:color w:val="000000"/>
                <w:kern w:val="0"/>
                <w:sz w:val="18"/>
                <w:szCs w:val="18"/>
              </w:rPr>
              <w:t>310.38</w:t>
            </w:r>
          </w:p>
        </w:tc>
        <w:tc>
          <w:tcPr>
            <w:tcW w:w="496" w:type="pct"/>
            <w:shd w:val="clear" w:color="auto" w:fill="auto"/>
            <w:vAlign w:val="center"/>
          </w:tcPr>
          <w:p w14:paraId="7D97F8C7">
            <w:pPr>
              <w:widowControl/>
              <w:jc w:val="center"/>
              <w:rPr>
                <w:rFonts w:ascii="宋体" w:hAnsi="宋体" w:cs="宋体"/>
                <w:color w:val="000000"/>
                <w:kern w:val="0"/>
                <w:sz w:val="18"/>
                <w:szCs w:val="18"/>
              </w:rPr>
            </w:pPr>
            <w:r>
              <w:rPr>
                <w:rFonts w:ascii="宋体" w:hAnsi="宋体" w:cs="宋体"/>
                <w:color w:val="000000"/>
                <w:kern w:val="0"/>
                <w:sz w:val="18"/>
                <w:szCs w:val="18"/>
              </w:rPr>
              <w:t>324.36</w:t>
            </w:r>
          </w:p>
        </w:tc>
        <w:tc>
          <w:tcPr>
            <w:tcW w:w="496" w:type="pct"/>
            <w:shd w:val="clear" w:color="auto" w:fill="auto"/>
            <w:vAlign w:val="center"/>
          </w:tcPr>
          <w:p w14:paraId="1BCDB523">
            <w:pPr>
              <w:widowControl/>
              <w:jc w:val="center"/>
              <w:rPr>
                <w:rFonts w:ascii="宋体" w:hAnsi="宋体" w:cs="宋体"/>
                <w:color w:val="000000"/>
                <w:kern w:val="0"/>
                <w:sz w:val="18"/>
                <w:szCs w:val="18"/>
              </w:rPr>
            </w:pPr>
            <w:r>
              <w:rPr>
                <w:rFonts w:ascii="宋体" w:hAnsi="宋体" w:cs="宋体"/>
                <w:color w:val="000000"/>
                <w:kern w:val="0"/>
                <w:sz w:val="18"/>
                <w:szCs w:val="18"/>
              </w:rPr>
              <w:t>324.36</w:t>
            </w:r>
          </w:p>
        </w:tc>
        <w:tc>
          <w:tcPr>
            <w:tcW w:w="496" w:type="pct"/>
            <w:shd w:val="clear" w:color="auto" w:fill="auto"/>
            <w:vAlign w:val="center"/>
          </w:tcPr>
          <w:p w14:paraId="03167645">
            <w:pPr>
              <w:widowControl/>
              <w:jc w:val="center"/>
              <w:rPr>
                <w:rFonts w:ascii="宋体" w:hAnsi="宋体" w:cs="宋体"/>
                <w:color w:val="000000"/>
                <w:kern w:val="0"/>
                <w:sz w:val="18"/>
                <w:szCs w:val="18"/>
              </w:rPr>
            </w:pPr>
            <w:r>
              <w:rPr>
                <w:rFonts w:ascii="宋体" w:hAnsi="宋体" w:cs="宋体"/>
                <w:color w:val="000000"/>
                <w:kern w:val="0"/>
                <w:sz w:val="18"/>
                <w:szCs w:val="18"/>
              </w:rPr>
              <w:t>0.00</w:t>
            </w:r>
          </w:p>
        </w:tc>
      </w:tr>
      <w:tr w14:paraId="4E7D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670DBB16">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800" w:type="pct"/>
            <w:shd w:val="clear" w:color="auto" w:fill="auto"/>
            <w:vAlign w:val="center"/>
          </w:tcPr>
          <w:p w14:paraId="5326E07F">
            <w:pPr>
              <w:widowControl/>
              <w:jc w:val="center"/>
              <w:rPr>
                <w:rFonts w:ascii="宋体" w:hAnsi="宋体" w:cs="宋体"/>
                <w:color w:val="000000"/>
                <w:kern w:val="0"/>
                <w:sz w:val="18"/>
                <w:szCs w:val="18"/>
              </w:rPr>
            </w:pPr>
            <w:r>
              <w:rPr>
                <w:rFonts w:hint="eastAsia" w:ascii="宋体" w:hAnsi="宋体" w:cs="宋体"/>
                <w:color w:val="000000"/>
                <w:kern w:val="0"/>
                <w:sz w:val="18"/>
                <w:szCs w:val="18"/>
              </w:rPr>
              <w:t>税金支出</w:t>
            </w:r>
          </w:p>
        </w:tc>
        <w:tc>
          <w:tcPr>
            <w:tcW w:w="496" w:type="pct"/>
            <w:vAlign w:val="center"/>
          </w:tcPr>
          <w:p w14:paraId="1E532B24">
            <w:pPr>
              <w:widowControl/>
              <w:jc w:val="center"/>
              <w:rPr>
                <w:rFonts w:ascii="宋体" w:hAnsi="宋体" w:cs="宋体"/>
                <w:color w:val="000000"/>
                <w:kern w:val="0"/>
                <w:sz w:val="18"/>
                <w:szCs w:val="18"/>
              </w:rPr>
            </w:pPr>
            <w:r>
              <w:rPr>
                <w:rFonts w:ascii="宋体" w:hAnsi="宋体" w:cs="宋体"/>
                <w:color w:val="000000"/>
                <w:kern w:val="0"/>
                <w:sz w:val="18"/>
                <w:szCs w:val="18"/>
              </w:rPr>
              <w:t>1,358.73</w:t>
            </w:r>
          </w:p>
        </w:tc>
        <w:tc>
          <w:tcPr>
            <w:tcW w:w="452" w:type="pct"/>
            <w:shd w:val="clear" w:color="auto" w:fill="auto"/>
            <w:vAlign w:val="center"/>
          </w:tcPr>
          <w:p w14:paraId="66CC2F1A">
            <w:pPr>
              <w:widowControl/>
              <w:jc w:val="center"/>
              <w:rPr>
                <w:rFonts w:ascii="宋体" w:hAnsi="宋体" w:cs="宋体"/>
                <w:color w:val="000000"/>
                <w:kern w:val="0"/>
                <w:sz w:val="18"/>
                <w:szCs w:val="18"/>
              </w:rPr>
            </w:pPr>
            <w:r>
              <w:rPr>
                <w:rFonts w:ascii="宋体" w:hAnsi="宋体" w:cs="宋体"/>
                <w:color w:val="000000"/>
                <w:kern w:val="0"/>
                <w:sz w:val="18"/>
                <w:szCs w:val="18"/>
              </w:rPr>
              <w:t>173.74</w:t>
            </w:r>
          </w:p>
        </w:tc>
        <w:tc>
          <w:tcPr>
            <w:tcW w:w="496" w:type="pct"/>
            <w:shd w:val="clear" w:color="auto" w:fill="auto"/>
            <w:vAlign w:val="center"/>
          </w:tcPr>
          <w:p w14:paraId="34518DE7">
            <w:pPr>
              <w:widowControl/>
              <w:jc w:val="center"/>
              <w:rPr>
                <w:rFonts w:ascii="宋体" w:hAnsi="宋体" w:cs="宋体"/>
                <w:color w:val="000000"/>
                <w:kern w:val="0"/>
                <w:sz w:val="18"/>
                <w:szCs w:val="18"/>
              </w:rPr>
            </w:pPr>
            <w:r>
              <w:rPr>
                <w:rFonts w:ascii="宋体" w:hAnsi="宋体" w:cs="宋体"/>
                <w:color w:val="000000"/>
                <w:kern w:val="0"/>
                <w:sz w:val="18"/>
                <w:szCs w:val="18"/>
              </w:rPr>
              <w:t>182.47</w:t>
            </w:r>
          </w:p>
        </w:tc>
        <w:tc>
          <w:tcPr>
            <w:tcW w:w="496" w:type="pct"/>
            <w:shd w:val="clear" w:color="auto" w:fill="auto"/>
            <w:vAlign w:val="center"/>
          </w:tcPr>
          <w:p w14:paraId="311DE762">
            <w:pPr>
              <w:widowControl/>
              <w:jc w:val="center"/>
              <w:rPr>
                <w:rFonts w:ascii="宋体" w:hAnsi="宋体" w:cs="宋体"/>
                <w:color w:val="000000"/>
                <w:kern w:val="0"/>
                <w:sz w:val="18"/>
                <w:szCs w:val="18"/>
              </w:rPr>
            </w:pPr>
            <w:r>
              <w:rPr>
                <w:rFonts w:ascii="宋体" w:hAnsi="宋体" w:cs="宋体"/>
                <w:color w:val="000000"/>
                <w:kern w:val="0"/>
                <w:sz w:val="18"/>
                <w:szCs w:val="18"/>
              </w:rPr>
              <w:t>182.47</w:t>
            </w:r>
          </w:p>
        </w:tc>
        <w:tc>
          <w:tcPr>
            <w:tcW w:w="496" w:type="pct"/>
            <w:shd w:val="clear" w:color="auto" w:fill="auto"/>
            <w:vAlign w:val="center"/>
          </w:tcPr>
          <w:p w14:paraId="4FBEE758">
            <w:pPr>
              <w:widowControl/>
              <w:jc w:val="center"/>
              <w:rPr>
                <w:rFonts w:ascii="宋体" w:hAnsi="宋体" w:cs="宋体"/>
                <w:color w:val="000000"/>
                <w:kern w:val="0"/>
                <w:sz w:val="18"/>
                <w:szCs w:val="18"/>
              </w:rPr>
            </w:pPr>
            <w:r>
              <w:rPr>
                <w:rFonts w:ascii="宋体" w:hAnsi="宋体" w:cs="宋体"/>
                <w:color w:val="000000"/>
                <w:kern w:val="0"/>
                <w:sz w:val="18"/>
                <w:szCs w:val="18"/>
              </w:rPr>
              <w:t>182.47</w:t>
            </w:r>
          </w:p>
        </w:tc>
        <w:tc>
          <w:tcPr>
            <w:tcW w:w="496" w:type="pct"/>
            <w:shd w:val="clear" w:color="auto" w:fill="auto"/>
            <w:vAlign w:val="center"/>
          </w:tcPr>
          <w:p w14:paraId="2A7177E1">
            <w:pPr>
              <w:widowControl/>
              <w:jc w:val="center"/>
              <w:rPr>
                <w:rFonts w:ascii="宋体" w:hAnsi="宋体" w:cs="宋体"/>
                <w:color w:val="000000"/>
                <w:kern w:val="0"/>
                <w:sz w:val="18"/>
                <w:szCs w:val="18"/>
              </w:rPr>
            </w:pPr>
            <w:r>
              <w:rPr>
                <w:rFonts w:ascii="宋体" w:hAnsi="宋体" w:cs="宋体"/>
                <w:color w:val="000000"/>
                <w:kern w:val="0"/>
                <w:sz w:val="18"/>
                <w:szCs w:val="18"/>
              </w:rPr>
              <w:t>191.54</w:t>
            </w:r>
          </w:p>
        </w:tc>
        <w:tc>
          <w:tcPr>
            <w:tcW w:w="496" w:type="pct"/>
            <w:shd w:val="clear" w:color="auto" w:fill="auto"/>
            <w:vAlign w:val="center"/>
          </w:tcPr>
          <w:p w14:paraId="6985DC49">
            <w:pPr>
              <w:widowControl/>
              <w:jc w:val="center"/>
              <w:rPr>
                <w:rFonts w:ascii="宋体" w:hAnsi="宋体" w:cs="宋体"/>
                <w:color w:val="000000"/>
                <w:kern w:val="0"/>
                <w:sz w:val="18"/>
                <w:szCs w:val="18"/>
              </w:rPr>
            </w:pPr>
            <w:r>
              <w:rPr>
                <w:rFonts w:ascii="宋体" w:hAnsi="宋体" w:cs="宋体"/>
                <w:color w:val="000000"/>
                <w:kern w:val="0"/>
                <w:sz w:val="18"/>
                <w:szCs w:val="18"/>
              </w:rPr>
              <w:t>191.54</w:t>
            </w:r>
          </w:p>
        </w:tc>
        <w:tc>
          <w:tcPr>
            <w:tcW w:w="496" w:type="pct"/>
            <w:shd w:val="clear" w:color="auto" w:fill="auto"/>
            <w:vAlign w:val="center"/>
          </w:tcPr>
          <w:p w14:paraId="5576A733">
            <w:pPr>
              <w:widowControl/>
              <w:jc w:val="center"/>
              <w:rPr>
                <w:rFonts w:ascii="宋体" w:hAnsi="宋体" w:cs="宋体"/>
                <w:color w:val="000000"/>
                <w:kern w:val="0"/>
                <w:sz w:val="18"/>
                <w:szCs w:val="18"/>
              </w:rPr>
            </w:pPr>
            <w:r>
              <w:rPr>
                <w:rFonts w:ascii="宋体" w:hAnsi="宋体" w:cs="宋体"/>
                <w:color w:val="000000"/>
                <w:kern w:val="0"/>
                <w:sz w:val="18"/>
                <w:szCs w:val="18"/>
              </w:rPr>
              <w:t>-</w:t>
            </w:r>
          </w:p>
        </w:tc>
      </w:tr>
      <w:tr w14:paraId="34D3C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79" w:type="pct"/>
            <w:shd w:val="clear" w:color="auto" w:fill="auto"/>
            <w:vAlign w:val="center"/>
          </w:tcPr>
          <w:p w14:paraId="3DE94870">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800" w:type="pct"/>
            <w:shd w:val="clear" w:color="auto" w:fill="auto"/>
            <w:vAlign w:val="center"/>
          </w:tcPr>
          <w:p w14:paraId="4B3E8D1D">
            <w:pPr>
              <w:widowControl/>
              <w:jc w:val="center"/>
              <w:rPr>
                <w:rFonts w:ascii="宋体" w:hAnsi="宋体" w:cs="宋体"/>
                <w:color w:val="000000"/>
                <w:kern w:val="0"/>
                <w:sz w:val="18"/>
                <w:szCs w:val="18"/>
              </w:rPr>
            </w:pPr>
            <w:r>
              <w:rPr>
                <w:rFonts w:hint="eastAsia" w:ascii="宋体" w:hAnsi="宋体" w:cs="宋体"/>
                <w:color w:val="000000"/>
                <w:kern w:val="0"/>
                <w:sz w:val="18"/>
                <w:szCs w:val="18"/>
              </w:rPr>
              <w:t>建设投资现金流出</w:t>
            </w:r>
          </w:p>
        </w:tc>
        <w:tc>
          <w:tcPr>
            <w:tcW w:w="496" w:type="pct"/>
            <w:vAlign w:val="center"/>
          </w:tcPr>
          <w:p w14:paraId="5A85D5FE">
            <w:pPr>
              <w:widowControl/>
              <w:jc w:val="center"/>
              <w:rPr>
                <w:rFonts w:ascii="宋体" w:hAnsi="宋体" w:cs="宋体"/>
                <w:color w:val="000000"/>
                <w:kern w:val="0"/>
                <w:sz w:val="18"/>
                <w:szCs w:val="18"/>
              </w:rPr>
            </w:pPr>
            <w:r>
              <w:rPr>
                <w:rFonts w:ascii="宋体" w:hAnsi="宋体" w:cs="宋体"/>
                <w:color w:val="000000"/>
                <w:kern w:val="0"/>
                <w:sz w:val="18"/>
                <w:szCs w:val="18"/>
              </w:rPr>
              <w:t>10,300.00</w:t>
            </w:r>
          </w:p>
        </w:tc>
        <w:tc>
          <w:tcPr>
            <w:tcW w:w="452" w:type="pct"/>
            <w:shd w:val="clear" w:color="auto" w:fill="auto"/>
            <w:vAlign w:val="center"/>
          </w:tcPr>
          <w:p w14:paraId="5CD2F4F9">
            <w:pPr>
              <w:widowControl/>
              <w:jc w:val="center"/>
              <w:rPr>
                <w:rFonts w:ascii="宋体" w:hAnsi="宋体" w:cs="宋体"/>
                <w:color w:val="000000"/>
                <w:kern w:val="0"/>
                <w:sz w:val="18"/>
                <w:szCs w:val="18"/>
              </w:rPr>
            </w:pPr>
          </w:p>
        </w:tc>
        <w:tc>
          <w:tcPr>
            <w:tcW w:w="496" w:type="pct"/>
            <w:shd w:val="clear" w:color="auto" w:fill="auto"/>
            <w:vAlign w:val="center"/>
          </w:tcPr>
          <w:p w14:paraId="75FDE11A">
            <w:pPr>
              <w:widowControl/>
              <w:jc w:val="center"/>
              <w:rPr>
                <w:rFonts w:ascii="宋体" w:hAnsi="宋体" w:cs="宋体"/>
                <w:color w:val="000000"/>
                <w:kern w:val="0"/>
                <w:sz w:val="18"/>
                <w:szCs w:val="18"/>
              </w:rPr>
            </w:pPr>
          </w:p>
        </w:tc>
        <w:tc>
          <w:tcPr>
            <w:tcW w:w="496" w:type="pct"/>
            <w:shd w:val="clear" w:color="auto" w:fill="auto"/>
            <w:vAlign w:val="center"/>
          </w:tcPr>
          <w:p w14:paraId="18967DEB">
            <w:pPr>
              <w:widowControl/>
              <w:jc w:val="center"/>
              <w:rPr>
                <w:rFonts w:ascii="宋体" w:hAnsi="宋体" w:cs="宋体"/>
                <w:color w:val="000000"/>
                <w:kern w:val="0"/>
                <w:sz w:val="18"/>
                <w:szCs w:val="18"/>
              </w:rPr>
            </w:pPr>
          </w:p>
        </w:tc>
        <w:tc>
          <w:tcPr>
            <w:tcW w:w="496" w:type="pct"/>
            <w:shd w:val="clear" w:color="auto" w:fill="auto"/>
            <w:vAlign w:val="center"/>
          </w:tcPr>
          <w:p w14:paraId="7210A12E">
            <w:pPr>
              <w:widowControl/>
              <w:jc w:val="center"/>
              <w:rPr>
                <w:rFonts w:ascii="宋体" w:hAnsi="宋体" w:cs="宋体"/>
                <w:color w:val="000000"/>
                <w:kern w:val="0"/>
                <w:sz w:val="18"/>
                <w:szCs w:val="18"/>
              </w:rPr>
            </w:pPr>
          </w:p>
        </w:tc>
        <w:tc>
          <w:tcPr>
            <w:tcW w:w="496" w:type="pct"/>
            <w:shd w:val="clear" w:color="auto" w:fill="auto"/>
            <w:vAlign w:val="center"/>
          </w:tcPr>
          <w:p w14:paraId="182C58EC">
            <w:pPr>
              <w:widowControl/>
              <w:jc w:val="center"/>
              <w:rPr>
                <w:rFonts w:ascii="宋体" w:hAnsi="宋体" w:cs="宋体"/>
                <w:color w:val="000000"/>
                <w:kern w:val="0"/>
                <w:sz w:val="18"/>
                <w:szCs w:val="18"/>
              </w:rPr>
            </w:pPr>
          </w:p>
        </w:tc>
        <w:tc>
          <w:tcPr>
            <w:tcW w:w="496" w:type="pct"/>
            <w:shd w:val="clear" w:color="auto" w:fill="auto"/>
            <w:vAlign w:val="center"/>
          </w:tcPr>
          <w:p w14:paraId="20D7B0E8">
            <w:pPr>
              <w:widowControl/>
              <w:jc w:val="center"/>
              <w:rPr>
                <w:rFonts w:ascii="宋体" w:hAnsi="宋体" w:cs="宋体"/>
                <w:color w:val="000000"/>
                <w:kern w:val="0"/>
                <w:sz w:val="18"/>
                <w:szCs w:val="18"/>
              </w:rPr>
            </w:pPr>
          </w:p>
        </w:tc>
        <w:tc>
          <w:tcPr>
            <w:tcW w:w="496" w:type="pct"/>
            <w:shd w:val="clear" w:color="auto" w:fill="auto"/>
            <w:vAlign w:val="center"/>
          </w:tcPr>
          <w:p w14:paraId="75C09029">
            <w:pPr>
              <w:widowControl/>
              <w:jc w:val="center"/>
              <w:rPr>
                <w:rFonts w:ascii="宋体" w:hAnsi="宋体" w:cs="宋体"/>
                <w:color w:val="000000"/>
                <w:kern w:val="0"/>
                <w:sz w:val="18"/>
                <w:szCs w:val="18"/>
              </w:rPr>
            </w:pPr>
          </w:p>
        </w:tc>
      </w:tr>
      <w:tr w14:paraId="4A1C3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79" w:type="pct"/>
            <w:shd w:val="clear" w:color="auto" w:fill="auto"/>
            <w:vAlign w:val="center"/>
          </w:tcPr>
          <w:p w14:paraId="5CFAD06B">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800" w:type="pct"/>
            <w:shd w:val="clear" w:color="auto" w:fill="auto"/>
            <w:vAlign w:val="center"/>
          </w:tcPr>
          <w:p w14:paraId="073EAE23">
            <w:pPr>
              <w:widowControl/>
              <w:jc w:val="center"/>
              <w:rPr>
                <w:rFonts w:ascii="宋体" w:hAnsi="宋体" w:cs="宋体"/>
                <w:color w:val="000000"/>
                <w:kern w:val="0"/>
                <w:sz w:val="18"/>
                <w:szCs w:val="18"/>
              </w:rPr>
            </w:pPr>
            <w:r>
              <w:rPr>
                <w:rFonts w:hint="eastAsia" w:ascii="宋体" w:hAnsi="宋体" w:cs="宋体"/>
                <w:color w:val="000000"/>
                <w:kern w:val="0"/>
                <w:sz w:val="18"/>
                <w:szCs w:val="18"/>
              </w:rPr>
              <w:t>融资活动现金流出</w:t>
            </w:r>
          </w:p>
        </w:tc>
        <w:tc>
          <w:tcPr>
            <w:tcW w:w="496" w:type="pct"/>
            <w:vAlign w:val="center"/>
          </w:tcPr>
          <w:p w14:paraId="0FE087D0">
            <w:pPr>
              <w:widowControl/>
              <w:jc w:val="center"/>
              <w:rPr>
                <w:rFonts w:ascii="宋体" w:hAnsi="宋体" w:cs="宋体"/>
                <w:color w:val="000000"/>
                <w:kern w:val="0"/>
                <w:sz w:val="18"/>
                <w:szCs w:val="18"/>
              </w:rPr>
            </w:pPr>
            <w:r>
              <w:rPr>
                <w:rFonts w:ascii="宋体" w:hAnsi="宋体" w:cs="宋体"/>
                <w:color w:val="000000"/>
                <w:kern w:val="0"/>
                <w:sz w:val="18"/>
                <w:szCs w:val="18"/>
              </w:rPr>
              <w:t>13,412.70</w:t>
            </w:r>
          </w:p>
        </w:tc>
        <w:tc>
          <w:tcPr>
            <w:tcW w:w="452" w:type="pct"/>
            <w:shd w:val="clear" w:color="auto" w:fill="auto"/>
            <w:vAlign w:val="center"/>
          </w:tcPr>
          <w:p w14:paraId="45321D21">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496" w:type="pct"/>
            <w:shd w:val="clear" w:color="auto" w:fill="auto"/>
            <w:vAlign w:val="center"/>
          </w:tcPr>
          <w:p w14:paraId="1C28A7A6">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496" w:type="pct"/>
            <w:shd w:val="clear" w:color="auto" w:fill="auto"/>
            <w:vAlign w:val="center"/>
          </w:tcPr>
          <w:p w14:paraId="56C0B375">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496" w:type="pct"/>
            <w:shd w:val="clear" w:color="auto" w:fill="auto"/>
            <w:vAlign w:val="center"/>
          </w:tcPr>
          <w:p w14:paraId="6567A0DD">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496" w:type="pct"/>
            <w:shd w:val="clear" w:color="auto" w:fill="auto"/>
            <w:vAlign w:val="center"/>
          </w:tcPr>
          <w:p w14:paraId="1AF2E8F6">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496" w:type="pct"/>
            <w:shd w:val="clear" w:color="auto" w:fill="auto"/>
            <w:vAlign w:val="center"/>
          </w:tcPr>
          <w:p w14:paraId="08738911">
            <w:pPr>
              <w:widowControl/>
              <w:jc w:val="center"/>
              <w:rPr>
                <w:rFonts w:ascii="宋体" w:hAnsi="宋体" w:cs="宋体"/>
                <w:color w:val="000000"/>
                <w:kern w:val="0"/>
                <w:sz w:val="18"/>
                <w:szCs w:val="18"/>
              </w:rPr>
            </w:pPr>
            <w:r>
              <w:rPr>
                <w:rFonts w:ascii="宋体" w:hAnsi="宋体" w:cs="宋体"/>
                <w:color w:val="000000"/>
                <w:kern w:val="0"/>
                <w:sz w:val="18"/>
                <w:szCs w:val="18"/>
              </w:rPr>
              <w:t>5,236.35</w:t>
            </w:r>
          </w:p>
        </w:tc>
        <w:tc>
          <w:tcPr>
            <w:tcW w:w="496" w:type="pct"/>
            <w:shd w:val="clear" w:color="auto" w:fill="auto"/>
            <w:vAlign w:val="center"/>
          </w:tcPr>
          <w:p w14:paraId="440A3C82">
            <w:pPr>
              <w:widowControl/>
              <w:jc w:val="center"/>
              <w:rPr>
                <w:rFonts w:ascii="宋体" w:hAnsi="宋体" w:cs="宋体"/>
                <w:color w:val="000000"/>
                <w:kern w:val="0"/>
                <w:sz w:val="18"/>
                <w:szCs w:val="18"/>
              </w:rPr>
            </w:pPr>
            <w:r>
              <w:rPr>
                <w:rFonts w:ascii="宋体" w:hAnsi="宋体" w:cs="宋体"/>
                <w:color w:val="000000"/>
                <w:kern w:val="0"/>
                <w:sz w:val="18"/>
                <w:szCs w:val="18"/>
              </w:rPr>
              <w:t>3,779.55</w:t>
            </w:r>
          </w:p>
        </w:tc>
      </w:tr>
      <w:tr w14:paraId="0CBFF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137D9499">
            <w:pPr>
              <w:widowControl/>
              <w:jc w:val="center"/>
              <w:rPr>
                <w:rFonts w:ascii="宋体" w:hAnsi="宋体" w:cs="宋体"/>
                <w:color w:val="000000"/>
                <w:kern w:val="0"/>
                <w:sz w:val="18"/>
                <w:szCs w:val="18"/>
              </w:rPr>
            </w:pPr>
            <w:r>
              <w:rPr>
                <w:rFonts w:hint="eastAsia" w:ascii="宋体" w:hAnsi="宋体" w:cs="宋体"/>
                <w:color w:val="000000"/>
                <w:kern w:val="0"/>
                <w:sz w:val="18"/>
                <w:szCs w:val="18"/>
              </w:rPr>
              <w:t>3.1</w:t>
            </w:r>
          </w:p>
        </w:tc>
        <w:tc>
          <w:tcPr>
            <w:tcW w:w="800" w:type="pct"/>
            <w:shd w:val="clear" w:color="auto" w:fill="auto"/>
            <w:vAlign w:val="center"/>
          </w:tcPr>
          <w:p w14:paraId="54B66A5E">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债券发行费用</w:t>
            </w:r>
          </w:p>
        </w:tc>
        <w:tc>
          <w:tcPr>
            <w:tcW w:w="496" w:type="pct"/>
            <w:vAlign w:val="center"/>
          </w:tcPr>
          <w:p w14:paraId="16D97818">
            <w:pPr>
              <w:widowControl/>
              <w:jc w:val="center"/>
              <w:rPr>
                <w:rFonts w:ascii="宋体" w:hAnsi="宋体" w:cs="宋体"/>
                <w:color w:val="000000"/>
                <w:kern w:val="0"/>
                <w:sz w:val="18"/>
                <w:szCs w:val="18"/>
              </w:rPr>
            </w:pPr>
            <w:r>
              <w:rPr>
                <w:rFonts w:ascii="宋体" w:hAnsi="宋体" w:cs="宋体"/>
                <w:color w:val="000000"/>
                <w:kern w:val="0"/>
                <w:sz w:val="18"/>
                <w:szCs w:val="18"/>
              </w:rPr>
              <w:t>8.70</w:t>
            </w:r>
          </w:p>
        </w:tc>
        <w:tc>
          <w:tcPr>
            <w:tcW w:w="452" w:type="pct"/>
            <w:shd w:val="clear" w:color="auto" w:fill="auto"/>
            <w:vAlign w:val="center"/>
          </w:tcPr>
          <w:p w14:paraId="3AA75581">
            <w:pPr>
              <w:widowControl/>
              <w:jc w:val="center"/>
              <w:rPr>
                <w:rFonts w:ascii="宋体" w:hAnsi="宋体" w:cs="宋体"/>
                <w:color w:val="000000"/>
                <w:kern w:val="0"/>
                <w:sz w:val="18"/>
                <w:szCs w:val="18"/>
              </w:rPr>
            </w:pPr>
          </w:p>
        </w:tc>
        <w:tc>
          <w:tcPr>
            <w:tcW w:w="496" w:type="pct"/>
            <w:shd w:val="clear" w:color="auto" w:fill="auto"/>
            <w:vAlign w:val="center"/>
          </w:tcPr>
          <w:p w14:paraId="06A1AB1B">
            <w:pPr>
              <w:widowControl/>
              <w:jc w:val="center"/>
              <w:rPr>
                <w:rFonts w:ascii="宋体" w:hAnsi="宋体" w:cs="宋体"/>
                <w:color w:val="000000"/>
                <w:kern w:val="0"/>
                <w:sz w:val="18"/>
                <w:szCs w:val="18"/>
              </w:rPr>
            </w:pPr>
          </w:p>
        </w:tc>
        <w:tc>
          <w:tcPr>
            <w:tcW w:w="496" w:type="pct"/>
            <w:shd w:val="clear" w:color="auto" w:fill="auto"/>
            <w:vAlign w:val="center"/>
          </w:tcPr>
          <w:p w14:paraId="109B896F">
            <w:pPr>
              <w:widowControl/>
              <w:jc w:val="center"/>
              <w:rPr>
                <w:rFonts w:ascii="宋体" w:hAnsi="宋体" w:cs="宋体"/>
                <w:color w:val="000000"/>
                <w:kern w:val="0"/>
                <w:sz w:val="18"/>
                <w:szCs w:val="18"/>
              </w:rPr>
            </w:pPr>
          </w:p>
        </w:tc>
        <w:tc>
          <w:tcPr>
            <w:tcW w:w="496" w:type="pct"/>
            <w:shd w:val="clear" w:color="auto" w:fill="auto"/>
            <w:vAlign w:val="center"/>
          </w:tcPr>
          <w:p w14:paraId="29083D2E">
            <w:pPr>
              <w:widowControl/>
              <w:jc w:val="center"/>
              <w:rPr>
                <w:rFonts w:ascii="宋体" w:hAnsi="宋体" w:cs="宋体"/>
                <w:color w:val="000000"/>
                <w:kern w:val="0"/>
                <w:sz w:val="18"/>
                <w:szCs w:val="18"/>
              </w:rPr>
            </w:pPr>
          </w:p>
        </w:tc>
        <w:tc>
          <w:tcPr>
            <w:tcW w:w="496" w:type="pct"/>
            <w:shd w:val="clear" w:color="auto" w:fill="auto"/>
            <w:vAlign w:val="center"/>
          </w:tcPr>
          <w:p w14:paraId="21DB2B73">
            <w:pPr>
              <w:widowControl/>
              <w:jc w:val="center"/>
              <w:rPr>
                <w:rFonts w:ascii="宋体" w:hAnsi="宋体" w:cs="宋体"/>
                <w:color w:val="000000"/>
                <w:kern w:val="0"/>
                <w:sz w:val="18"/>
                <w:szCs w:val="18"/>
              </w:rPr>
            </w:pPr>
          </w:p>
        </w:tc>
        <w:tc>
          <w:tcPr>
            <w:tcW w:w="496" w:type="pct"/>
            <w:shd w:val="clear" w:color="auto" w:fill="auto"/>
            <w:vAlign w:val="center"/>
          </w:tcPr>
          <w:p w14:paraId="68AA862E">
            <w:pPr>
              <w:widowControl/>
              <w:jc w:val="center"/>
              <w:rPr>
                <w:rFonts w:ascii="宋体" w:hAnsi="宋体" w:cs="宋体"/>
                <w:color w:val="000000"/>
                <w:kern w:val="0"/>
                <w:sz w:val="18"/>
                <w:szCs w:val="18"/>
              </w:rPr>
            </w:pPr>
          </w:p>
        </w:tc>
        <w:tc>
          <w:tcPr>
            <w:tcW w:w="496" w:type="pct"/>
            <w:shd w:val="clear" w:color="auto" w:fill="auto"/>
            <w:vAlign w:val="center"/>
          </w:tcPr>
          <w:p w14:paraId="6CF1CB66">
            <w:pPr>
              <w:widowControl/>
              <w:jc w:val="center"/>
              <w:rPr>
                <w:rFonts w:ascii="宋体" w:hAnsi="宋体" w:cs="宋体"/>
                <w:color w:val="000000"/>
                <w:kern w:val="0"/>
                <w:sz w:val="18"/>
                <w:szCs w:val="18"/>
              </w:rPr>
            </w:pPr>
          </w:p>
        </w:tc>
      </w:tr>
      <w:tr w14:paraId="46F10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2E3E605C">
            <w:pPr>
              <w:widowControl/>
              <w:jc w:val="center"/>
              <w:rPr>
                <w:rFonts w:ascii="宋体" w:hAnsi="宋体" w:cs="宋体"/>
                <w:color w:val="000000"/>
                <w:kern w:val="0"/>
                <w:sz w:val="18"/>
                <w:szCs w:val="18"/>
              </w:rPr>
            </w:pPr>
            <w:r>
              <w:rPr>
                <w:rFonts w:hint="eastAsia" w:ascii="宋体" w:hAnsi="宋体" w:cs="宋体"/>
                <w:color w:val="000000"/>
                <w:kern w:val="0"/>
                <w:sz w:val="18"/>
                <w:szCs w:val="18"/>
              </w:rPr>
              <w:t>3.2</w:t>
            </w:r>
          </w:p>
        </w:tc>
        <w:tc>
          <w:tcPr>
            <w:tcW w:w="800" w:type="pct"/>
            <w:shd w:val="clear" w:color="auto" w:fill="auto"/>
            <w:vAlign w:val="center"/>
          </w:tcPr>
          <w:p w14:paraId="3B762705">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偿还债券本金</w:t>
            </w:r>
          </w:p>
        </w:tc>
        <w:tc>
          <w:tcPr>
            <w:tcW w:w="496" w:type="pct"/>
            <w:vAlign w:val="center"/>
          </w:tcPr>
          <w:p w14:paraId="76ED04F2">
            <w:pPr>
              <w:widowControl/>
              <w:jc w:val="center"/>
              <w:rPr>
                <w:rFonts w:ascii="宋体" w:hAnsi="宋体" w:cs="宋体"/>
                <w:color w:val="000000"/>
                <w:kern w:val="0"/>
                <w:sz w:val="18"/>
                <w:szCs w:val="18"/>
              </w:rPr>
            </w:pPr>
            <w:r>
              <w:rPr>
                <w:rFonts w:ascii="宋体" w:hAnsi="宋体" w:cs="宋体"/>
                <w:color w:val="000000"/>
                <w:kern w:val="0"/>
                <w:sz w:val="18"/>
                <w:szCs w:val="18"/>
              </w:rPr>
              <w:t>8,700.00</w:t>
            </w:r>
          </w:p>
        </w:tc>
        <w:tc>
          <w:tcPr>
            <w:tcW w:w="452" w:type="pct"/>
            <w:shd w:val="clear" w:color="auto" w:fill="auto"/>
            <w:vAlign w:val="center"/>
          </w:tcPr>
          <w:p w14:paraId="6A137A56">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46E11A10">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563BBB44">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633F45A7">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278B7AE6">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1335DDA4">
            <w:pPr>
              <w:widowControl/>
              <w:jc w:val="center"/>
              <w:rPr>
                <w:rFonts w:ascii="宋体" w:hAnsi="宋体" w:cs="宋体"/>
                <w:color w:val="000000"/>
                <w:kern w:val="0"/>
                <w:sz w:val="18"/>
                <w:szCs w:val="18"/>
              </w:rPr>
            </w:pPr>
            <w:r>
              <w:rPr>
                <w:rFonts w:ascii="宋体" w:hAnsi="宋体" w:cs="宋体"/>
                <w:color w:val="000000"/>
                <w:kern w:val="0"/>
                <w:sz w:val="18"/>
                <w:szCs w:val="18"/>
              </w:rPr>
              <w:t>5,000.00</w:t>
            </w:r>
          </w:p>
        </w:tc>
        <w:tc>
          <w:tcPr>
            <w:tcW w:w="496" w:type="pct"/>
            <w:shd w:val="clear" w:color="auto" w:fill="auto"/>
            <w:vAlign w:val="center"/>
          </w:tcPr>
          <w:p w14:paraId="72A27B18">
            <w:pPr>
              <w:widowControl/>
              <w:jc w:val="center"/>
              <w:rPr>
                <w:rFonts w:ascii="宋体" w:hAnsi="宋体" w:cs="宋体"/>
                <w:color w:val="000000"/>
                <w:kern w:val="0"/>
                <w:sz w:val="18"/>
                <w:szCs w:val="18"/>
              </w:rPr>
            </w:pPr>
            <w:r>
              <w:rPr>
                <w:rFonts w:ascii="宋体" w:hAnsi="宋体" w:cs="宋体"/>
                <w:color w:val="000000"/>
                <w:kern w:val="0"/>
                <w:sz w:val="18"/>
                <w:szCs w:val="18"/>
              </w:rPr>
              <w:t>3,700.00</w:t>
            </w:r>
          </w:p>
        </w:tc>
      </w:tr>
      <w:tr w14:paraId="11E83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33C573B0">
            <w:pPr>
              <w:widowControl/>
              <w:jc w:val="center"/>
              <w:rPr>
                <w:rFonts w:ascii="宋体" w:hAnsi="宋体" w:cs="宋体"/>
                <w:color w:val="000000"/>
                <w:kern w:val="0"/>
                <w:sz w:val="18"/>
                <w:szCs w:val="18"/>
              </w:rPr>
            </w:pPr>
            <w:r>
              <w:rPr>
                <w:rFonts w:hint="eastAsia" w:ascii="宋体" w:hAnsi="宋体" w:cs="宋体"/>
                <w:color w:val="000000"/>
                <w:kern w:val="0"/>
                <w:sz w:val="18"/>
                <w:szCs w:val="18"/>
              </w:rPr>
              <w:t>3.3</w:t>
            </w:r>
          </w:p>
        </w:tc>
        <w:tc>
          <w:tcPr>
            <w:tcW w:w="800" w:type="pct"/>
            <w:shd w:val="clear" w:color="auto" w:fill="auto"/>
            <w:vAlign w:val="center"/>
          </w:tcPr>
          <w:p w14:paraId="6C428682">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支付债券利息</w:t>
            </w:r>
          </w:p>
        </w:tc>
        <w:tc>
          <w:tcPr>
            <w:tcW w:w="496" w:type="pct"/>
            <w:vAlign w:val="center"/>
          </w:tcPr>
          <w:p w14:paraId="62ABED8A">
            <w:pPr>
              <w:widowControl/>
              <w:jc w:val="center"/>
              <w:rPr>
                <w:rFonts w:ascii="宋体" w:hAnsi="宋体" w:cs="宋体"/>
                <w:color w:val="000000"/>
                <w:kern w:val="0"/>
                <w:sz w:val="18"/>
                <w:szCs w:val="18"/>
              </w:rPr>
            </w:pPr>
            <w:r>
              <w:rPr>
                <w:rFonts w:ascii="宋体" w:hAnsi="宋体" w:cs="宋体"/>
                <w:color w:val="000000"/>
                <w:kern w:val="0"/>
                <w:sz w:val="18"/>
                <w:szCs w:val="18"/>
              </w:rPr>
              <w:t>4,704.00</w:t>
            </w:r>
          </w:p>
        </w:tc>
        <w:tc>
          <w:tcPr>
            <w:tcW w:w="452" w:type="pct"/>
            <w:shd w:val="clear" w:color="auto" w:fill="auto"/>
            <w:vAlign w:val="center"/>
          </w:tcPr>
          <w:p w14:paraId="1DF9D033">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496" w:type="pct"/>
            <w:shd w:val="clear" w:color="auto" w:fill="auto"/>
            <w:vAlign w:val="center"/>
          </w:tcPr>
          <w:p w14:paraId="599B585E">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496" w:type="pct"/>
            <w:shd w:val="clear" w:color="auto" w:fill="auto"/>
            <w:vAlign w:val="center"/>
          </w:tcPr>
          <w:p w14:paraId="4BDE6BF9">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496" w:type="pct"/>
            <w:shd w:val="clear" w:color="auto" w:fill="auto"/>
            <w:vAlign w:val="center"/>
          </w:tcPr>
          <w:p w14:paraId="5B1ED793">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496" w:type="pct"/>
            <w:shd w:val="clear" w:color="auto" w:fill="auto"/>
            <w:vAlign w:val="center"/>
          </w:tcPr>
          <w:p w14:paraId="7DA7D51A">
            <w:pPr>
              <w:widowControl/>
              <w:jc w:val="center"/>
              <w:rPr>
                <w:rFonts w:ascii="宋体" w:hAnsi="宋体" w:cs="宋体"/>
                <w:color w:val="000000"/>
                <w:kern w:val="0"/>
                <w:sz w:val="18"/>
                <w:szCs w:val="18"/>
              </w:rPr>
            </w:pPr>
            <w:r>
              <w:rPr>
                <w:rFonts w:ascii="宋体" w:hAnsi="宋体" w:cs="宋体"/>
                <w:color w:val="000000"/>
                <w:kern w:val="0"/>
                <w:sz w:val="18"/>
                <w:szCs w:val="18"/>
              </w:rPr>
              <w:t>313.60</w:t>
            </w:r>
          </w:p>
        </w:tc>
        <w:tc>
          <w:tcPr>
            <w:tcW w:w="496" w:type="pct"/>
            <w:shd w:val="clear" w:color="auto" w:fill="auto"/>
            <w:vAlign w:val="center"/>
          </w:tcPr>
          <w:p w14:paraId="0B82C4A4">
            <w:pPr>
              <w:widowControl/>
              <w:jc w:val="center"/>
              <w:rPr>
                <w:rFonts w:ascii="宋体" w:hAnsi="宋体" w:cs="宋体"/>
                <w:color w:val="000000"/>
                <w:kern w:val="0"/>
                <w:sz w:val="18"/>
                <w:szCs w:val="18"/>
              </w:rPr>
            </w:pPr>
            <w:r>
              <w:rPr>
                <w:rFonts w:ascii="宋体" w:hAnsi="宋体" w:cs="宋体"/>
                <w:color w:val="000000"/>
                <w:kern w:val="0"/>
                <w:sz w:val="18"/>
                <w:szCs w:val="18"/>
              </w:rPr>
              <w:t>236.35</w:t>
            </w:r>
          </w:p>
        </w:tc>
        <w:tc>
          <w:tcPr>
            <w:tcW w:w="496" w:type="pct"/>
            <w:shd w:val="clear" w:color="auto" w:fill="auto"/>
            <w:vAlign w:val="center"/>
          </w:tcPr>
          <w:p w14:paraId="10D7034E">
            <w:pPr>
              <w:widowControl/>
              <w:jc w:val="center"/>
              <w:rPr>
                <w:rFonts w:ascii="宋体" w:hAnsi="宋体" w:cs="宋体"/>
                <w:color w:val="000000"/>
                <w:kern w:val="0"/>
                <w:sz w:val="18"/>
                <w:szCs w:val="18"/>
              </w:rPr>
            </w:pPr>
            <w:r>
              <w:rPr>
                <w:rFonts w:ascii="宋体" w:hAnsi="宋体" w:cs="宋体"/>
                <w:color w:val="000000"/>
                <w:kern w:val="0"/>
                <w:sz w:val="18"/>
                <w:szCs w:val="18"/>
              </w:rPr>
              <w:t>79.55</w:t>
            </w:r>
          </w:p>
        </w:tc>
      </w:tr>
      <w:tr w14:paraId="644D4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79" w:type="pct"/>
            <w:shd w:val="clear" w:color="auto" w:fill="auto"/>
            <w:vAlign w:val="center"/>
          </w:tcPr>
          <w:p w14:paraId="43D4DC7A">
            <w:pPr>
              <w:widowControl/>
              <w:jc w:val="center"/>
              <w:rPr>
                <w:rFonts w:ascii="宋体" w:hAnsi="宋体" w:cs="宋体"/>
                <w:color w:val="000000"/>
                <w:kern w:val="0"/>
                <w:sz w:val="18"/>
                <w:szCs w:val="18"/>
              </w:rPr>
            </w:pPr>
            <w:r>
              <w:rPr>
                <w:rFonts w:hint="eastAsia" w:ascii="宋体" w:hAnsi="宋体" w:cs="宋体"/>
                <w:color w:val="000000"/>
                <w:kern w:val="0"/>
                <w:sz w:val="18"/>
                <w:szCs w:val="18"/>
              </w:rPr>
              <w:t>3.4</w:t>
            </w:r>
          </w:p>
        </w:tc>
        <w:tc>
          <w:tcPr>
            <w:tcW w:w="800" w:type="pct"/>
            <w:shd w:val="clear" w:color="auto" w:fill="auto"/>
            <w:vAlign w:val="center"/>
          </w:tcPr>
          <w:p w14:paraId="6FEB340C">
            <w:pPr>
              <w:widowControl/>
              <w:jc w:val="center"/>
              <w:rPr>
                <w:rFonts w:ascii="宋体" w:hAnsi="宋体" w:cs="宋体"/>
                <w:color w:val="000000"/>
                <w:kern w:val="0"/>
                <w:sz w:val="18"/>
                <w:szCs w:val="18"/>
              </w:rPr>
            </w:pPr>
            <w:r>
              <w:rPr>
                <w:rFonts w:hint="eastAsia" w:ascii="宋体" w:hAnsi="宋体" w:cs="宋体"/>
                <w:color w:val="000000"/>
                <w:kern w:val="0"/>
                <w:sz w:val="18"/>
                <w:szCs w:val="18"/>
              </w:rPr>
              <w:t>偿还其他融资本金</w:t>
            </w:r>
          </w:p>
        </w:tc>
        <w:tc>
          <w:tcPr>
            <w:tcW w:w="496" w:type="pct"/>
            <w:vAlign w:val="center"/>
          </w:tcPr>
          <w:p w14:paraId="5FB530F8">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52" w:type="pct"/>
            <w:shd w:val="clear" w:color="auto" w:fill="auto"/>
            <w:vAlign w:val="center"/>
          </w:tcPr>
          <w:p w14:paraId="77021C6A">
            <w:pPr>
              <w:widowControl/>
              <w:jc w:val="center"/>
              <w:rPr>
                <w:rFonts w:ascii="宋体" w:hAnsi="宋体" w:cs="宋体"/>
                <w:color w:val="000000"/>
                <w:kern w:val="0"/>
                <w:sz w:val="18"/>
                <w:szCs w:val="18"/>
              </w:rPr>
            </w:pPr>
          </w:p>
        </w:tc>
        <w:tc>
          <w:tcPr>
            <w:tcW w:w="496" w:type="pct"/>
            <w:shd w:val="clear" w:color="auto" w:fill="auto"/>
            <w:vAlign w:val="center"/>
          </w:tcPr>
          <w:p w14:paraId="4F58CBA8">
            <w:pPr>
              <w:widowControl/>
              <w:jc w:val="center"/>
              <w:rPr>
                <w:rFonts w:ascii="宋体" w:hAnsi="宋体" w:cs="宋体"/>
                <w:color w:val="000000"/>
                <w:kern w:val="0"/>
                <w:sz w:val="18"/>
                <w:szCs w:val="18"/>
              </w:rPr>
            </w:pPr>
          </w:p>
        </w:tc>
        <w:tc>
          <w:tcPr>
            <w:tcW w:w="496" w:type="pct"/>
            <w:shd w:val="clear" w:color="auto" w:fill="auto"/>
            <w:vAlign w:val="center"/>
          </w:tcPr>
          <w:p w14:paraId="1AD64998">
            <w:pPr>
              <w:widowControl/>
              <w:jc w:val="center"/>
              <w:rPr>
                <w:rFonts w:ascii="宋体" w:hAnsi="宋体" w:cs="宋体"/>
                <w:color w:val="000000"/>
                <w:kern w:val="0"/>
                <w:sz w:val="18"/>
                <w:szCs w:val="18"/>
              </w:rPr>
            </w:pPr>
          </w:p>
        </w:tc>
        <w:tc>
          <w:tcPr>
            <w:tcW w:w="496" w:type="pct"/>
            <w:shd w:val="clear" w:color="auto" w:fill="auto"/>
            <w:vAlign w:val="center"/>
          </w:tcPr>
          <w:p w14:paraId="55E5FFD3">
            <w:pPr>
              <w:widowControl/>
              <w:jc w:val="center"/>
              <w:rPr>
                <w:rFonts w:ascii="宋体" w:hAnsi="宋体" w:cs="宋体"/>
                <w:color w:val="000000"/>
                <w:kern w:val="0"/>
                <w:sz w:val="18"/>
                <w:szCs w:val="18"/>
              </w:rPr>
            </w:pPr>
          </w:p>
        </w:tc>
        <w:tc>
          <w:tcPr>
            <w:tcW w:w="496" w:type="pct"/>
            <w:shd w:val="clear" w:color="auto" w:fill="auto"/>
            <w:vAlign w:val="center"/>
          </w:tcPr>
          <w:p w14:paraId="63FC736F">
            <w:pPr>
              <w:widowControl/>
              <w:jc w:val="center"/>
              <w:rPr>
                <w:rFonts w:ascii="宋体" w:hAnsi="宋体" w:cs="宋体"/>
                <w:color w:val="000000"/>
                <w:kern w:val="0"/>
                <w:sz w:val="18"/>
                <w:szCs w:val="18"/>
              </w:rPr>
            </w:pPr>
          </w:p>
        </w:tc>
        <w:tc>
          <w:tcPr>
            <w:tcW w:w="496" w:type="pct"/>
            <w:shd w:val="clear" w:color="auto" w:fill="auto"/>
            <w:vAlign w:val="center"/>
          </w:tcPr>
          <w:p w14:paraId="53BD5CA2">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1D6CEEC1">
            <w:pPr>
              <w:widowControl/>
              <w:jc w:val="center"/>
              <w:rPr>
                <w:rFonts w:ascii="宋体" w:hAnsi="宋体" w:cs="宋体"/>
                <w:color w:val="000000"/>
                <w:kern w:val="0"/>
                <w:sz w:val="18"/>
                <w:szCs w:val="18"/>
              </w:rPr>
            </w:pPr>
            <w:r>
              <w:rPr>
                <w:rFonts w:ascii="宋体" w:hAnsi="宋体" w:cs="宋体"/>
                <w:color w:val="000000"/>
                <w:kern w:val="0"/>
                <w:sz w:val="18"/>
                <w:szCs w:val="18"/>
              </w:rPr>
              <w:t>-</w:t>
            </w:r>
          </w:p>
        </w:tc>
      </w:tr>
      <w:tr w14:paraId="465B0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79" w:type="pct"/>
            <w:shd w:val="clear" w:color="auto" w:fill="auto"/>
            <w:vAlign w:val="center"/>
          </w:tcPr>
          <w:p w14:paraId="4C63F758">
            <w:pPr>
              <w:widowControl/>
              <w:jc w:val="center"/>
              <w:rPr>
                <w:rFonts w:ascii="宋体" w:hAnsi="宋体" w:cs="宋体"/>
                <w:color w:val="000000"/>
                <w:kern w:val="0"/>
                <w:sz w:val="18"/>
                <w:szCs w:val="18"/>
              </w:rPr>
            </w:pPr>
            <w:r>
              <w:rPr>
                <w:rFonts w:hint="eastAsia" w:ascii="宋体" w:hAnsi="宋体" w:cs="宋体"/>
                <w:color w:val="000000"/>
                <w:kern w:val="0"/>
                <w:sz w:val="18"/>
                <w:szCs w:val="18"/>
              </w:rPr>
              <w:t>3.5</w:t>
            </w:r>
          </w:p>
        </w:tc>
        <w:tc>
          <w:tcPr>
            <w:tcW w:w="800" w:type="pct"/>
            <w:shd w:val="clear" w:color="auto" w:fill="auto"/>
            <w:vAlign w:val="center"/>
          </w:tcPr>
          <w:p w14:paraId="434606C6">
            <w:pPr>
              <w:widowControl/>
              <w:jc w:val="center"/>
              <w:rPr>
                <w:rFonts w:ascii="宋体" w:hAnsi="宋体" w:cs="宋体"/>
                <w:color w:val="000000"/>
                <w:kern w:val="0"/>
                <w:sz w:val="18"/>
                <w:szCs w:val="18"/>
              </w:rPr>
            </w:pPr>
            <w:r>
              <w:rPr>
                <w:rFonts w:hint="eastAsia" w:ascii="宋体" w:hAnsi="宋体" w:cs="宋体"/>
                <w:color w:val="000000"/>
                <w:kern w:val="0"/>
                <w:sz w:val="18"/>
                <w:szCs w:val="18"/>
              </w:rPr>
              <w:t>支付其他融资利息</w:t>
            </w:r>
          </w:p>
        </w:tc>
        <w:tc>
          <w:tcPr>
            <w:tcW w:w="496" w:type="pct"/>
            <w:vAlign w:val="center"/>
          </w:tcPr>
          <w:p w14:paraId="642B862F">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52" w:type="pct"/>
            <w:shd w:val="clear" w:color="auto" w:fill="auto"/>
            <w:vAlign w:val="center"/>
          </w:tcPr>
          <w:p w14:paraId="3E5979A1">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228503A7">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5CAD1965">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05BFC378">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4A6D3AD9">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5209DF69">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96" w:type="pct"/>
            <w:shd w:val="clear" w:color="auto" w:fill="auto"/>
            <w:vAlign w:val="center"/>
          </w:tcPr>
          <w:p w14:paraId="07CB57A9">
            <w:pPr>
              <w:widowControl/>
              <w:jc w:val="center"/>
              <w:rPr>
                <w:rFonts w:ascii="宋体" w:hAnsi="宋体" w:cs="宋体"/>
                <w:color w:val="000000"/>
                <w:kern w:val="0"/>
                <w:sz w:val="18"/>
                <w:szCs w:val="18"/>
              </w:rPr>
            </w:pPr>
            <w:r>
              <w:rPr>
                <w:rFonts w:ascii="宋体" w:hAnsi="宋体" w:cs="宋体"/>
                <w:color w:val="000000"/>
                <w:kern w:val="0"/>
                <w:sz w:val="18"/>
                <w:szCs w:val="18"/>
              </w:rPr>
              <w:t>-</w:t>
            </w:r>
          </w:p>
        </w:tc>
      </w:tr>
      <w:tr w14:paraId="596A1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0B10BDAD">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三</w:t>
            </w:r>
          </w:p>
        </w:tc>
        <w:tc>
          <w:tcPr>
            <w:tcW w:w="800" w:type="pct"/>
            <w:shd w:val="clear" w:color="auto" w:fill="auto"/>
            <w:vAlign w:val="center"/>
          </w:tcPr>
          <w:p w14:paraId="7B05C67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当期现金结余</w:t>
            </w:r>
          </w:p>
        </w:tc>
        <w:tc>
          <w:tcPr>
            <w:tcW w:w="496" w:type="pct"/>
            <w:vAlign w:val="center"/>
          </w:tcPr>
          <w:p w14:paraId="158683A2">
            <w:pPr>
              <w:widowControl/>
              <w:jc w:val="center"/>
              <w:rPr>
                <w:rFonts w:ascii="宋体" w:hAnsi="宋体" w:cs="宋体"/>
                <w:color w:val="000000"/>
                <w:kern w:val="0"/>
                <w:sz w:val="18"/>
                <w:szCs w:val="18"/>
              </w:rPr>
            </w:pPr>
            <w:r>
              <w:rPr>
                <w:rFonts w:ascii="宋体" w:hAnsi="宋体" w:cs="宋体"/>
                <w:color w:val="000000"/>
                <w:kern w:val="0"/>
                <w:sz w:val="18"/>
                <w:szCs w:val="18"/>
              </w:rPr>
              <w:t>6,666.48</w:t>
            </w:r>
          </w:p>
        </w:tc>
        <w:tc>
          <w:tcPr>
            <w:tcW w:w="452" w:type="pct"/>
            <w:shd w:val="clear" w:color="auto" w:fill="auto"/>
            <w:vAlign w:val="center"/>
          </w:tcPr>
          <w:p w14:paraId="4A5D2259">
            <w:pPr>
              <w:widowControl/>
              <w:jc w:val="center"/>
              <w:rPr>
                <w:rFonts w:ascii="宋体" w:hAnsi="宋体" w:cs="宋体"/>
                <w:color w:val="000000"/>
                <w:kern w:val="0"/>
                <w:sz w:val="18"/>
                <w:szCs w:val="18"/>
              </w:rPr>
            </w:pPr>
            <w:r>
              <w:rPr>
                <w:rFonts w:ascii="宋体" w:hAnsi="宋体" w:cs="宋体"/>
                <w:color w:val="000000"/>
                <w:kern w:val="0"/>
                <w:sz w:val="18"/>
                <w:szCs w:val="18"/>
              </w:rPr>
              <w:t>1,094.41</w:t>
            </w:r>
          </w:p>
        </w:tc>
        <w:tc>
          <w:tcPr>
            <w:tcW w:w="496" w:type="pct"/>
            <w:shd w:val="clear" w:color="auto" w:fill="auto"/>
            <w:vAlign w:val="center"/>
          </w:tcPr>
          <w:p w14:paraId="0B952D70">
            <w:pPr>
              <w:widowControl/>
              <w:jc w:val="center"/>
              <w:rPr>
                <w:rFonts w:ascii="宋体" w:hAnsi="宋体" w:cs="宋体"/>
                <w:color w:val="000000"/>
                <w:kern w:val="0"/>
                <w:sz w:val="18"/>
                <w:szCs w:val="18"/>
              </w:rPr>
            </w:pPr>
            <w:r>
              <w:rPr>
                <w:rFonts w:ascii="宋体" w:hAnsi="宋体" w:cs="宋体"/>
                <w:color w:val="000000"/>
                <w:kern w:val="0"/>
                <w:sz w:val="18"/>
                <w:szCs w:val="18"/>
              </w:rPr>
              <w:t>1,166.63</w:t>
            </w:r>
          </w:p>
        </w:tc>
        <w:tc>
          <w:tcPr>
            <w:tcW w:w="496" w:type="pct"/>
            <w:shd w:val="clear" w:color="auto" w:fill="auto"/>
            <w:vAlign w:val="center"/>
          </w:tcPr>
          <w:p w14:paraId="4B8DBF16">
            <w:pPr>
              <w:widowControl/>
              <w:jc w:val="center"/>
              <w:rPr>
                <w:rFonts w:ascii="宋体" w:hAnsi="宋体" w:cs="宋体"/>
                <w:color w:val="000000"/>
                <w:kern w:val="0"/>
                <w:sz w:val="18"/>
                <w:szCs w:val="18"/>
              </w:rPr>
            </w:pPr>
            <w:r>
              <w:rPr>
                <w:rFonts w:ascii="宋体" w:hAnsi="宋体" w:cs="宋体"/>
                <w:color w:val="000000"/>
                <w:kern w:val="0"/>
                <w:sz w:val="18"/>
                <w:szCs w:val="18"/>
              </w:rPr>
              <w:t>1,166.63</w:t>
            </w:r>
          </w:p>
        </w:tc>
        <w:tc>
          <w:tcPr>
            <w:tcW w:w="496" w:type="pct"/>
            <w:shd w:val="clear" w:color="auto" w:fill="auto"/>
            <w:vAlign w:val="center"/>
          </w:tcPr>
          <w:p w14:paraId="7D6B2B66">
            <w:pPr>
              <w:widowControl/>
              <w:jc w:val="center"/>
              <w:rPr>
                <w:rFonts w:ascii="宋体" w:hAnsi="宋体" w:cs="宋体"/>
                <w:color w:val="000000"/>
                <w:kern w:val="0"/>
                <w:sz w:val="18"/>
                <w:szCs w:val="18"/>
              </w:rPr>
            </w:pPr>
            <w:r>
              <w:rPr>
                <w:rFonts w:ascii="宋体" w:hAnsi="宋体" w:cs="宋体"/>
                <w:color w:val="000000"/>
                <w:kern w:val="0"/>
                <w:sz w:val="18"/>
                <w:szCs w:val="18"/>
              </w:rPr>
              <w:t>1,166.63</w:t>
            </w:r>
          </w:p>
        </w:tc>
        <w:tc>
          <w:tcPr>
            <w:tcW w:w="496" w:type="pct"/>
            <w:shd w:val="clear" w:color="auto" w:fill="auto"/>
            <w:vAlign w:val="center"/>
          </w:tcPr>
          <w:p w14:paraId="77BA06F8">
            <w:pPr>
              <w:widowControl/>
              <w:jc w:val="center"/>
              <w:rPr>
                <w:rFonts w:ascii="宋体" w:hAnsi="宋体" w:cs="宋体"/>
                <w:color w:val="000000"/>
                <w:kern w:val="0"/>
                <w:sz w:val="18"/>
                <w:szCs w:val="18"/>
              </w:rPr>
            </w:pPr>
            <w:r>
              <w:rPr>
                <w:rFonts w:ascii="宋体" w:hAnsi="宋体" w:cs="宋体"/>
                <w:color w:val="000000"/>
                <w:kern w:val="0"/>
                <w:sz w:val="18"/>
                <w:szCs w:val="18"/>
              </w:rPr>
              <w:t>1,241.72</w:t>
            </w:r>
          </w:p>
        </w:tc>
        <w:tc>
          <w:tcPr>
            <w:tcW w:w="496" w:type="pct"/>
            <w:shd w:val="clear" w:color="auto" w:fill="auto"/>
            <w:vAlign w:val="center"/>
          </w:tcPr>
          <w:p w14:paraId="28E8FB7D">
            <w:pPr>
              <w:widowControl/>
              <w:jc w:val="center"/>
              <w:rPr>
                <w:rFonts w:ascii="宋体" w:hAnsi="宋体" w:cs="宋体"/>
                <w:color w:val="000000"/>
                <w:kern w:val="0"/>
                <w:sz w:val="18"/>
                <w:szCs w:val="18"/>
              </w:rPr>
            </w:pPr>
            <w:r>
              <w:rPr>
                <w:rFonts w:ascii="宋体" w:hAnsi="宋体" w:cs="宋体"/>
                <w:color w:val="000000"/>
                <w:kern w:val="0"/>
                <w:sz w:val="18"/>
                <w:szCs w:val="18"/>
              </w:rPr>
              <w:t>-3,681.03</w:t>
            </w:r>
          </w:p>
        </w:tc>
        <w:tc>
          <w:tcPr>
            <w:tcW w:w="496" w:type="pct"/>
            <w:shd w:val="clear" w:color="auto" w:fill="auto"/>
            <w:vAlign w:val="center"/>
          </w:tcPr>
          <w:p w14:paraId="2CC803D3">
            <w:pPr>
              <w:widowControl/>
              <w:jc w:val="center"/>
              <w:rPr>
                <w:rFonts w:ascii="宋体" w:hAnsi="宋体" w:cs="宋体"/>
                <w:color w:val="000000"/>
                <w:kern w:val="0"/>
                <w:sz w:val="18"/>
                <w:szCs w:val="18"/>
              </w:rPr>
            </w:pPr>
            <w:r>
              <w:rPr>
                <w:rFonts w:ascii="宋体" w:hAnsi="宋体" w:cs="宋体"/>
                <w:color w:val="000000"/>
                <w:kern w:val="0"/>
                <w:sz w:val="18"/>
                <w:szCs w:val="18"/>
              </w:rPr>
              <w:t>-3,779.55</w:t>
            </w:r>
          </w:p>
        </w:tc>
      </w:tr>
      <w:tr w14:paraId="52F0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2CD37BD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四</w:t>
            </w:r>
          </w:p>
        </w:tc>
        <w:tc>
          <w:tcPr>
            <w:tcW w:w="800" w:type="pct"/>
            <w:shd w:val="clear" w:color="auto" w:fill="auto"/>
            <w:vAlign w:val="center"/>
          </w:tcPr>
          <w:p w14:paraId="69C98B6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期初现金</w:t>
            </w:r>
          </w:p>
        </w:tc>
        <w:tc>
          <w:tcPr>
            <w:tcW w:w="496" w:type="pct"/>
            <w:vAlign w:val="center"/>
          </w:tcPr>
          <w:p w14:paraId="758D2F98">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52" w:type="pct"/>
            <w:shd w:val="clear" w:color="auto" w:fill="auto"/>
            <w:vAlign w:val="center"/>
          </w:tcPr>
          <w:p w14:paraId="02ECF7A0">
            <w:pPr>
              <w:widowControl/>
              <w:jc w:val="center"/>
              <w:rPr>
                <w:rFonts w:ascii="宋体" w:hAnsi="宋体" w:cs="宋体"/>
                <w:color w:val="000000"/>
                <w:kern w:val="0"/>
                <w:sz w:val="18"/>
                <w:szCs w:val="18"/>
              </w:rPr>
            </w:pPr>
            <w:r>
              <w:rPr>
                <w:rFonts w:ascii="宋体" w:hAnsi="宋体" w:cs="宋体"/>
                <w:color w:val="000000"/>
                <w:kern w:val="0"/>
                <w:sz w:val="18"/>
                <w:szCs w:val="18"/>
              </w:rPr>
              <w:t>8,291.04</w:t>
            </w:r>
          </w:p>
        </w:tc>
        <w:tc>
          <w:tcPr>
            <w:tcW w:w="496" w:type="pct"/>
            <w:shd w:val="clear" w:color="auto" w:fill="auto"/>
            <w:vAlign w:val="center"/>
          </w:tcPr>
          <w:p w14:paraId="3B038D2A">
            <w:pPr>
              <w:widowControl/>
              <w:jc w:val="center"/>
              <w:rPr>
                <w:rFonts w:ascii="宋体" w:hAnsi="宋体" w:cs="宋体"/>
                <w:color w:val="000000"/>
                <w:kern w:val="0"/>
                <w:sz w:val="18"/>
                <w:szCs w:val="18"/>
              </w:rPr>
            </w:pPr>
            <w:r>
              <w:rPr>
                <w:rFonts w:ascii="宋体" w:hAnsi="宋体" w:cs="宋体"/>
                <w:color w:val="000000"/>
                <w:kern w:val="0"/>
                <w:sz w:val="18"/>
                <w:szCs w:val="18"/>
              </w:rPr>
              <w:t>9,385.45</w:t>
            </w:r>
          </w:p>
        </w:tc>
        <w:tc>
          <w:tcPr>
            <w:tcW w:w="496" w:type="pct"/>
            <w:shd w:val="clear" w:color="auto" w:fill="auto"/>
            <w:vAlign w:val="center"/>
          </w:tcPr>
          <w:p w14:paraId="4C23F633">
            <w:pPr>
              <w:widowControl/>
              <w:jc w:val="center"/>
              <w:rPr>
                <w:rFonts w:ascii="宋体" w:hAnsi="宋体" w:cs="宋体"/>
                <w:color w:val="000000"/>
                <w:kern w:val="0"/>
                <w:sz w:val="18"/>
                <w:szCs w:val="18"/>
              </w:rPr>
            </w:pPr>
            <w:r>
              <w:rPr>
                <w:rFonts w:ascii="宋体" w:hAnsi="宋体" w:cs="宋体"/>
                <w:color w:val="000000"/>
                <w:kern w:val="0"/>
                <w:sz w:val="18"/>
                <w:szCs w:val="18"/>
              </w:rPr>
              <w:t>10,552.08</w:t>
            </w:r>
          </w:p>
        </w:tc>
        <w:tc>
          <w:tcPr>
            <w:tcW w:w="496" w:type="pct"/>
            <w:shd w:val="clear" w:color="auto" w:fill="auto"/>
            <w:vAlign w:val="center"/>
          </w:tcPr>
          <w:p w14:paraId="51C5DB0A">
            <w:pPr>
              <w:widowControl/>
              <w:jc w:val="center"/>
              <w:rPr>
                <w:rFonts w:ascii="宋体" w:hAnsi="宋体" w:cs="宋体"/>
                <w:color w:val="000000"/>
                <w:kern w:val="0"/>
                <w:sz w:val="18"/>
                <w:szCs w:val="18"/>
              </w:rPr>
            </w:pPr>
            <w:r>
              <w:rPr>
                <w:rFonts w:ascii="宋体" w:hAnsi="宋体" w:cs="宋体"/>
                <w:color w:val="000000"/>
                <w:kern w:val="0"/>
                <w:sz w:val="18"/>
                <w:szCs w:val="18"/>
              </w:rPr>
              <w:t>11,718.71</w:t>
            </w:r>
          </w:p>
        </w:tc>
        <w:tc>
          <w:tcPr>
            <w:tcW w:w="496" w:type="pct"/>
            <w:shd w:val="clear" w:color="auto" w:fill="auto"/>
            <w:vAlign w:val="center"/>
          </w:tcPr>
          <w:p w14:paraId="3AE28041">
            <w:pPr>
              <w:widowControl/>
              <w:jc w:val="center"/>
              <w:rPr>
                <w:rFonts w:ascii="宋体" w:hAnsi="宋体" w:cs="宋体"/>
                <w:color w:val="000000"/>
                <w:kern w:val="0"/>
                <w:sz w:val="18"/>
                <w:szCs w:val="18"/>
              </w:rPr>
            </w:pPr>
            <w:r>
              <w:rPr>
                <w:rFonts w:ascii="宋体" w:hAnsi="宋体" w:cs="宋体"/>
                <w:color w:val="000000"/>
                <w:kern w:val="0"/>
                <w:sz w:val="18"/>
                <w:szCs w:val="18"/>
              </w:rPr>
              <w:t>12,885.34</w:t>
            </w:r>
          </w:p>
        </w:tc>
        <w:tc>
          <w:tcPr>
            <w:tcW w:w="496" w:type="pct"/>
            <w:shd w:val="clear" w:color="auto" w:fill="auto"/>
            <w:vAlign w:val="center"/>
          </w:tcPr>
          <w:p w14:paraId="4DB82F3D">
            <w:pPr>
              <w:widowControl/>
              <w:jc w:val="center"/>
              <w:rPr>
                <w:rFonts w:ascii="宋体" w:hAnsi="宋体" w:cs="宋体"/>
                <w:color w:val="000000"/>
                <w:kern w:val="0"/>
                <w:sz w:val="18"/>
                <w:szCs w:val="18"/>
              </w:rPr>
            </w:pPr>
            <w:r>
              <w:rPr>
                <w:rFonts w:ascii="宋体" w:hAnsi="宋体" w:cs="宋体"/>
                <w:color w:val="000000"/>
                <w:kern w:val="0"/>
                <w:sz w:val="18"/>
                <w:szCs w:val="18"/>
              </w:rPr>
              <w:t>14,127.06</w:t>
            </w:r>
          </w:p>
        </w:tc>
        <w:tc>
          <w:tcPr>
            <w:tcW w:w="496" w:type="pct"/>
            <w:shd w:val="clear" w:color="auto" w:fill="auto"/>
            <w:vAlign w:val="center"/>
          </w:tcPr>
          <w:p w14:paraId="6E610B9D">
            <w:pPr>
              <w:widowControl/>
              <w:jc w:val="center"/>
              <w:rPr>
                <w:rFonts w:ascii="宋体" w:hAnsi="宋体" w:cs="宋体"/>
                <w:color w:val="000000"/>
                <w:kern w:val="0"/>
                <w:sz w:val="18"/>
                <w:szCs w:val="18"/>
              </w:rPr>
            </w:pPr>
            <w:r>
              <w:rPr>
                <w:rFonts w:ascii="宋体" w:hAnsi="宋体" w:cs="宋体"/>
                <w:color w:val="000000"/>
                <w:kern w:val="0"/>
                <w:sz w:val="18"/>
                <w:szCs w:val="18"/>
              </w:rPr>
              <w:t>10,446.03</w:t>
            </w:r>
          </w:p>
        </w:tc>
      </w:tr>
      <w:tr w14:paraId="329CB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79" w:type="pct"/>
            <w:shd w:val="clear" w:color="auto" w:fill="auto"/>
            <w:vAlign w:val="center"/>
          </w:tcPr>
          <w:p w14:paraId="0DC14464">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五</w:t>
            </w:r>
          </w:p>
        </w:tc>
        <w:tc>
          <w:tcPr>
            <w:tcW w:w="800" w:type="pct"/>
            <w:shd w:val="clear" w:color="auto" w:fill="auto"/>
            <w:vAlign w:val="center"/>
          </w:tcPr>
          <w:p w14:paraId="4CA55153">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期末现金</w:t>
            </w:r>
          </w:p>
        </w:tc>
        <w:tc>
          <w:tcPr>
            <w:tcW w:w="496" w:type="pct"/>
            <w:vAlign w:val="center"/>
          </w:tcPr>
          <w:p w14:paraId="245D5AB7">
            <w:pPr>
              <w:widowControl/>
              <w:jc w:val="center"/>
              <w:rPr>
                <w:rFonts w:ascii="宋体" w:hAnsi="宋体" w:cs="宋体"/>
                <w:color w:val="000000"/>
                <w:kern w:val="0"/>
                <w:sz w:val="18"/>
                <w:szCs w:val="18"/>
              </w:rPr>
            </w:pPr>
            <w:r>
              <w:rPr>
                <w:rFonts w:ascii="宋体" w:hAnsi="宋体" w:cs="宋体"/>
                <w:color w:val="000000"/>
                <w:kern w:val="0"/>
                <w:sz w:val="18"/>
                <w:szCs w:val="18"/>
              </w:rPr>
              <w:t>--</w:t>
            </w:r>
          </w:p>
        </w:tc>
        <w:tc>
          <w:tcPr>
            <w:tcW w:w="452" w:type="pct"/>
            <w:shd w:val="clear" w:color="auto" w:fill="auto"/>
            <w:vAlign w:val="center"/>
          </w:tcPr>
          <w:p w14:paraId="52E8AB03">
            <w:pPr>
              <w:widowControl/>
              <w:jc w:val="center"/>
              <w:rPr>
                <w:rFonts w:ascii="宋体" w:hAnsi="宋体" w:cs="宋体"/>
                <w:color w:val="000000"/>
                <w:kern w:val="0"/>
                <w:sz w:val="18"/>
                <w:szCs w:val="18"/>
              </w:rPr>
            </w:pPr>
            <w:r>
              <w:rPr>
                <w:rFonts w:ascii="宋体" w:hAnsi="宋体" w:cs="宋体"/>
                <w:color w:val="000000"/>
                <w:kern w:val="0"/>
                <w:sz w:val="18"/>
                <w:szCs w:val="18"/>
              </w:rPr>
              <w:t>9,385.45</w:t>
            </w:r>
          </w:p>
        </w:tc>
        <w:tc>
          <w:tcPr>
            <w:tcW w:w="496" w:type="pct"/>
            <w:shd w:val="clear" w:color="auto" w:fill="auto"/>
            <w:vAlign w:val="center"/>
          </w:tcPr>
          <w:p w14:paraId="7827DE11">
            <w:pPr>
              <w:widowControl/>
              <w:jc w:val="center"/>
              <w:rPr>
                <w:rFonts w:ascii="宋体" w:hAnsi="宋体" w:cs="宋体"/>
                <w:color w:val="000000"/>
                <w:kern w:val="0"/>
                <w:sz w:val="18"/>
                <w:szCs w:val="18"/>
              </w:rPr>
            </w:pPr>
            <w:r>
              <w:rPr>
                <w:rFonts w:ascii="宋体" w:hAnsi="宋体" w:cs="宋体"/>
                <w:color w:val="000000"/>
                <w:kern w:val="0"/>
                <w:sz w:val="18"/>
                <w:szCs w:val="18"/>
              </w:rPr>
              <w:t>10,552.08</w:t>
            </w:r>
          </w:p>
        </w:tc>
        <w:tc>
          <w:tcPr>
            <w:tcW w:w="496" w:type="pct"/>
            <w:shd w:val="clear" w:color="auto" w:fill="auto"/>
            <w:vAlign w:val="center"/>
          </w:tcPr>
          <w:p w14:paraId="4752C0FE">
            <w:pPr>
              <w:widowControl/>
              <w:jc w:val="center"/>
              <w:rPr>
                <w:rFonts w:ascii="宋体" w:hAnsi="宋体" w:cs="宋体"/>
                <w:color w:val="000000"/>
                <w:kern w:val="0"/>
                <w:sz w:val="18"/>
                <w:szCs w:val="18"/>
              </w:rPr>
            </w:pPr>
            <w:r>
              <w:rPr>
                <w:rFonts w:ascii="宋体" w:hAnsi="宋体" w:cs="宋体"/>
                <w:color w:val="000000"/>
                <w:kern w:val="0"/>
                <w:sz w:val="18"/>
                <w:szCs w:val="18"/>
              </w:rPr>
              <w:t>11,718.71</w:t>
            </w:r>
          </w:p>
        </w:tc>
        <w:tc>
          <w:tcPr>
            <w:tcW w:w="496" w:type="pct"/>
            <w:shd w:val="clear" w:color="auto" w:fill="auto"/>
            <w:vAlign w:val="center"/>
          </w:tcPr>
          <w:p w14:paraId="1812D123">
            <w:pPr>
              <w:widowControl/>
              <w:jc w:val="center"/>
              <w:rPr>
                <w:rFonts w:ascii="宋体" w:hAnsi="宋体" w:cs="宋体"/>
                <w:color w:val="000000"/>
                <w:kern w:val="0"/>
                <w:sz w:val="18"/>
                <w:szCs w:val="18"/>
              </w:rPr>
            </w:pPr>
            <w:r>
              <w:rPr>
                <w:rFonts w:ascii="宋体" w:hAnsi="宋体" w:cs="宋体"/>
                <w:color w:val="000000"/>
                <w:kern w:val="0"/>
                <w:sz w:val="18"/>
                <w:szCs w:val="18"/>
              </w:rPr>
              <w:t>12,885.34</w:t>
            </w:r>
          </w:p>
        </w:tc>
        <w:tc>
          <w:tcPr>
            <w:tcW w:w="496" w:type="pct"/>
            <w:shd w:val="clear" w:color="auto" w:fill="auto"/>
            <w:vAlign w:val="center"/>
          </w:tcPr>
          <w:p w14:paraId="49E343C2">
            <w:pPr>
              <w:widowControl/>
              <w:jc w:val="center"/>
              <w:rPr>
                <w:rFonts w:ascii="宋体" w:hAnsi="宋体" w:cs="宋体"/>
                <w:color w:val="000000"/>
                <w:kern w:val="0"/>
                <w:sz w:val="18"/>
                <w:szCs w:val="18"/>
              </w:rPr>
            </w:pPr>
            <w:r>
              <w:rPr>
                <w:rFonts w:ascii="宋体" w:hAnsi="宋体" w:cs="宋体"/>
                <w:color w:val="000000"/>
                <w:kern w:val="0"/>
                <w:sz w:val="18"/>
                <w:szCs w:val="18"/>
              </w:rPr>
              <w:t>14,127.06</w:t>
            </w:r>
          </w:p>
        </w:tc>
        <w:tc>
          <w:tcPr>
            <w:tcW w:w="496" w:type="pct"/>
            <w:shd w:val="clear" w:color="auto" w:fill="auto"/>
            <w:vAlign w:val="center"/>
          </w:tcPr>
          <w:p w14:paraId="3119E560">
            <w:pPr>
              <w:widowControl/>
              <w:jc w:val="center"/>
              <w:rPr>
                <w:rFonts w:ascii="宋体" w:hAnsi="宋体" w:cs="宋体"/>
                <w:color w:val="000000"/>
                <w:kern w:val="0"/>
                <w:sz w:val="18"/>
                <w:szCs w:val="18"/>
              </w:rPr>
            </w:pPr>
            <w:r>
              <w:rPr>
                <w:rFonts w:ascii="宋体" w:hAnsi="宋体" w:cs="宋体"/>
                <w:color w:val="000000"/>
                <w:kern w:val="0"/>
                <w:sz w:val="18"/>
                <w:szCs w:val="18"/>
              </w:rPr>
              <w:t>10,446.03</w:t>
            </w:r>
          </w:p>
        </w:tc>
        <w:tc>
          <w:tcPr>
            <w:tcW w:w="496" w:type="pct"/>
            <w:shd w:val="clear" w:color="auto" w:fill="auto"/>
            <w:vAlign w:val="center"/>
          </w:tcPr>
          <w:p w14:paraId="10DE07EB">
            <w:pPr>
              <w:widowControl/>
              <w:jc w:val="center"/>
              <w:rPr>
                <w:rFonts w:ascii="宋体" w:hAnsi="宋体" w:cs="宋体"/>
                <w:color w:val="000000"/>
                <w:kern w:val="0"/>
                <w:sz w:val="18"/>
                <w:szCs w:val="18"/>
              </w:rPr>
            </w:pPr>
            <w:r>
              <w:rPr>
                <w:rFonts w:ascii="宋体" w:hAnsi="宋体" w:cs="宋体"/>
                <w:color w:val="000000"/>
                <w:kern w:val="0"/>
                <w:sz w:val="18"/>
                <w:szCs w:val="18"/>
              </w:rPr>
              <w:t>6,666.48</w:t>
            </w:r>
          </w:p>
        </w:tc>
      </w:tr>
      <w:tr w14:paraId="154E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 w:type="pct"/>
            <w:gridSpan w:val="5"/>
            <w:shd w:val="clear" w:color="auto" w:fill="auto"/>
            <w:vAlign w:val="center"/>
          </w:tcPr>
          <w:p w14:paraId="40A026F2">
            <w:pPr>
              <w:widowControl/>
              <w:jc w:val="center"/>
              <w:rPr>
                <w:rFonts w:ascii="宋体" w:hAnsi="宋体" w:cs="宋体"/>
                <w:color w:val="000000"/>
                <w:kern w:val="0"/>
                <w:sz w:val="18"/>
                <w:szCs w:val="18"/>
              </w:rPr>
            </w:pPr>
            <w:r>
              <w:rPr>
                <w:rFonts w:hint="eastAsia" w:ascii="宋体" w:hAnsi="宋体" w:cs="宋体"/>
                <w:color w:val="000000"/>
                <w:kern w:val="0"/>
                <w:sz w:val="18"/>
                <w:szCs w:val="18"/>
              </w:rPr>
              <w:t>债券资金覆盖倍数</w:t>
            </w:r>
          </w:p>
        </w:tc>
        <w:tc>
          <w:tcPr>
            <w:tcW w:w="1" w:type="pct"/>
            <w:gridSpan w:val="5"/>
            <w:shd w:val="clear" w:color="auto" w:fill="auto"/>
            <w:vAlign w:val="center"/>
          </w:tcPr>
          <w:p w14:paraId="19852EC8">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r>
              <w:rPr>
                <w:rFonts w:ascii="宋体" w:hAnsi="宋体" w:cs="宋体"/>
                <w:color w:val="000000"/>
                <w:kern w:val="0"/>
                <w:sz w:val="18"/>
                <w:szCs w:val="18"/>
              </w:rPr>
              <w:t>.47</w:t>
            </w:r>
          </w:p>
        </w:tc>
      </w:tr>
    </w:tbl>
    <w:p w14:paraId="275383A9">
      <w:pPr>
        <w:pStyle w:val="23"/>
      </w:pPr>
    </w:p>
    <w:p w14:paraId="32E53EEE">
      <w:pPr>
        <w:pStyle w:val="23"/>
      </w:pPr>
      <w:r>
        <w:rPr>
          <w:rFonts w:hint="eastAsia"/>
        </w:rPr>
        <w:t>注：按照在存续期内预期收入和预期支出测算，本项目在存续期间能够产生持续稳定的净现金流。按照预计条件估算的资金平衡结果，项目存续期内可达到的偿债资金覆盖倍数为</w:t>
      </w:r>
      <w:r>
        <w:t>1</w:t>
      </w:r>
      <w:r>
        <w:rPr>
          <w:rFonts w:hint="eastAsia"/>
        </w:rPr>
        <w:t>.</w:t>
      </w:r>
      <w:r>
        <w:t>47</w:t>
      </w:r>
      <w:r>
        <w:rPr>
          <w:rFonts w:hint="eastAsia"/>
        </w:rPr>
        <w:t>倍，还本付息资金有充分保障。</w:t>
      </w:r>
    </w:p>
    <w:p w14:paraId="38039470">
      <w:pPr>
        <w:pStyle w:val="23"/>
        <w:sectPr>
          <w:pgSz w:w="16838" w:h="11906" w:orient="landscape"/>
          <w:pgMar w:top="1701" w:right="1531" w:bottom="1701" w:left="1418" w:header="851" w:footer="992" w:gutter="0"/>
          <w:cols w:space="425" w:num="1"/>
          <w:docGrid w:type="linesAndChars" w:linePitch="312" w:charSpace="0"/>
        </w:sectPr>
      </w:pPr>
    </w:p>
    <w:p w14:paraId="45AD587B">
      <w:pPr>
        <w:pStyle w:val="23"/>
        <w:spacing w:line="360" w:lineRule="auto"/>
        <w:ind w:firstLine="480" w:firstLineChars="200"/>
        <w:rPr>
          <w:sz w:val="24"/>
          <w:szCs w:val="24"/>
        </w:rPr>
      </w:pPr>
      <w:r>
        <w:rPr>
          <w:rFonts w:hint="eastAsia"/>
          <w:sz w:val="24"/>
          <w:szCs w:val="24"/>
        </w:rPr>
        <w:t>本次发行专项债券各项目预期运营现金流入合计</w:t>
      </w:r>
      <w:r>
        <w:rPr>
          <w:sz w:val="24"/>
          <w:szCs w:val="24"/>
        </w:rPr>
        <w:t>25,155.59</w:t>
      </w:r>
      <w:r>
        <w:rPr>
          <w:rFonts w:hint="eastAsia"/>
          <w:sz w:val="24"/>
          <w:szCs w:val="24"/>
        </w:rPr>
        <w:t>万元，运营现金流出合计</w:t>
      </w:r>
      <w:r>
        <w:rPr>
          <w:sz w:val="24"/>
          <w:szCs w:val="24"/>
        </w:rPr>
        <w:t>5,396.41</w:t>
      </w:r>
      <w:r>
        <w:rPr>
          <w:rFonts w:hint="eastAsia"/>
          <w:sz w:val="24"/>
          <w:szCs w:val="24"/>
        </w:rPr>
        <w:t>万元，债券存续期内债券本金与利息合计</w:t>
      </w:r>
      <w:r>
        <w:rPr>
          <w:sz w:val="24"/>
          <w:szCs w:val="24"/>
        </w:rPr>
        <w:t>13,404.00</w:t>
      </w:r>
      <w:r>
        <w:rPr>
          <w:rFonts w:hint="eastAsia"/>
          <w:sz w:val="24"/>
          <w:szCs w:val="24"/>
        </w:rPr>
        <w:t>万元，项目存续期内偿债资金覆盖倍数为1.</w:t>
      </w:r>
      <w:r>
        <w:rPr>
          <w:sz w:val="24"/>
          <w:szCs w:val="24"/>
        </w:rPr>
        <w:t>47</w:t>
      </w:r>
      <w:r>
        <w:rPr>
          <w:rFonts w:hint="eastAsia"/>
          <w:sz w:val="24"/>
          <w:szCs w:val="24"/>
        </w:rPr>
        <w:t>倍，还本付息资金有充分保障，项目实施方案资金计划能够满足发行专项债券资金充足性要求。债券存续期间现金流入、流出与期末累计现金结存额如图所示：</w:t>
      </w:r>
    </w:p>
    <w:p w14:paraId="1D529403">
      <w:pPr>
        <w:pStyle w:val="23"/>
        <w:jc w:val="right"/>
      </w:pPr>
      <w:r>
        <w:rPr>
          <w:rFonts w:hint="eastAsia"/>
        </w:rPr>
        <w:t>单位：万元</w:t>
      </w:r>
    </w:p>
    <w:p w14:paraId="5E456B36">
      <w:pPr>
        <w:pStyle w:val="23"/>
        <w:rPr>
          <w:sz w:val="18"/>
          <w:szCs w:val="18"/>
        </w:rPr>
      </w:pPr>
      <w:r>
        <w:drawing>
          <wp:anchor distT="0" distB="0" distL="114300" distR="114300" simplePos="0" relativeHeight="251660288" behindDoc="0" locked="0" layoutInCell="1" allowOverlap="1">
            <wp:simplePos x="0" y="0"/>
            <wp:positionH relativeFrom="column">
              <wp:posOffset>390525</wp:posOffset>
            </wp:positionH>
            <wp:positionV relativeFrom="paragraph">
              <wp:posOffset>8890</wp:posOffset>
            </wp:positionV>
            <wp:extent cx="4524375" cy="3086100"/>
            <wp:effectExtent l="4445" t="4445" r="5080" b="8255"/>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14:paraId="20873B32">
      <w:pPr>
        <w:pStyle w:val="23"/>
      </w:pPr>
    </w:p>
    <w:p w14:paraId="31A0AEE1">
      <w:pPr>
        <w:pStyle w:val="23"/>
      </w:pPr>
    </w:p>
    <w:p w14:paraId="201732E9">
      <w:pPr>
        <w:pStyle w:val="23"/>
      </w:pPr>
    </w:p>
    <w:p w14:paraId="5B98A39D">
      <w:pPr>
        <w:pStyle w:val="23"/>
      </w:pPr>
    </w:p>
    <w:p w14:paraId="5AE3F4F9">
      <w:pPr>
        <w:pStyle w:val="23"/>
      </w:pPr>
    </w:p>
    <w:p w14:paraId="0B2D175B">
      <w:pPr>
        <w:pStyle w:val="23"/>
      </w:pPr>
    </w:p>
    <w:p w14:paraId="50EFE9BB">
      <w:pPr>
        <w:pStyle w:val="23"/>
      </w:pPr>
    </w:p>
    <w:p w14:paraId="315E5C7A">
      <w:pPr>
        <w:pStyle w:val="23"/>
      </w:pPr>
    </w:p>
    <w:p w14:paraId="42D1FCDB">
      <w:pPr>
        <w:pStyle w:val="23"/>
      </w:pPr>
    </w:p>
    <w:p w14:paraId="4332FAB3">
      <w:pPr>
        <w:pStyle w:val="23"/>
        <w:ind w:firstLine="1760" w:firstLineChars="800"/>
      </w:pPr>
      <w:r>
        <w:rPr>
          <w:rFonts w:hint="eastAsia"/>
        </w:rPr>
        <w:t>图3-</w:t>
      </w:r>
      <w:r>
        <w:t xml:space="preserve">1  </w:t>
      </w:r>
      <w:r>
        <w:rPr>
          <w:rFonts w:hint="eastAsia"/>
        </w:rPr>
        <w:t>债券存续期间现金流情况图</w:t>
      </w:r>
    </w:p>
    <w:p w14:paraId="6F399396">
      <w:pPr>
        <w:pStyle w:val="35"/>
        <w:outlineLvl w:val="1"/>
        <w:rPr>
          <w:rFonts w:ascii="楷体" w:hAnsi="楷体" w:eastAsia="楷体" w:cs="楷体"/>
          <w:b/>
          <w:bCs/>
          <w:sz w:val="28"/>
          <w:szCs w:val="28"/>
        </w:rPr>
      </w:pPr>
      <w:bookmarkStart w:id="107" w:name="_Toc5462"/>
      <w:r>
        <w:rPr>
          <w:rFonts w:hint="eastAsia" w:ascii="楷体" w:hAnsi="楷体" w:eastAsia="楷体" w:cs="楷体"/>
          <w:b/>
          <w:bCs/>
          <w:sz w:val="28"/>
          <w:szCs w:val="28"/>
        </w:rPr>
        <w:t>（二）项目运营成本</w:t>
      </w:r>
      <w:bookmarkEnd w:id="107"/>
    </w:p>
    <w:p w14:paraId="19F5CB16">
      <w:pPr>
        <w:pStyle w:val="23"/>
        <w:spacing w:line="360" w:lineRule="auto"/>
        <w:ind w:firstLine="480" w:firstLineChars="200"/>
        <w:rPr>
          <w:sz w:val="24"/>
          <w:szCs w:val="24"/>
        </w:rPr>
      </w:pPr>
      <w:r>
        <w:rPr>
          <w:rFonts w:hint="eastAsia"/>
          <w:sz w:val="24"/>
          <w:szCs w:val="24"/>
        </w:rPr>
        <w:t>项目支出按照支出用途分类可分为：外购动力、工资及福利费、修理费、税金等各项费用支出，因充足性分析主要依据对现金流量进行分析，故对于不需付现的费用（如折旧摊销等）暂不在支出情况预测表中反映。</w:t>
      </w:r>
    </w:p>
    <w:p w14:paraId="11CDAA39">
      <w:pPr>
        <w:pStyle w:val="23"/>
        <w:spacing w:line="360" w:lineRule="auto"/>
        <w:rPr>
          <w:sz w:val="24"/>
          <w:szCs w:val="24"/>
        </w:rPr>
      </w:pPr>
      <w:r>
        <w:rPr>
          <w:rFonts w:hint="eastAsia"/>
          <w:sz w:val="24"/>
          <w:szCs w:val="24"/>
        </w:rPr>
        <w:t>可研报告中明确了各项成本的估算标准如下：</w:t>
      </w:r>
    </w:p>
    <w:p w14:paraId="7CD71CDC">
      <w:pPr>
        <w:pStyle w:val="23"/>
        <w:spacing w:line="360" w:lineRule="auto"/>
        <w:rPr>
          <w:b/>
          <w:bCs/>
          <w:sz w:val="24"/>
          <w:szCs w:val="24"/>
        </w:rPr>
      </w:pPr>
      <w:r>
        <w:rPr>
          <w:rFonts w:hint="eastAsia"/>
          <w:b/>
          <w:bCs/>
          <w:sz w:val="24"/>
          <w:szCs w:val="24"/>
        </w:rPr>
        <w:t>（1）外购动力</w:t>
      </w:r>
    </w:p>
    <w:p w14:paraId="4D2A4F05">
      <w:pPr>
        <w:pStyle w:val="23"/>
        <w:spacing w:line="360" w:lineRule="auto"/>
        <w:ind w:firstLine="480" w:firstLineChars="200"/>
        <w:rPr>
          <w:sz w:val="24"/>
          <w:szCs w:val="24"/>
        </w:rPr>
      </w:pPr>
      <w:r>
        <w:rPr>
          <w:rFonts w:hint="eastAsia"/>
          <w:sz w:val="24"/>
          <w:szCs w:val="24"/>
        </w:rPr>
        <w:t>本项目用水、用电主要为小区内道路浇洒用水及照明用电，其用电量用水量较少，拟按照收入的10%计算。</w:t>
      </w:r>
    </w:p>
    <w:p w14:paraId="62E3E33A">
      <w:pPr>
        <w:pStyle w:val="23"/>
        <w:spacing w:line="360" w:lineRule="auto"/>
        <w:rPr>
          <w:b/>
          <w:bCs/>
          <w:sz w:val="24"/>
          <w:szCs w:val="24"/>
        </w:rPr>
      </w:pPr>
      <w:r>
        <w:rPr>
          <w:rFonts w:hint="eastAsia"/>
          <w:b/>
          <w:bCs/>
          <w:sz w:val="24"/>
          <w:szCs w:val="24"/>
        </w:rPr>
        <w:t>（2）工资及福利费估算</w:t>
      </w:r>
    </w:p>
    <w:p w14:paraId="51BD5682">
      <w:pPr>
        <w:pStyle w:val="23"/>
        <w:spacing w:line="360" w:lineRule="auto"/>
        <w:ind w:firstLine="480" w:firstLineChars="200"/>
        <w:rPr>
          <w:sz w:val="24"/>
          <w:szCs w:val="24"/>
        </w:rPr>
      </w:pPr>
      <w:r>
        <w:rPr>
          <w:rFonts w:hint="eastAsia"/>
          <w:sz w:val="24"/>
          <w:szCs w:val="24"/>
        </w:rPr>
        <w:t>本项目人员主要为小区管理及保安等人员，预计每个小区安排5个工作人员进行8小时倒班制，共计员工15人，每个员工工资为4.000.00元/月，且按照每三年工资上涨 5%考虑。</w:t>
      </w:r>
    </w:p>
    <w:p w14:paraId="05C64910">
      <w:pPr>
        <w:pStyle w:val="23"/>
        <w:spacing w:line="360" w:lineRule="auto"/>
        <w:rPr>
          <w:b/>
          <w:bCs/>
          <w:sz w:val="24"/>
          <w:szCs w:val="24"/>
        </w:rPr>
      </w:pPr>
      <w:r>
        <w:rPr>
          <w:rFonts w:hint="eastAsia"/>
          <w:b/>
          <w:bCs/>
          <w:sz w:val="24"/>
          <w:szCs w:val="24"/>
        </w:rPr>
        <w:t>（3）修理费</w:t>
      </w:r>
    </w:p>
    <w:p w14:paraId="4A24CDAD">
      <w:pPr>
        <w:pStyle w:val="23"/>
        <w:spacing w:line="360" w:lineRule="auto"/>
        <w:ind w:firstLine="480" w:firstLineChars="200"/>
        <w:rPr>
          <w:sz w:val="24"/>
          <w:szCs w:val="24"/>
        </w:rPr>
      </w:pPr>
      <w:r>
        <w:rPr>
          <w:rFonts w:hint="eastAsia"/>
          <w:sz w:val="24"/>
          <w:szCs w:val="24"/>
        </w:rPr>
        <w:t>本项目修理费主要为设备维护费以及基础设施维护运营费，修理费按照设备购置与安装费用的 3%计算。</w:t>
      </w:r>
    </w:p>
    <w:p w14:paraId="328BB15F">
      <w:pPr>
        <w:pStyle w:val="23"/>
        <w:spacing w:line="360" w:lineRule="auto"/>
        <w:rPr>
          <w:sz w:val="24"/>
          <w:szCs w:val="24"/>
        </w:rPr>
      </w:pPr>
      <w:r>
        <w:rPr>
          <w:rFonts w:hint="eastAsia"/>
          <w:b/>
          <w:bCs/>
          <w:sz w:val="24"/>
          <w:szCs w:val="24"/>
        </w:rPr>
        <w:t>（</w:t>
      </w:r>
      <w:r>
        <w:rPr>
          <w:b/>
          <w:bCs/>
          <w:sz w:val="24"/>
          <w:szCs w:val="24"/>
        </w:rPr>
        <w:t>4</w:t>
      </w:r>
      <w:r>
        <w:rPr>
          <w:rFonts w:hint="eastAsia"/>
          <w:b/>
          <w:bCs/>
          <w:sz w:val="24"/>
          <w:szCs w:val="24"/>
        </w:rPr>
        <w:t>）本项目的税金包括增值税、城市维护建设税、教育税附加。</w:t>
      </w:r>
      <w:r>
        <w:rPr>
          <w:rFonts w:hint="eastAsia"/>
          <w:sz w:val="24"/>
          <w:szCs w:val="24"/>
        </w:rPr>
        <w:t>其中：增值税税率：9%；城市维护建设税：7%；教育附加：3%；地方教育附加税：2%；印花税：0.5%本项目经营税金支出预测情况如下表所示：</w:t>
      </w:r>
    </w:p>
    <w:p w14:paraId="3D4D3E55">
      <w:pPr>
        <w:pStyle w:val="23"/>
        <w:spacing w:line="360" w:lineRule="auto"/>
        <w:rPr>
          <w:sz w:val="24"/>
          <w:szCs w:val="24"/>
        </w:rPr>
      </w:pPr>
      <w:r>
        <w:rPr>
          <w:rFonts w:hint="eastAsia"/>
          <w:sz w:val="24"/>
          <w:szCs w:val="24"/>
        </w:rPr>
        <w:t>本项目业务活动支出预测情况如下表3</w:t>
      </w:r>
      <w:r>
        <w:rPr>
          <w:sz w:val="24"/>
          <w:szCs w:val="24"/>
        </w:rPr>
        <w:t>-3</w:t>
      </w:r>
      <w:r>
        <w:rPr>
          <w:rFonts w:hint="eastAsia"/>
          <w:sz w:val="24"/>
          <w:szCs w:val="24"/>
        </w:rPr>
        <w:t>所示：</w:t>
      </w:r>
    </w:p>
    <w:p w14:paraId="32FE1EFE">
      <w:pPr>
        <w:pStyle w:val="23"/>
        <w:ind w:firstLine="422"/>
        <w:jc w:val="center"/>
        <w:rPr>
          <w:sz w:val="18"/>
          <w:szCs w:val="18"/>
        </w:rPr>
      </w:pPr>
      <w:r>
        <w:rPr>
          <w:rFonts w:hint="eastAsia"/>
          <w:b/>
        </w:rPr>
        <w:t>表3-</w:t>
      </w:r>
      <w:r>
        <w:rPr>
          <w:b/>
        </w:rPr>
        <w:t xml:space="preserve">3  </w:t>
      </w:r>
      <w:r>
        <w:rPr>
          <w:rFonts w:hint="eastAsia"/>
          <w:b/>
        </w:rPr>
        <w:t>业务活动支出情况预测表</w:t>
      </w:r>
    </w:p>
    <w:p w14:paraId="44FA6221">
      <w:pPr>
        <w:pStyle w:val="23"/>
        <w:ind w:firstLine="360"/>
        <w:jc w:val="right"/>
        <w:rPr>
          <w:sz w:val="18"/>
          <w:szCs w:val="18"/>
        </w:rPr>
      </w:pPr>
      <w:r>
        <w:rPr>
          <w:rFonts w:hint="eastAsia"/>
          <w:sz w:val="18"/>
          <w:szCs w:val="18"/>
        </w:rPr>
        <w:t>单位：万元</w:t>
      </w:r>
    </w:p>
    <w:tbl>
      <w:tblPr>
        <w:tblStyle w:val="2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17"/>
        <w:gridCol w:w="1377"/>
        <w:gridCol w:w="1377"/>
        <w:gridCol w:w="2038"/>
        <w:gridCol w:w="1042"/>
        <w:gridCol w:w="1375"/>
      </w:tblGrid>
      <w:tr w14:paraId="0865376E">
        <w:tblPrEx>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575BB235">
            <w:pPr>
              <w:widowControl/>
              <w:jc w:val="center"/>
              <w:textAlignment w:val="bottom"/>
              <w:rPr>
                <w:rFonts w:ascii="宋体" w:hAnsi="宋体" w:cs="宋体"/>
                <w:b/>
                <w:sz w:val="18"/>
                <w:szCs w:val="18"/>
              </w:rPr>
            </w:pPr>
            <w:r>
              <w:rPr>
                <w:rFonts w:hint="eastAsia" w:ascii="宋体" w:hAnsi="宋体" w:cs="宋体"/>
                <w:b/>
                <w:kern w:val="0"/>
                <w:sz w:val="18"/>
                <w:szCs w:val="18"/>
              </w:rPr>
              <w:t>年份</w:t>
            </w:r>
          </w:p>
        </w:tc>
        <w:tc>
          <w:tcPr>
            <w:tcW w:w="827" w:type="pct"/>
            <w:shd w:val="clear" w:color="auto" w:fill="auto"/>
            <w:noWrap/>
            <w:tcMar>
              <w:top w:w="10" w:type="dxa"/>
              <w:left w:w="10" w:type="dxa"/>
              <w:right w:w="10" w:type="dxa"/>
            </w:tcMar>
            <w:vAlign w:val="center"/>
          </w:tcPr>
          <w:p w14:paraId="4A31AC33">
            <w:pPr>
              <w:widowControl/>
              <w:jc w:val="center"/>
              <w:textAlignment w:val="bottom"/>
              <w:rPr>
                <w:rFonts w:ascii="宋体" w:hAnsi="宋体" w:cs="宋体"/>
                <w:b/>
                <w:kern w:val="0"/>
                <w:sz w:val="18"/>
                <w:szCs w:val="18"/>
              </w:rPr>
            </w:pPr>
            <w:r>
              <w:rPr>
                <w:rFonts w:hint="eastAsia" w:ascii="宋体" w:hAnsi="宋体" w:cs="宋体"/>
                <w:b/>
                <w:kern w:val="0"/>
                <w:sz w:val="18"/>
                <w:szCs w:val="18"/>
              </w:rPr>
              <w:t>税费</w:t>
            </w:r>
          </w:p>
        </w:tc>
        <w:tc>
          <w:tcPr>
            <w:tcW w:w="827" w:type="pct"/>
            <w:shd w:val="clear" w:color="auto" w:fill="auto"/>
            <w:noWrap/>
            <w:tcMar>
              <w:top w:w="10" w:type="dxa"/>
              <w:left w:w="10" w:type="dxa"/>
              <w:right w:w="10" w:type="dxa"/>
            </w:tcMar>
            <w:vAlign w:val="center"/>
          </w:tcPr>
          <w:p w14:paraId="21EB73C7">
            <w:pPr>
              <w:widowControl/>
              <w:jc w:val="center"/>
              <w:textAlignment w:val="bottom"/>
              <w:rPr>
                <w:rFonts w:ascii="宋体" w:hAnsi="宋体" w:cs="宋体"/>
                <w:b/>
                <w:kern w:val="0"/>
                <w:sz w:val="18"/>
                <w:szCs w:val="18"/>
              </w:rPr>
            </w:pPr>
            <w:r>
              <w:rPr>
                <w:rFonts w:hint="eastAsia" w:ascii="宋体" w:hAnsi="宋体" w:cs="宋体"/>
                <w:b/>
                <w:kern w:val="0"/>
                <w:sz w:val="18"/>
                <w:szCs w:val="18"/>
              </w:rPr>
              <w:t>外购动力</w:t>
            </w:r>
          </w:p>
        </w:tc>
        <w:tc>
          <w:tcPr>
            <w:tcW w:w="1224" w:type="pct"/>
            <w:shd w:val="clear" w:color="auto" w:fill="auto"/>
            <w:noWrap/>
            <w:tcMar>
              <w:top w:w="10" w:type="dxa"/>
              <w:left w:w="10" w:type="dxa"/>
              <w:right w:w="10" w:type="dxa"/>
            </w:tcMar>
            <w:vAlign w:val="center"/>
          </w:tcPr>
          <w:p w14:paraId="713677FA">
            <w:pPr>
              <w:widowControl/>
              <w:jc w:val="center"/>
              <w:textAlignment w:val="bottom"/>
              <w:rPr>
                <w:rFonts w:ascii="宋体" w:hAnsi="宋体" w:cs="宋体"/>
                <w:b/>
                <w:kern w:val="0"/>
                <w:sz w:val="18"/>
                <w:szCs w:val="18"/>
              </w:rPr>
            </w:pPr>
            <w:r>
              <w:rPr>
                <w:rFonts w:hint="eastAsia" w:ascii="宋体" w:hAnsi="宋体" w:cs="宋体"/>
                <w:b/>
                <w:kern w:val="0"/>
                <w:sz w:val="18"/>
                <w:szCs w:val="18"/>
              </w:rPr>
              <w:t>工资及福利费</w:t>
            </w:r>
          </w:p>
        </w:tc>
        <w:tc>
          <w:tcPr>
            <w:tcW w:w="626" w:type="pct"/>
            <w:shd w:val="clear" w:color="auto" w:fill="auto"/>
            <w:noWrap/>
            <w:tcMar>
              <w:top w:w="10" w:type="dxa"/>
              <w:left w:w="10" w:type="dxa"/>
              <w:right w:w="10" w:type="dxa"/>
            </w:tcMar>
            <w:vAlign w:val="center"/>
          </w:tcPr>
          <w:p w14:paraId="0A91AE25">
            <w:pPr>
              <w:widowControl/>
              <w:jc w:val="center"/>
              <w:textAlignment w:val="bottom"/>
              <w:rPr>
                <w:rFonts w:ascii="宋体" w:hAnsi="宋体" w:cs="宋体"/>
                <w:b/>
                <w:kern w:val="0"/>
                <w:sz w:val="18"/>
                <w:szCs w:val="18"/>
              </w:rPr>
            </w:pPr>
            <w:r>
              <w:rPr>
                <w:rFonts w:hint="eastAsia" w:ascii="宋体" w:hAnsi="宋体" w:cs="宋体"/>
                <w:b/>
                <w:kern w:val="0"/>
                <w:sz w:val="18"/>
                <w:szCs w:val="18"/>
              </w:rPr>
              <w:t>修理费</w:t>
            </w:r>
          </w:p>
        </w:tc>
        <w:tc>
          <w:tcPr>
            <w:tcW w:w="827" w:type="pct"/>
            <w:shd w:val="clear" w:color="auto" w:fill="auto"/>
            <w:noWrap/>
            <w:tcMar>
              <w:top w:w="10" w:type="dxa"/>
              <w:left w:w="10" w:type="dxa"/>
              <w:right w:w="10" w:type="dxa"/>
            </w:tcMar>
            <w:vAlign w:val="center"/>
          </w:tcPr>
          <w:p w14:paraId="4C78F178">
            <w:pPr>
              <w:widowControl/>
              <w:jc w:val="center"/>
              <w:textAlignment w:val="bottom"/>
              <w:rPr>
                <w:rFonts w:ascii="宋体" w:hAnsi="宋体" w:cs="宋体"/>
                <w:b/>
                <w:kern w:val="0"/>
                <w:sz w:val="18"/>
                <w:szCs w:val="18"/>
              </w:rPr>
            </w:pPr>
            <w:r>
              <w:rPr>
                <w:rFonts w:hint="eastAsia" w:ascii="宋体" w:hAnsi="宋体" w:cs="宋体"/>
                <w:b/>
                <w:kern w:val="0"/>
                <w:sz w:val="18"/>
                <w:szCs w:val="18"/>
              </w:rPr>
              <w:t>合计</w:t>
            </w:r>
          </w:p>
        </w:tc>
      </w:tr>
      <w:tr w14:paraId="1337C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4D72701C">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2025年</w:t>
            </w:r>
          </w:p>
        </w:tc>
        <w:tc>
          <w:tcPr>
            <w:tcW w:w="827" w:type="pct"/>
            <w:shd w:val="clear" w:color="auto" w:fill="auto"/>
            <w:noWrap/>
            <w:tcMar>
              <w:top w:w="10" w:type="dxa"/>
              <w:left w:w="10" w:type="dxa"/>
              <w:right w:w="10" w:type="dxa"/>
            </w:tcMar>
            <w:vAlign w:val="center"/>
          </w:tcPr>
          <w:p w14:paraId="63CEE655">
            <w:pPr>
              <w:widowControl/>
              <w:jc w:val="center"/>
              <w:textAlignment w:val="bottom"/>
              <w:rPr>
                <w:rFonts w:ascii="宋体" w:hAnsi="宋体" w:cs="宋体"/>
                <w:color w:val="000000"/>
                <w:kern w:val="0"/>
                <w:sz w:val="18"/>
                <w:szCs w:val="18"/>
              </w:rPr>
            </w:pPr>
          </w:p>
        </w:tc>
        <w:tc>
          <w:tcPr>
            <w:tcW w:w="827" w:type="pct"/>
            <w:shd w:val="clear" w:color="auto" w:fill="auto"/>
            <w:noWrap/>
            <w:tcMar>
              <w:top w:w="10" w:type="dxa"/>
              <w:left w:w="10" w:type="dxa"/>
              <w:right w:w="10" w:type="dxa"/>
            </w:tcMar>
            <w:vAlign w:val="center"/>
          </w:tcPr>
          <w:p w14:paraId="689B5527">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115.46</w:t>
            </w:r>
          </w:p>
        </w:tc>
        <w:tc>
          <w:tcPr>
            <w:tcW w:w="1224" w:type="pct"/>
            <w:shd w:val="clear" w:color="auto" w:fill="auto"/>
            <w:noWrap/>
            <w:tcMar>
              <w:top w:w="10" w:type="dxa"/>
              <w:left w:w="10" w:type="dxa"/>
              <w:right w:w="10" w:type="dxa"/>
            </w:tcMar>
            <w:vAlign w:val="center"/>
          </w:tcPr>
          <w:p w14:paraId="76764052">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72.00</w:t>
            </w:r>
          </w:p>
        </w:tc>
        <w:tc>
          <w:tcPr>
            <w:tcW w:w="626" w:type="pct"/>
            <w:shd w:val="clear" w:color="auto" w:fill="auto"/>
            <w:noWrap/>
            <w:tcMar>
              <w:top w:w="10" w:type="dxa"/>
              <w:left w:w="10" w:type="dxa"/>
              <w:right w:w="10" w:type="dxa"/>
            </w:tcMar>
            <w:vAlign w:val="center"/>
          </w:tcPr>
          <w:p w14:paraId="7F566E31">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35410DD5">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217.18</w:t>
            </w:r>
          </w:p>
        </w:tc>
      </w:tr>
      <w:tr w14:paraId="0F51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33E92E6B">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2026年</w:t>
            </w:r>
          </w:p>
        </w:tc>
        <w:tc>
          <w:tcPr>
            <w:tcW w:w="827" w:type="pct"/>
            <w:shd w:val="clear" w:color="auto" w:fill="auto"/>
            <w:noWrap/>
            <w:tcMar>
              <w:top w:w="10" w:type="dxa"/>
              <w:left w:w="10" w:type="dxa"/>
              <w:right w:w="10" w:type="dxa"/>
            </w:tcMar>
            <w:vAlign w:val="center"/>
          </w:tcPr>
          <w:p w14:paraId="7ECF8BDD">
            <w:pPr>
              <w:widowControl/>
              <w:jc w:val="center"/>
              <w:textAlignment w:val="bottom"/>
              <w:rPr>
                <w:rFonts w:ascii="宋体" w:hAnsi="宋体" w:cs="宋体"/>
                <w:color w:val="000000"/>
                <w:kern w:val="0"/>
                <w:sz w:val="18"/>
                <w:szCs w:val="18"/>
              </w:rPr>
            </w:pPr>
          </w:p>
        </w:tc>
        <w:tc>
          <w:tcPr>
            <w:tcW w:w="827" w:type="pct"/>
            <w:shd w:val="clear" w:color="auto" w:fill="auto"/>
            <w:noWrap/>
            <w:tcMar>
              <w:top w:w="10" w:type="dxa"/>
              <w:left w:w="10" w:type="dxa"/>
              <w:right w:w="10" w:type="dxa"/>
            </w:tcMar>
            <w:vAlign w:val="center"/>
          </w:tcPr>
          <w:p w14:paraId="795E0CED">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137.48</w:t>
            </w:r>
          </w:p>
        </w:tc>
        <w:tc>
          <w:tcPr>
            <w:tcW w:w="1224" w:type="pct"/>
            <w:shd w:val="clear" w:color="auto" w:fill="auto"/>
            <w:noWrap/>
            <w:tcMar>
              <w:top w:w="10" w:type="dxa"/>
              <w:left w:w="10" w:type="dxa"/>
              <w:right w:w="10" w:type="dxa"/>
            </w:tcMar>
            <w:vAlign w:val="center"/>
          </w:tcPr>
          <w:p w14:paraId="53AAA53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72.00</w:t>
            </w:r>
          </w:p>
        </w:tc>
        <w:tc>
          <w:tcPr>
            <w:tcW w:w="626" w:type="pct"/>
            <w:shd w:val="clear" w:color="auto" w:fill="auto"/>
            <w:noWrap/>
            <w:tcMar>
              <w:top w:w="10" w:type="dxa"/>
              <w:left w:w="10" w:type="dxa"/>
              <w:right w:w="10" w:type="dxa"/>
            </w:tcMar>
            <w:vAlign w:val="center"/>
          </w:tcPr>
          <w:p w14:paraId="3AA55277">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79E6DCEC">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239.20</w:t>
            </w:r>
          </w:p>
        </w:tc>
      </w:tr>
      <w:tr w14:paraId="715B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6C0FF774">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2027年</w:t>
            </w:r>
          </w:p>
        </w:tc>
        <w:tc>
          <w:tcPr>
            <w:tcW w:w="827" w:type="pct"/>
            <w:shd w:val="clear" w:color="auto" w:fill="auto"/>
            <w:noWrap/>
            <w:tcMar>
              <w:top w:w="10" w:type="dxa"/>
              <w:left w:w="10" w:type="dxa"/>
              <w:right w:w="10" w:type="dxa"/>
            </w:tcMar>
            <w:vAlign w:val="center"/>
          </w:tcPr>
          <w:p w14:paraId="0ADAD9DD">
            <w:pPr>
              <w:widowControl/>
              <w:jc w:val="center"/>
              <w:textAlignment w:val="bottom"/>
              <w:rPr>
                <w:rFonts w:ascii="宋体" w:hAnsi="宋体" w:cs="宋体"/>
                <w:color w:val="000000"/>
                <w:kern w:val="0"/>
                <w:sz w:val="18"/>
                <w:szCs w:val="18"/>
              </w:rPr>
            </w:pPr>
          </w:p>
        </w:tc>
        <w:tc>
          <w:tcPr>
            <w:tcW w:w="827" w:type="pct"/>
            <w:shd w:val="clear" w:color="auto" w:fill="auto"/>
            <w:noWrap/>
            <w:tcMar>
              <w:top w:w="10" w:type="dxa"/>
              <w:left w:w="10" w:type="dxa"/>
              <w:right w:w="10" w:type="dxa"/>
            </w:tcMar>
            <w:vAlign w:val="center"/>
          </w:tcPr>
          <w:p w14:paraId="7DA5E64E">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155.82</w:t>
            </w:r>
          </w:p>
        </w:tc>
        <w:tc>
          <w:tcPr>
            <w:tcW w:w="1224" w:type="pct"/>
            <w:shd w:val="clear" w:color="auto" w:fill="auto"/>
            <w:noWrap/>
            <w:tcMar>
              <w:top w:w="10" w:type="dxa"/>
              <w:left w:w="10" w:type="dxa"/>
              <w:right w:w="10" w:type="dxa"/>
            </w:tcMar>
            <w:vAlign w:val="center"/>
          </w:tcPr>
          <w:p w14:paraId="559996A6">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72.00</w:t>
            </w:r>
          </w:p>
        </w:tc>
        <w:tc>
          <w:tcPr>
            <w:tcW w:w="626" w:type="pct"/>
            <w:shd w:val="clear" w:color="auto" w:fill="auto"/>
            <w:noWrap/>
            <w:tcMar>
              <w:top w:w="10" w:type="dxa"/>
              <w:left w:w="10" w:type="dxa"/>
              <w:right w:w="10" w:type="dxa"/>
            </w:tcMar>
            <w:vAlign w:val="center"/>
          </w:tcPr>
          <w:p w14:paraId="3AC2B04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241C0951">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257.54</w:t>
            </w:r>
          </w:p>
        </w:tc>
      </w:tr>
      <w:tr w14:paraId="1391A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5689C6F2">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2028年</w:t>
            </w:r>
          </w:p>
        </w:tc>
        <w:tc>
          <w:tcPr>
            <w:tcW w:w="827" w:type="pct"/>
            <w:shd w:val="clear" w:color="auto" w:fill="auto"/>
            <w:noWrap/>
            <w:tcMar>
              <w:top w:w="10" w:type="dxa"/>
              <w:left w:w="10" w:type="dxa"/>
              <w:right w:w="10" w:type="dxa"/>
            </w:tcMar>
            <w:vAlign w:val="center"/>
          </w:tcPr>
          <w:p w14:paraId="24F66240">
            <w:pPr>
              <w:widowControl/>
              <w:jc w:val="center"/>
              <w:textAlignment w:val="bottom"/>
              <w:rPr>
                <w:rFonts w:ascii="宋体" w:hAnsi="宋体" w:cs="宋体"/>
                <w:color w:val="000000"/>
                <w:kern w:val="0"/>
                <w:sz w:val="18"/>
                <w:szCs w:val="18"/>
              </w:rPr>
            </w:pPr>
          </w:p>
        </w:tc>
        <w:tc>
          <w:tcPr>
            <w:tcW w:w="827" w:type="pct"/>
            <w:shd w:val="clear" w:color="auto" w:fill="auto"/>
            <w:noWrap/>
            <w:tcMar>
              <w:top w:w="10" w:type="dxa"/>
              <w:left w:w="10" w:type="dxa"/>
              <w:right w:w="10" w:type="dxa"/>
            </w:tcMar>
            <w:vAlign w:val="center"/>
          </w:tcPr>
          <w:p w14:paraId="6FC85395">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179.01</w:t>
            </w:r>
          </w:p>
        </w:tc>
        <w:tc>
          <w:tcPr>
            <w:tcW w:w="1224" w:type="pct"/>
            <w:shd w:val="clear" w:color="auto" w:fill="auto"/>
            <w:noWrap/>
            <w:tcMar>
              <w:top w:w="10" w:type="dxa"/>
              <w:left w:w="10" w:type="dxa"/>
              <w:right w:w="10" w:type="dxa"/>
            </w:tcMar>
            <w:vAlign w:val="center"/>
          </w:tcPr>
          <w:p w14:paraId="66825A2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75.60</w:t>
            </w:r>
          </w:p>
        </w:tc>
        <w:tc>
          <w:tcPr>
            <w:tcW w:w="626" w:type="pct"/>
            <w:shd w:val="clear" w:color="auto" w:fill="auto"/>
            <w:noWrap/>
            <w:tcMar>
              <w:top w:w="10" w:type="dxa"/>
              <w:left w:w="10" w:type="dxa"/>
              <w:right w:w="10" w:type="dxa"/>
            </w:tcMar>
            <w:vAlign w:val="center"/>
          </w:tcPr>
          <w:p w14:paraId="37E3D9EE">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52E0987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284.33</w:t>
            </w:r>
          </w:p>
        </w:tc>
      </w:tr>
      <w:tr w14:paraId="4E43B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54762EC9">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2029年</w:t>
            </w:r>
          </w:p>
        </w:tc>
        <w:tc>
          <w:tcPr>
            <w:tcW w:w="827" w:type="pct"/>
            <w:shd w:val="clear" w:color="auto" w:fill="auto"/>
            <w:noWrap/>
            <w:tcMar>
              <w:top w:w="10" w:type="dxa"/>
              <w:left w:w="10" w:type="dxa"/>
              <w:right w:w="10" w:type="dxa"/>
            </w:tcMar>
            <w:vAlign w:val="center"/>
          </w:tcPr>
          <w:p w14:paraId="78CEACAA">
            <w:pPr>
              <w:widowControl/>
              <w:jc w:val="center"/>
              <w:textAlignment w:val="bottom"/>
              <w:rPr>
                <w:rFonts w:ascii="宋体" w:hAnsi="宋体" w:cs="宋体"/>
                <w:color w:val="000000"/>
                <w:kern w:val="0"/>
                <w:sz w:val="18"/>
                <w:szCs w:val="18"/>
              </w:rPr>
            </w:pPr>
          </w:p>
        </w:tc>
        <w:tc>
          <w:tcPr>
            <w:tcW w:w="827" w:type="pct"/>
            <w:shd w:val="clear" w:color="auto" w:fill="auto"/>
            <w:noWrap/>
            <w:tcMar>
              <w:top w:w="10" w:type="dxa"/>
              <w:left w:w="10" w:type="dxa"/>
              <w:right w:w="10" w:type="dxa"/>
            </w:tcMar>
            <w:vAlign w:val="center"/>
          </w:tcPr>
          <w:p w14:paraId="0AE3E633">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179.01</w:t>
            </w:r>
          </w:p>
        </w:tc>
        <w:tc>
          <w:tcPr>
            <w:tcW w:w="1224" w:type="pct"/>
            <w:shd w:val="clear" w:color="auto" w:fill="auto"/>
            <w:noWrap/>
            <w:tcMar>
              <w:top w:w="10" w:type="dxa"/>
              <w:left w:w="10" w:type="dxa"/>
              <w:right w:w="10" w:type="dxa"/>
            </w:tcMar>
            <w:vAlign w:val="center"/>
          </w:tcPr>
          <w:p w14:paraId="68ABDD32">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75.60</w:t>
            </w:r>
          </w:p>
        </w:tc>
        <w:tc>
          <w:tcPr>
            <w:tcW w:w="626" w:type="pct"/>
            <w:shd w:val="clear" w:color="auto" w:fill="auto"/>
            <w:noWrap/>
            <w:tcMar>
              <w:top w:w="10" w:type="dxa"/>
              <w:left w:w="10" w:type="dxa"/>
              <w:right w:w="10" w:type="dxa"/>
            </w:tcMar>
            <w:vAlign w:val="center"/>
          </w:tcPr>
          <w:p w14:paraId="73BD2C8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3BA7F8B3">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284.33</w:t>
            </w:r>
          </w:p>
        </w:tc>
      </w:tr>
      <w:tr w14:paraId="3977C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3DFA9E1E">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2030年</w:t>
            </w:r>
          </w:p>
        </w:tc>
        <w:tc>
          <w:tcPr>
            <w:tcW w:w="827" w:type="pct"/>
            <w:shd w:val="clear" w:color="auto" w:fill="auto"/>
            <w:noWrap/>
            <w:tcMar>
              <w:top w:w="10" w:type="dxa"/>
              <w:left w:w="10" w:type="dxa"/>
              <w:right w:w="10" w:type="dxa"/>
            </w:tcMar>
            <w:vAlign w:val="center"/>
          </w:tcPr>
          <w:p w14:paraId="78F01918">
            <w:pPr>
              <w:widowControl/>
              <w:jc w:val="center"/>
              <w:textAlignment w:val="bottom"/>
              <w:rPr>
                <w:rFonts w:ascii="宋体" w:hAnsi="宋体" w:cs="宋体"/>
                <w:color w:val="000000"/>
                <w:kern w:val="0"/>
                <w:sz w:val="18"/>
                <w:szCs w:val="18"/>
              </w:rPr>
            </w:pPr>
          </w:p>
        </w:tc>
        <w:tc>
          <w:tcPr>
            <w:tcW w:w="827" w:type="pct"/>
            <w:shd w:val="clear" w:color="auto" w:fill="auto"/>
            <w:noWrap/>
            <w:tcMar>
              <w:top w:w="10" w:type="dxa"/>
              <w:left w:w="10" w:type="dxa"/>
              <w:right w:w="10" w:type="dxa"/>
            </w:tcMar>
            <w:vAlign w:val="center"/>
          </w:tcPr>
          <w:p w14:paraId="1E88E817">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179.01</w:t>
            </w:r>
          </w:p>
        </w:tc>
        <w:tc>
          <w:tcPr>
            <w:tcW w:w="1224" w:type="pct"/>
            <w:shd w:val="clear" w:color="auto" w:fill="auto"/>
            <w:noWrap/>
            <w:tcMar>
              <w:top w:w="10" w:type="dxa"/>
              <w:left w:w="10" w:type="dxa"/>
              <w:right w:w="10" w:type="dxa"/>
            </w:tcMar>
            <w:vAlign w:val="center"/>
          </w:tcPr>
          <w:p w14:paraId="66DA30FF">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75.60</w:t>
            </w:r>
          </w:p>
        </w:tc>
        <w:tc>
          <w:tcPr>
            <w:tcW w:w="626" w:type="pct"/>
            <w:shd w:val="clear" w:color="auto" w:fill="auto"/>
            <w:noWrap/>
            <w:tcMar>
              <w:top w:w="10" w:type="dxa"/>
              <w:left w:w="10" w:type="dxa"/>
              <w:right w:w="10" w:type="dxa"/>
            </w:tcMar>
            <w:vAlign w:val="center"/>
          </w:tcPr>
          <w:p w14:paraId="1740027E">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59D4E7EA">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284.33</w:t>
            </w:r>
          </w:p>
        </w:tc>
      </w:tr>
      <w:tr w14:paraId="2EB6F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422BA391">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2031年</w:t>
            </w:r>
          </w:p>
        </w:tc>
        <w:tc>
          <w:tcPr>
            <w:tcW w:w="827" w:type="pct"/>
            <w:shd w:val="clear" w:color="auto" w:fill="auto"/>
            <w:noWrap/>
            <w:tcMar>
              <w:top w:w="10" w:type="dxa"/>
              <w:left w:w="10" w:type="dxa"/>
              <w:right w:w="10" w:type="dxa"/>
            </w:tcMar>
            <w:vAlign w:val="center"/>
          </w:tcPr>
          <w:p w14:paraId="40BB6E4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80.76</w:t>
            </w:r>
          </w:p>
        </w:tc>
        <w:tc>
          <w:tcPr>
            <w:tcW w:w="827" w:type="pct"/>
            <w:shd w:val="clear" w:color="auto" w:fill="auto"/>
            <w:noWrap/>
            <w:tcMar>
              <w:top w:w="10" w:type="dxa"/>
              <w:left w:w="10" w:type="dxa"/>
              <w:right w:w="10" w:type="dxa"/>
            </w:tcMar>
            <w:vAlign w:val="center"/>
          </w:tcPr>
          <w:p w14:paraId="0310BEB3">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187.87</w:t>
            </w:r>
          </w:p>
        </w:tc>
        <w:tc>
          <w:tcPr>
            <w:tcW w:w="1224" w:type="pct"/>
            <w:shd w:val="clear" w:color="auto" w:fill="auto"/>
            <w:noWrap/>
            <w:tcMar>
              <w:top w:w="10" w:type="dxa"/>
              <w:left w:w="10" w:type="dxa"/>
              <w:right w:w="10" w:type="dxa"/>
            </w:tcMar>
            <w:vAlign w:val="center"/>
          </w:tcPr>
          <w:p w14:paraId="7748E124">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79.38</w:t>
            </w:r>
          </w:p>
        </w:tc>
        <w:tc>
          <w:tcPr>
            <w:tcW w:w="626" w:type="pct"/>
            <w:shd w:val="clear" w:color="auto" w:fill="auto"/>
            <w:noWrap/>
            <w:tcMar>
              <w:top w:w="10" w:type="dxa"/>
              <w:left w:w="10" w:type="dxa"/>
              <w:right w:w="10" w:type="dxa"/>
            </w:tcMar>
            <w:vAlign w:val="center"/>
          </w:tcPr>
          <w:p w14:paraId="00568C2C">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30F45B9D">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377.73</w:t>
            </w:r>
          </w:p>
        </w:tc>
      </w:tr>
      <w:tr w14:paraId="0E8D3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78761E58">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2032年</w:t>
            </w:r>
          </w:p>
        </w:tc>
        <w:tc>
          <w:tcPr>
            <w:tcW w:w="827" w:type="pct"/>
            <w:shd w:val="clear" w:color="auto" w:fill="auto"/>
            <w:noWrap/>
            <w:tcMar>
              <w:top w:w="10" w:type="dxa"/>
              <w:left w:w="10" w:type="dxa"/>
              <w:right w:w="10" w:type="dxa"/>
            </w:tcMar>
            <w:vAlign w:val="center"/>
          </w:tcPr>
          <w:p w14:paraId="77F6C323">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173.74</w:t>
            </w:r>
          </w:p>
        </w:tc>
        <w:tc>
          <w:tcPr>
            <w:tcW w:w="827" w:type="pct"/>
            <w:shd w:val="clear" w:color="auto" w:fill="auto"/>
            <w:noWrap/>
            <w:tcMar>
              <w:top w:w="10" w:type="dxa"/>
              <w:left w:w="10" w:type="dxa"/>
              <w:right w:w="10" w:type="dxa"/>
            </w:tcMar>
            <w:vAlign w:val="center"/>
          </w:tcPr>
          <w:p w14:paraId="5AC0616C">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187.87</w:t>
            </w:r>
          </w:p>
        </w:tc>
        <w:tc>
          <w:tcPr>
            <w:tcW w:w="1224" w:type="pct"/>
            <w:shd w:val="clear" w:color="auto" w:fill="auto"/>
            <w:noWrap/>
            <w:tcMar>
              <w:top w:w="10" w:type="dxa"/>
              <w:left w:w="10" w:type="dxa"/>
              <w:right w:w="10" w:type="dxa"/>
            </w:tcMar>
            <w:vAlign w:val="center"/>
          </w:tcPr>
          <w:p w14:paraId="0188D50E">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79.38</w:t>
            </w:r>
          </w:p>
        </w:tc>
        <w:tc>
          <w:tcPr>
            <w:tcW w:w="626" w:type="pct"/>
            <w:shd w:val="clear" w:color="auto" w:fill="auto"/>
            <w:noWrap/>
            <w:tcMar>
              <w:top w:w="10" w:type="dxa"/>
              <w:left w:w="10" w:type="dxa"/>
              <w:right w:w="10" w:type="dxa"/>
            </w:tcMar>
            <w:vAlign w:val="center"/>
          </w:tcPr>
          <w:p w14:paraId="086C26D2">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4D9CDF8E">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470.71</w:t>
            </w:r>
          </w:p>
        </w:tc>
      </w:tr>
      <w:tr w14:paraId="4B8CE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2955706F">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2033年</w:t>
            </w:r>
          </w:p>
        </w:tc>
        <w:tc>
          <w:tcPr>
            <w:tcW w:w="827" w:type="pct"/>
            <w:shd w:val="clear" w:color="auto" w:fill="auto"/>
            <w:noWrap/>
            <w:tcMar>
              <w:top w:w="10" w:type="dxa"/>
              <w:left w:w="10" w:type="dxa"/>
              <w:right w:w="10" w:type="dxa"/>
            </w:tcMar>
            <w:vAlign w:val="center"/>
          </w:tcPr>
          <w:p w14:paraId="7525C11B">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173.74</w:t>
            </w:r>
          </w:p>
        </w:tc>
        <w:tc>
          <w:tcPr>
            <w:tcW w:w="827" w:type="pct"/>
            <w:shd w:val="clear" w:color="auto" w:fill="auto"/>
            <w:noWrap/>
            <w:tcMar>
              <w:top w:w="10" w:type="dxa"/>
              <w:left w:w="10" w:type="dxa"/>
              <w:right w:w="10" w:type="dxa"/>
            </w:tcMar>
            <w:vAlign w:val="center"/>
          </w:tcPr>
          <w:p w14:paraId="784C59FD">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187.87</w:t>
            </w:r>
          </w:p>
        </w:tc>
        <w:tc>
          <w:tcPr>
            <w:tcW w:w="1224" w:type="pct"/>
            <w:shd w:val="clear" w:color="auto" w:fill="auto"/>
            <w:noWrap/>
            <w:tcMar>
              <w:top w:w="10" w:type="dxa"/>
              <w:left w:w="10" w:type="dxa"/>
              <w:right w:w="10" w:type="dxa"/>
            </w:tcMar>
            <w:vAlign w:val="center"/>
          </w:tcPr>
          <w:p w14:paraId="22DF93F6">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79.38</w:t>
            </w:r>
          </w:p>
        </w:tc>
        <w:tc>
          <w:tcPr>
            <w:tcW w:w="626" w:type="pct"/>
            <w:shd w:val="clear" w:color="auto" w:fill="auto"/>
            <w:noWrap/>
            <w:tcMar>
              <w:top w:w="10" w:type="dxa"/>
              <w:left w:w="10" w:type="dxa"/>
              <w:right w:w="10" w:type="dxa"/>
            </w:tcMar>
            <w:vAlign w:val="center"/>
          </w:tcPr>
          <w:p w14:paraId="7F429C7A">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2CE25DBE">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470.71</w:t>
            </w:r>
          </w:p>
        </w:tc>
      </w:tr>
      <w:tr w14:paraId="05293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114799A0">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2034年</w:t>
            </w:r>
          </w:p>
        </w:tc>
        <w:tc>
          <w:tcPr>
            <w:tcW w:w="827" w:type="pct"/>
            <w:shd w:val="clear" w:color="auto" w:fill="auto"/>
            <w:noWrap/>
            <w:tcMar>
              <w:top w:w="10" w:type="dxa"/>
              <w:left w:w="10" w:type="dxa"/>
              <w:right w:w="10" w:type="dxa"/>
            </w:tcMar>
            <w:vAlign w:val="center"/>
          </w:tcPr>
          <w:p w14:paraId="086B09E5">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182.47</w:t>
            </w:r>
          </w:p>
        </w:tc>
        <w:tc>
          <w:tcPr>
            <w:tcW w:w="827" w:type="pct"/>
            <w:shd w:val="clear" w:color="auto" w:fill="auto"/>
            <w:noWrap/>
            <w:tcMar>
              <w:top w:w="10" w:type="dxa"/>
              <w:left w:w="10" w:type="dxa"/>
              <w:right w:w="10" w:type="dxa"/>
            </w:tcMar>
            <w:vAlign w:val="center"/>
          </w:tcPr>
          <w:p w14:paraId="7A8DBB5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197.31</w:t>
            </w:r>
          </w:p>
        </w:tc>
        <w:tc>
          <w:tcPr>
            <w:tcW w:w="1224" w:type="pct"/>
            <w:shd w:val="clear" w:color="auto" w:fill="auto"/>
            <w:noWrap/>
            <w:tcMar>
              <w:top w:w="10" w:type="dxa"/>
              <w:left w:w="10" w:type="dxa"/>
              <w:right w:w="10" w:type="dxa"/>
            </w:tcMar>
            <w:vAlign w:val="center"/>
          </w:tcPr>
          <w:p w14:paraId="43500352">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83.35</w:t>
            </w:r>
          </w:p>
        </w:tc>
        <w:tc>
          <w:tcPr>
            <w:tcW w:w="626" w:type="pct"/>
            <w:shd w:val="clear" w:color="auto" w:fill="auto"/>
            <w:noWrap/>
            <w:tcMar>
              <w:top w:w="10" w:type="dxa"/>
              <w:left w:w="10" w:type="dxa"/>
              <w:right w:w="10" w:type="dxa"/>
            </w:tcMar>
            <w:vAlign w:val="center"/>
          </w:tcPr>
          <w:p w14:paraId="5C7F9B54">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32EFF879">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492.85</w:t>
            </w:r>
          </w:p>
        </w:tc>
      </w:tr>
      <w:tr w14:paraId="5164A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6985BAE5">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2035年</w:t>
            </w:r>
          </w:p>
        </w:tc>
        <w:tc>
          <w:tcPr>
            <w:tcW w:w="827" w:type="pct"/>
            <w:shd w:val="clear" w:color="auto" w:fill="auto"/>
            <w:noWrap/>
            <w:tcMar>
              <w:top w:w="10" w:type="dxa"/>
              <w:left w:w="10" w:type="dxa"/>
              <w:right w:w="10" w:type="dxa"/>
            </w:tcMar>
            <w:vAlign w:val="center"/>
          </w:tcPr>
          <w:p w14:paraId="0AD06261">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182.47</w:t>
            </w:r>
          </w:p>
        </w:tc>
        <w:tc>
          <w:tcPr>
            <w:tcW w:w="827" w:type="pct"/>
            <w:shd w:val="clear" w:color="auto" w:fill="auto"/>
            <w:noWrap/>
            <w:tcMar>
              <w:top w:w="10" w:type="dxa"/>
              <w:left w:w="10" w:type="dxa"/>
              <w:right w:w="10" w:type="dxa"/>
            </w:tcMar>
            <w:vAlign w:val="center"/>
          </w:tcPr>
          <w:p w14:paraId="614C3A33">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197.31</w:t>
            </w:r>
          </w:p>
        </w:tc>
        <w:tc>
          <w:tcPr>
            <w:tcW w:w="1224" w:type="pct"/>
            <w:shd w:val="clear" w:color="auto" w:fill="auto"/>
            <w:noWrap/>
            <w:tcMar>
              <w:top w:w="10" w:type="dxa"/>
              <w:left w:w="10" w:type="dxa"/>
              <w:right w:w="10" w:type="dxa"/>
            </w:tcMar>
            <w:vAlign w:val="center"/>
          </w:tcPr>
          <w:p w14:paraId="622B3D84">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83.35</w:t>
            </w:r>
          </w:p>
        </w:tc>
        <w:tc>
          <w:tcPr>
            <w:tcW w:w="626" w:type="pct"/>
            <w:shd w:val="clear" w:color="auto" w:fill="auto"/>
            <w:noWrap/>
            <w:tcMar>
              <w:top w:w="10" w:type="dxa"/>
              <w:left w:w="10" w:type="dxa"/>
              <w:right w:w="10" w:type="dxa"/>
            </w:tcMar>
            <w:vAlign w:val="center"/>
          </w:tcPr>
          <w:p w14:paraId="459C46DC">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54BC0BF5">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492.85</w:t>
            </w:r>
          </w:p>
        </w:tc>
      </w:tr>
      <w:tr w14:paraId="111F4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72E5E979">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2036年</w:t>
            </w:r>
          </w:p>
        </w:tc>
        <w:tc>
          <w:tcPr>
            <w:tcW w:w="827" w:type="pct"/>
            <w:shd w:val="clear" w:color="auto" w:fill="auto"/>
            <w:noWrap/>
            <w:tcMar>
              <w:top w:w="10" w:type="dxa"/>
              <w:left w:w="10" w:type="dxa"/>
              <w:right w:w="10" w:type="dxa"/>
            </w:tcMar>
            <w:vAlign w:val="center"/>
          </w:tcPr>
          <w:p w14:paraId="4DDA9352">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182.47</w:t>
            </w:r>
          </w:p>
        </w:tc>
        <w:tc>
          <w:tcPr>
            <w:tcW w:w="827" w:type="pct"/>
            <w:shd w:val="clear" w:color="auto" w:fill="auto"/>
            <w:noWrap/>
            <w:tcMar>
              <w:top w:w="10" w:type="dxa"/>
              <w:left w:w="10" w:type="dxa"/>
              <w:right w:w="10" w:type="dxa"/>
            </w:tcMar>
            <w:vAlign w:val="center"/>
          </w:tcPr>
          <w:p w14:paraId="6409F4D7">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197.31</w:t>
            </w:r>
          </w:p>
        </w:tc>
        <w:tc>
          <w:tcPr>
            <w:tcW w:w="1224" w:type="pct"/>
            <w:shd w:val="clear" w:color="auto" w:fill="auto"/>
            <w:noWrap/>
            <w:tcMar>
              <w:top w:w="10" w:type="dxa"/>
              <w:left w:w="10" w:type="dxa"/>
              <w:right w:w="10" w:type="dxa"/>
            </w:tcMar>
            <w:vAlign w:val="center"/>
          </w:tcPr>
          <w:p w14:paraId="0569A234">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83.35</w:t>
            </w:r>
          </w:p>
        </w:tc>
        <w:tc>
          <w:tcPr>
            <w:tcW w:w="626" w:type="pct"/>
            <w:shd w:val="clear" w:color="auto" w:fill="auto"/>
            <w:noWrap/>
            <w:tcMar>
              <w:top w:w="10" w:type="dxa"/>
              <w:left w:w="10" w:type="dxa"/>
              <w:right w:w="10" w:type="dxa"/>
            </w:tcMar>
            <w:vAlign w:val="center"/>
          </w:tcPr>
          <w:p w14:paraId="3E2D3848">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6E7BDB11">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492.85</w:t>
            </w:r>
          </w:p>
        </w:tc>
      </w:tr>
      <w:tr w14:paraId="19849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3665FDCE">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2037年</w:t>
            </w:r>
          </w:p>
        </w:tc>
        <w:tc>
          <w:tcPr>
            <w:tcW w:w="827" w:type="pct"/>
            <w:shd w:val="clear" w:color="auto" w:fill="auto"/>
            <w:noWrap/>
            <w:tcMar>
              <w:top w:w="10" w:type="dxa"/>
              <w:left w:w="10" w:type="dxa"/>
              <w:right w:w="10" w:type="dxa"/>
            </w:tcMar>
            <w:vAlign w:val="center"/>
          </w:tcPr>
          <w:p w14:paraId="0D943E8B">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191.54</w:t>
            </w:r>
          </w:p>
        </w:tc>
        <w:tc>
          <w:tcPr>
            <w:tcW w:w="827" w:type="pct"/>
            <w:shd w:val="clear" w:color="auto" w:fill="auto"/>
            <w:noWrap/>
            <w:tcMar>
              <w:top w:w="10" w:type="dxa"/>
              <w:left w:w="10" w:type="dxa"/>
              <w:right w:w="10" w:type="dxa"/>
            </w:tcMar>
            <w:vAlign w:val="center"/>
          </w:tcPr>
          <w:p w14:paraId="0BA6A03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207.12</w:t>
            </w:r>
          </w:p>
        </w:tc>
        <w:tc>
          <w:tcPr>
            <w:tcW w:w="1224" w:type="pct"/>
            <w:shd w:val="clear" w:color="auto" w:fill="auto"/>
            <w:noWrap/>
            <w:tcMar>
              <w:top w:w="10" w:type="dxa"/>
              <w:left w:w="10" w:type="dxa"/>
              <w:right w:w="10" w:type="dxa"/>
            </w:tcMar>
            <w:vAlign w:val="center"/>
          </w:tcPr>
          <w:p w14:paraId="1D216CF6">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87.52</w:t>
            </w:r>
          </w:p>
        </w:tc>
        <w:tc>
          <w:tcPr>
            <w:tcW w:w="626" w:type="pct"/>
            <w:shd w:val="clear" w:color="auto" w:fill="auto"/>
            <w:noWrap/>
            <w:tcMar>
              <w:top w:w="10" w:type="dxa"/>
              <w:left w:w="10" w:type="dxa"/>
              <w:right w:w="10" w:type="dxa"/>
            </w:tcMar>
            <w:vAlign w:val="center"/>
          </w:tcPr>
          <w:p w14:paraId="58822FE1">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583EFD60">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515.90</w:t>
            </w:r>
          </w:p>
        </w:tc>
      </w:tr>
      <w:tr w14:paraId="74284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33BB130A">
            <w:pPr>
              <w:widowControl/>
              <w:jc w:val="center"/>
              <w:textAlignment w:val="bottom"/>
              <w:rPr>
                <w:rFonts w:ascii="宋体" w:hAnsi="宋体" w:cs="宋体"/>
                <w:color w:val="000000"/>
                <w:kern w:val="0"/>
                <w:sz w:val="18"/>
                <w:szCs w:val="18"/>
              </w:rPr>
            </w:pPr>
            <w:r>
              <w:rPr>
                <w:rFonts w:hint="eastAsia" w:ascii="宋体" w:hAnsi="宋体" w:cs="宋体"/>
                <w:color w:val="000000"/>
                <w:kern w:val="0"/>
                <w:sz w:val="18"/>
                <w:szCs w:val="18"/>
              </w:rPr>
              <w:t>2038年</w:t>
            </w:r>
          </w:p>
        </w:tc>
        <w:tc>
          <w:tcPr>
            <w:tcW w:w="827" w:type="pct"/>
            <w:shd w:val="clear" w:color="auto" w:fill="auto"/>
            <w:noWrap/>
            <w:tcMar>
              <w:top w:w="10" w:type="dxa"/>
              <w:left w:w="10" w:type="dxa"/>
              <w:right w:w="10" w:type="dxa"/>
            </w:tcMar>
            <w:vAlign w:val="center"/>
          </w:tcPr>
          <w:p w14:paraId="1FF1E8EE">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191.54</w:t>
            </w:r>
          </w:p>
        </w:tc>
        <w:tc>
          <w:tcPr>
            <w:tcW w:w="827" w:type="pct"/>
            <w:shd w:val="clear" w:color="auto" w:fill="auto"/>
            <w:noWrap/>
            <w:tcMar>
              <w:top w:w="10" w:type="dxa"/>
              <w:left w:w="10" w:type="dxa"/>
              <w:right w:w="10" w:type="dxa"/>
            </w:tcMar>
            <w:vAlign w:val="center"/>
          </w:tcPr>
          <w:p w14:paraId="034C0AD7">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207.12</w:t>
            </w:r>
          </w:p>
        </w:tc>
        <w:tc>
          <w:tcPr>
            <w:tcW w:w="1224" w:type="pct"/>
            <w:shd w:val="clear" w:color="auto" w:fill="auto"/>
            <w:noWrap/>
            <w:tcMar>
              <w:top w:w="10" w:type="dxa"/>
              <w:left w:w="10" w:type="dxa"/>
              <w:right w:w="10" w:type="dxa"/>
            </w:tcMar>
            <w:vAlign w:val="center"/>
          </w:tcPr>
          <w:p w14:paraId="4A3D9307">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87.52</w:t>
            </w:r>
          </w:p>
        </w:tc>
        <w:tc>
          <w:tcPr>
            <w:tcW w:w="626" w:type="pct"/>
            <w:shd w:val="clear" w:color="auto" w:fill="auto"/>
            <w:noWrap/>
            <w:tcMar>
              <w:top w:w="10" w:type="dxa"/>
              <w:left w:w="10" w:type="dxa"/>
              <w:right w:w="10" w:type="dxa"/>
            </w:tcMar>
            <w:vAlign w:val="center"/>
          </w:tcPr>
          <w:p w14:paraId="2AFAA75A">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29.72</w:t>
            </w:r>
          </w:p>
        </w:tc>
        <w:tc>
          <w:tcPr>
            <w:tcW w:w="827" w:type="pct"/>
            <w:shd w:val="clear" w:color="auto" w:fill="auto"/>
            <w:noWrap/>
            <w:tcMar>
              <w:top w:w="10" w:type="dxa"/>
              <w:left w:w="10" w:type="dxa"/>
              <w:right w:w="10" w:type="dxa"/>
            </w:tcMar>
            <w:vAlign w:val="center"/>
          </w:tcPr>
          <w:p w14:paraId="1C8BF071">
            <w:pPr>
              <w:widowControl/>
              <w:jc w:val="center"/>
              <w:textAlignment w:val="bottom"/>
              <w:rPr>
                <w:rFonts w:ascii="宋体" w:hAnsi="宋体" w:cs="宋体"/>
                <w:color w:val="000000"/>
                <w:kern w:val="0"/>
                <w:sz w:val="18"/>
                <w:szCs w:val="18"/>
              </w:rPr>
            </w:pPr>
            <w:r>
              <w:rPr>
                <w:rFonts w:ascii="宋体" w:hAnsi="宋体" w:cs="宋体"/>
                <w:color w:val="000000"/>
                <w:kern w:val="0"/>
                <w:sz w:val="18"/>
                <w:szCs w:val="18"/>
              </w:rPr>
              <w:t>515.90</w:t>
            </w:r>
          </w:p>
        </w:tc>
      </w:tr>
      <w:tr w14:paraId="65E31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0" w:hRule="atLeast"/>
        </w:trPr>
        <w:tc>
          <w:tcPr>
            <w:tcW w:w="670" w:type="pct"/>
            <w:shd w:val="clear" w:color="auto" w:fill="auto"/>
            <w:noWrap/>
            <w:tcMar>
              <w:top w:w="10" w:type="dxa"/>
              <w:left w:w="10" w:type="dxa"/>
              <w:right w:w="10" w:type="dxa"/>
            </w:tcMar>
            <w:vAlign w:val="center"/>
          </w:tcPr>
          <w:p w14:paraId="022F9D46">
            <w:pPr>
              <w:widowControl/>
              <w:jc w:val="center"/>
              <w:textAlignment w:val="bottom"/>
              <w:rPr>
                <w:rFonts w:ascii="宋体" w:hAnsi="宋体" w:cs="宋体"/>
                <w:b/>
                <w:color w:val="000000"/>
                <w:kern w:val="0"/>
                <w:sz w:val="18"/>
                <w:szCs w:val="18"/>
              </w:rPr>
            </w:pPr>
            <w:r>
              <w:rPr>
                <w:rFonts w:hint="eastAsia" w:ascii="宋体" w:hAnsi="宋体" w:cs="宋体"/>
                <w:b/>
                <w:color w:val="000000"/>
                <w:kern w:val="0"/>
                <w:sz w:val="18"/>
                <w:szCs w:val="18"/>
              </w:rPr>
              <w:t>合计</w:t>
            </w:r>
          </w:p>
        </w:tc>
        <w:tc>
          <w:tcPr>
            <w:tcW w:w="827" w:type="pct"/>
            <w:shd w:val="clear" w:color="auto" w:fill="auto"/>
            <w:noWrap/>
            <w:tcMar>
              <w:top w:w="10" w:type="dxa"/>
              <w:left w:w="10" w:type="dxa"/>
              <w:right w:w="10" w:type="dxa"/>
            </w:tcMar>
            <w:vAlign w:val="center"/>
          </w:tcPr>
          <w:p w14:paraId="42EA8D77">
            <w:pPr>
              <w:widowControl/>
              <w:jc w:val="center"/>
              <w:textAlignment w:val="bottom"/>
              <w:rPr>
                <w:rFonts w:ascii="宋体" w:hAnsi="宋体" w:cs="宋体"/>
                <w:b/>
                <w:color w:val="000000"/>
                <w:kern w:val="0"/>
                <w:sz w:val="18"/>
                <w:szCs w:val="18"/>
              </w:rPr>
            </w:pPr>
            <w:r>
              <w:rPr>
                <w:rFonts w:ascii="宋体" w:hAnsi="宋体" w:cs="宋体"/>
                <w:b/>
                <w:color w:val="000000"/>
                <w:kern w:val="0"/>
                <w:sz w:val="18"/>
                <w:szCs w:val="18"/>
              </w:rPr>
              <w:t>1,358.73</w:t>
            </w:r>
          </w:p>
        </w:tc>
        <w:tc>
          <w:tcPr>
            <w:tcW w:w="827" w:type="pct"/>
            <w:shd w:val="clear" w:color="auto" w:fill="auto"/>
            <w:noWrap/>
            <w:tcMar>
              <w:top w:w="10" w:type="dxa"/>
              <w:left w:w="10" w:type="dxa"/>
              <w:right w:w="10" w:type="dxa"/>
            </w:tcMar>
            <w:vAlign w:val="center"/>
          </w:tcPr>
          <w:p w14:paraId="75D07FE7">
            <w:pPr>
              <w:widowControl/>
              <w:jc w:val="center"/>
              <w:textAlignment w:val="bottom"/>
              <w:rPr>
                <w:rFonts w:ascii="宋体" w:hAnsi="宋体" w:cs="宋体"/>
                <w:b/>
                <w:color w:val="000000"/>
                <w:kern w:val="0"/>
                <w:sz w:val="18"/>
                <w:szCs w:val="18"/>
              </w:rPr>
            </w:pPr>
            <w:r>
              <w:rPr>
                <w:rFonts w:ascii="宋体" w:hAnsi="宋体" w:cs="宋体"/>
                <w:b/>
                <w:color w:val="000000"/>
                <w:kern w:val="0"/>
                <w:sz w:val="18"/>
                <w:szCs w:val="18"/>
              </w:rPr>
              <w:t>2,515.57</w:t>
            </w:r>
          </w:p>
        </w:tc>
        <w:tc>
          <w:tcPr>
            <w:tcW w:w="1224" w:type="pct"/>
            <w:shd w:val="clear" w:color="auto" w:fill="auto"/>
            <w:noWrap/>
            <w:tcMar>
              <w:top w:w="10" w:type="dxa"/>
              <w:left w:w="10" w:type="dxa"/>
              <w:right w:w="10" w:type="dxa"/>
            </w:tcMar>
            <w:vAlign w:val="center"/>
          </w:tcPr>
          <w:p w14:paraId="1503C96D">
            <w:pPr>
              <w:widowControl/>
              <w:jc w:val="center"/>
              <w:textAlignment w:val="bottom"/>
              <w:rPr>
                <w:rFonts w:ascii="宋体" w:hAnsi="宋体" w:cs="宋体"/>
                <w:b/>
                <w:color w:val="000000"/>
                <w:kern w:val="0"/>
                <w:sz w:val="18"/>
                <w:szCs w:val="18"/>
              </w:rPr>
            </w:pPr>
            <w:r>
              <w:rPr>
                <w:rFonts w:ascii="宋体" w:hAnsi="宋体" w:cs="宋体"/>
                <w:b/>
                <w:color w:val="000000"/>
                <w:kern w:val="0"/>
                <w:sz w:val="18"/>
                <w:szCs w:val="18"/>
              </w:rPr>
              <w:t>1,106.03</w:t>
            </w:r>
          </w:p>
        </w:tc>
        <w:tc>
          <w:tcPr>
            <w:tcW w:w="626" w:type="pct"/>
            <w:shd w:val="clear" w:color="auto" w:fill="auto"/>
            <w:noWrap/>
            <w:tcMar>
              <w:top w:w="10" w:type="dxa"/>
              <w:left w:w="10" w:type="dxa"/>
              <w:right w:w="10" w:type="dxa"/>
            </w:tcMar>
            <w:vAlign w:val="center"/>
          </w:tcPr>
          <w:p w14:paraId="158A9CD1">
            <w:pPr>
              <w:widowControl/>
              <w:jc w:val="center"/>
              <w:textAlignment w:val="bottom"/>
              <w:rPr>
                <w:rFonts w:ascii="宋体" w:hAnsi="宋体" w:cs="宋体"/>
                <w:b/>
                <w:color w:val="000000"/>
                <w:kern w:val="0"/>
                <w:sz w:val="18"/>
                <w:szCs w:val="18"/>
              </w:rPr>
            </w:pPr>
            <w:r>
              <w:rPr>
                <w:rFonts w:ascii="宋体" w:hAnsi="宋体" w:cs="宋体"/>
                <w:b/>
                <w:color w:val="000000"/>
                <w:kern w:val="0"/>
                <w:sz w:val="18"/>
                <w:szCs w:val="18"/>
              </w:rPr>
              <w:t>416.08</w:t>
            </w:r>
          </w:p>
        </w:tc>
        <w:tc>
          <w:tcPr>
            <w:tcW w:w="827" w:type="pct"/>
            <w:shd w:val="clear" w:color="auto" w:fill="auto"/>
            <w:noWrap/>
            <w:tcMar>
              <w:top w:w="10" w:type="dxa"/>
              <w:left w:w="10" w:type="dxa"/>
              <w:right w:w="10" w:type="dxa"/>
            </w:tcMar>
            <w:vAlign w:val="center"/>
          </w:tcPr>
          <w:p w14:paraId="6CE2AE90">
            <w:pPr>
              <w:widowControl/>
              <w:jc w:val="center"/>
              <w:textAlignment w:val="bottom"/>
              <w:rPr>
                <w:rFonts w:ascii="宋体" w:hAnsi="宋体" w:cs="宋体"/>
                <w:b/>
                <w:color w:val="000000"/>
                <w:kern w:val="0"/>
                <w:sz w:val="18"/>
                <w:szCs w:val="18"/>
              </w:rPr>
            </w:pPr>
            <w:r>
              <w:rPr>
                <w:rFonts w:ascii="宋体" w:hAnsi="宋体" w:cs="宋体"/>
                <w:b/>
                <w:color w:val="000000"/>
                <w:kern w:val="0"/>
                <w:sz w:val="18"/>
                <w:szCs w:val="18"/>
              </w:rPr>
              <w:t>5,396.41</w:t>
            </w:r>
          </w:p>
        </w:tc>
      </w:tr>
    </w:tbl>
    <w:p w14:paraId="6D90B41D">
      <w:pPr>
        <w:pStyle w:val="23"/>
      </w:pPr>
      <w:r>
        <w:rPr>
          <w:rFonts w:hint="eastAsia"/>
        </w:rPr>
        <w:t>注：支出情况预测表主要体现的是需要支付现金的成本费用部分，故对于不需付现的费用（如折旧摊销等）无需考虑。</w:t>
      </w:r>
    </w:p>
    <w:p w14:paraId="474229C1">
      <w:pPr>
        <w:widowControl/>
        <w:numPr>
          <w:ilvl w:val="0"/>
          <w:numId w:val="5"/>
        </w:numPr>
        <w:spacing w:line="560" w:lineRule="exact"/>
        <w:jc w:val="left"/>
        <w:outlineLvl w:val="1"/>
        <w:rPr>
          <w:rFonts w:ascii="楷体" w:hAnsi="楷体" w:eastAsia="楷体" w:cs="楷体"/>
          <w:b/>
          <w:bCs/>
          <w:sz w:val="28"/>
          <w:szCs w:val="28"/>
        </w:rPr>
      </w:pPr>
      <w:bookmarkStart w:id="108" w:name="_Toc8368"/>
      <w:r>
        <w:rPr>
          <w:rFonts w:hint="eastAsia" w:ascii="楷体" w:hAnsi="楷体" w:eastAsia="楷体" w:cs="楷体"/>
          <w:b/>
          <w:bCs/>
          <w:sz w:val="28"/>
          <w:szCs w:val="28"/>
        </w:rPr>
        <w:t>项目资金测算平衡表</w:t>
      </w:r>
      <w:bookmarkEnd w:id="104"/>
      <w:bookmarkEnd w:id="105"/>
      <w:bookmarkEnd w:id="108"/>
    </w:p>
    <w:p w14:paraId="0D6DAFDE">
      <w:pPr>
        <w:pStyle w:val="23"/>
        <w:spacing w:line="360" w:lineRule="auto"/>
        <w:ind w:firstLine="480" w:firstLineChars="200"/>
        <w:contextualSpacing/>
        <w:rPr>
          <w:sz w:val="24"/>
          <w:szCs w:val="24"/>
        </w:rPr>
      </w:pPr>
      <w:r>
        <w:rPr>
          <w:rFonts w:hint="eastAsia"/>
          <w:sz w:val="24"/>
          <w:szCs w:val="24"/>
        </w:rPr>
        <w:t>考虑项目收入变动、成本变动和债券利率变动因素，分析专项债券本金覆盖率和本息资金覆盖倍数，见下表4-</w:t>
      </w:r>
      <w:r>
        <w:rPr>
          <w:sz w:val="24"/>
          <w:szCs w:val="24"/>
        </w:rPr>
        <w:t>1</w:t>
      </w:r>
      <w:r>
        <w:rPr>
          <w:rFonts w:hint="eastAsia"/>
          <w:sz w:val="24"/>
          <w:szCs w:val="24"/>
        </w:rPr>
        <w:t>：</w:t>
      </w:r>
    </w:p>
    <w:p w14:paraId="60B3816F">
      <w:pPr>
        <w:pStyle w:val="23"/>
        <w:ind w:firstLine="422"/>
        <w:contextualSpacing/>
        <w:jc w:val="center"/>
        <w:rPr>
          <w:b/>
        </w:rPr>
      </w:pPr>
      <w:r>
        <w:rPr>
          <w:rFonts w:hint="eastAsia"/>
          <w:b/>
        </w:rPr>
        <w:t>表4-</w:t>
      </w:r>
      <w:r>
        <w:rPr>
          <w:b/>
        </w:rPr>
        <w:t>1</w:t>
      </w:r>
      <w:r>
        <w:rPr>
          <w:rFonts w:hint="eastAsia"/>
          <w:b/>
        </w:rPr>
        <w:t xml:space="preserve">      单因素变动压力测试表</w:t>
      </w:r>
    </w:p>
    <w:p w14:paraId="5238FF4B">
      <w:pPr>
        <w:pStyle w:val="23"/>
        <w:ind w:right="1440" w:firstLine="360"/>
        <w:contextualSpacing/>
        <w:jc w:val="right"/>
        <w:rPr>
          <w:sz w:val="18"/>
          <w:szCs w:val="18"/>
        </w:rPr>
      </w:pPr>
      <w:r>
        <w:rPr>
          <w:rFonts w:hint="eastAsia"/>
          <w:sz w:val="18"/>
          <w:szCs w:val="18"/>
        </w:rPr>
        <w:t>单位：万元</w:t>
      </w:r>
    </w:p>
    <w:tbl>
      <w:tblPr>
        <w:tblStyle w:val="28"/>
        <w:tblW w:w="5000" w:type="pct"/>
        <w:tblInd w:w="0" w:type="dxa"/>
        <w:tblLayout w:type="autofit"/>
        <w:tblCellMar>
          <w:top w:w="0" w:type="dxa"/>
          <w:left w:w="108" w:type="dxa"/>
          <w:bottom w:w="0" w:type="dxa"/>
          <w:right w:w="108" w:type="dxa"/>
        </w:tblCellMar>
      </w:tblPr>
      <w:tblGrid>
        <w:gridCol w:w="2942"/>
        <w:gridCol w:w="1116"/>
        <w:gridCol w:w="1116"/>
        <w:gridCol w:w="1116"/>
        <w:gridCol w:w="1116"/>
        <w:gridCol w:w="1116"/>
      </w:tblGrid>
      <w:tr w14:paraId="648A8567">
        <w:tblPrEx>
          <w:tblCellMar>
            <w:top w:w="0" w:type="dxa"/>
            <w:left w:w="108" w:type="dxa"/>
            <w:bottom w:w="0" w:type="dxa"/>
            <w:right w:w="108" w:type="dxa"/>
          </w:tblCellMar>
        </w:tblPrEx>
        <w:trPr>
          <w:trHeight w:val="270" w:hRule="atLeast"/>
        </w:trPr>
        <w:tc>
          <w:tcPr>
            <w:tcW w:w="2109" w:type="pct"/>
            <w:tcBorders>
              <w:top w:val="single" w:color="auto" w:sz="4" w:space="0"/>
              <w:left w:val="single" w:color="auto" w:sz="4" w:space="0"/>
              <w:bottom w:val="single" w:color="auto" w:sz="4" w:space="0"/>
              <w:right w:val="single" w:color="auto" w:sz="4" w:space="0"/>
            </w:tcBorders>
            <w:shd w:val="clear" w:color="auto" w:fill="auto"/>
            <w:vAlign w:val="center"/>
          </w:tcPr>
          <w:p w14:paraId="773C9819">
            <w:pPr>
              <w:widowControl/>
              <w:jc w:val="center"/>
              <w:rPr>
                <w:rFonts w:ascii="宋体" w:hAnsi="宋体" w:cs="宋体"/>
                <w:b/>
                <w:bCs/>
                <w:color w:val="000000" w:themeColor="text1"/>
                <w:kern w:val="0"/>
                <w:sz w:val="18"/>
                <w:szCs w:val="18"/>
              </w:rPr>
            </w:pPr>
            <w:r>
              <w:rPr>
                <w:rFonts w:hint="eastAsia" w:ascii="宋体" w:hAnsi="宋体" w:cs="宋体"/>
                <w:b/>
                <w:bCs/>
                <w:color w:val="000000" w:themeColor="text1"/>
                <w:kern w:val="0"/>
                <w:sz w:val="18"/>
                <w:szCs w:val="18"/>
              </w:rPr>
              <w:t>资金覆盖率-压力测试（单因素敏感性分析）</w:t>
            </w:r>
          </w:p>
        </w:tc>
        <w:tc>
          <w:tcPr>
            <w:tcW w:w="578" w:type="pct"/>
            <w:tcBorders>
              <w:top w:val="single" w:color="auto" w:sz="4" w:space="0"/>
              <w:left w:val="nil"/>
              <w:bottom w:val="single" w:color="auto" w:sz="4" w:space="0"/>
              <w:right w:val="single" w:color="auto" w:sz="4" w:space="0"/>
            </w:tcBorders>
            <w:shd w:val="clear" w:color="auto" w:fill="auto"/>
            <w:noWrap/>
          </w:tcPr>
          <w:p w14:paraId="751536C1">
            <w:pPr>
              <w:widowControl/>
              <w:jc w:val="center"/>
              <w:rPr>
                <w:rFonts w:ascii="宋体" w:hAnsi="宋体" w:cs="宋体"/>
                <w:color w:val="000000"/>
                <w:kern w:val="0"/>
                <w:sz w:val="18"/>
                <w:szCs w:val="18"/>
              </w:rPr>
            </w:pPr>
            <w:r>
              <w:rPr>
                <w:rFonts w:ascii="宋体" w:hAnsi="宋体" w:cs="宋体"/>
                <w:color w:val="000000"/>
                <w:kern w:val="0"/>
                <w:sz w:val="18"/>
                <w:szCs w:val="18"/>
              </w:rPr>
              <w:t>-8%</w:t>
            </w:r>
          </w:p>
        </w:tc>
        <w:tc>
          <w:tcPr>
            <w:tcW w:w="578" w:type="pct"/>
            <w:tcBorders>
              <w:top w:val="single" w:color="auto" w:sz="4" w:space="0"/>
              <w:left w:val="nil"/>
              <w:bottom w:val="single" w:color="auto" w:sz="4" w:space="0"/>
              <w:right w:val="single" w:color="auto" w:sz="4" w:space="0"/>
            </w:tcBorders>
            <w:shd w:val="clear" w:color="auto" w:fill="auto"/>
            <w:noWrap/>
          </w:tcPr>
          <w:p w14:paraId="6A86981B">
            <w:pPr>
              <w:widowControl/>
              <w:jc w:val="center"/>
              <w:rPr>
                <w:rFonts w:ascii="宋体" w:hAnsi="宋体" w:cs="宋体"/>
                <w:color w:val="000000"/>
                <w:kern w:val="0"/>
                <w:sz w:val="18"/>
                <w:szCs w:val="18"/>
              </w:rPr>
            </w:pPr>
            <w:r>
              <w:rPr>
                <w:rFonts w:ascii="宋体" w:hAnsi="宋体" w:cs="宋体"/>
                <w:color w:val="000000"/>
                <w:kern w:val="0"/>
                <w:sz w:val="18"/>
                <w:szCs w:val="18"/>
              </w:rPr>
              <w:t>-5%</w:t>
            </w:r>
          </w:p>
        </w:tc>
        <w:tc>
          <w:tcPr>
            <w:tcW w:w="578" w:type="pct"/>
            <w:tcBorders>
              <w:top w:val="single" w:color="auto" w:sz="4" w:space="0"/>
              <w:left w:val="nil"/>
              <w:bottom w:val="single" w:color="auto" w:sz="4" w:space="0"/>
              <w:right w:val="single" w:color="auto" w:sz="4" w:space="0"/>
            </w:tcBorders>
            <w:shd w:val="clear" w:color="auto" w:fill="auto"/>
            <w:noWrap/>
          </w:tcPr>
          <w:p w14:paraId="17031AE3">
            <w:pPr>
              <w:widowControl/>
              <w:jc w:val="center"/>
              <w:rPr>
                <w:rFonts w:ascii="宋体" w:hAnsi="宋体" w:cs="宋体"/>
                <w:color w:val="000000"/>
                <w:kern w:val="0"/>
                <w:sz w:val="18"/>
                <w:szCs w:val="18"/>
              </w:rPr>
            </w:pPr>
            <w:r>
              <w:rPr>
                <w:rFonts w:ascii="宋体" w:hAnsi="宋体" w:cs="宋体"/>
                <w:color w:val="000000"/>
                <w:kern w:val="0"/>
                <w:sz w:val="18"/>
                <w:szCs w:val="18"/>
              </w:rPr>
              <w:t>0%</w:t>
            </w:r>
          </w:p>
        </w:tc>
        <w:tc>
          <w:tcPr>
            <w:tcW w:w="578" w:type="pct"/>
            <w:tcBorders>
              <w:top w:val="single" w:color="auto" w:sz="4" w:space="0"/>
              <w:left w:val="nil"/>
              <w:bottom w:val="single" w:color="auto" w:sz="4" w:space="0"/>
              <w:right w:val="single" w:color="auto" w:sz="4" w:space="0"/>
            </w:tcBorders>
            <w:shd w:val="clear" w:color="auto" w:fill="auto"/>
            <w:noWrap/>
          </w:tcPr>
          <w:p w14:paraId="26BE0642">
            <w:pPr>
              <w:widowControl/>
              <w:jc w:val="center"/>
              <w:rPr>
                <w:rFonts w:ascii="宋体" w:hAnsi="宋体" w:cs="宋体"/>
                <w:color w:val="000000"/>
                <w:kern w:val="0"/>
                <w:sz w:val="18"/>
                <w:szCs w:val="18"/>
              </w:rPr>
            </w:pPr>
            <w:r>
              <w:rPr>
                <w:rFonts w:ascii="宋体" w:hAnsi="宋体" w:cs="宋体"/>
                <w:color w:val="000000"/>
                <w:kern w:val="0"/>
                <w:sz w:val="18"/>
                <w:szCs w:val="18"/>
              </w:rPr>
              <w:t>5%</w:t>
            </w:r>
          </w:p>
        </w:tc>
        <w:tc>
          <w:tcPr>
            <w:tcW w:w="578" w:type="pct"/>
            <w:tcBorders>
              <w:top w:val="single" w:color="auto" w:sz="4" w:space="0"/>
              <w:left w:val="nil"/>
              <w:bottom w:val="single" w:color="auto" w:sz="4" w:space="0"/>
              <w:right w:val="single" w:color="auto" w:sz="4" w:space="0"/>
            </w:tcBorders>
            <w:shd w:val="clear" w:color="auto" w:fill="auto"/>
            <w:noWrap/>
          </w:tcPr>
          <w:p w14:paraId="0EC09B76">
            <w:pPr>
              <w:widowControl/>
              <w:jc w:val="center"/>
              <w:rPr>
                <w:rFonts w:ascii="宋体" w:hAnsi="宋体" w:cs="宋体"/>
                <w:color w:val="000000"/>
                <w:kern w:val="0"/>
                <w:sz w:val="18"/>
                <w:szCs w:val="18"/>
              </w:rPr>
            </w:pPr>
            <w:r>
              <w:rPr>
                <w:rFonts w:ascii="宋体" w:hAnsi="宋体" w:cs="宋体"/>
                <w:color w:val="000000"/>
                <w:kern w:val="0"/>
                <w:sz w:val="18"/>
                <w:szCs w:val="18"/>
              </w:rPr>
              <w:t>8%</w:t>
            </w:r>
          </w:p>
        </w:tc>
      </w:tr>
      <w:tr w14:paraId="770BE53F">
        <w:tblPrEx>
          <w:tblCellMar>
            <w:top w:w="0" w:type="dxa"/>
            <w:left w:w="108" w:type="dxa"/>
            <w:bottom w:w="0" w:type="dxa"/>
            <w:right w:w="108" w:type="dxa"/>
          </w:tblCellMar>
        </w:tblPrEx>
        <w:trPr>
          <w:trHeight w:val="270" w:hRule="atLeast"/>
        </w:trPr>
        <w:tc>
          <w:tcPr>
            <w:tcW w:w="2109" w:type="pct"/>
            <w:tcBorders>
              <w:top w:val="nil"/>
              <w:left w:val="single" w:color="auto" w:sz="4" w:space="0"/>
              <w:bottom w:val="single" w:color="auto" w:sz="4" w:space="0"/>
              <w:right w:val="single" w:color="auto" w:sz="4" w:space="0"/>
            </w:tcBorders>
            <w:shd w:val="clear" w:color="auto" w:fill="auto"/>
            <w:noWrap/>
            <w:vAlign w:val="center"/>
          </w:tcPr>
          <w:p w14:paraId="43BA97EE">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业务活动现金流入变动后金额</w:t>
            </w:r>
          </w:p>
        </w:tc>
        <w:tc>
          <w:tcPr>
            <w:tcW w:w="578" w:type="pct"/>
            <w:tcBorders>
              <w:top w:val="nil"/>
              <w:left w:val="nil"/>
              <w:bottom w:val="single" w:color="auto" w:sz="4" w:space="0"/>
              <w:right w:val="single" w:color="auto" w:sz="4" w:space="0"/>
            </w:tcBorders>
            <w:shd w:val="clear" w:color="auto" w:fill="auto"/>
            <w:noWrap/>
          </w:tcPr>
          <w:p w14:paraId="4B599821">
            <w:pPr>
              <w:widowControl/>
              <w:jc w:val="center"/>
              <w:rPr>
                <w:rFonts w:ascii="宋体" w:hAnsi="宋体" w:cs="宋体"/>
                <w:color w:val="000000"/>
                <w:kern w:val="0"/>
                <w:sz w:val="18"/>
                <w:szCs w:val="18"/>
              </w:rPr>
            </w:pPr>
            <w:r>
              <w:rPr>
                <w:rFonts w:ascii="宋体" w:hAnsi="宋体" w:cs="宋体"/>
                <w:color w:val="000000"/>
                <w:kern w:val="0"/>
                <w:sz w:val="18"/>
                <w:szCs w:val="18"/>
              </w:rPr>
              <w:t xml:space="preserve"> 23,143.14 </w:t>
            </w:r>
          </w:p>
        </w:tc>
        <w:tc>
          <w:tcPr>
            <w:tcW w:w="578" w:type="pct"/>
            <w:tcBorders>
              <w:top w:val="nil"/>
              <w:left w:val="nil"/>
              <w:bottom w:val="single" w:color="auto" w:sz="4" w:space="0"/>
              <w:right w:val="single" w:color="auto" w:sz="4" w:space="0"/>
            </w:tcBorders>
            <w:shd w:val="clear" w:color="auto" w:fill="auto"/>
            <w:noWrap/>
          </w:tcPr>
          <w:p w14:paraId="2420623A">
            <w:pPr>
              <w:widowControl/>
              <w:jc w:val="center"/>
              <w:rPr>
                <w:rFonts w:ascii="宋体" w:hAnsi="宋体" w:cs="宋体"/>
                <w:color w:val="000000"/>
                <w:kern w:val="0"/>
                <w:sz w:val="18"/>
                <w:szCs w:val="18"/>
              </w:rPr>
            </w:pPr>
            <w:r>
              <w:rPr>
                <w:rFonts w:ascii="宋体" w:hAnsi="宋体" w:cs="宋体"/>
                <w:color w:val="000000"/>
                <w:kern w:val="0"/>
                <w:sz w:val="18"/>
                <w:szCs w:val="18"/>
              </w:rPr>
              <w:t xml:space="preserve"> 23,897.81 </w:t>
            </w:r>
          </w:p>
        </w:tc>
        <w:tc>
          <w:tcPr>
            <w:tcW w:w="578" w:type="pct"/>
            <w:tcBorders>
              <w:top w:val="nil"/>
              <w:left w:val="nil"/>
              <w:bottom w:val="single" w:color="auto" w:sz="4" w:space="0"/>
              <w:right w:val="single" w:color="auto" w:sz="4" w:space="0"/>
            </w:tcBorders>
            <w:shd w:val="clear" w:color="auto" w:fill="auto"/>
            <w:noWrap/>
          </w:tcPr>
          <w:p w14:paraId="4B3BEA05">
            <w:pPr>
              <w:widowControl/>
              <w:jc w:val="center"/>
              <w:rPr>
                <w:rFonts w:ascii="宋体" w:hAnsi="宋体" w:cs="宋体"/>
                <w:color w:val="000000"/>
                <w:kern w:val="0"/>
                <w:sz w:val="18"/>
                <w:szCs w:val="18"/>
              </w:rPr>
            </w:pPr>
            <w:r>
              <w:rPr>
                <w:rFonts w:ascii="宋体" w:hAnsi="宋体" w:cs="宋体"/>
                <w:color w:val="000000"/>
                <w:kern w:val="0"/>
                <w:sz w:val="18"/>
                <w:szCs w:val="18"/>
              </w:rPr>
              <w:t xml:space="preserve"> 25,155.59 </w:t>
            </w:r>
          </w:p>
        </w:tc>
        <w:tc>
          <w:tcPr>
            <w:tcW w:w="578" w:type="pct"/>
            <w:tcBorders>
              <w:top w:val="nil"/>
              <w:left w:val="nil"/>
              <w:bottom w:val="single" w:color="auto" w:sz="4" w:space="0"/>
              <w:right w:val="single" w:color="auto" w:sz="4" w:space="0"/>
            </w:tcBorders>
            <w:shd w:val="clear" w:color="auto" w:fill="auto"/>
            <w:noWrap/>
          </w:tcPr>
          <w:p w14:paraId="64E407CD">
            <w:pPr>
              <w:widowControl/>
              <w:jc w:val="center"/>
              <w:rPr>
                <w:rFonts w:ascii="宋体" w:hAnsi="宋体" w:cs="宋体"/>
                <w:color w:val="000000"/>
                <w:kern w:val="0"/>
                <w:sz w:val="18"/>
                <w:szCs w:val="18"/>
              </w:rPr>
            </w:pPr>
            <w:r>
              <w:rPr>
                <w:rFonts w:ascii="宋体" w:hAnsi="宋体" w:cs="宋体"/>
                <w:color w:val="000000"/>
                <w:kern w:val="0"/>
                <w:sz w:val="18"/>
                <w:szCs w:val="18"/>
              </w:rPr>
              <w:t xml:space="preserve"> 26,413.37 </w:t>
            </w:r>
          </w:p>
        </w:tc>
        <w:tc>
          <w:tcPr>
            <w:tcW w:w="578" w:type="pct"/>
            <w:tcBorders>
              <w:top w:val="nil"/>
              <w:left w:val="nil"/>
              <w:bottom w:val="single" w:color="auto" w:sz="4" w:space="0"/>
              <w:right w:val="single" w:color="auto" w:sz="4" w:space="0"/>
            </w:tcBorders>
            <w:shd w:val="clear" w:color="auto" w:fill="auto"/>
            <w:noWrap/>
          </w:tcPr>
          <w:p w14:paraId="40DB1E02">
            <w:pPr>
              <w:widowControl/>
              <w:jc w:val="center"/>
              <w:rPr>
                <w:rFonts w:ascii="宋体" w:hAnsi="宋体" w:cs="宋体"/>
                <w:color w:val="000000"/>
                <w:kern w:val="0"/>
                <w:sz w:val="18"/>
                <w:szCs w:val="18"/>
              </w:rPr>
            </w:pPr>
            <w:r>
              <w:rPr>
                <w:rFonts w:ascii="宋体" w:hAnsi="宋体" w:cs="宋体"/>
                <w:color w:val="000000"/>
                <w:kern w:val="0"/>
                <w:sz w:val="18"/>
                <w:szCs w:val="18"/>
              </w:rPr>
              <w:t xml:space="preserve"> 27,168.04 </w:t>
            </w:r>
          </w:p>
        </w:tc>
      </w:tr>
      <w:tr w14:paraId="2E2BEECE">
        <w:tblPrEx>
          <w:tblCellMar>
            <w:top w:w="0" w:type="dxa"/>
            <w:left w:w="108" w:type="dxa"/>
            <w:bottom w:w="0" w:type="dxa"/>
            <w:right w:w="108" w:type="dxa"/>
          </w:tblCellMar>
        </w:tblPrEx>
        <w:trPr>
          <w:trHeight w:val="270" w:hRule="atLeast"/>
        </w:trPr>
        <w:tc>
          <w:tcPr>
            <w:tcW w:w="2109" w:type="pct"/>
            <w:tcBorders>
              <w:top w:val="nil"/>
              <w:left w:val="single" w:color="auto" w:sz="4" w:space="0"/>
              <w:bottom w:val="single" w:color="auto" w:sz="4" w:space="0"/>
              <w:right w:val="single" w:color="auto" w:sz="4" w:space="0"/>
            </w:tcBorders>
            <w:shd w:val="clear" w:color="auto" w:fill="auto"/>
            <w:noWrap/>
            <w:vAlign w:val="center"/>
          </w:tcPr>
          <w:p w14:paraId="0D1D1BE4">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业务活动现金流出成本变动后金额</w:t>
            </w:r>
          </w:p>
        </w:tc>
        <w:tc>
          <w:tcPr>
            <w:tcW w:w="578" w:type="pct"/>
            <w:tcBorders>
              <w:top w:val="nil"/>
              <w:left w:val="nil"/>
              <w:bottom w:val="single" w:color="auto" w:sz="4" w:space="0"/>
              <w:right w:val="single" w:color="auto" w:sz="4" w:space="0"/>
            </w:tcBorders>
            <w:shd w:val="clear" w:color="auto" w:fill="auto"/>
            <w:noWrap/>
          </w:tcPr>
          <w:p w14:paraId="1711AA07">
            <w:pPr>
              <w:widowControl/>
              <w:jc w:val="center"/>
              <w:rPr>
                <w:rFonts w:ascii="宋体" w:hAnsi="宋体" w:cs="宋体"/>
                <w:color w:val="000000"/>
                <w:kern w:val="0"/>
                <w:sz w:val="18"/>
                <w:szCs w:val="18"/>
              </w:rPr>
            </w:pPr>
            <w:r>
              <w:rPr>
                <w:rFonts w:ascii="宋体" w:hAnsi="宋体" w:cs="宋体"/>
                <w:color w:val="000000"/>
                <w:kern w:val="0"/>
                <w:sz w:val="18"/>
                <w:szCs w:val="18"/>
              </w:rPr>
              <w:t xml:space="preserve"> 4,964.70 </w:t>
            </w:r>
          </w:p>
        </w:tc>
        <w:tc>
          <w:tcPr>
            <w:tcW w:w="578" w:type="pct"/>
            <w:tcBorders>
              <w:top w:val="nil"/>
              <w:left w:val="nil"/>
              <w:bottom w:val="single" w:color="auto" w:sz="4" w:space="0"/>
              <w:right w:val="single" w:color="auto" w:sz="4" w:space="0"/>
            </w:tcBorders>
            <w:shd w:val="clear" w:color="auto" w:fill="auto"/>
            <w:noWrap/>
          </w:tcPr>
          <w:p w14:paraId="5D7C6E1C">
            <w:pPr>
              <w:widowControl/>
              <w:jc w:val="center"/>
              <w:rPr>
                <w:rFonts w:ascii="宋体" w:hAnsi="宋体" w:cs="宋体"/>
                <w:color w:val="000000"/>
                <w:kern w:val="0"/>
                <w:sz w:val="18"/>
                <w:szCs w:val="18"/>
              </w:rPr>
            </w:pPr>
            <w:r>
              <w:rPr>
                <w:rFonts w:ascii="宋体" w:hAnsi="宋体" w:cs="宋体"/>
                <w:color w:val="000000"/>
                <w:kern w:val="0"/>
                <w:sz w:val="18"/>
                <w:szCs w:val="18"/>
              </w:rPr>
              <w:t xml:space="preserve"> 5,126.59 </w:t>
            </w:r>
          </w:p>
        </w:tc>
        <w:tc>
          <w:tcPr>
            <w:tcW w:w="578" w:type="pct"/>
            <w:tcBorders>
              <w:top w:val="nil"/>
              <w:left w:val="nil"/>
              <w:bottom w:val="single" w:color="auto" w:sz="4" w:space="0"/>
              <w:right w:val="single" w:color="auto" w:sz="4" w:space="0"/>
            </w:tcBorders>
            <w:shd w:val="clear" w:color="auto" w:fill="auto"/>
            <w:noWrap/>
          </w:tcPr>
          <w:p w14:paraId="466205FC">
            <w:pPr>
              <w:widowControl/>
              <w:jc w:val="center"/>
              <w:rPr>
                <w:rFonts w:ascii="宋体" w:hAnsi="宋体" w:cs="宋体"/>
                <w:color w:val="000000"/>
                <w:kern w:val="0"/>
                <w:sz w:val="18"/>
                <w:szCs w:val="18"/>
              </w:rPr>
            </w:pPr>
            <w:r>
              <w:rPr>
                <w:rFonts w:ascii="宋体" w:hAnsi="宋体" w:cs="宋体"/>
                <w:color w:val="000000"/>
                <w:kern w:val="0"/>
                <w:sz w:val="18"/>
                <w:szCs w:val="18"/>
              </w:rPr>
              <w:t xml:space="preserve"> 5,396.41 </w:t>
            </w:r>
          </w:p>
        </w:tc>
        <w:tc>
          <w:tcPr>
            <w:tcW w:w="578" w:type="pct"/>
            <w:tcBorders>
              <w:top w:val="nil"/>
              <w:left w:val="nil"/>
              <w:bottom w:val="single" w:color="auto" w:sz="4" w:space="0"/>
              <w:right w:val="single" w:color="auto" w:sz="4" w:space="0"/>
            </w:tcBorders>
            <w:shd w:val="clear" w:color="auto" w:fill="auto"/>
            <w:noWrap/>
          </w:tcPr>
          <w:p w14:paraId="5003C294">
            <w:pPr>
              <w:widowControl/>
              <w:jc w:val="center"/>
              <w:rPr>
                <w:rFonts w:ascii="宋体" w:hAnsi="宋体" w:cs="宋体"/>
                <w:color w:val="000000"/>
                <w:kern w:val="0"/>
                <w:sz w:val="18"/>
                <w:szCs w:val="18"/>
              </w:rPr>
            </w:pPr>
            <w:r>
              <w:rPr>
                <w:rFonts w:ascii="宋体" w:hAnsi="宋体" w:cs="宋体"/>
                <w:color w:val="000000"/>
                <w:kern w:val="0"/>
                <w:sz w:val="18"/>
                <w:szCs w:val="18"/>
              </w:rPr>
              <w:t xml:space="preserve"> 5,666.23 </w:t>
            </w:r>
          </w:p>
        </w:tc>
        <w:tc>
          <w:tcPr>
            <w:tcW w:w="578" w:type="pct"/>
            <w:tcBorders>
              <w:top w:val="nil"/>
              <w:left w:val="nil"/>
              <w:bottom w:val="single" w:color="auto" w:sz="4" w:space="0"/>
              <w:right w:val="single" w:color="auto" w:sz="4" w:space="0"/>
            </w:tcBorders>
            <w:shd w:val="clear" w:color="auto" w:fill="auto"/>
            <w:noWrap/>
          </w:tcPr>
          <w:p w14:paraId="6733086D">
            <w:pPr>
              <w:widowControl/>
              <w:jc w:val="center"/>
              <w:rPr>
                <w:rFonts w:ascii="宋体" w:hAnsi="宋体" w:cs="宋体"/>
                <w:color w:val="000000"/>
                <w:kern w:val="0"/>
                <w:sz w:val="18"/>
                <w:szCs w:val="18"/>
              </w:rPr>
            </w:pPr>
            <w:r>
              <w:rPr>
                <w:rFonts w:ascii="宋体" w:hAnsi="宋体" w:cs="宋体"/>
                <w:color w:val="000000"/>
                <w:kern w:val="0"/>
                <w:sz w:val="18"/>
                <w:szCs w:val="18"/>
              </w:rPr>
              <w:t xml:space="preserve"> 5,828.12 </w:t>
            </w:r>
          </w:p>
        </w:tc>
      </w:tr>
      <w:tr w14:paraId="3CF8A6DC">
        <w:tblPrEx>
          <w:tblCellMar>
            <w:top w:w="0" w:type="dxa"/>
            <w:left w:w="108" w:type="dxa"/>
            <w:bottom w:w="0" w:type="dxa"/>
            <w:right w:w="108" w:type="dxa"/>
          </w:tblCellMar>
        </w:tblPrEx>
        <w:trPr>
          <w:trHeight w:val="270" w:hRule="atLeast"/>
        </w:trPr>
        <w:tc>
          <w:tcPr>
            <w:tcW w:w="2109" w:type="pct"/>
            <w:tcBorders>
              <w:top w:val="nil"/>
              <w:left w:val="single" w:color="auto" w:sz="4" w:space="0"/>
              <w:bottom w:val="single" w:color="auto" w:sz="4" w:space="0"/>
              <w:right w:val="single" w:color="auto" w:sz="4" w:space="0"/>
            </w:tcBorders>
            <w:shd w:val="clear" w:color="auto" w:fill="auto"/>
            <w:noWrap/>
            <w:vAlign w:val="center"/>
          </w:tcPr>
          <w:p w14:paraId="7ECD4028">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利率变动</w:t>
            </w:r>
          </w:p>
        </w:tc>
        <w:tc>
          <w:tcPr>
            <w:tcW w:w="578" w:type="pct"/>
            <w:tcBorders>
              <w:top w:val="nil"/>
              <w:left w:val="nil"/>
              <w:bottom w:val="single" w:color="auto" w:sz="4" w:space="0"/>
              <w:right w:val="single" w:color="auto" w:sz="4" w:space="0"/>
            </w:tcBorders>
            <w:shd w:val="clear" w:color="auto" w:fill="auto"/>
            <w:noWrap/>
          </w:tcPr>
          <w:p w14:paraId="226B7C0B">
            <w:pPr>
              <w:widowControl/>
              <w:jc w:val="center"/>
              <w:rPr>
                <w:rFonts w:ascii="宋体" w:hAnsi="宋体" w:cs="宋体"/>
                <w:color w:val="000000"/>
                <w:kern w:val="0"/>
                <w:sz w:val="18"/>
                <w:szCs w:val="18"/>
              </w:rPr>
            </w:pPr>
            <w:r>
              <w:rPr>
                <w:rFonts w:ascii="宋体" w:hAnsi="宋体" w:cs="宋体"/>
                <w:color w:val="000000"/>
                <w:kern w:val="0"/>
                <w:sz w:val="18"/>
                <w:szCs w:val="18"/>
              </w:rPr>
              <w:t>3.96%</w:t>
            </w:r>
          </w:p>
        </w:tc>
        <w:tc>
          <w:tcPr>
            <w:tcW w:w="578" w:type="pct"/>
            <w:tcBorders>
              <w:top w:val="nil"/>
              <w:left w:val="nil"/>
              <w:bottom w:val="single" w:color="auto" w:sz="4" w:space="0"/>
              <w:right w:val="single" w:color="auto" w:sz="4" w:space="0"/>
            </w:tcBorders>
            <w:shd w:val="clear" w:color="auto" w:fill="auto"/>
            <w:noWrap/>
          </w:tcPr>
          <w:p w14:paraId="35B67B48">
            <w:pPr>
              <w:widowControl/>
              <w:jc w:val="center"/>
              <w:rPr>
                <w:rFonts w:ascii="宋体" w:hAnsi="宋体" w:cs="宋体"/>
                <w:color w:val="000000"/>
                <w:kern w:val="0"/>
                <w:sz w:val="18"/>
                <w:szCs w:val="18"/>
              </w:rPr>
            </w:pPr>
            <w:r>
              <w:rPr>
                <w:rFonts w:ascii="宋体" w:hAnsi="宋体" w:cs="宋体"/>
                <w:color w:val="000000"/>
                <w:kern w:val="0"/>
                <w:sz w:val="18"/>
                <w:szCs w:val="18"/>
              </w:rPr>
              <w:t>4.09%</w:t>
            </w:r>
          </w:p>
        </w:tc>
        <w:tc>
          <w:tcPr>
            <w:tcW w:w="578" w:type="pct"/>
            <w:tcBorders>
              <w:top w:val="nil"/>
              <w:left w:val="nil"/>
              <w:bottom w:val="single" w:color="auto" w:sz="4" w:space="0"/>
              <w:right w:val="single" w:color="auto" w:sz="4" w:space="0"/>
            </w:tcBorders>
            <w:shd w:val="clear" w:color="auto" w:fill="auto"/>
            <w:noWrap/>
          </w:tcPr>
          <w:p w14:paraId="60000FC5">
            <w:pPr>
              <w:widowControl/>
              <w:jc w:val="center"/>
              <w:rPr>
                <w:rFonts w:ascii="宋体" w:hAnsi="宋体" w:cs="宋体"/>
                <w:color w:val="000000"/>
                <w:kern w:val="0"/>
                <w:sz w:val="18"/>
                <w:szCs w:val="18"/>
              </w:rPr>
            </w:pPr>
            <w:r>
              <w:rPr>
                <w:rFonts w:ascii="宋体" w:hAnsi="宋体" w:cs="宋体"/>
                <w:color w:val="000000"/>
                <w:kern w:val="0"/>
                <w:sz w:val="18"/>
                <w:szCs w:val="18"/>
              </w:rPr>
              <w:t>4.30%</w:t>
            </w:r>
          </w:p>
        </w:tc>
        <w:tc>
          <w:tcPr>
            <w:tcW w:w="578" w:type="pct"/>
            <w:tcBorders>
              <w:top w:val="nil"/>
              <w:left w:val="nil"/>
              <w:bottom w:val="single" w:color="auto" w:sz="4" w:space="0"/>
              <w:right w:val="single" w:color="auto" w:sz="4" w:space="0"/>
            </w:tcBorders>
            <w:shd w:val="clear" w:color="auto" w:fill="auto"/>
            <w:noWrap/>
          </w:tcPr>
          <w:p w14:paraId="4DFFADDB">
            <w:pPr>
              <w:widowControl/>
              <w:jc w:val="center"/>
              <w:rPr>
                <w:rFonts w:ascii="宋体" w:hAnsi="宋体" w:cs="宋体"/>
                <w:color w:val="000000"/>
                <w:kern w:val="0"/>
                <w:sz w:val="18"/>
                <w:szCs w:val="18"/>
              </w:rPr>
            </w:pPr>
            <w:r>
              <w:rPr>
                <w:rFonts w:ascii="宋体" w:hAnsi="宋体" w:cs="宋体"/>
                <w:color w:val="000000"/>
                <w:kern w:val="0"/>
                <w:sz w:val="18"/>
                <w:szCs w:val="18"/>
              </w:rPr>
              <w:t>4.52%</w:t>
            </w:r>
          </w:p>
        </w:tc>
        <w:tc>
          <w:tcPr>
            <w:tcW w:w="578" w:type="pct"/>
            <w:tcBorders>
              <w:top w:val="nil"/>
              <w:left w:val="nil"/>
              <w:bottom w:val="single" w:color="auto" w:sz="4" w:space="0"/>
              <w:right w:val="single" w:color="auto" w:sz="4" w:space="0"/>
            </w:tcBorders>
            <w:shd w:val="clear" w:color="auto" w:fill="auto"/>
            <w:noWrap/>
          </w:tcPr>
          <w:p w14:paraId="17951D1D">
            <w:pPr>
              <w:widowControl/>
              <w:jc w:val="center"/>
              <w:rPr>
                <w:rFonts w:ascii="宋体" w:hAnsi="宋体" w:cs="宋体"/>
                <w:color w:val="000000"/>
                <w:kern w:val="0"/>
                <w:sz w:val="18"/>
                <w:szCs w:val="18"/>
              </w:rPr>
            </w:pPr>
            <w:r>
              <w:rPr>
                <w:rFonts w:ascii="宋体" w:hAnsi="宋体" w:cs="宋体"/>
                <w:color w:val="000000"/>
                <w:kern w:val="0"/>
                <w:sz w:val="18"/>
                <w:szCs w:val="18"/>
              </w:rPr>
              <w:t>4.64%</w:t>
            </w:r>
          </w:p>
        </w:tc>
      </w:tr>
      <w:tr w14:paraId="3E52DF66">
        <w:tblPrEx>
          <w:tblCellMar>
            <w:top w:w="0" w:type="dxa"/>
            <w:left w:w="108" w:type="dxa"/>
            <w:bottom w:w="0" w:type="dxa"/>
            <w:right w:w="108" w:type="dxa"/>
          </w:tblCellMar>
        </w:tblPrEx>
        <w:trPr>
          <w:trHeight w:val="270" w:hRule="atLeast"/>
        </w:trPr>
        <w:tc>
          <w:tcPr>
            <w:tcW w:w="2109" w:type="pct"/>
            <w:tcBorders>
              <w:top w:val="nil"/>
              <w:left w:val="single" w:color="auto" w:sz="4" w:space="0"/>
              <w:bottom w:val="single" w:color="auto" w:sz="4" w:space="0"/>
              <w:right w:val="single" w:color="auto" w:sz="4" w:space="0"/>
            </w:tcBorders>
            <w:shd w:val="clear" w:color="auto" w:fill="auto"/>
            <w:noWrap/>
            <w:vAlign w:val="center"/>
          </w:tcPr>
          <w:p w14:paraId="3E5F7949">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利率变动债券利息</w:t>
            </w:r>
          </w:p>
        </w:tc>
        <w:tc>
          <w:tcPr>
            <w:tcW w:w="578" w:type="pct"/>
            <w:tcBorders>
              <w:top w:val="nil"/>
              <w:left w:val="nil"/>
              <w:bottom w:val="single" w:color="auto" w:sz="4" w:space="0"/>
              <w:right w:val="single" w:color="auto" w:sz="4" w:space="0"/>
            </w:tcBorders>
            <w:shd w:val="clear" w:color="auto" w:fill="auto"/>
            <w:noWrap/>
          </w:tcPr>
          <w:p w14:paraId="202D4705">
            <w:pPr>
              <w:widowControl/>
              <w:jc w:val="center"/>
              <w:rPr>
                <w:rFonts w:ascii="宋体" w:hAnsi="宋体" w:cs="宋体"/>
                <w:color w:val="000000"/>
                <w:kern w:val="0"/>
                <w:sz w:val="18"/>
                <w:szCs w:val="18"/>
              </w:rPr>
            </w:pPr>
            <w:r>
              <w:rPr>
                <w:rFonts w:ascii="宋体" w:hAnsi="宋体" w:cs="宋体"/>
                <w:color w:val="000000"/>
                <w:kern w:val="0"/>
                <w:sz w:val="18"/>
                <w:szCs w:val="18"/>
              </w:rPr>
              <w:t xml:space="preserve"> 4,327.68 </w:t>
            </w:r>
          </w:p>
        </w:tc>
        <w:tc>
          <w:tcPr>
            <w:tcW w:w="578" w:type="pct"/>
            <w:tcBorders>
              <w:top w:val="nil"/>
              <w:left w:val="nil"/>
              <w:bottom w:val="single" w:color="auto" w:sz="4" w:space="0"/>
              <w:right w:val="single" w:color="auto" w:sz="4" w:space="0"/>
            </w:tcBorders>
            <w:shd w:val="clear" w:color="auto" w:fill="auto"/>
            <w:noWrap/>
          </w:tcPr>
          <w:p w14:paraId="39250C98">
            <w:pPr>
              <w:widowControl/>
              <w:jc w:val="center"/>
              <w:rPr>
                <w:rFonts w:ascii="宋体" w:hAnsi="宋体" w:cs="宋体"/>
                <w:color w:val="000000"/>
                <w:kern w:val="0"/>
                <w:sz w:val="18"/>
                <w:szCs w:val="18"/>
              </w:rPr>
            </w:pPr>
            <w:r>
              <w:rPr>
                <w:rFonts w:ascii="宋体" w:hAnsi="宋体" w:cs="宋体"/>
                <w:color w:val="000000"/>
                <w:kern w:val="0"/>
                <w:sz w:val="18"/>
                <w:szCs w:val="18"/>
              </w:rPr>
              <w:t xml:space="preserve"> 4,468.80 </w:t>
            </w:r>
          </w:p>
        </w:tc>
        <w:tc>
          <w:tcPr>
            <w:tcW w:w="578" w:type="pct"/>
            <w:tcBorders>
              <w:top w:val="nil"/>
              <w:left w:val="nil"/>
              <w:bottom w:val="single" w:color="auto" w:sz="4" w:space="0"/>
              <w:right w:val="single" w:color="auto" w:sz="4" w:space="0"/>
            </w:tcBorders>
            <w:shd w:val="clear" w:color="auto" w:fill="auto"/>
            <w:noWrap/>
          </w:tcPr>
          <w:p w14:paraId="777667AC">
            <w:pPr>
              <w:widowControl/>
              <w:jc w:val="center"/>
              <w:rPr>
                <w:rFonts w:ascii="宋体" w:hAnsi="宋体" w:cs="宋体"/>
                <w:color w:val="000000"/>
                <w:kern w:val="0"/>
                <w:sz w:val="18"/>
                <w:szCs w:val="18"/>
              </w:rPr>
            </w:pPr>
            <w:r>
              <w:rPr>
                <w:rFonts w:ascii="宋体" w:hAnsi="宋体" w:cs="宋体"/>
                <w:color w:val="000000"/>
                <w:kern w:val="0"/>
                <w:sz w:val="18"/>
                <w:szCs w:val="18"/>
              </w:rPr>
              <w:t xml:space="preserve"> 4,704.00 </w:t>
            </w:r>
          </w:p>
        </w:tc>
        <w:tc>
          <w:tcPr>
            <w:tcW w:w="578" w:type="pct"/>
            <w:tcBorders>
              <w:top w:val="nil"/>
              <w:left w:val="nil"/>
              <w:bottom w:val="single" w:color="auto" w:sz="4" w:space="0"/>
              <w:right w:val="single" w:color="auto" w:sz="4" w:space="0"/>
            </w:tcBorders>
            <w:shd w:val="clear" w:color="auto" w:fill="auto"/>
            <w:noWrap/>
          </w:tcPr>
          <w:p w14:paraId="505A605F">
            <w:pPr>
              <w:widowControl/>
              <w:jc w:val="center"/>
              <w:rPr>
                <w:rFonts w:ascii="宋体" w:hAnsi="宋体" w:cs="宋体"/>
                <w:color w:val="000000"/>
                <w:kern w:val="0"/>
                <w:sz w:val="18"/>
                <w:szCs w:val="18"/>
              </w:rPr>
            </w:pPr>
            <w:r>
              <w:rPr>
                <w:rFonts w:ascii="宋体" w:hAnsi="宋体" w:cs="宋体"/>
                <w:color w:val="000000"/>
                <w:kern w:val="0"/>
                <w:sz w:val="18"/>
                <w:szCs w:val="18"/>
              </w:rPr>
              <w:t xml:space="preserve"> 4,939.20 </w:t>
            </w:r>
          </w:p>
        </w:tc>
        <w:tc>
          <w:tcPr>
            <w:tcW w:w="578" w:type="pct"/>
            <w:tcBorders>
              <w:top w:val="nil"/>
              <w:left w:val="nil"/>
              <w:bottom w:val="single" w:color="auto" w:sz="4" w:space="0"/>
              <w:right w:val="single" w:color="auto" w:sz="4" w:space="0"/>
            </w:tcBorders>
            <w:shd w:val="clear" w:color="auto" w:fill="auto"/>
            <w:noWrap/>
          </w:tcPr>
          <w:p w14:paraId="37B5C78A">
            <w:pPr>
              <w:widowControl/>
              <w:jc w:val="center"/>
              <w:rPr>
                <w:rFonts w:ascii="宋体" w:hAnsi="宋体" w:cs="宋体"/>
                <w:color w:val="000000"/>
                <w:kern w:val="0"/>
                <w:sz w:val="18"/>
                <w:szCs w:val="18"/>
              </w:rPr>
            </w:pPr>
            <w:r>
              <w:rPr>
                <w:rFonts w:ascii="宋体" w:hAnsi="宋体" w:cs="宋体"/>
                <w:color w:val="000000"/>
                <w:kern w:val="0"/>
                <w:sz w:val="18"/>
                <w:szCs w:val="18"/>
              </w:rPr>
              <w:t xml:space="preserve"> 5,080.32 </w:t>
            </w:r>
          </w:p>
        </w:tc>
      </w:tr>
      <w:tr w14:paraId="5D48C1CF">
        <w:tblPrEx>
          <w:tblCellMar>
            <w:top w:w="0" w:type="dxa"/>
            <w:left w:w="108" w:type="dxa"/>
            <w:bottom w:w="0" w:type="dxa"/>
            <w:right w:w="108" w:type="dxa"/>
          </w:tblCellMar>
        </w:tblPrEx>
        <w:trPr>
          <w:trHeight w:val="270" w:hRule="atLeast"/>
        </w:trPr>
        <w:tc>
          <w:tcPr>
            <w:tcW w:w="2109" w:type="pct"/>
            <w:tcBorders>
              <w:top w:val="nil"/>
              <w:left w:val="single" w:color="auto" w:sz="4" w:space="0"/>
              <w:bottom w:val="single" w:color="auto" w:sz="4" w:space="0"/>
              <w:right w:val="single" w:color="auto" w:sz="4" w:space="0"/>
            </w:tcBorders>
            <w:shd w:val="clear" w:color="auto" w:fill="auto"/>
            <w:noWrap/>
            <w:vAlign w:val="center"/>
          </w:tcPr>
          <w:p w14:paraId="50DCEAD8">
            <w:pPr>
              <w:widowControl/>
              <w:jc w:val="center"/>
              <w:rPr>
                <w:rFonts w:ascii="宋体" w:hAnsi="宋体" w:cs="宋体"/>
                <w:b/>
                <w:bCs/>
                <w:color w:val="000000" w:themeColor="text1"/>
                <w:kern w:val="0"/>
                <w:sz w:val="18"/>
                <w:szCs w:val="18"/>
              </w:rPr>
            </w:pPr>
            <w:r>
              <w:rPr>
                <w:rFonts w:hint="eastAsia" w:ascii="宋体" w:hAnsi="宋体" w:cs="宋体"/>
                <w:b/>
                <w:bCs/>
                <w:color w:val="000000" w:themeColor="text1"/>
                <w:kern w:val="0"/>
                <w:sz w:val="18"/>
                <w:szCs w:val="18"/>
              </w:rPr>
              <w:t>1.收入变动敏感性分析</w:t>
            </w:r>
          </w:p>
        </w:tc>
        <w:tc>
          <w:tcPr>
            <w:tcW w:w="578" w:type="pct"/>
            <w:tcBorders>
              <w:top w:val="nil"/>
              <w:left w:val="nil"/>
              <w:bottom w:val="single" w:color="auto" w:sz="4" w:space="0"/>
              <w:right w:val="single" w:color="auto" w:sz="4" w:space="0"/>
            </w:tcBorders>
            <w:shd w:val="clear" w:color="auto" w:fill="auto"/>
            <w:noWrap/>
          </w:tcPr>
          <w:p w14:paraId="28141269">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1E7C3534">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7B989DA3">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6002E080">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45C3BD5F">
            <w:pPr>
              <w:widowControl/>
              <w:jc w:val="center"/>
              <w:rPr>
                <w:rFonts w:ascii="宋体" w:hAnsi="宋体" w:cs="宋体"/>
                <w:color w:val="000000"/>
                <w:kern w:val="0"/>
                <w:sz w:val="18"/>
                <w:szCs w:val="18"/>
              </w:rPr>
            </w:pPr>
          </w:p>
        </w:tc>
      </w:tr>
      <w:tr w14:paraId="03DE84B3">
        <w:tblPrEx>
          <w:tblCellMar>
            <w:top w:w="0" w:type="dxa"/>
            <w:left w:w="108" w:type="dxa"/>
            <w:bottom w:w="0" w:type="dxa"/>
            <w:right w:w="108" w:type="dxa"/>
          </w:tblCellMar>
        </w:tblPrEx>
        <w:trPr>
          <w:trHeight w:val="270" w:hRule="atLeast"/>
        </w:trPr>
        <w:tc>
          <w:tcPr>
            <w:tcW w:w="2109" w:type="pct"/>
            <w:tcBorders>
              <w:top w:val="nil"/>
              <w:left w:val="single" w:color="auto" w:sz="4" w:space="0"/>
              <w:bottom w:val="single" w:color="auto" w:sz="4" w:space="0"/>
              <w:right w:val="single" w:color="auto" w:sz="4" w:space="0"/>
            </w:tcBorders>
            <w:shd w:val="clear" w:color="auto" w:fill="auto"/>
            <w:noWrap/>
            <w:vAlign w:val="center"/>
          </w:tcPr>
          <w:p w14:paraId="204713AE">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偿债资金覆盖倍数变化</w:t>
            </w:r>
          </w:p>
        </w:tc>
        <w:tc>
          <w:tcPr>
            <w:tcW w:w="578" w:type="pct"/>
            <w:tcBorders>
              <w:top w:val="nil"/>
              <w:left w:val="nil"/>
              <w:bottom w:val="single" w:color="auto" w:sz="4" w:space="0"/>
              <w:right w:val="single" w:color="auto" w:sz="4" w:space="0"/>
            </w:tcBorders>
            <w:shd w:val="clear" w:color="auto" w:fill="auto"/>
            <w:noWrap/>
          </w:tcPr>
          <w:p w14:paraId="32A78978">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1.32 </w:t>
            </w:r>
          </w:p>
        </w:tc>
        <w:tc>
          <w:tcPr>
            <w:tcW w:w="578" w:type="pct"/>
            <w:tcBorders>
              <w:top w:val="nil"/>
              <w:left w:val="nil"/>
              <w:bottom w:val="single" w:color="auto" w:sz="4" w:space="0"/>
              <w:right w:val="single" w:color="auto" w:sz="4" w:space="0"/>
            </w:tcBorders>
            <w:shd w:val="clear" w:color="auto" w:fill="auto"/>
            <w:noWrap/>
          </w:tcPr>
          <w:p w14:paraId="256F128B">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1.38 </w:t>
            </w:r>
          </w:p>
        </w:tc>
        <w:tc>
          <w:tcPr>
            <w:tcW w:w="578" w:type="pct"/>
            <w:tcBorders>
              <w:top w:val="nil"/>
              <w:left w:val="nil"/>
              <w:bottom w:val="single" w:color="auto" w:sz="4" w:space="0"/>
              <w:right w:val="single" w:color="auto" w:sz="4" w:space="0"/>
            </w:tcBorders>
            <w:shd w:val="clear" w:color="auto" w:fill="auto"/>
            <w:noWrap/>
          </w:tcPr>
          <w:p w14:paraId="27628AC8">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1.47 </w:t>
            </w:r>
          </w:p>
        </w:tc>
        <w:tc>
          <w:tcPr>
            <w:tcW w:w="578" w:type="pct"/>
            <w:tcBorders>
              <w:top w:val="nil"/>
              <w:left w:val="nil"/>
              <w:bottom w:val="single" w:color="auto" w:sz="4" w:space="0"/>
              <w:right w:val="single" w:color="auto" w:sz="4" w:space="0"/>
            </w:tcBorders>
            <w:shd w:val="clear" w:color="auto" w:fill="auto"/>
            <w:noWrap/>
          </w:tcPr>
          <w:p w14:paraId="6660BEE2">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1.57 </w:t>
            </w:r>
          </w:p>
        </w:tc>
        <w:tc>
          <w:tcPr>
            <w:tcW w:w="578" w:type="pct"/>
            <w:tcBorders>
              <w:top w:val="nil"/>
              <w:left w:val="nil"/>
              <w:bottom w:val="single" w:color="auto" w:sz="4" w:space="0"/>
              <w:right w:val="single" w:color="auto" w:sz="4" w:space="0"/>
            </w:tcBorders>
            <w:shd w:val="clear" w:color="auto" w:fill="auto"/>
            <w:noWrap/>
          </w:tcPr>
          <w:p w14:paraId="4E3FDB9F">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1.62 </w:t>
            </w:r>
          </w:p>
        </w:tc>
      </w:tr>
      <w:tr w14:paraId="6F43F08D">
        <w:tblPrEx>
          <w:tblCellMar>
            <w:top w:w="0" w:type="dxa"/>
            <w:left w:w="108" w:type="dxa"/>
            <w:bottom w:w="0" w:type="dxa"/>
            <w:right w:w="108" w:type="dxa"/>
          </w:tblCellMar>
        </w:tblPrEx>
        <w:trPr>
          <w:trHeight w:val="270" w:hRule="atLeast"/>
        </w:trPr>
        <w:tc>
          <w:tcPr>
            <w:tcW w:w="2109" w:type="pct"/>
            <w:tcBorders>
              <w:top w:val="nil"/>
              <w:left w:val="single" w:color="auto" w:sz="4" w:space="0"/>
              <w:bottom w:val="single" w:color="auto" w:sz="4" w:space="0"/>
              <w:right w:val="single" w:color="auto" w:sz="4" w:space="0"/>
            </w:tcBorders>
            <w:shd w:val="clear" w:color="auto" w:fill="auto"/>
            <w:noWrap/>
            <w:vAlign w:val="center"/>
          </w:tcPr>
          <w:p w14:paraId="5B7696AF">
            <w:pPr>
              <w:widowControl/>
              <w:jc w:val="center"/>
              <w:rPr>
                <w:rFonts w:ascii="宋体" w:hAnsi="宋体" w:cs="宋体"/>
                <w:b/>
                <w:bCs/>
                <w:color w:val="000000" w:themeColor="text1"/>
                <w:kern w:val="0"/>
                <w:sz w:val="18"/>
                <w:szCs w:val="18"/>
              </w:rPr>
            </w:pPr>
            <w:r>
              <w:rPr>
                <w:rFonts w:hint="eastAsia" w:ascii="宋体" w:hAnsi="宋体" w:cs="宋体"/>
                <w:b/>
                <w:bCs/>
                <w:color w:val="000000" w:themeColor="text1"/>
                <w:kern w:val="0"/>
                <w:sz w:val="18"/>
                <w:szCs w:val="18"/>
              </w:rPr>
              <w:t>2.成本变动敏感性分析</w:t>
            </w:r>
          </w:p>
        </w:tc>
        <w:tc>
          <w:tcPr>
            <w:tcW w:w="578" w:type="pct"/>
            <w:tcBorders>
              <w:top w:val="nil"/>
              <w:left w:val="nil"/>
              <w:bottom w:val="single" w:color="auto" w:sz="4" w:space="0"/>
              <w:right w:val="single" w:color="auto" w:sz="4" w:space="0"/>
            </w:tcBorders>
            <w:shd w:val="clear" w:color="auto" w:fill="auto"/>
            <w:noWrap/>
          </w:tcPr>
          <w:p w14:paraId="0DEED920">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5B95A676">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6DF66046">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68CD6291">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39DEBBA7">
            <w:pPr>
              <w:widowControl/>
              <w:jc w:val="center"/>
              <w:rPr>
                <w:rFonts w:ascii="宋体" w:hAnsi="宋体" w:cs="宋体"/>
                <w:color w:val="000000"/>
                <w:kern w:val="0"/>
                <w:sz w:val="18"/>
                <w:szCs w:val="18"/>
              </w:rPr>
            </w:pPr>
          </w:p>
        </w:tc>
      </w:tr>
      <w:tr w14:paraId="0BD63703">
        <w:tblPrEx>
          <w:tblCellMar>
            <w:top w:w="0" w:type="dxa"/>
            <w:left w:w="108" w:type="dxa"/>
            <w:bottom w:w="0" w:type="dxa"/>
            <w:right w:w="108" w:type="dxa"/>
          </w:tblCellMar>
        </w:tblPrEx>
        <w:trPr>
          <w:trHeight w:val="270" w:hRule="atLeast"/>
        </w:trPr>
        <w:tc>
          <w:tcPr>
            <w:tcW w:w="2109" w:type="pct"/>
            <w:tcBorders>
              <w:top w:val="nil"/>
              <w:left w:val="single" w:color="auto" w:sz="4" w:space="0"/>
              <w:bottom w:val="single" w:color="auto" w:sz="4" w:space="0"/>
              <w:right w:val="single" w:color="auto" w:sz="4" w:space="0"/>
            </w:tcBorders>
            <w:shd w:val="clear" w:color="auto" w:fill="auto"/>
            <w:noWrap/>
            <w:vAlign w:val="center"/>
          </w:tcPr>
          <w:p w14:paraId="66B66C62">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偿债资金覆盖倍数变化</w:t>
            </w:r>
          </w:p>
        </w:tc>
        <w:tc>
          <w:tcPr>
            <w:tcW w:w="578" w:type="pct"/>
            <w:tcBorders>
              <w:top w:val="nil"/>
              <w:left w:val="nil"/>
              <w:bottom w:val="single" w:color="auto" w:sz="4" w:space="0"/>
              <w:right w:val="single" w:color="auto" w:sz="4" w:space="0"/>
            </w:tcBorders>
            <w:shd w:val="clear" w:color="auto" w:fill="auto"/>
            <w:noWrap/>
          </w:tcPr>
          <w:p w14:paraId="76B1FC91">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1.51 </w:t>
            </w:r>
          </w:p>
        </w:tc>
        <w:tc>
          <w:tcPr>
            <w:tcW w:w="578" w:type="pct"/>
            <w:tcBorders>
              <w:top w:val="nil"/>
              <w:left w:val="nil"/>
              <w:bottom w:val="single" w:color="auto" w:sz="4" w:space="0"/>
              <w:right w:val="single" w:color="auto" w:sz="4" w:space="0"/>
            </w:tcBorders>
            <w:shd w:val="clear" w:color="auto" w:fill="auto"/>
            <w:noWrap/>
          </w:tcPr>
          <w:p w14:paraId="2E08FD93">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1.49 </w:t>
            </w:r>
          </w:p>
        </w:tc>
        <w:tc>
          <w:tcPr>
            <w:tcW w:w="578" w:type="pct"/>
            <w:tcBorders>
              <w:top w:val="nil"/>
              <w:left w:val="nil"/>
              <w:bottom w:val="single" w:color="auto" w:sz="4" w:space="0"/>
              <w:right w:val="single" w:color="auto" w:sz="4" w:space="0"/>
            </w:tcBorders>
            <w:shd w:val="clear" w:color="auto" w:fill="auto"/>
            <w:noWrap/>
          </w:tcPr>
          <w:p w14:paraId="4A3D4B69">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1.47 </w:t>
            </w:r>
          </w:p>
        </w:tc>
        <w:tc>
          <w:tcPr>
            <w:tcW w:w="578" w:type="pct"/>
            <w:tcBorders>
              <w:top w:val="nil"/>
              <w:left w:val="nil"/>
              <w:bottom w:val="single" w:color="auto" w:sz="4" w:space="0"/>
              <w:right w:val="single" w:color="auto" w:sz="4" w:space="0"/>
            </w:tcBorders>
            <w:shd w:val="clear" w:color="auto" w:fill="auto"/>
            <w:noWrap/>
          </w:tcPr>
          <w:p w14:paraId="60845329">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1.45 </w:t>
            </w:r>
          </w:p>
        </w:tc>
        <w:tc>
          <w:tcPr>
            <w:tcW w:w="578" w:type="pct"/>
            <w:tcBorders>
              <w:top w:val="nil"/>
              <w:left w:val="nil"/>
              <w:bottom w:val="single" w:color="auto" w:sz="4" w:space="0"/>
              <w:right w:val="single" w:color="auto" w:sz="4" w:space="0"/>
            </w:tcBorders>
            <w:shd w:val="clear" w:color="auto" w:fill="auto"/>
            <w:noWrap/>
          </w:tcPr>
          <w:p w14:paraId="47629C8C">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1.44 </w:t>
            </w:r>
          </w:p>
        </w:tc>
      </w:tr>
      <w:tr w14:paraId="364B4792">
        <w:tblPrEx>
          <w:tblCellMar>
            <w:top w:w="0" w:type="dxa"/>
            <w:left w:w="108" w:type="dxa"/>
            <w:bottom w:w="0" w:type="dxa"/>
            <w:right w:w="108" w:type="dxa"/>
          </w:tblCellMar>
        </w:tblPrEx>
        <w:trPr>
          <w:trHeight w:val="270" w:hRule="atLeast"/>
        </w:trPr>
        <w:tc>
          <w:tcPr>
            <w:tcW w:w="2109" w:type="pct"/>
            <w:tcBorders>
              <w:top w:val="nil"/>
              <w:left w:val="single" w:color="auto" w:sz="4" w:space="0"/>
              <w:bottom w:val="single" w:color="auto" w:sz="4" w:space="0"/>
              <w:right w:val="single" w:color="auto" w:sz="4" w:space="0"/>
            </w:tcBorders>
            <w:shd w:val="clear" w:color="auto" w:fill="auto"/>
            <w:noWrap/>
            <w:vAlign w:val="center"/>
          </w:tcPr>
          <w:p w14:paraId="566E600B">
            <w:pPr>
              <w:widowControl/>
              <w:jc w:val="center"/>
              <w:rPr>
                <w:rFonts w:ascii="宋体" w:hAnsi="宋体" w:cs="宋体"/>
                <w:b/>
                <w:bCs/>
                <w:color w:val="000000" w:themeColor="text1"/>
                <w:kern w:val="0"/>
                <w:sz w:val="18"/>
                <w:szCs w:val="18"/>
              </w:rPr>
            </w:pPr>
            <w:r>
              <w:rPr>
                <w:rFonts w:hint="eastAsia" w:ascii="宋体" w:hAnsi="宋体" w:cs="宋体"/>
                <w:b/>
                <w:bCs/>
                <w:color w:val="000000" w:themeColor="text1"/>
                <w:kern w:val="0"/>
                <w:sz w:val="18"/>
                <w:szCs w:val="18"/>
              </w:rPr>
              <w:t>3.利率变动敏感性分析</w:t>
            </w:r>
          </w:p>
        </w:tc>
        <w:tc>
          <w:tcPr>
            <w:tcW w:w="578" w:type="pct"/>
            <w:tcBorders>
              <w:top w:val="nil"/>
              <w:left w:val="nil"/>
              <w:bottom w:val="single" w:color="auto" w:sz="4" w:space="0"/>
              <w:right w:val="single" w:color="auto" w:sz="4" w:space="0"/>
            </w:tcBorders>
            <w:shd w:val="clear" w:color="auto" w:fill="auto"/>
            <w:noWrap/>
          </w:tcPr>
          <w:p w14:paraId="337DEC4F">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323F02E5">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523347BB">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59A4FAD6">
            <w:pPr>
              <w:widowControl/>
              <w:jc w:val="center"/>
              <w:rPr>
                <w:rFonts w:ascii="宋体" w:hAnsi="宋体" w:cs="宋体"/>
                <w:color w:val="000000"/>
                <w:kern w:val="0"/>
                <w:sz w:val="18"/>
                <w:szCs w:val="18"/>
              </w:rPr>
            </w:pPr>
          </w:p>
        </w:tc>
        <w:tc>
          <w:tcPr>
            <w:tcW w:w="578" w:type="pct"/>
            <w:tcBorders>
              <w:top w:val="nil"/>
              <w:left w:val="nil"/>
              <w:bottom w:val="single" w:color="auto" w:sz="4" w:space="0"/>
              <w:right w:val="single" w:color="auto" w:sz="4" w:space="0"/>
            </w:tcBorders>
            <w:shd w:val="clear" w:color="auto" w:fill="auto"/>
            <w:noWrap/>
          </w:tcPr>
          <w:p w14:paraId="4B0A5FC9">
            <w:pPr>
              <w:widowControl/>
              <w:jc w:val="center"/>
              <w:rPr>
                <w:rFonts w:ascii="宋体" w:hAnsi="宋体" w:cs="宋体"/>
                <w:color w:val="000000"/>
                <w:kern w:val="0"/>
                <w:sz w:val="18"/>
                <w:szCs w:val="18"/>
              </w:rPr>
            </w:pPr>
          </w:p>
        </w:tc>
      </w:tr>
      <w:tr w14:paraId="137B35DB">
        <w:tblPrEx>
          <w:tblCellMar>
            <w:top w:w="0" w:type="dxa"/>
            <w:left w:w="108" w:type="dxa"/>
            <w:bottom w:w="0" w:type="dxa"/>
            <w:right w:w="108" w:type="dxa"/>
          </w:tblCellMar>
        </w:tblPrEx>
        <w:trPr>
          <w:trHeight w:val="270" w:hRule="atLeast"/>
        </w:trPr>
        <w:tc>
          <w:tcPr>
            <w:tcW w:w="2109" w:type="pct"/>
            <w:tcBorders>
              <w:top w:val="nil"/>
              <w:left w:val="single" w:color="auto" w:sz="4" w:space="0"/>
              <w:bottom w:val="single" w:color="auto" w:sz="4" w:space="0"/>
              <w:right w:val="single" w:color="auto" w:sz="4" w:space="0"/>
            </w:tcBorders>
            <w:shd w:val="clear" w:color="auto" w:fill="auto"/>
            <w:noWrap/>
            <w:vAlign w:val="center"/>
          </w:tcPr>
          <w:p w14:paraId="28C2A6EC">
            <w:pPr>
              <w:widowControl/>
              <w:jc w:val="center"/>
              <w:rPr>
                <w:rFonts w:ascii="宋体" w:hAnsi="宋体" w:cs="宋体"/>
                <w:color w:val="000000" w:themeColor="text1"/>
                <w:kern w:val="0"/>
                <w:sz w:val="18"/>
                <w:szCs w:val="18"/>
              </w:rPr>
            </w:pPr>
            <w:r>
              <w:rPr>
                <w:rFonts w:hint="eastAsia" w:ascii="宋体" w:hAnsi="宋体" w:cs="宋体"/>
                <w:color w:val="000000" w:themeColor="text1"/>
                <w:kern w:val="0"/>
                <w:sz w:val="18"/>
                <w:szCs w:val="18"/>
              </w:rPr>
              <w:t>利率变动偿债资金本息覆盖率</w:t>
            </w:r>
          </w:p>
        </w:tc>
        <w:tc>
          <w:tcPr>
            <w:tcW w:w="578" w:type="pct"/>
            <w:tcBorders>
              <w:top w:val="nil"/>
              <w:left w:val="nil"/>
              <w:bottom w:val="single" w:color="auto" w:sz="4" w:space="0"/>
              <w:right w:val="single" w:color="auto" w:sz="4" w:space="0"/>
            </w:tcBorders>
            <w:shd w:val="clear" w:color="auto" w:fill="auto"/>
            <w:noWrap/>
          </w:tcPr>
          <w:p w14:paraId="57B3D483">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1.52 </w:t>
            </w:r>
          </w:p>
        </w:tc>
        <w:tc>
          <w:tcPr>
            <w:tcW w:w="578" w:type="pct"/>
            <w:tcBorders>
              <w:top w:val="nil"/>
              <w:left w:val="nil"/>
              <w:bottom w:val="single" w:color="auto" w:sz="4" w:space="0"/>
              <w:right w:val="single" w:color="auto" w:sz="4" w:space="0"/>
            </w:tcBorders>
            <w:shd w:val="clear" w:color="auto" w:fill="auto"/>
            <w:noWrap/>
          </w:tcPr>
          <w:p w14:paraId="4381BDA6">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1.50 </w:t>
            </w:r>
          </w:p>
        </w:tc>
        <w:tc>
          <w:tcPr>
            <w:tcW w:w="578" w:type="pct"/>
            <w:tcBorders>
              <w:top w:val="nil"/>
              <w:left w:val="nil"/>
              <w:bottom w:val="single" w:color="auto" w:sz="4" w:space="0"/>
              <w:right w:val="single" w:color="auto" w:sz="4" w:space="0"/>
            </w:tcBorders>
            <w:shd w:val="clear" w:color="auto" w:fill="auto"/>
            <w:noWrap/>
          </w:tcPr>
          <w:p w14:paraId="0D9C3FB6">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1.47 </w:t>
            </w:r>
          </w:p>
        </w:tc>
        <w:tc>
          <w:tcPr>
            <w:tcW w:w="578" w:type="pct"/>
            <w:tcBorders>
              <w:top w:val="nil"/>
              <w:left w:val="nil"/>
              <w:bottom w:val="single" w:color="auto" w:sz="4" w:space="0"/>
              <w:right w:val="single" w:color="auto" w:sz="4" w:space="0"/>
            </w:tcBorders>
            <w:shd w:val="clear" w:color="auto" w:fill="auto"/>
            <w:noWrap/>
          </w:tcPr>
          <w:p w14:paraId="3A958C63">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1.45 </w:t>
            </w:r>
          </w:p>
        </w:tc>
        <w:tc>
          <w:tcPr>
            <w:tcW w:w="578" w:type="pct"/>
            <w:tcBorders>
              <w:top w:val="nil"/>
              <w:left w:val="nil"/>
              <w:bottom w:val="single" w:color="auto" w:sz="4" w:space="0"/>
              <w:right w:val="single" w:color="auto" w:sz="4" w:space="0"/>
            </w:tcBorders>
            <w:shd w:val="clear" w:color="auto" w:fill="auto"/>
            <w:noWrap/>
          </w:tcPr>
          <w:p w14:paraId="281EC4D5">
            <w:pPr>
              <w:widowControl/>
              <w:jc w:val="center"/>
              <w:rPr>
                <w:rFonts w:ascii="宋体" w:hAnsi="宋体" w:cs="宋体"/>
                <w:color w:val="000000"/>
                <w:kern w:val="0"/>
                <w:sz w:val="18"/>
                <w:szCs w:val="18"/>
              </w:rPr>
            </w:pPr>
            <w:r>
              <w:rPr>
                <w:rFonts w:ascii="宋体" w:hAnsi="宋体" w:cs="宋体"/>
                <w:color w:val="000000"/>
                <w:kern w:val="0"/>
                <w:sz w:val="18"/>
                <w:szCs w:val="18"/>
              </w:rPr>
              <w:t xml:space="preserve"> 1.43 </w:t>
            </w:r>
          </w:p>
        </w:tc>
      </w:tr>
    </w:tbl>
    <w:p w14:paraId="0A22C028">
      <w:pPr>
        <w:pStyle w:val="23"/>
        <w:spacing w:line="360" w:lineRule="auto"/>
        <w:ind w:firstLine="480" w:firstLineChars="200"/>
        <w:rPr>
          <w:sz w:val="24"/>
          <w:szCs w:val="24"/>
        </w:rPr>
      </w:pPr>
      <w:r>
        <w:rPr>
          <w:rFonts w:hint="eastAsia"/>
          <w:sz w:val="24"/>
          <w:szCs w:val="24"/>
        </w:rPr>
        <w:t>通过资金平衡测算分析，债务本息资金覆盖倍数可达到1.</w:t>
      </w:r>
      <w:r>
        <w:rPr>
          <w:sz w:val="24"/>
          <w:szCs w:val="24"/>
        </w:rPr>
        <w:t>47</w:t>
      </w:r>
      <w:r>
        <w:rPr>
          <w:rFonts w:hint="eastAsia"/>
          <w:sz w:val="24"/>
          <w:szCs w:val="24"/>
        </w:rPr>
        <w:t>倍，基于上表压力测试，本项目分别在收入下降1</w:t>
      </w:r>
      <w:r>
        <w:rPr>
          <w:sz w:val="24"/>
          <w:szCs w:val="24"/>
        </w:rPr>
        <w:t>0</w:t>
      </w:r>
      <w:r>
        <w:rPr>
          <w:rFonts w:hint="eastAsia"/>
          <w:sz w:val="24"/>
          <w:szCs w:val="24"/>
        </w:rPr>
        <w:t>%、成本上浮</w:t>
      </w:r>
      <w:r>
        <w:rPr>
          <w:sz w:val="24"/>
          <w:szCs w:val="24"/>
        </w:rPr>
        <w:t>10</w:t>
      </w:r>
      <w:r>
        <w:rPr>
          <w:rFonts w:hint="eastAsia"/>
          <w:sz w:val="24"/>
          <w:szCs w:val="24"/>
        </w:rPr>
        <w:t>%、利率上浮</w:t>
      </w:r>
      <w:r>
        <w:rPr>
          <w:sz w:val="24"/>
          <w:szCs w:val="24"/>
        </w:rPr>
        <w:t>10</w:t>
      </w:r>
      <w:r>
        <w:rPr>
          <w:rFonts w:hint="eastAsia"/>
          <w:sz w:val="24"/>
          <w:szCs w:val="24"/>
        </w:rPr>
        <w:t>%的情况下的情况下，债券本息资金覆盖率仍大于1.</w:t>
      </w:r>
      <w:r>
        <w:rPr>
          <w:sz w:val="24"/>
          <w:szCs w:val="24"/>
        </w:rPr>
        <w:t>1</w:t>
      </w:r>
      <w:r>
        <w:rPr>
          <w:rFonts w:hint="eastAsia"/>
          <w:sz w:val="24"/>
          <w:szCs w:val="24"/>
        </w:rPr>
        <w:t>，能通过压力测试，项目收益仍然可以覆盖债券还本付息，因而项目具备一定的抗风险能力。</w:t>
      </w:r>
    </w:p>
    <w:p w14:paraId="20F91915">
      <w:pPr>
        <w:spacing w:before="156" w:line="560" w:lineRule="exact"/>
        <w:ind w:firstLine="557" w:firstLineChars="199"/>
        <w:outlineLvl w:val="0"/>
        <w:rPr>
          <w:rFonts w:cs="楷体" w:asciiTheme="minorEastAsia" w:hAnsiTheme="minorEastAsia"/>
          <w:b/>
          <w:bCs/>
          <w:sz w:val="28"/>
          <w:szCs w:val="28"/>
        </w:rPr>
      </w:pPr>
      <w:bookmarkStart w:id="109" w:name="_Toc28576"/>
      <w:bookmarkStart w:id="110" w:name="_Toc36580115"/>
      <w:bookmarkStart w:id="111" w:name="_Toc44517305"/>
      <w:r>
        <w:rPr>
          <w:rFonts w:hint="eastAsia" w:ascii="黑体" w:hAnsi="黑体" w:eastAsia="黑体" w:cs="黑体"/>
          <w:sz w:val="28"/>
          <w:szCs w:val="28"/>
        </w:rPr>
        <w:t>四、</w:t>
      </w:r>
      <w:r>
        <w:rPr>
          <w:rFonts w:hint="eastAsia" w:cs="楷体" w:asciiTheme="minorEastAsia" w:hAnsiTheme="minorEastAsia"/>
          <w:b/>
          <w:bCs/>
          <w:sz w:val="28"/>
          <w:szCs w:val="28"/>
        </w:rPr>
        <w:t>事前绩效评价</w:t>
      </w:r>
      <w:bookmarkEnd w:id="109"/>
    </w:p>
    <w:p w14:paraId="459A97B5">
      <w:pPr>
        <w:spacing w:line="560" w:lineRule="atLeast"/>
        <w:ind w:firstLine="480"/>
        <w:outlineLvl w:val="1"/>
        <w:rPr>
          <w:rFonts w:cs="仿宋" w:asciiTheme="minorEastAsia" w:hAnsiTheme="minorEastAsia"/>
          <w:sz w:val="24"/>
          <w:szCs w:val="24"/>
        </w:rPr>
      </w:pPr>
      <w:bookmarkStart w:id="112" w:name="_Toc18186"/>
      <w:r>
        <w:rPr>
          <w:rFonts w:hint="eastAsia" w:cs="仿宋" w:asciiTheme="minorEastAsia" w:hAnsiTheme="minorEastAsia"/>
          <w:sz w:val="24"/>
          <w:szCs w:val="24"/>
        </w:rPr>
        <w:t>1、项目实施的必要性、公益性、收益性</w:t>
      </w:r>
      <w:bookmarkEnd w:id="112"/>
    </w:p>
    <w:p w14:paraId="3AD5C8A6">
      <w:pPr>
        <w:spacing w:line="560" w:lineRule="atLeast"/>
        <w:ind w:firstLine="148" w:firstLineChars="62"/>
        <w:rPr>
          <w:rFonts w:cs="仿宋" w:asciiTheme="minorEastAsia" w:hAnsiTheme="minorEastAsia"/>
          <w:sz w:val="24"/>
          <w:szCs w:val="24"/>
        </w:rPr>
      </w:pPr>
      <w:r>
        <w:rPr>
          <w:rFonts w:hint="eastAsia" w:cs="仿宋" w:asciiTheme="minorEastAsia" w:hAnsiTheme="minorEastAsia"/>
          <w:sz w:val="24"/>
          <w:szCs w:val="24"/>
        </w:rPr>
        <w:t>（1）必要性</w:t>
      </w:r>
    </w:p>
    <w:p w14:paraId="1D758CE1">
      <w:pPr>
        <w:spacing w:line="560" w:lineRule="atLeast"/>
        <w:ind w:firstLine="480"/>
        <w:rPr>
          <w:rFonts w:ascii="宋体" w:hAnsi="宋体" w:eastAsia="宋体" w:cs="宋体"/>
          <w:kern w:val="0"/>
          <w:sz w:val="24"/>
          <w:szCs w:val="24"/>
          <w:lang w:val="en-GB"/>
        </w:rPr>
      </w:pPr>
      <w:r>
        <w:rPr>
          <w:rFonts w:hint="eastAsia" w:ascii="宋体" w:hAnsi="宋体" w:eastAsia="宋体" w:cs="宋体"/>
          <w:kern w:val="0"/>
          <w:sz w:val="24"/>
          <w:szCs w:val="24"/>
          <w:lang w:val="en-GB"/>
        </w:rPr>
        <w:t>本项目作为南昌县莲塘镇环境综合改造的其中一部分，改造后的小区将成为来访者了解南昌县城市建设面貌、人文气息的重要门户窗口。与周边现代小区遥相呼应，而良好景观形象是对外展示城市新形象的最好名片。</w:t>
      </w:r>
    </w:p>
    <w:p w14:paraId="4F7B83E5">
      <w:pPr>
        <w:spacing w:line="560" w:lineRule="atLeast"/>
        <w:ind w:firstLine="148" w:firstLineChars="62"/>
        <w:rPr>
          <w:rFonts w:cs="仿宋" w:asciiTheme="minorEastAsia" w:hAnsiTheme="minorEastAsia"/>
          <w:sz w:val="24"/>
          <w:szCs w:val="24"/>
        </w:rPr>
      </w:pPr>
      <w:r>
        <w:rPr>
          <w:rFonts w:hint="eastAsia" w:cs="仿宋" w:asciiTheme="minorEastAsia" w:hAnsiTheme="minorEastAsia"/>
          <w:sz w:val="24"/>
          <w:szCs w:val="24"/>
        </w:rPr>
        <w:t>（2）公益性</w:t>
      </w:r>
    </w:p>
    <w:p w14:paraId="00DD2CE0">
      <w:pPr>
        <w:spacing w:line="560" w:lineRule="atLeast"/>
        <w:ind w:firstLine="480"/>
        <w:rPr>
          <w:rFonts w:ascii="宋体" w:hAnsi="宋体" w:eastAsia="宋体" w:cs="宋体"/>
          <w:kern w:val="0"/>
          <w:sz w:val="24"/>
          <w:szCs w:val="24"/>
          <w:lang w:val="en-GB"/>
        </w:rPr>
      </w:pPr>
      <w:r>
        <w:rPr>
          <w:rFonts w:hint="eastAsia" w:ascii="宋体" w:hAnsi="宋体" w:eastAsia="宋体" w:cs="宋体"/>
          <w:kern w:val="0"/>
          <w:sz w:val="24"/>
          <w:szCs w:val="24"/>
          <w:lang w:val="en-GB"/>
        </w:rPr>
        <w:t>老旧社区环境综合改造将提高社区生活品质，改善城市人居环境，提高人民生活水平，项目区域的不同利益群体对项目的改建是持支持的态度。同时本项目作为环境改造工程是一项社会公益事业，是有长远和广泛社会效益的事业。该项目是为改善老旧社区内环境景观，从而提升城市形象，改善人居环境的利市利民的事业。本项目将会受到社会各界人士和广大市民的积极支持。</w:t>
      </w:r>
    </w:p>
    <w:p w14:paraId="1D673F4F">
      <w:pPr>
        <w:spacing w:line="560" w:lineRule="atLeast"/>
        <w:ind w:firstLine="480"/>
        <w:rPr>
          <w:rFonts w:cs="仿宋" w:asciiTheme="minorEastAsia" w:hAnsiTheme="minorEastAsia"/>
          <w:sz w:val="24"/>
          <w:szCs w:val="24"/>
        </w:rPr>
      </w:pPr>
      <w:r>
        <w:rPr>
          <w:rFonts w:hint="eastAsia" w:cs="仿宋" w:asciiTheme="minorEastAsia" w:hAnsiTheme="minorEastAsia"/>
          <w:sz w:val="24"/>
          <w:szCs w:val="24"/>
        </w:rPr>
        <w:t>（3</w:t>
      </w:r>
      <w:r>
        <w:rPr>
          <w:rFonts w:cs="仿宋" w:asciiTheme="minorEastAsia" w:hAnsiTheme="minorEastAsia"/>
          <w:sz w:val="24"/>
          <w:szCs w:val="24"/>
        </w:rPr>
        <w:t>）</w:t>
      </w:r>
      <w:r>
        <w:rPr>
          <w:rFonts w:hint="eastAsia" w:cs="仿宋" w:asciiTheme="minorEastAsia" w:hAnsiTheme="minorEastAsia"/>
          <w:sz w:val="24"/>
          <w:szCs w:val="24"/>
        </w:rPr>
        <w:t>收益性</w:t>
      </w:r>
    </w:p>
    <w:p w14:paraId="3889497D">
      <w:pPr>
        <w:spacing w:line="560" w:lineRule="atLeast"/>
        <w:ind w:firstLine="480"/>
        <w:rPr>
          <w:rFonts w:ascii="宋体" w:hAnsi="宋体" w:eastAsia="宋体" w:cs="宋体"/>
          <w:kern w:val="0"/>
          <w:sz w:val="24"/>
          <w:szCs w:val="24"/>
        </w:rPr>
      </w:pPr>
      <w:r>
        <w:rPr>
          <w:rFonts w:hint="eastAsia" w:ascii="宋体" w:hAnsi="宋体" w:eastAsia="宋体" w:cs="宋体"/>
          <w:kern w:val="0"/>
          <w:sz w:val="24"/>
          <w:szCs w:val="24"/>
          <w:lang w:val="en-GB"/>
        </w:rPr>
        <w:t>本项目的改造将实现小区沿线地块的一体化建设，加快周边地区的城市化进程。小区的各类环境综合改造，将进一步缩小与新城区建设的差距，进而实现城郊一体化，并加快南昌县乃至南昌市的城市化进程。</w:t>
      </w:r>
      <w:r>
        <w:rPr>
          <w:rFonts w:hint="eastAsia" w:ascii="宋体" w:hAnsi="宋体" w:eastAsia="宋体" w:cs="宋体"/>
          <w:kern w:val="0"/>
          <w:sz w:val="24"/>
          <w:szCs w:val="24"/>
        </w:rPr>
        <w:t>从而有效盘活老旧社区经济环境。</w:t>
      </w:r>
    </w:p>
    <w:p w14:paraId="4BCD39D0">
      <w:pPr>
        <w:spacing w:line="560" w:lineRule="exact"/>
        <w:ind w:firstLine="480"/>
        <w:outlineLvl w:val="1"/>
        <w:rPr>
          <w:rFonts w:asciiTheme="minorEastAsia" w:hAnsiTheme="minorEastAsia" w:cstheme="minorEastAsia"/>
          <w:sz w:val="24"/>
          <w:szCs w:val="24"/>
        </w:rPr>
      </w:pPr>
      <w:bookmarkStart w:id="113" w:name="_Toc28298"/>
      <w:r>
        <w:rPr>
          <w:rFonts w:hint="eastAsia" w:asciiTheme="minorEastAsia" w:hAnsiTheme="minorEastAsia" w:cstheme="minorEastAsia"/>
          <w:sz w:val="24"/>
          <w:szCs w:val="24"/>
        </w:rPr>
        <w:t>2、项目建设投资合规性与项目成熟度</w:t>
      </w:r>
      <w:bookmarkEnd w:id="113"/>
    </w:p>
    <w:p w14:paraId="1E733645">
      <w:pPr>
        <w:spacing w:line="560" w:lineRule="exact"/>
        <w:ind w:firstLine="480"/>
        <w:rPr>
          <w:rFonts w:asciiTheme="minorEastAsia" w:hAnsiTheme="minorEastAsia" w:cstheme="minorEastAsia"/>
          <w:sz w:val="24"/>
          <w:szCs w:val="24"/>
        </w:rPr>
      </w:pPr>
      <w:r>
        <w:rPr>
          <w:rFonts w:hint="eastAsia" w:asciiTheme="minorEastAsia" w:hAnsiTheme="minorEastAsia" w:cstheme="minorEastAsia"/>
          <w:sz w:val="24"/>
          <w:szCs w:val="24"/>
        </w:rPr>
        <w:t>项目已获得南昌县发改委</w:t>
      </w:r>
      <w:r>
        <w:rPr>
          <w:rFonts w:hint="eastAsia" w:asciiTheme="minorEastAsia" w:hAnsiTheme="minorEastAsia"/>
          <w:sz w:val="24"/>
          <w:szCs w:val="24"/>
        </w:rPr>
        <w:t>文件《关于对</w:t>
      </w:r>
      <w:r>
        <w:rPr>
          <w:rFonts w:hint="eastAsia" w:cs="仿宋" w:asciiTheme="minorEastAsia" w:hAnsiTheme="minorEastAsia"/>
          <w:sz w:val="24"/>
          <w:szCs w:val="24"/>
        </w:rPr>
        <w:t>南昌县老旧小区综合改造十二期工程</w:t>
      </w:r>
      <w:r>
        <w:rPr>
          <w:rFonts w:hint="eastAsia" w:asciiTheme="minorEastAsia" w:hAnsiTheme="minorEastAsia"/>
          <w:sz w:val="24"/>
          <w:szCs w:val="24"/>
        </w:rPr>
        <w:t>可行性研究报告的批复》（南发投字[2022]402号）</w:t>
      </w:r>
      <w:r>
        <w:rPr>
          <w:rFonts w:hint="eastAsia" w:asciiTheme="minorEastAsia" w:hAnsiTheme="minorEastAsia" w:cstheme="minorEastAsia"/>
          <w:sz w:val="24"/>
          <w:szCs w:val="24"/>
        </w:rPr>
        <w:t>批复。</w:t>
      </w:r>
    </w:p>
    <w:p w14:paraId="173B5A74">
      <w:pPr>
        <w:spacing w:line="560" w:lineRule="exact"/>
        <w:ind w:firstLine="480"/>
        <w:rPr>
          <w:rFonts w:asciiTheme="minorEastAsia" w:hAnsiTheme="minorEastAsia" w:cstheme="minorEastAsia"/>
          <w:sz w:val="24"/>
          <w:szCs w:val="24"/>
        </w:rPr>
      </w:pPr>
      <w:r>
        <w:rPr>
          <w:rFonts w:hint="eastAsia" w:asciiTheme="minorEastAsia" w:hAnsiTheme="minorEastAsia" w:cstheme="minorEastAsia"/>
          <w:sz w:val="24"/>
          <w:szCs w:val="24"/>
        </w:rPr>
        <w:t>项目建设有期充分的必要性，前期手续完善，项目资金为部分县财政局，部分申请政府专项债券资金。项目成熟度、可靠度较高。</w:t>
      </w:r>
    </w:p>
    <w:p w14:paraId="38B04756">
      <w:pPr>
        <w:pStyle w:val="46"/>
        <w:numPr>
          <w:ilvl w:val="0"/>
          <w:numId w:val="6"/>
        </w:numPr>
        <w:spacing w:after="160" w:line="560" w:lineRule="exact"/>
        <w:outlineLvl w:val="1"/>
        <w:rPr>
          <w:rFonts w:asciiTheme="minorEastAsia" w:hAnsiTheme="minorEastAsia" w:eastAsiaTheme="minorEastAsia" w:cstheme="minorEastAsia"/>
          <w:sz w:val="24"/>
          <w:szCs w:val="24"/>
        </w:rPr>
      </w:pPr>
      <w:bookmarkStart w:id="114" w:name="_Toc16261"/>
      <w:r>
        <w:rPr>
          <w:rFonts w:hint="eastAsia" w:asciiTheme="minorEastAsia" w:hAnsiTheme="minorEastAsia" w:eastAsiaTheme="minorEastAsia" w:cstheme="minorEastAsia"/>
          <w:sz w:val="24"/>
          <w:szCs w:val="24"/>
        </w:rPr>
        <w:t>项目资金来源和可到位性</w:t>
      </w:r>
      <w:bookmarkEnd w:id="114"/>
    </w:p>
    <w:p w14:paraId="42AF6F1C">
      <w:pPr>
        <w:spacing w:before="156" w:line="560" w:lineRule="exact"/>
        <w:ind w:firstLine="477" w:firstLineChars="199"/>
        <w:outlineLvl w:val="0"/>
        <w:rPr>
          <w:rFonts w:asciiTheme="minorEastAsia" w:hAnsiTheme="minorEastAsia" w:cstheme="minorEastAsia"/>
          <w:sz w:val="24"/>
          <w:szCs w:val="24"/>
        </w:rPr>
      </w:pPr>
      <w:bookmarkStart w:id="115" w:name="_Toc17427"/>
      <w:r>
        <w:rPr>
          <w:rFonts w:hint="eastAsia" w:asciiTheme="minorEastAsia" w:hAnsiTheme="minorEastAsia" w:cstheme="minorEastAsia"/>
          <w:sz w:val="24"/>
          <w:szCs w:val="24"/>
        </w:rPr>
        <w:t>本项目资金筹措方式包括自筹资金及政府债券，其中：自筹资金1920万元，占总投资比例18</w:t>
      </w:r>
      <w:r>
        <w:rPr>
          <w:rFonts w:asciiTheme="minorEastAsia" w:hAnsiTheme="minorEastAsia"/>
          <w:sz w:val="24"/>
          <w:szCs w:val="24"/>
        </w:rPr>
        <w:t>%</w:t>
      </w:r>
      <w:r>
        <w:rPr>
          <w:rFonts w:hint="eastAsia" w:asciiTheme="minorEastAsia" w:hAnsiTheme="minorEastAsia" w:cstheme="minorEastAsia"/>
          <w:sz w:val="24"/>
          <w:szCs w:val="24"/>
        </w:rPr>
        <w:t>；本期发行专项债券37</w:t>
      </w:r>
      <w:r>
        <w:rPr>
          <w:rFonts w:hint="eastAsia" w:asciiTheme="minorEastAsia" w:hAnsiTheme="minorEastAsia"/>
          <w:sz w:val="24"/>
          <w:szCs w:val="24"/>
        </w:rPr>
        <w:t>00</w:t>
      </w:r>
      <w:r>
        <w:rPr>
          <w:rFonts w:hint="eastAsia" w:asciiTheme="minorEastAsia" w:hAnsiTheme="minorEastAsia" w:cstheme="minorEastAsia"/>
          <w:sz w:val="24"/>
          <w:szCs w:val="24"/>
        </w:rPr>
        <w:t>万元，期限15年，占总投资的75.50</w:t>
      </w:r>
      <w:r>
        <w:rPr>
          <w:rFonts w:asciiTheme="minorEastAsia" w:hAnsiTheme="minorEastAsia"/>
          <w:sz w:val="24"/>
          <w:szCs w:val="24"/>
        </w:rPr>
        <w:t>%</w:t>
      </w:r>
      <w:r>
        <w:rPr>
          <w:rFonts w:hint="eastAsia" w:asciiTheme="minorEastAsia" w:hAnsiTheme="minorEastAsia" w:cstheme="minorEastAsia"/>
          <w:sz w:val="24"/>
          <w:szCs w:val="24"/>
        </w:rPr>
        <w:t>。</w:t>
      </w:r>
      <w:bookmarkEnd w:id="115"/>
    </w:p>
    <w:p w14:paraId="712FBD5F">
      <w:pPr>
        <w:spacing w:before="156" w:line="560" w:lineRule="exact"/>
        <w:ind w:firstLine="477" w:firstLineChars="199"/>
        <w:outlineLvl w:val="1"/>
        <w:rPr>
          <w:rFonts w:asciiTheme="minorEastAsia" w:hAnsiTheme="minorEastAsia"/>
          <w:sz w:val="24"/>
          <w:szCs w:val="24"/>
        </w:rPr>
      </w:pPr>
      <w:bookmarkStart w:id="116" w:name="_Toc9754"/>
      <w:r>
        <w:rPr>
          <w:rFonts w:hint="eastAsia" w:asciiTheme="minorEastAsia" w:hAnsiTheme="minorEastAsia"/>
          <w:sz w:val="24"/>
          <w:szCs w:val="24"/>
        </w:rPr>
        <w:t>4、项目收入、成本、收益预测合理性</w:t>
      </w:r>
      <w:bookmarkEnd w:id="116"/>
    </w:p>
    <w:p w14:paraId="2DF90931">
      <w:pPr>
        <w:widowControl/>
        <w:spacing w:line="560" w:lineRule="exact"/>
        <w:ind w:firstLine="480" w:firstLineChars="200"/>
        <w:rPr>
          <w:rFonts w:ascii="宋体" w:hAnsi="宋体" w:eastAsia="宋体" w:cs="宋体"/>
          <w:sz w:val="24"/>
          <w:szCs w:val="24"/>
        </w:rPr>
      </w:pPr>
      <w:r>
        <w:rPr>
          <w:rFonts w:hint="eastAsia" w:ascii="宋体" w:hAnsi="宋体" w:eastAsia="宋体" w:cs="宋体"/>
          <w:sz w:val="24"/>
          <w:szCs w:val="24"/>
        </w:rPr>
        <w:t>根据项目可行性研究报告并结合实际情况进行测算，本项目债券存续期内收入包含停车收入、充电桩收入、广告收入，预计产生运营收入25,155.59万元。运营成本包含外购原材料及动力费、工资及福利费、修理费、其他费用等，预计产生运营成本5,396.41万元。</w:t>
      </w:r>
    </w:p>
    <w:p w14:paraId="47E28F43">
      <w:pPr>
        <w:spacing w:line="560" w:lineRule="atLeast"/>
        <w:ind w:firstLine="480"/>
        <w:outlineLvl w:val="1"/>
        <w:rPr>
          <w:rFonts w:ascii="宋体" w:hAnsi="宋体" w:eastAsia="宋体" w:cs="宋体"/>
          <w:sz w:val="24"/>
          <w:szCs w:val="24"/>
        </w:rPr>
      </w:pPr>
      <w:bookmarkStart w:id="117" w:name="_Toc28257"/>
      <w:r>
        <w:rPr>
          <w:rFonts w:hint="eastAsia" w:ascii="宋体" w:hAnsi="宋体" w:eastAsia="宋体" w:cs="宋体"/>
          <w:sz w:val="24"/>
          <w:szCs w:val="24"/>
        </w:rPr>
        <w:t>5、债券资金需求合理性</w:t>
      </w:r>
      <w:bookmarkEnd w:id="117"/>
    </w:p>
    <w:p w14:paraId="2BD4A33C">
      <w:pPr>
        <w:spacing w:before="156" w:line="560" w:lineRule="exact"/>
        <w:ind w:firstLine="477" w:firstLineChars="199"/>
        <w:outlineLvl w:val="0"/>
        <w:rPr>
          <w:rFonts w:ascii="宋体" w:hAnsi="宋体" w:eastAsia="宋体" w:cs="宋体"/>
          <w:sz w:val="24"/>
          <w:szCs w:val="24"/>
        </w:rPr>
      </w:pPr>
      <w:bookmarkStart w:id="118" w:name="_Toc21026"/>
      <w:r>
        <w:rPr>
          <w:rFonts w:hint="eastAsia" w:ascii="宋体" w:hAnsi="宋体" w:eastAsia="宋体" w:cs="宋体"/>
          <w:sz w:val="24"/>
          <w:szCs w:val="24"/>
        </w:rPr>
        <w:t>本项目资本金比例18%，满足国家发改委对固定资产投资项目资本金比例的要求。项目拟申请债券资金本息额共计13,404.00</w:t>
      </w:r>
      <w:r>
        <w:rPr>
          <w:rFonts w:hint="eastAsia" w:ascii="宋体" w:hAnsi="宋体" w:eastAsia="宋体" w:cs="宋体"/>
          <w:color w:val="000000" w:themeColor="text1"/>
          <w:sz w:val="24"/>
          <w:szCs w:val="24"/>
        </w:rPr>
        <w:t>万元</w:t>
      </w:r>
      <w:r>
        <w:rPr>
          <w:rFonts w:hint="eastAsia" w:ascii="宋体" w:hAnsi="宋体" w:eastAsia="宋体" w:cs="宋体"/>
          <w:sz w:val="24"/>
          <w:szCs w:val="24"/>
        </w:rPr>
        <w:t>，项目收益预计为</w:t>
      </w:r>
      <w:r>
        <w:rPr>
          <w:rFonts w:hint="eastAsia" w:ascii="宋体" w:hAnsi="宋体" w:eastAsia="宋体" w:cs="宋体"/>
          <w:color w:val="000000" w:themeColor="text1"/>
          <w:sz w:val="24"/>
          <w:szCs w:val="24"/>
        </w:rPr>
        <w:t>19,759.18万元</w:t>
      </w:r>
      <w:r>
        <w:rPr>
          <w:rFonts w:hint="eastAsia" w:ascii="宋体" w:hAnsi="宋体" w:eastAsia="宋体" w:cs="宋体"/>
          <w:sz w:val="24"/>
          <w:szCs w:val="24"/>
        </w:rPr>
        <w:t>，项目收益对债券本息的覆盖倍数计算为1.47，偿债保障性较高，债券需求额度合理。</w:t>
      </w:r>
      <w:bookmarkEnd w:id="118"/>
    </w:p>
    <w:p w14:paraId="7754B042">
      <w:pPr>
        <w:spacing w:line="560" w:lineRule="atLeast"/>
        <w:ind w:firstLine="480"/>
        <w:outlineLvl w:val="1"/>
        <w:rPr>
          <w:rFonts w:asciiTheme="minorEastAsia" w:hAnsiTheme="minorEastAsia"/>
          <w:sz w:val="24"/>
          <w:szCs w:val="24"/>
        </w:rPr>
      </w:pPr>
      <w:bookmarkStart w:id="119" w:name="_Toc6671"/>
      <w:r>
        <w:rPr>
          <w:rFonts w:hint="eastAsia" w:asciiTheme="minorEastAsia" w:hAnsiTheme="minorEastAsia"/>
          <w:sz w:val="24"/>
          <w:szCs w:val="24"/>
        </w:rPr>
        <w:t>6、项目偿债计划可行性和偿债风险</w:t>
      </w:r>
      <w:bookmarkEnd w:id="119"/>
    </w:p>
    <w:p w14:paraId="1EEF2567">
      <w:pPr>
        <w:spacing w:line="560" w:lineRule="atLeast"/>
        <w:ind w:firstLine="480"/>
        <w:rPr>
          <w:rFonts w:asciiTheme="minorEastAsia" w:hAnsiTheme="minorEastAsia"/>
          <w:sz w:val="24"/>
          <w:szCs w:val="24"/>
        </w:rPr>
      </w:pPr>
      <w:r>
        <w:rPr>
          <w:rFonts w:hint="eastAsia" w:asciiTheme="minorEastAsia" w:hAnsiTheme="minorEastAsia"/>
          <w:sz w:val="24"/>
          <w:szCs w:val="24"/>
        </w:rPr>
        <w:t>本项目2024年本期拟申请发行15年期专项债券370</w:t>
      </w:r>
      <w:r>
        <w:rPr>
          <w:rFonts w:asciiTheme="minorEastAsia" w:hAnsiTheme="minorEastAsia"/>
          <w:sz w:val="24"/>
          <w:szCs w:val="24"/>
        </w:rPr>
        <w:t>0</w:t>
      </w:r>
      <w:r>
        <w:rPr>
          <w:rFonts w:hint="eastAsia" w:asciiTheme="minorEastAsia" w:hAnsiTheme="minorEastAsia"/>
          <w:sz w:val="24"/>
          <w:szCs w:val="24"/>
        </w:rPr>
        <w:t>.00万元；每半年付息一次，到期一次偿还本金。其均以资本金偿还，可保障建设期利息可靠偿还。</w:t>
      </w:r>
    </w:p>
    <w:p w14:paraId="2189836D">
      <w:pPr>
        <w:spacing w:line="560" w:lineRule="atLeast"/>
        <w:ind w:firstLine="480"/>
        <w:rPr>
          <w:rFonts w:asciiTheme="minorEastAsia" w:hAnsiTheme="minorEastAsia"/>
          <w:sz w:val="24"/>
          <w:szCs w:val="24"/>
        </w:rPr>
      </w:pPr>
      <w:r>
        <w:rPr>
          <w:rFonts w:hint="eastAsia" w:asciiTheme="minorEastAsia" w:hAnsiTheme="minorEastAsia"/>
          <w:sz w:val="24"/>
          <w:szCs w:val="24"/>
        </w:rPr>
        <w:t>项目自2025年起可实现收益，可满足后续债券各年利息偿还，结余资金转账管理，用于到期一次还本，偿债计划可行。</w:t>
      </w:r>
    </w:p>
    <w:p w14:paraId="23FC621F">
      <w:pPr>
        <w:spacing w:line="560" w:lineRule="atLeast"/>
        <w:ind w:firstLine="480"/>
        <w:outlineLvl w:val="1"/>
        <w:rPr>
          <w:rFonts w:asciiTheme="minorEastAsia" w:hAnsiTheme="minorEastAsia"/>
          <w:sz w:val="24"/>
          <w:szCs w:val="24"/>
        </w:rPr>
      </w:pPr>
      <w:bookmarkStart w:id="120" w:name="_Toc11755"/>
      <w:r>
        <w:rPr>
          <w:rFonts w:hint="eastAsia" w:asciiTheme="minorEastAsia" w:hAnsiTheme="minorEastAsia"/>
          <w:sz w:val="24"/>
          <w:szCs w:val="24"/>
        </w:rPr>
        <w:t>7、绩效目标合理性</w:t>
      </w:r>
      <w:bookmarkEnd w:id="120"/>
    </w:p>
    <w:p w14:paraId="6218FF16">
      <w:pPr>
        <w:spacing w:line="560" w:lineRule="atLeast"/>
        <w:ind w:firstLine="480"/>
        <w:rPr>
          <w:rFonts w:asciiTheme="minorEastAsia" w:hAnsiTheme="minorEastAsia"/>
          <w:sz w:val="24"/>
          <w:szCs w:val="24"/>
        </w:rPr>
      </w:pPr>
      <w:r>
        <w:rPr>
          <w:rFonts w:hint="eastAsia" w:asciiTheme="minorEastAsia" w:hAnsiTheme="minorEastAsia"/>
          <w:sz w:val="24"/>
          <w:szCs w:val="24"/>
        </w:rPr>
        <w:t>本次事前绩效评估根据财预〔2020〕10号事前绩效评估管理办法相关原则，并结合本项目特点，按照“注重规范</w:t>
      </w:r>
      <w:r>
        <w:rPr>
          <w:rFonts w:asciiTheme="minorEastAsia" w:hAnsiTheme="minorEastAsia"/>
          <w:sz w:val="24"/>
          <w:szCs w:val="24"/>
        </w:rPr>
        <w:t>、突出效果</w:t>
      </w:r>
      <w:r>
        <w:rPr>
          <w:rFonts w:hint="eastAsia" w:asciiTheme="minorEastAsia" w:hAnsiTheme="minorEastAsia"/>
          <w:sz w:val="24"/>
          <w:szCs w:val="24"/>
        </w:rPr>
        <w:t>”的原则设计本项目个性评价指标，确保绩效目标可评、可量、可用于指导项目实施阶段绩效评价。</w:t>
      </w:r>
    </w:p>
    <w:p w14:paraId="77562785">
      <w:pPr>
        <w:pStyle w:val="46"/>
        <w:autoSpaceDE/>
        <w:autoSpaceDN/>
        <w:spacing w:after="160" w:line="560" w:lineRule="atLeast"/>
        <w:ind w:left="420" w:firstLine="0"/>
        <w:jc w:val="both"/>
        <w:outlineLvl w:val="1"/>
        <w:rPr>
          <w:rFonts w:asciiTheme="minorEastAsia" w:hAnsiTheme="minorEastAsia" w:eastAsiaTheme="minorEastAsia" w:cstheme="minorBidi"/>
          <w:kern w:val="2"/>
          <w:sz w:val="24"/>
          <w:szCs w:val="24"/>
          <w:lang w:val="en-US" w:bidi="ar-SA"/>
        </w:rPr>
      </w:pPr>
      <w:bookmarkStart w:id="121" w:name="_Toc8162"/>
      <w:r>
        <w:rPr>
          <w:rFonts w:hint="eastAsia" w:asciiTheme="minorEastAsia" w:hAnsiTheme="minorEastAsia" w:eastAsiaTheme="minorEastAsia" w:cstheme="minorBidi"/>
          <w:kern w:val="2"/>
          <w:sz w:val="24"/>
          <w:szCs w:val="24"/>
          <w:lang w:val="en-US" w:bidi="ar-SA"/>
        </w:rPr>
        <w:t>8、其他需要纳入其他绩效评估的事项。</w:t>
      </w:r>
      <w:bookmarkEnd w:id="121"/>
    </w:p>
    <w:p w14:paraId="238914E9">
      <w:pPr>
        <w:widowControl/>
        <w:spacing w:line="560" w:lineRule="exact"/>
        <w:ind w:firstLine="560" w:firstLineChars="200"/>
        <w:jc w:val="left"/>
        <w:outlineLvl w:val="0"/>
        <w:rPr>
          <w:rFonts w:ascii="黑体" w:hAnsi="黑体" w:eastAsia="黑体" w:cs="黑体"/>
          <w:sz w:val="28"/>
          <w:szCs w:val="28"/>
        </w:rPr>
      </w:pPr>
      <w:bookmarkStart w:id="122" w:name="_Toc12297"/>
      <w:r>
        <w:rPr>
          <w:rFonts w:hint="eastAsia" w:ascii="黑体" w:hAnsi="黑体" w:eastAsia="黑体" w:cs="黑体"/>
          <w:sz w:val="28"/>
          <w:szCs w:val="28"/>
        </w:rPr>
        <w:t>五、项目风险分析</w:t>
      </w:r>
      <w:bookmarkEnd w:id="110"/>
      <w:bookmarkEnd w:id="111"/>
      <w:bookmarkEnd w:id="122"/>
    </w:p>
    <w:p w14:paraId="190D3A3B">
      <w:pPr>
        <w:tabs>
          <w:tab w:val="left" w:pos="-284"/>
        </w:tabs>
        <w:spacing w:line="560" w:lineRule="exact"/>
        <w:ind w:firstLine="480" w:firstLineChars="200"/>
        <w:outlineLvl w:val="1"/>
        <w:rPr>
          <w:rFonts w:asciiTheme="minorEastAsia" w:hAnsiTheme="minorEastAsia"/>
          <w:sz w:val="24"/>
          <w:szCs w:val="24"/>
        </w:rPr>
      </w:pPr>
      <w:bookmarkStart w:id="123" w:name="_Toc16736"/>
      <w:r>
        <w:rPr>
          <w:rFonts w:hint="eastAsia" w:asciiTheme="minorEastAsia" w:hAnsiTheme="minorEastAsia"/>
          <w:sz w:val="24"/>
          <w:szCs w:val="24"/>
        </w:rPr>
        <w:t>1、投资估算风险</w:t>
      </w:r>
      <w:bookmarkEnd w:id="123"/>
    </w:p>
    <w:p w14:paraId="49683892">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诸多项目尚处于规划与可行性研究阶段，项目预算尚不太准确，部分收入或支出可能还未列入进去，因此投资估算风险是存在的。但主要大项目的估算误差不会太大，一些没有估算到的也是投资不多的项目，所以总体差距不会很多，即便出现这样的问题，只要主体项目建成，其他次要项目可以调整或缓建，另外还可以采取措施开源节流，挤出资金合理安排。</w:t>
      </w:r>
    </w:p>
    <w:p w14:paraId="3D756CD4">
      <w:pPr>
        <w:tabs>
          <w:tab w:val="left" w:pos="-284"/>
        </w:tabs>
        <w:spacing w:line="560" w:lineRule="exact"/>
        <w:ind w:firstLine="480" w:firstLineChars="200"/>
        <w:outlineLvl w:val="1"/>
        <w:rPr>
          <w:rFonts w:asciiTheme="minorEastAsia" w:hAnsiTheme="minorEastAsia"/>
          <w:sz w:val="24"/>
          <w:szCs w:val="24"/>
        </w:rPr>
      </w:pPr>
      <w:bookmarkStart w:id="124" w:name="_Toc11303"/>
      <w:r>
        <w:rPr>
          <w:rFonts w:hint="eastAsia" w:asciiTheme="minorEastAsia" w:hAnsiTheme="minorEastAsia"/>
          <w:sz w:val="24"/>
          <w:szCs w:val="24"/>
        </w:rPr>
        <w:t>2、工程风险</w:t>
      </w:r>
      <w:bookmarkEnd w:id="124"/>
    </w:p>
    <w:p w14:paraId="74F1AE5B">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项目在建设过程中要充分考虑此间的一些工程风险。在具体的施工建设中要做到：做好专门的勘测工作；认真贯彻国家有关基建程序，保证工程质量；注意关键工程的进度，关注每一个影响工程进度的关键部位；选择好设计、施工、监理单位，认真把好设备、材料订货关，以确保工程质量和进度。</w:t>
      </w:r>
    </w:p>
    <w:p w14:paraId="7A2BE921">
      <w:pPr>
        <w:tabs>
          <w:tab w:val="left" w:pos="-284"/>
        </w:tabs>
        <w:spacing w:line="560" w:lineRule="exact"/>
        <w:ind w:firstLine="480" w:firstLineChars="200"/>
        <w:outlineLvl w:val="1"/>
        <w:rPr>
          <w:rFonts w:asciiTheme="minorEastAsia" w:hAnsiTheme="minorEastAsia"/>
          <w:sz w:val="24"/>
          <w:szCs w:val="24"/>
        </w:rPr>
      </w:pPr>
      <w:bookmarkStart w:id="125" w:name="_Toc8920"/>
      <w:r>
        <w:rPr>
          <w:rFonts w:hint="eastAsia" w:asciiTheme="minorEastAsia" w:hAnsiTheme="minorEastAsia"/>
          <w:sz w:val="24"/>
          <w:szCs w:val="24"/>
        </w:rPr>
        <w:t>3、融资风险</w:t>
      </w:r>
      <w:bookmarkEnd w:id="125"/>
    </w:p>
    <w:p w14:paraId="4E8B5616">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资金供应不畅是影响一个项目建设及以后经营的重要风险。本次申请债券项目一旦遇到资金供应不畅，将直接影响到项目的建设。因此要积极争取各方的支持，在条件许可的情况下要多渠道进行融资，落实资金来源，为项目整体的建设和经营提供良好的资金保障。</w:t>
      </w:r>
    </w:p>
    <w:p w14:paraId="5AFF9383">
      <w:pPr>
        <w:tabs>
          <w:tab w:val="left" w:pos="-284"/>
        </w:tabs>
        <w:spacing w:line="560" w:lineRule="exact"/>
        <w:ind w:firstLine="480" w:firstLineChars="200"/>
        <w:outlineLvl w:val="1"/>
        <w:rPr>
          <w:rFonts w:asciiTheme="minorEastAsia" w:hAnsiTheme="minorEastAsia"/>
          <w:sz w:val="24"/>
          <w:szCs w:val="24"/>
        </w:rPr>
      </w:pPr>
      <w:bookmarkStart w:id="126" w:name="_Toc8036"/>
      <w:r>
        <w:rPr>
          <w:rFonts w:hint="eastAsia" w:asciiTheme="minorEastAsia" w:hAnsiTheme="minorEastAsia"/>
          <w:sz w:val="24"/>
          <w:szCs w:val="24"/>
        </w:rPr>
        <w:t>4、财务风险</w:t>
      </w:r>
      <w:bookmarkEnd w:id="126"/>
    </w:p>
    <w:p w14:paraId="26A62F54">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防范和降低财务风险具体要做到：提高对项目建设期财务风险的认识，采取措施予以防范和抵御。在项目建设过程中精打细算，并采用招标的方式，控制和降低投资，加强工程建设各方面控制，实行成本细项控制，以降低成本。在项目运营期间要建立全面的质量管理体系，综合应用现代管理手段和方法，使井开区成为管理上的先行者；加强市场意识、产业意识与竞争思维，在市场锤炼中不断调整经营思路、经营方式；推行“绿色管理”，降低管理成本和环境付出；做好项目品牌及形象的打造、维护、传播和经营工作；制定合理的市场营销策略。</w:t>
      </w:r>
    </w:p>
    <w:p w14:paraId="5A079FDB">
      <w:pPr>
        <w:tabs>
          <w:tab w:val="left" w:pos="-284"/>
        </w:tabs>
        <w:spacing w:line="560" w:lineRule="exact"/>
        <w:ind w:firstLine="480" w:firstLineChars="200"/>
        <w:outlineLvl w:val="1"/>
        <w:rPr>
          <w:rFonts w:asciiTheme="minorEastAsia" w:hAnsiTheme="minorEastAsia"/>
          <w:sz w:val="24"/>
          <w:szCs w:val="24"/>
        </w:rPr>
      </w:pPr>
      <w:bookmarkStart w:id="127" w:name="_Toc14037"/>
      <w:r>
        <w:rPr>
          <w:rFonts w:hint="eastAsia" w:asciiTheme="minorEastAsia" w:hAnsiTheme="minorEastAsia"/>
          <w:sz w:val="24"/>
          <w:szCs w:val="24"/>
        </w:rPr>
        <w:t>5、自然风险</w:t>
      </w:r>
      <w:bookmarkEnd w:id="127"/>
    </w:p>
    <w:p w14:paraId="7522BD0C">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本项目在经营期间遇到人力不可抗拒的自然灾害是完全可能的，为了降低此间风险，要根据项目的特点制定的相应的措施，以便使不可抗拒自然灾害的风险降到最低。</w:t>
      </w:r>
    </w:p>
    <w:p w14:paraId="66872441">
      <w:pPr>
        <w:widowControl/>
        <w:spacing w:line="560" w:lineRule="exact"/>
        <w:ind w:firstLine="560" w:firstLineChars="200"/>
        <w:jc w:val="left"/>
        <w:outlineLvl w:val="0"/>
        <w:rPr>
          <w:rFonts w:ascii="黑体" w:hAnsi="黑体" w:eastAsia="黑体" w:cs="黑体"/>
          <w:sz w:val="28"/>
          <w:szCs w:val="28"/>
        </w:rPr>
      </w:pPr>
      <w:bookmarkStart w:id="128" w:name="_Toc36580116"/>
      <w:bookmarkStart w:id="129" w:name="_Toc44517306"/>
      <w:bookmarkStart w:id="130" w:name="_Toc31864"/>
      <w:r>
        <w:rPr>
          <w:rFonts w:hint="eastAsia" w:ascii="黑体" w:hAnsi="黑体" w:eastAsia="黑体" w:cs="黑体"/>
          <w:sz w:val="28"/>
          <w:szCs w:val="28"/>
        </w:rPr>
        <w:t>六、专项债发行方案</w:t>
      </w:r>
      <w:bookmarkEnd w:id="128"/>
      <w:bookmarkEnd w:id="129"/>
      <w:bookmarkEnd w:id="130"/>
      <w:bookmarkStart w:id="131" w:name="_Toc511132341"/>
      <w:bookmarkStart w:id="132" w:name="_Toc521934768"/>
      <w:bookmarkStart w:id="133" w:name="_Toc498551254"/>
    </w:p>
    <w:p w14:paraId="3BDD24A5">
      <w:pPr>
        <w:tabs>
          <w:tab w:val="left" w:pos="-284"/>
        </w:tabs>
        <w:spacing w:line="560" w:lineRule="exact"/>
        <w:ind w:firstLine="480" w:firstLineChars="200"/>
        <w:rPr>
          <w:rFonts w:asciiTheme="minorEastAsia" w:hAnsiTheme="minorEastAsia"/>
          <w:sz w:val="24"/>
          <w:szCs w:val="24"/>
        </w:rPr>
      </w:pPr>
      <w:r>
        <w:rPr>
          <w:rFonts w:asciiTheme="minorEastAsia" w:hAnsiTheme="minorEastAsia"/>
          <w:sz w:val="24"/>
          <w:szCs w:val="24"/>
        </w:rPr>
        <w:t>1、发行主体资格</w:t>
      </w:r>
      <w:bookmarkEnd w:id="131"/>
      <w:bookmarkEnd w:id="132"/>
      <w:bookmarkEnd w:id="133"/>
      <w:bookmarkStart w:id="134" w:name="_Toc511132342"/>
      <w:bookmarkStart w:id="135" w:name="_Toc498551255"/>
      <w:bookmarkStart w:id="136" w:name="_Toc521934769"/>
      <w:r>
        <w:rPr>
          <w:rFonts w:asciiTheme="minorEastAsia" w:hAnsiTheme="minorEastAsia"/>
          <w:sz w:val="24"/>
          <w:szCs w:val="24"/>
        </w:rPr>
        <w:t>:根据</w:t>
      </w:r>
      <w:r>
        <w:rPr>
          <w:rFonts w:hint="eastAsia" w:asciiTheme="minorEastAsia" w:hAnsiTheme="minorEastAsia"/>
          <w:sz w:val="24"/>
          <w:szCs w:val="24"/>
        </w:rPr>
        <w:t>《关于试点发展项目收益与融资自求平衡的地方政府专项债券品种的通知》</w:t>
      </w:r>
      <w:r>
        <w:rPr>
          <w:rFonts w:asciiTheme="minorEastAsia" w:hAnsiTheme="minorEastAsia"/>
          <w:sz w:val="24"/>
          <w:szCs w:val="24"/>
        </w:rPr>
        <w:t>（财预[2017]89号）之规定，地方政府专项债券需由</w:t>
      </w:r>
      <w:r>
        <w:rPr>
          <w:rFonts w:hint="eastAsia" w:asciiTheme="minorEastAsia" w:hAnsiTheme="minorEastAsia"/>
          <w:sz w:val="24"/>
          <w:szCs w:val="24"/>
        </w:rPr>
        <w:t>江西</w:t>
      </w:r>
      <w:r>
        <w:rPr>
          <w:rFonts w:asciiTheme="minorEastAsia" w:hAnsiTheme="minorEastAsia"/>
          <w:sz w:val="24"/>
          <w:szCs w:val="24"/>
        </w:rPr>
        <w:t>省人民政府作为发行主体。本项目的实施机构</w:t>
      </w:r>
      <w:r>
        <w:rPr>
          <w:rFonts w:hint="eastAsia" w:asciiTheme="minorEastAsia" w:hAnsiTheme="minorEastAsia"/>
          <w:sz w:val="24"/>
          <w:szCs w:val="24"/>
        </w:rPr>
        <w:t>为南昌县城市管理和综合执法局，是依法批准设立的机关单位，具备机关单位法人资格，具有相应的民事权利能力和民事行为能力；</w:t>
      </w:r>
      <w:r>
        <w:rPr>
          <w:rFonts w:asciiTheme="minorEastAsia" w:hAnsiTheme="minorEastAsia"/>
          <w:sz w:val="24"/>
          <w:szCs w:val="24"/>
        </w:rPr>
        <w:t>项目业主</w:t>
      </w:r>
      <w:r>
        <w:rPr>
          <w:rFonts w:hint="eastAsia" w:asciiTheme="minorEastAsia" w:hAnsiTheme="minorEastAsia"/>
          <w:sz w:val="24"/>
          <w:szCs w:val="24"/>
        </w:rPr>
        <w:t>为南昌县城市管理和综合执法局</w:t>
      </w:r>
      <w:r>
        <w:rPr>
          <w:rFonts w:asciiTheme="minorEastAsia" w:hAnsiTheme="minorEastAsia"/>
          <w:sz w:val="24"/>
          <w:szCs w:val="24"/>
        </w:rPr>
        <w:t>,</w:t>
      </w:r>
      <w:r>
        <w:rPr>
          <w:rFonts w:hint="eastAsia" w:asciiTheme="minorEastAsia" w:hAnsiTheme="minorEastAsia"/>
          <w:sz w:val="24"/>
          <w:szCs w:val="24"/>
        </w:rPr>
        <w:t>是依法批准设立的机关单位</w:t>
      </w:r>
      <w:r>
        <w:rPr>
          <w:rFonts w:asciiTheme="minorEastAsia" w:hAnsiTheme="minorEastAsia"/>
          <w:sz w:val="24"/>
          <w:szCs w:val="24"/>
        </w:rPr>
        <w:t>，具备</w:t>
      </w:r>
      <w:r>
        <w:rPr>
          <w:rFonts w:hint="eastAsia" w:asciiTheme="minorEastAsia" w:hAnsiTheme="minorEastAsia"/>
          <w:sz w:val="24"/>
          <w:szCs w:val="24"/>
        </w:rPr>
        <w:t>作为项目业主的资格。</w:t>
      </w:r>
    </w:p>
    <w:bookmarkEnd w:id="134"/>
    <w:bookmarkEnd w:id="135"/>
    <w:bookmarkEnd w:id="136"/>
    <w:p w14:paraId="07B325BD">
      <w:pPr>
        <w:tabs>
          <w:tab w:val="left" w:pos="-284"/>
        </w:tabs>
        <w:spacing w:line="560" w:lineRule="exact"/>
        <w:ind w:firstLine="480" w:firstLineChars="200"/>
        <w:rPr>
          <w:rFonts w:asciiTheme="minorEastAsia" w:hAnsiTheme="minorEastAsia"/>
          <w:sz w:val="24"/>
          <w:szCs w:val="24"/>
        </w:rPr>
      </w:pPr>
      <w:bookmarkStart w:id="137" w:name="_Toc511132345"/>
      <w:bookmarkStart w:id="138" w:name="_Toc521934772"/>
      <w:bookmarkStart w:id="139" w:name="_Toc498551258"/>
      <w:r>
        <w:rPr>
          <w:rFonts w:hint="eastAsia" w:asciiTheme="minorEastAsia" w:hAnsiTheme="minorEastAsia"/>
          <w:sz w:val="24"/>
          <w:szCs w:val="24"/>
        </w:rPr>
        <w:t>2、</w:t>
      </w:r>
      <w:r>
        <w:rPr>
          <w:rFonts w:asciiTheme="minorEastAsia" w:hAnsiTheme="minorEastAsia"/>
          <w:sz w:val="24"/>
          <w:szCs w:val="24"/>
        </w:rPr>
        <w:t>发行计划</w:t>
      </w:r>
      <w:bookmarkEnd w:id="137"/>
      <w:bookmarkEnd w:id="138"/>
      <w:bookmarkEnd w:id="139"/>
      <w:r>
        <w:rPr>
          <w:rFonts w:asciiTheme="minorEastAsia" w:hAnsiTheme="minorEastAsia"/>
          <w:sz w:val="24"/>
          <w:szCs w:val="24"/>
        </w:rPr>
        <w:t>:</w:t>
      </w:r>
      <w:r>
        <w:rPr>
          <w:rFonts w:hint="eastAsia" w:cs="仿宋" w:asciiTheme="minorEastAsia" w:hAnsiTheme="minorEastAsia"/>
          <w:sz w:val="24"/>
          <w:szCs w:val="24"/>
        </w:rPr>
        <w:t>南昌县老旧小区综合改造十二期工程</w:t>
      </w:r>
      <w:r>
        <w:rPr>
          <w:rFonts w:hint="eastAsia" w:asciiTheme="minorEastAsia" w:hAnsiTheme="minorEastAsia"/>
          <w:sz w:val="24"/>
          <w:szCs w:val="24"/>
        </w:rPr>
        <w:t>项目本期</w:t>
      </w:r>
      <w:r>
        <w:rPr>
          <w:rFonts w:asciiTheme="minorEastAsia" w:hAnsiTheme="minorEastAsia"/>
          <w:sz w:val="24"/>
          <w:szCs w:val="24"/>
        </w:rPr>
        <w:t>年申请发行</w:t>
      </w:r>
      <w:r>
        <w:rPr>
          <w:rFonts w:hint="eastAsia" w:asciiTheme="minorEastAsia" w:hAnsiTheme="minorEastAsia"/>
          <w:sz w:val="24"/>
          <w:szCs w:val="24"/>
        </w:rPr>
        <w:t>地方政府</w:t>
      </w:r>
      <w:r>
        <w:rPr>
          <w:rFonts w:asciiTheme="minorEastAsia" w:hAnsiTheme="minorEastAsia"/>
          <w:sz w:val="24"/>
          <w:szCs w:val="24"/>
        </w:rPr>
        <w:t>专项债券</w:t>
      </w:r>
      <w:r>
        <w:rPr>
          <w:rFonts w:hint="eastAsia" w:asciiTheme="minorEastAsia" w:hAnsiTheme="minorEastAsia"/>
          <w:sz w:val="24"/>
          <w:szCs w:val="24"/>
        </w:rPr>
        <w:t>0.37</w:t>
      </w:r>
      <w:r>
        <w:rPr>
          <w:rFonts w:asciiTheme="minorEastAsia" w:hAnsiTheme="minorEastAsia"/>
          <w:sz w:val="24"/>
          <w:szCs w:val="24"/>
        </w:rPr>
        <w:t>亿元，</w:t>
      </w:r>
      <w:r>
        <w:rPr>
          <w:rFonts w:hint="eastAsia" w:asciiTheme="minorEastAsia" w:hAnsiTheme="minorEastAsia"/>
          <w:sz w:val="24"/>
          <w:szCs w:val="24"/>
        </w:rPr>
        <w:t>期限15</w:t>
      </w:r>
      <w:r>
        <w:rPr>
          <w:rFonts w:asciiTheme="minorEastAsia" w:hAnsiTheme="minorEastAsia"/>
          <w:sz w:val="24"/>
          <w:szCs w:val="24"/>
        </w:rPr>
        <w:t>年</w:t>
      </w:r>
      <w:r>
        <w:rPr>
          <w:rFonts w:hint="eastAsia" w:asciiTheme="minorEastAsia" w:hAnsiTheme="minorEastAsia"/>
          <w:sz w:val="24"/>
          <w:szCs w:val="24"/>
        </w:rPr>
        <w:t>，</w:t>
      </w:r>
      <w:r>
        <w:rPr>
          <w:rFonts w:asciiTheme="minorEastAsia" w:hAnsiTheme="minorEastAsia"/>
          <w:sz w:val="24"/>
          <w:szCs w:val="24"/>
        </w:rPr>
        <w:t>专项债券融资成本按</w:t>
      </w:r>
      <w:r>
        <w:rPr>
          <w:rFonts w:hint="eastAsia" w:asciiTheme="minorEastAsia" w:hAnsiTheme="minorEastAsia"/>
          <w:sz w:val="24"/>
          <w:szCs w:val="24"/>
        </w:rPr>
        <w:t>4.3</w:t>
      </w:r>
      <w:r>
        <w:rPr>
          <w:rFonts w:asciiTheme="minorEastAsia" w:hAnsiTheme="minorEastAsia"/>
          <w:sz w:val="24"/>
          <w:szCs w:val="24"/>
        </w:rPr>
        <w:t>%估算</w:t>
      </w:r>
      <w:r>
        <w:rPr>
          <w:rFonts w:hint="eastAsia" w:asciiTheme="minorEastAsia" w:hAnsiTheme="minorEastAsia"/>
          <w:sz w:val="24"/>
          <w:szCs w:val="24"/>
        </w:rPr>
        <w:t>。</w:t>
      </w:r>
      <w:bookmarkStart w:id="140" w:name="_Toc521934773"/>
      <w:bookmarkStart w:id="141" w:name="_Toc511132346"/>
      <w:bookmarkStart w:id="142" w:name="_Toc498385748"/>
      <w:bookmarkStart w:id="143" w:name="_Toc498551259"/>
      <w:bookmarkStart w:id="144" w:name="_Toc498385080"/>
    </w:p>
    <w:p w14:paraId="6B773376">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发行场所</w:t>
      </w:r>
      <w:bookmarkEnd w:id="140"/>
      <w:bookmarkEnd w:id="141"/>
      <w:bookmarkEnd w:id="142"/>
      <w:bookmarkEnd w:id="143"/>
      <w:bookmarkEnd w:id="144"/>
      <w:r>
        <w:rPr>
          <w:rFonts w:asciiTheme="minorEastAsia" w:hAnsiTheme="minorEastAsia"/>
          <w:sz w:val="24"/>
          <w:szCs w:val="24"/>
        </w:rPr>
        <w:t>:通过全国银行间债券市场、证券交易所债券市场发行。将来条件具备时也可在银行柜台债券市场发行。</w:t>
      </w:r>
      <w:bookmarkStart w:id="145" w:name="_Toc498551261"/>
      <w:bookmarkStart w:id="146" w:name="_Toc498385082"/>
      <w:bookmarkStart w:id="147" w:name="_Toc521934775"/>
      <w:bookmarkStart w:id="148" w:name="_Toc498385750"/>
      <w:bookmarkStart w:id="149" w:name="_Toc511132348"/>
    </w:p>
    <w:p w14:paraId="306E8755">
      <w:pPr>
        <w:tabs>
          <w:tab w:val="left" w:pos="-284"/>
        </w:tabs>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4、</w:t>
      </w:r>
      <w:bookmarkEnd w:id="145"/>
      <w:bookmarkEnd w:id="146"/>
      <w:bookmarkEnd w:id="147"/>
      <w:bookmarkEnd w:id="148"/>
      <w:bookmarkEnd w:id="149"/>
      <w:r>
        <w:rPr>
          <w:rFonts w:hint="eastAsia" w:asciiTheme="minorEastAsia" w:hAnsiTheme="minorEastAsia"/>
          <w:sz w:val="24"/>
          <w:szCs w:val="24"/>
        </w:rPr>
        <w:t>信息披露：在专项债发行日前5个工作日通过</w:t>
      </w:r>
      <w:bookmarkStart w:id="150" w:name="dttl"/>
      <w:r>
        <w:rPr>
          <w:rFonts w:asciiTheme="minorEastAsia" w:hAnsiTheme="minorEastAsia"/>
          <w:sz w:val="24"/>
          <w:szCs w:val="24"/>
        </w:rPr>
        <w:fldChar w:fldCharType="begin"/>
      </w:r>
      <w:r>
        <w:rPr>
          <w:rFonts w:asciiTheme="minorEastAsia" w:hAnsiTheme="minorEastAsia"/>
          <w:sz w:val="24"/>
          <w:szCs w:val="24"/>
        </w:rPr>
        <w:instrText xml:space="preserve"> HYPERLINK "https://www.sogou.com/link?url=DSOYnZeCC_pzE53eXNhcqFoov_MuMQYQreaVHN88tHY." \t "https://www.sogou.com/_blank"</w:instrText>
      </w:r>
      <w:r>
        <w:rPr>
          <w:rFonts w:asciiTheme="minorEastAsia" w:hAnsiTheme="minorEastAsia"/>
          <w:sz w:val="24"/>
          <w:szCs w:val="24"/>
        </w:rPr>
        <w:fldChar w:fldCharType="separate"/>
      </w:r>
      <w:r>
        <w:rPr>
          <w:rFonts w:asciiTheme="minorEastAsia" w:hAnsiTheme="minorEastAsia"/>
          <w:sz w:val="24"/>
          <w:szCs w:val="24"/>
        </w:rPr>
        <w:t>中国地方政府债券信息公开平台</w:t>
      </w:r>
      <w:bookmarkEnd w:id="150"/>
      <w:r>
        <w:rPr>
          <w:rFonts w:asciiTheme="minorEastAsia" w:hAnsiTheme="minorEastAsia"/>
          <w:sz w:val="24"/>
          <w:szCs w:val="24"/>
        </w:rPr>
        <w:fldChar w:fldCharType="end"/>
      </w:r>
      <w:r>
        <w:rPr>
          <w:rFonts w:hint="eastAsia" w:asciiTheme="minorEastAsia" w:hAnsiTheme="minorEastAsia"/>
          <w:sz w:val="24"/>
          <w:szCs w:val="24"/>
        </w:rPr>
        <w:t>、</w:t>
      </w:r>
      <w:r>
        <w:rPr>
          <w:rFonts w:asciiTheme="minorEastAsia" w:hAnsiTheme="minorEastAsia"/>
          <w:sz w:val="24"/>
          <w:szCs w:val="24"/>
        </w:rPr>
        <w:t>江西</w:t>
      </w:r>
      <w:r>
        <w:rPr>
          <w:rFonts w:hint="eastAsia" w:asciiTheme="minorEastAsia" w:hAnsiTheme="minorEastAsia"/>
          <w:sz w:val="24"/>
          <w:szCs w:val="24"/>
        </w:rPr>
        <w:t>省财政厅官方网站和</w:t>
      </w:r>
      <w:r>
        <w:rPr>
          <w:rFonts w:asciiTheme="minorEastAsia" w:hAnsiTheme="minorEastAsia"/>
          <w:sz w:val="24"/>
          <w:szCs w:val="24"/>
        </w:rPr>
        <w:t>中国债券信息网-中央结算公司官方网站</w:t>
      </w:r>
      <w:r>
        <w:rPr>
          <w:rFonts w:hint="eastAsia" w:asciiTheme="minorEastAsia" w:hAnsiTheme="minorEastAsia"/>
          <w:sz w:val="24"/>
          <w:szCs w:val="24"/>
        </w:rPr>
        <w:t>披露</w:t>
      </w:r>
      <w:r>
        <w:rPr>
          <w:rFonts w:asciiTheme="minorEastAsia" w:hAnsiTheme="minorEastAsia"/>
          <w:sz w:val="24"/>
          <w:szCs w:val="24"/>
        </w:rPr>
        <w:t>（http：//www.chinabond.com.cn/）详细披露</w:t>
      </w:r>
      <w:r>
        <w:rPr>
          <w:rFonts w:hint="eastAsia" w:asciiTheme="minorEastAsia" w:hAnsiTheme="minorEastAsia"/>
          <w:sz w:val="24"/>
          <w:szCs w:val="24"/>
        </w:rPr>
        <w:t>债券发行全套信息披露文件。</w:t>
      </w:r>
    </w:p>
    <w:p w14:paraId="0E98A480">
      <w:pPr>
        <w:tabs>
          <w:tab w:val="left" w:pos="-284"/>
        </w:tabs>
        <w:spacing w:line="560" w:lineRule="exact"/>
        <w:ind w:firstLine="480" w:firstLineChars="200"/>
      </w:pPr>
      <w:r>
        <w:rPr>
          <w:rFonts w:hint="eastAsia" w:asciiTheme="minorEastAsia" w:hAnsiTheme="minorEastAsia"/>
          <w:sz w:val="24"/>
          <w:szCs w:val="24"/>
        </w:rPr>
        <w:t>总体而言，</w:t>
      </w:r>
      <w:r>
        <w:rPr>
          <w:rFonts w:hint="eastAsia" w:cs="仿宋" w:asciiTheme="minorEastAsia" w:hAnsiTheme="minorEastAsia"/>
          <w:sz w:val="24"/>
          <w:szCs w:val="24"/>
        </w:rPr>
        <w:t>南昌县老旧小区综合改造十二期工程</w:t>
      </w:r>
      <w:r>
        <w:rPr>
          <w:rFonts w:hint="eastAsia" w:asciiTheme="minorEastAsia" w:hAnsiTheme="minorEastAsia"/>
          <w:sz w:val="24"/>
          <w:szCs w:val="24"/>
        </w:rPr>
        <w:t>项目通过发行专项债可以降低项目融资成本，是现阶段解决建设资金问题的推荐方案。且基于财政部对地方政府发行项目收益与融资自求平衡专项债券的要求，并根据项目重大建设意义，</w:t>
      </w:r>
      <w:r>
        <w:rPr>
          <w:rFonts w:hint="eastAsia" w:cs="仿宋" w:asciiTheme="minorEastAsia" w:hAnsiTheme="minorEastAsia"/>
          <w:sz w:val="24"/>
          <w:szCs w:val="24"/>
        </w:rPr>
        <w:t>南昌县老旧小区综合改造十二期工程</w:t>
      </w:r>
      <w:r>
        <w:rPr>
          <w:rFonts w:hint="eastAsia" w:asciiTheme="minorEastAsia" w:hAnsiTheme="minorEastAsia"/>
          <w:sz w:val="24"/>
          <w:szCs w:val="24"/>
        </w:rPr>
        <w:t>项目可以通过申请专项债券的方式进行融资以完成资金筹措。</w:t>
      </w:r>
    </w:p>
    <w:sectPr>
      <w:footerReference r:id="rId1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新魏">
    <w:altName w:val="宋体"/>
    <w:panose1 w:val="02010800040101010101"/>
    <w:charset w:val="86"/>
    <w:family w:val="auto"/>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LF_Kai">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08188"/>
    </w:sdtPr>
    <w:sdtContent>
      <w:p w14:paraId="15503336">
        <w:pPr>
          <w:pStyle w:val="18"/>
          <w:ind w:firstLine="360"/>
          <w:jc w:val="center"/>
        </w:pPr>
        <w:r>
          <w:fldChar w:fldCharType="begin"/>
        </w:r>
        <w:r>
          <w:instrText xml:space="preserve"> PAGE   \* MERGEFORMAT </w:instrText>
        </w:r>
        <w:r>
          <w:fldChar w:fldCharType="separate"/>
        </w:r>
        <w:r>
          <w:rPr>
            <w:lang w:val="zh-CN"/>
          </w:rPr>
          <w:t>II</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4726351"/>
    </w:sdtPr>
    <w:sdtContent>
      <w:p w14:paraId="20ADB1D7">
        <w:pPr>
          <w:pStyle w:val="18"/>
          <w:ind w:firstLine="360"/>
          <w:jc w:val="center"/>
        </w:pPr>
        <w:r>
          <w:fldChar w:fldCharType="begin"/>
        </w:r>
        <w:r>
          <w:instrText xml:space="preserve"> PAGE   \* MERGEFORMAT </w:instrText>
        </w:r>
        <w:r>
          <w:fldChar w:fldCharType="separate"/>
        </w:r>
        <w:r>
          <w:t>26</w:t>
        </w:r>
        <w:r>
          <w:fldChar w:fldCharType="end"/>
        </w:r>
      </w:p>
    </w:sdtContent>
  </w:sdt>
  <w:p w14:paraId="428C4ADD">
    <w:pPr>
      <w:pStyle w:val="5"/>
      <w:spacing w:line="14" w:lineRule="auto"/>
      <w:ind w:left="0" w:firstLine="400"/>
      <w:rPr>
        <w:rFonts w:hint="eastAsia"/>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08188"/>
    </w:sdtPr>
    <w:sdtContent>
      <w:p w14:paraId="6D5F653A">
        <w:pPr>
          <w:pStyle w:val="18"/>
          <w:ind w:firstLine="360"/>
          <w:jc w:val="center"/>
        </w:pPr>
        <w:r>
          <w:fldChar w:fldCharType="begin"/>
        </w:r>
        <w:r>
          <w:instrText xml:space="preserve"> PAGE   \* MERGEFORMAT </w:instrText>
        </w:r>
        <w:r>
          <w:fldChar w:fldCharType="separate"/>
        </w:r>
        <w:r>
          <w:rPr>
            <w:lang w:val="zh-CN"/>
          </w:rPr>
          <w:t>23</w:t>
        </w:r>
        <w:r>
          <w:rPr>
            <w:lang w:val="zh-C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37526">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60CB6">
    <w:pPr>
      <w:pStyle w:val="18"/>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18</w:t>
    </w:r>
    <w:r>
      <w:rPr>
        <w:rFonts w:ascii="宋体" w:hAnsi="宋体"/>
        <w:sz w:val="21"/>
        <w:szCs w:val="21"/>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F4B1E">
    <w:pPr>
      <w:pStyle w:val="1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4A8B14">
                          <w:pPr>
                            <w:pStyle w:val="18"/>
                          </w:pPr>
                          <w:r>
                            <w:fldChar w:fldCharType="begin"/>
                          </w:r>
                          <w:r>
                            <w:instrText xml:space="preserve"> PAGE  \* MERGEFORMAT </w:instrText>
                          </w:r>
                          <w:r>
                            <w:fldChar w:fldCharType="separate"/>
                          </w:r>
                          <w:r>
                            <w:t>14</w:t>
                          </w:r>
                          <w: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VBTYMkBAACZAwAADgAAAGRycy9lMm9Eb2MueG1srVPNjtMwEL4j8Q6W&#10;79RpQ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WJ4xYHfvn+7fLj1+XnV/Iy&#10;t6cPUGPWXcC8NLz1Ay7N7Ad0ZtWDijZ/UQ/BODb3fG2uHBIR+dF6tV5XGBIYmy+Izx6ehwjpnfSW&#10;ZKOhEadXmspPHyCNqXNKrub8rTamTNC4vxyImT0scx85ZisN+2EStPftGfX0OPiGOtxzSsx7h33N&#10;OzIbcTb2s3EMUR86pLYsvCC8OSYkUbjlCiPsVBgnVtRN25VX4s97yXr4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tUFNgyQEAAJkDAAAOAAAAAAAAAAEAIAAAAB4BAABkcnMvZTJvRG9j&#10;LnhtbFBLBQYAAAAABgAGAFkBAABZBQAAAAA=&#10;">
              <v:fill on="f" focussize="0,0"/>
              <v:stroke on="f"/>
              <v:imagedata o:title=""/>
              <o:lock v:ext="edit" aspectratio="f"/>
              <v:textbox inset="0mm,0mm,0mm,0mm" style="mso-fit-shape-to-text:t;">
                <w:txbxContent>
                  <w:p w14:paraId="4E4A8B14">
                    <w:pPr>
                      <w:pStyle w:val="1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57712">
    <w:pPr>
      <w:pStyle w:val="5"/>
      <w:spacing w:line="14" w:lineRule="auto"/>
      <w:rPr>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986790">
                          <w:pPr>
                            <w:pStyle w:val="18"/>
                          </w:pPr>
                          <w:r>
                            <w:fldChar w:fldCharType="begin"/>
                          </w:r>
                          <w:r>
                            <w:instrText xml:space="preserve"> PAGE  \* MERGEFORMAT </w:instrText>
                          </w:r>
                          <w:r>
                            <w:fldChar w:fldCharType="separate"/>
                          </w:r>
                          <w:r>
                            <w:t>19</w:t>
                          </w:r>
                          <w:r>
                            <w:fldChar w:fldCharType="end"/>
                          </w:r>
                        </w:p>
                      </w:txbxContent>
                    </wps:txbx>
                    <wps:bodyPr wrap="none" lIns="0" tIns="0" rIns="0" bIns="0" upright="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6gPDMkBAACZAwAADgAAAGRycy9lMm9Eb2MueG1srVPNjtMwEL4j8Q6W&#10;79RpB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WJ4xYHfvn+7fLj1+XnV/Iy&#10;t6cPUGPWXcC8NLz1Ay7N7Ad0ZtWDijZ/UQ/BODb3fG2uHBIR+dF6tV5XGBIYmy+Izx6ehwjpnfSW&#10;ZKOhEadXmspPHyCNqXNKrub8rTamTNC4vxyImT0scx85ZisN+2EStPftGfX0OPiGOtxzSsx7h33N&#10;OzIbcTb2s3EMUR86pLYsvCC8OSYkUbjlCiPsVBgnVtRN25VX4s97yXr4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bqA8MyQEAAJkDAAAOAAAAAAAAAAEAIAAAAB4BAABkcnMvZTJvRG9j&#10;LnhtbFBLBQYAAAAABgAGAFkBAABZBQAAAAA=&#10;">
              <v:fill on="f" focussize="0,0"/>
              <v:stroke on="f"/>
              <v:imagedata o:title=""/>
              <o:lock v:ext="edit" aspectratio="f"/>
              <v:textbox inset="0mm,0mm,0mm,0mm" style="mso-fit-shape-to-text:t;">
                <w:txbxContent>
                  <w:p w14:paraId="0F986790">
                    <w:pPr>
                      <w:pStyle w:val="18"/>
                    </w:pPr>
                    <w:r>
                      <w:fldChar w:fldCharType="begin"/>
                    </w:r>
                    <w:r>
                      <w:instrText xml:space="preserve"> PAGE  \* MERGEFORMAT </w:instrText>
                    </w:r>
                    <w:r>
                      <w:fldChar w:fldCharType="separate"/>
                    </w:r>
                    <w:r>
                      <w:t>19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9EAFE">
    <w:pPr>
      <w:pStyle w:val="1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0C535">
    <w:pPr>
      <w:pStyle w:val="1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8DF8D">
    <w:pPr>
      <w:pStyle w:val="1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0C0E3">
    <w:pPr>
      <w:pStyle w:val="19"/>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6A9E6">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83C14D"/>
    <w:multiLevelType w:val="singleLevel"/>
    <w:tmpl w:val="9783C14D"/>
    <w:lvl w:ilvl="0" w:tentative="0">
      <w:start w:val="2"/>
      <w:numFmt w:val="chineseCounting"/>
      <w:suff w:val="nothing"/>
      <w:lvlText w:val="（%1）"/>
      <w:lvlJc w:val="left"/>
      <w:rPr>
        <w:rFonts w:hint="eastAsia"/>
      </w:rPr>
    </w:lvl>
  </w:abstractNum>
  <w:abstractNum w:abstractNumId="1">
    <w:nsid w:val="F9BF593A"/>
    <w:multiLevelType w:val="singleLevel"/>
    <w:tmpl w:val="F9BF593A"/>
    <w:lvl w:ilvl="0" w:tentative="0">
      <w:start w:val="7"/>
      <w:numFmt w:val="decimal"/>
      <w:suff w:val="nothing"/>
      <w:lvlText w:val="%1、"/>
      <w:lvlJc w:val="left"/>
    </w:lvl>
  </w:abstractNum>
  <w:abstractNum w:abstractNumId="2">
    <w:nsid w:val="00000006"/>
    <w:multiLevelType w:val="multilevel"/>
    <w:tmpl w:val="00000006"/>
    <w:lvl w:ilvl="0" w:tentative="0">
      <w:start w:val="1"/>
      <w:numFmt w:val="japaneseCounting"/>
      <w:pStyle w:val="3"/>
      <w:lvlText w:val="（%1）"/>
      <w:lvlJc w:val="left"/>
      <w:pPr>
        <w:ind w:left="520" w:hanging="420"/>
      </w:pPr>
      <w:rPr>
        <w:rFonts w:hint="default"/>
        <w:lang w:val="en-US"/>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
    <w:nsid w:val="67EB6377"/>
    <w:multiLevelType w:val="multilevel"/>
    <w:tmpl w:val="67EB6377"/>
    <w:lvl w:ilvl="0" w:tentative="0">
      <w:start w:val="1"/>
      <w:numFmt w:val="japaneseCounting"/>
      <w:lvlText w:val="%1、"/>
      <w:lvlJc w:val="left"/>
      <w:pPr>
        <w:ind w:left="1280" w:hanging="72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4">
    <w:nsid w:val="6B0A2F3F"/>
    <w:multiLevelType w:val="multilevel"/>
    <w:tmpl w:val="6B0A2F3F"/>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8DD7F9E"/>
    <w:multiLevelType w:val="multilevel"/>
    <w:tmpl w:val="78DD7F9E"/>
    <w:lvl w:ilvl="0" w:tentative="0">
      <w:start w:val="1"/>
      <w:numFmt w:val="japaneseCounting"/>
      <w:lvlText w:val="（%1）"/>
      <w:lvlJc w:val="left"/>
      <w:pPr>
        <w:ind w:left="1232" w:hanging="750"/>
      </w:pPr>
      <w:rPr>
        <w:rFonts w:hint="default"/>
      </w:rPr>
    </w:lvl>
    <w:lvl w:ilvl="1" w:tentative="0">
      <w:start w:val="1"/>
      <w:numFmt w:val="lowerLetter"/>
      <w:lvlText w:val="%2."/>
      <w:lvlJc w:val="left"/>
      <w:pPr>
        <w:ind w:left="1562" w:hanging="360"/>
      </w:pPr>
    </w:lvl>
    <w:lvl w:ilvl="2" w:tentative="0">
      <w:start w:val="1"/>
      <w:numFmt w:val="lowerRoman"/>
      <w:lvlText w:val="%3."/>
      <w:lvlJc w:val="right"/>
      <w:pPr>
        <w:ind w:left="2282" w:hanging="180"/>
      </w:pPr>
    </w:lvl>
    <w:lvl w:ilvl="3" w:tentative="0">
      <w:start w:val="1"/>
      <w:numFmt w:val="decimal"/>
      <w:lvlText w:val="%4."/>
      <w:lvlJc w:val="left"/>
      <w:pPr>
        <w:ind w:left="3002" w:hanging="360"/>
      </w:pPr>
    </w:lvl>
    <w:lvl w:ilvl="4" w:tentative="0">
      <w:start w:val="1"/>
      <w:numFmt w:val="lowerLetter"/>
      <w:lvlText w:val="%5."/>
      <w:lvlJc w:val="left"/>
      <w:pPr>
        <w:ind w:left="3722" w:hanging="360"/>
      </w:pPr>
    </w:lvl>
    <w:lvl w:ilvl="5" w:tentative="0">
      <w:start w:val="1"/>
      <w:numFmt w:val="lowerRoman"/>
      <w:lvlText w:val="%6."/>
      <w:lvlJc w:val="right"/>
      <w:pPr>
        <w:ind w:left="4442" w:hanging="180"/>
      </w:pPr>
    </w:lvl>
    <w:lvl w:ilvl="6" w:tentative="0">
      <w:start w:val="1"/>
      <w:numFmt w:val="decimal"/>
      <w:lvlText w:val="%7."/>
      <w:lvlJc w:val="left"/>
      <w:pPr>
        <w:ind w:left="5162" w:hanging="360"/>
      </w:pPr>
    </w:lvl>
    <w:lvl w:ilvl="7" w:tentative="0">
      <w:start w:val="1"/>
      <w:numFmt w:val="lowerLetter"/>
      <w:lvlText w:val="%8."/>
      <w:lvlJc w:val="left"/>
      <w:pPr>
        <w:ind w:left="5882" w:hanging="360"/>
      </w:pPr>
    </w:lvl>
    <w:lvl w:ilvl="8" w:tentative="0">
      <w:start w:val="1"/>
      <w:numFmt w:val="lowerRoman"/>
      <w:lvlText w:val="%9."/>
      <w:lvlJc w:val="right"/>
      <w:pPr>
        <w:ind w:left="6602" w:hanging="180"/>
      </w:p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4"/>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jODIyOGE2OTJmOWQzOWY5NmY5NjBkYmVlZDcwNWQifQ=="/>
  </w:docVars>
  <w:rsids>
    <w:rsidRoot w:val="00000000"/>
    <w:rsid w:val="000268DF"/>
    <w:rsid w:val="000731AE"/>
    <w:rsid w:val="000957C8"/>
    <w:rsid w:val="000B20F6"/>
    <w:rsid w:val="000B329A"/>
    <w:rsid w:val="000B77C2"/>
    <w:rsid w:val="000D3026"/>
    <w:rsid w:val="00100A62"/>
    <w:rsid w:val="00141BF5"/>
    <w:rsid w:val="001639D6"/>
    <w:rsid w:val="00193DA2"/>
    <w:rsid w:val="001D09B0"/>
    <w:rsid w:val="001D4575"/>
    <w:rsid w:val="001E3B27"/>
    <w:rsid w:val="001E48BA"/>
    <w:rsid w:val="001F77AC"/>
    <w:rsid w:val="00203DF8"/>
    <w:rsid w:val="00204256"/>
    <w:rsid w:val="0020518D"/>
    <w:rsid w:val="00211840"/>
    <w:rsid w:val="00215FB4"/>
    <w:rsid w:val="00221A34"/>
    <w:rsid w:val="00251844"/>
    <w:rsid w:val="00257E35"/>
    <w:rsid w:val="00266729"/>
    <w:rsid w:val="00276117"/>
    <w:rsid w:val="00282489"/>
    <w:rsid w:val="002D5858"/>
    <w:rsid w:val="002D7E89"/>
    <w:rsid w:val="00323349"/>
    <w:rsid w:val="003259CD"/>
    <w:rsid w:val="00350E66"/>
    <w:rsid w:val="00367134"/>
    <w:rsid w:val="00392890"/>
    <w:rsid w:val="003C39DC"/>
    <w:rsid w:val="003E1031"/>
    <w:rsid w:val="003F3F28"/>
    <w:rsid w:val="00423E55"/>
    <w:rsid w:val="004B1D3D"/>
    <w:rsid w:val="004C02E5"/>
    <w:rsid w:val="004E7922"/>
    <w:rsid w:val="004F073B"/>
    <w:rsid w:val="00511385"/>
    <w:rsid w:val="00514E64"/>
    <w:rsid w:val="00531421"/>
    <w:rsid w:val="00542C17"/>
    <w:rsid w:val="005512B2"/>
    <w:rsid w:val="00554CF0"/>
    <w:rsid w:val="0057253B"/>
    <w:rsid w:val="00590D5F"/>
    <w:rsid w:val="0059720E"/>
    <w:rsid w:val="005A34F1"/>
    <w:rsid w:val="00620928"/>
    <w:rsid w:val="006263C6"/>
    <w:rsid w:val="00665B90"/>
    <w:rsid w:val="006A0560"/>
    <w:rsid w:val="006A39C8"/>
    <w:rsid w:val="006B0798"/>
    <w:rsid w:val="006B79BB"/>
    <w:rsid w:val="006C0699"/>
    <w:rsid w:val="006C1C43"/>
    <w:rsid w:val="006C3DCC"/>
    <w:rsid w:val="006C6AFE"/>
    <w:rsid w:val="006E28EC"/>
    <w:rsid w:val="007064D9"/>
    <w:rsid w:val="00712661"/>
    <w:rsid w:val="007206FB"/>
    <w:rsid w:val="007228F4"/>
    <w:rsid w:val="00734971"/>
    <w:rsid w:val="0074017D"/>
    <w:rsid w:val="00740F6C"/>
    <w:rsid w:val="0074140D"/>
    <w:rsid w:val="007524E4"/>
    <w:rsid w:val="00770D0D"/>
    <w:rsid w:val="00775922"/>
    <w:rsid w:val="00784411"/>
    <w:rsid w:val="007911AD"/>
    <w:rsid w:val="007A3D76"/>
    <w:rsid w:val="007A675D"/>
    <w:rsid w:val="007C6B59"/>
    <w:rsid w:val="00826EF6"/>
    <w:rsid w:val="008422ED"/>
    <w:rsid w:val="008537A8"/>
    <w:rsid w:val="00860F46"/>
    <w:rsid w:val="00872DC9"/>
    <w:rsid w:val="008921E2"/>
    <w:rsid w:val="008C3676"/>
    <w:rsid w:val="008C45AF"/>
    <w:rsid w:val="009101EB"/>
    <w:rsid w:val="00914391"/>
    <w:rsid w:val="0092472F"/>
    <w:rsid w:val="00924CE9"/>
    <w:rsid w:val="00933F6E"/>
    <w:rsid w:val="00974606"/>
    <w:rsid w:val="009F4491"/>
    <w:rsid w:val="009F6BA6"/>
    <w:rsid w:val="00A023C4"/>
    <w:rsid w:val="00A27BA7"/>
    <w:rsid w:val="00A9536B"/>
    <w:rsid w:val="00AC4CDA"/>
    <w:rsid w:val="00AC6845"/>
    <w:rsid w:val="00AD0548"/>
    <w:rsid w:val="00B17E6E"/>
    <w:rsid w:val="00B2140B"/>
    <w:rsid w:val="00B32751"/>
    <w:rsid w:val="00B4324A"/>
    <w:rsid w:val="00B57D4D"/>
    <w:rsid w:val="00B706FA"/>
    <w:rsid w:val="00B708D3"/>
    <w:rsid w:val="00BC4CA0"/>
    <w:rsid w:val="00BF12D7"/>
    <w:rsid w:val="00C0393E"/>
    <w:rsid w:val="00C33D8C"/>
    <w:rsid w:val="00C7542B"/>
    <w:rsid w:val="00C75EA3"/>
    <w:rsid w:val="00C80FC2"/>
    <w:rsid w:val="00CA36F1"/>
    <w:rsid w:val="00CA578A"/>
    <w:rsid w:val="00CA5CAD"/>
    <w:rsid w:val="00D01433"/>
    <w:rsid w:val="00D05681"/>
    <w:rsid w:val="00D72AC6"/>
    <w:rsid w:val="00D777AE"/>
    <w:rsid w:val="00DE3DD5"/>
    <w:rsid w:val="00DE4342"/>
    <w:rsid w:val="00E037C5"/>
    <w:rsid w:val="00E06347"/>
    <w:rsid w:val="00E07FD8"/>
    <w:rsid w:val="00E261E7"/>
    <w:rsid w:val="00E5733F"/>
    <w:rsid w:val="00E90D59"/>
    <w:rsid w:val="00EC4F81"/>
    <w:rsid w:val="00EC6198"/>
    <w:rsid w:val="00F06810"/>
    <w:rsid w:val="00F56916"/>
    <w:rsid w:val="00F72A00"/>
    <w:rsid w:val="00FA2BAB"/>
    <w:rsid w:val="00FA2FA0"/>
    <w:rsid w:val="00FC28DD"/>
    <w:rsid w:val="00FC29B6"/>
    <w:rsid w:val="00FC3E1B"/>
    <w:rsid w:val="00FD2474"/>
    <w:rsid w:val="00FD65D5"/>
    <w:rsid w:val="01782E88"/>
    <w:rsid w:val="02114D07"/>
    <w:rsid w:val="046A2761"/>
    <w:rsid w:val="04F53875"/>
    <w:rsid w:val="079611FE"/>
    <w:rsid w:val="083405A2"/>
    <w:rsid w:val="08A22406"/>
    <w:rsid w:val="0B27420D"/>
    <w:rsid w:val="0B291CB1"/>
    <w:rsid w:val="0BED647F"/>
    <w:rsid w:val="0C921845"/>
    <w:rsid w:val="0DDF04EE"/>
    <w:rsid w:val="0EBB6189"/>
    <w:rsid w:val="0EE56806"/>
    <w:rsid w:val="11CF6638"/>
    <w:rsid w:val="136E4231"/>
    <w:rsid w:val="13C54A95"/>
    <w:rsid w:val="13DC179F"/>
    <w:rsid w:val="13F6294C"/>
    <w:rsid w:val="143A51F5"/>
    <w:rsid w:val="14491326"/>
    <w:rsid w:val="14AC4E4E"/>
    <w:rsid w:val="1539342F"/>
    <w:rsid w:val="1548736A"/>
    <w:rsid w:val="15585505"/>
    <w:rsid w:val="16EB15D7"/>
    <w:rsid w:val="185B351D"/>
    <w:rsid w:val="190E24E6"/>
    <w:rsid w:val="1AA6759F"/>
    <w:rsid w:val="1AFF56FB"/>
    <w:rsid w:val="1C6E62AD"/>
    <w:rsid w:val="1D10148A"/>
    <w:rsid w:val="1DDB6F14"/>
    <w:rsid w:val="1E291ED6"/>
    <w:rsid w:val="1E656377"/>
    <w:rsid w:val="1F1442B8"/>
    <w:rsid w:val="207C576E"/>
    <w:rsid w:val="22DB5B2F"/>
    <w:rsid w:val="23DD3EFB"/>
    <w:rsid w:val="240E783E"/>
    <w:rsid w:val="24DD6225"/>
    <w:rsid w:val="253A0854"/>
    <w:rsid w:val="27F70B1F"/>
    <w:rsid w:val="29E96D83"/>
    <w:rsid w:val="29EB049F"/>
    <w:rsid w:val="2B2B10BE"/>
    <w:rsid w:val="2B9604C2"/>
    <w:rsid w:val="2C0511B0"/>
    <w:rsid w:val="2CDA6625"/>
    <w:rsid w:val="2D3002E1"/>
    <w:rsid w:val="2E614E58"/>
    <w:rsid w:val="2F3C6401"/>
    <w:rsid w:val="325E0FF3"/>
    <w:rsid w:val="33856582"/>
    <w:rsid w:val="33BB7746"/>
    <w:rsid w:val="34DB551B"/>
    <w:rsid w:val="354E6F67"/>
    <w:rsid w:val="36540285"/>
    <w:rsid w:val="36541A28"/>
    <w:rsid w:val="3666560D"/>
    <w:rsid w:val="36841025"/>
    <w:rsid w:val="37017982"/>
    <w:rsid w:val="37A46FA7"/>
    <w:rsid w:val="3B53477B"/>
    <w:rsid w:val="3BD25CB0"/>
    <w:rsid w:val="3CFC5480"/>
    <w:rsid w:val="3DC01CE3"/>
    <w:rsid w:val="3F2F6EAB"/>
    <w:rsid w:val="3F4605D9"/>
    <w:rsid w:val="3FA35609"/>
    <w:rsid w:val="402E00FC"/>
    <w:rsid w:val="40C56A14"/>
    <w:rsid w:val="415A5327"/>
    <w:rsid w:val="4199701E"/>
    <w:rsid w:val="43172246"/>
    <w:rsid w:val="44463A84"/>
    <w:rsid w:val="449F3CD9"/>
    <w:rsid w:val="45A075CF"/>
    <w:rsid w:val="461233D2"/>
    <w:rsid w:val="46C50F57"/>
    <w:rsid w:val="48214B16"/>
    <w:rsid w:val="49322862"/>
    <w:rsid w:val="4BD578FB"/>
    <w:rsid w:val="4BD83EC5"/>
    <w:rsid w:val="4D494B7A"/>
    <w:rsid w:val="4DDE1130"/>
    <w:rsid w:val="4E346E09"/>
    <w:rsid w:val="504B33E7"/>
    <w:rsid w:val="505B7E56"/>
    <w:rsid w:val="51A359DF"/>
    <w:rsid w:val="51FF6894"/>
    <w:rsid w:val="53D70CCD"/>
    <w:rsid w:val="548C3370"/>
    <w:rsid w:val="54DD2753"/>
    <w:rsid w:val="569B68D1"/>
    <w:rsid w:val="56C271CD"/>
    <w:rsid w:val="57164265"/>
    <w:rsid w:val="593259F2"/>
    <w:rsid w:val="5AAF0C33"/>
    <w:rsid w:val="5AEC63EC"/>
    <w:rsid w:val="5BA80BCA"/>
    <w:rsid w:val="5BBF7089"/>
    <w:rsid w:val="5BDC4BD1"/>
    <w:rsid w:val="5CC309AB"/>
    <w:rsid w:val="5CE45ABD"/>
    <w:rsid w:val="5D894F62"/>
    <w:rsid w:val="5EB538E0"/>
    <w:rsid w:val="5EEF6575"/>
    <w:rsid w:val="5F8D472C"/>
    <w:rsid w:val="5FAA7F31"/>
    <w:rsid w:val="603A23FD"/>
    <w:rsid w:val="609476F0"/>
    <w:rsid w:val="60ED5DC3"/>
    <w:rsid w:val="62F97B0E"/>
    <w:rsid w:val="63C03D9A"/>
    <w:rsid w:val="648F1CFA"/>
    <w:rsid w:val="64D8544F"/>
    <w:rsid w:val="67B36D05"/>
    <w:rsid w:val="67ED1853"/>
    <w:rsid w:val="699E52CA"/>
    <w:rsid w:val="69AE6809"/>
    <w:rsid w:val="69EC6451"/>
    <w:rsid w:val="69EE6889"/>
    <w:rsid w:val="6A13192C"/>
    <w:rsid w:val="6A58766C"/>
    <w:rsid w:val="6A5E1EB5"/>
    <w:rsid w:val="6B7D5C67"/>
    <w:rsid w:val="6BA50313"/>
    <w:rsid w:val="6C5C6499"/>
    <w:rsid w:val="6C7C1730"/>
    <w:rsid w:val="6CD176D0"/>
    <w:rsid w:val="6D050B04"/>
    <w:rsid w:val="6DB155E9"/>
    <w:rsid w:val="6F0D4F1C"/>
    <w:rsid w:val="6FBB39A3"/>
    <w:rsid w:val="70452B3A"/>
    <w:rsid w:val="704D6F35"/>
    <w:rsid w:val="712734E7"/>
    <w:rsid w:val="71DD4DB5"/>
    <w:rsid w:val="72241A64"/>
    <w:rsid w:val="73723917"/>
    <w:rsid w:val="73F05180"/>
    <w:rsid w:val="74BA3C6E"/>
    <w:rsid w:val="75964D68"/>
    <w:rsid w:val="75F419BD"/>
    <w:rsid w:val="76DF5548"/>
    <w:rsid w:val="7ADA6D64"/>
    <w:rsid w:val="7CC529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9"/>
    <w:uiPriority w:val="0"/>
    <w:pPr>
      <w:keepNext/>
      <w:keepLines/>
      <w:pageBreakBefore/>
      <w:spacing w:before="240" w:after="240" w:line="360" w:lineRule="auto"/>
      <w:ind w:left="1701" w:hanging="1701"/>
      <w:jc w:val="center"/>
      <w:outlineLvl w:val="0"/>
    </w:pPr>
    <w:rPr>
      <w:rFonts w:ascii="Times New Roman" w:hAnsi="Times New Roman" w:eastAsia="宋体" w:cs="Times New Roman"/>
      <w:b/>
      <w:bCs/>
      <w:kern w:val="44"/>
      <w:sz w:val="36"/>
      <w:szCs w:val="36"/>
    </w:rPr>
  </w:style>
  <w:style w:type="paragraph" w:styleId="3">
    <w:name w:val="heading 2"/>
    <w:basedOn w:val="4"/>
    <w:next w:val="5"/>
    <w:link w:val="40"/>
    <w:uiPriority w:val="0"/>
    <w:pPr>
      <w:numPr>
        <w:ilvl w:val="0"/>
        <w:numId w:val="1"/>
      </w:numPr>
      <w:spacing w:beforeLines="0" w:afterLines="0" w:line="600" w:lineRule="exact"/>
      <w:ind w:firstLine="0" w:firstLineChars="0"/>
      <w:outlineLvl w:val="1"/>
    </w:pPr>
    <w:rPr>
      <w:rFonts w:eastAsia="楷体"/>
      <w:kern w:val="2"/>
      <w:szCs w:val="22"/>
    </w:rPr>
  </w:style>
  <w:style w:type="paragraph" w:styleId="4">
    <w:name w:val="heading 3"/>
    <w:basedOn w:val="1"/>
    <w:next w:val="1"/>
    <w:link w:val="41"/>
    <w:uiPriority w:val="0"/>
    <w:pPr>
      <w:keepNext/>
      <w:keepLines/>
      <w:adjustRightInd w:val="0"/>
      <w:snapToGrid w:val="0"/>
      <w:spacing w:beforeLines="100" w:afterLines="50" w:line="360" w:lineRule="auto"/>
      <w:ind w:firstLine="200" w:firstLineChars="200"/>
      <w:jc w:val="left"/>
      <w:outlineLvl w:val="2"/>
    </w:pPr>
    <w:rPr>
      <w:rFonts w:ascii="华文楷体" w:hAnsi="华文楷体" w:eastAsia="仿宋_GB2312" w:cs="Times New Roman"/>
      <w:b/>
      <w:kern w:val="0"/>
      <w:sz w:val="32"/>
      <w:szCs w:val="20"/>
      <w:lang w:val="en-GB"/>
    </w:rPr>
  </w:style>
  <w:style w:type="paragraph" w:styleId="6">
    <w:name w:val="heading 4"/>
    <w:basedOn w:val="1"/>
    <w:next w:val="1"/>
    <w:link w:val="85"/>
    <w:semiHidden/>
    <w:unhideWhenUsed/>
    <w:qFormat/>
    <w:uiPriority w:val="0"/>
    <w:pPr>
      <w:tabs>
        <w:tab w:val="left" w:pos="1221"/>
      </w:tabs>
      <w:spacing w:before="160" w:after="160" w:line="360" w:lineRule="auto"/>
      <w:ind w:left="1221" w:hanging="681"/>
      <w:outlineLvl w:val="3"/>
    </w:pPr>
    <w:rPr>
      <w:rFonts w:ascii="Arial" w:hAnsi="Arial" w:eastAsia="宋体" w:cs="Times New Roman"/>
      <w:b/>
      <w:bCs/>
      <w:sz w:val="28"/>
      <w:szCs w:val="28"/>
    </w:rPr>
  </w:style>
  <w:style w:type="character" w:default="1" w:styleId="30">
    <w:name w:val="Default Paragraph Font"/>
    <w:uiPriority w:val="0"/>
  </w:style>
  <w:style w:type="table" w:default="1" w:styleId="28">
    <w:name w:val="Normal Table"/>
    <w:unhideWhenUsed/>
    <w:qFormat/>
    <w:uiPriority w:val="99"/>
    <w:tblPr>
      <w:tblCellMar>
        <w:top w:w="0" w:type="dxa"/>
        <w:left w:w="108" w:type="dxa"/>
        <w:bottom w:w="0" w:type="dxa"/>
        <w:right w:w="108" w:type="dxa"/>
      </w:tblCellMar>
    </w:tblPr>
  </w:style>
  <w:style w:type="paragraph" w:styleId="5">
    <w:name w:val="Body Text"/>
    <w:basedOn w:val="1"/>
    <w:link w:val="84"/>
    <w:uiPriority w:val="0"/>
    <w:pPr>
      <w:spacing w:after="120"/>
    </w:pPr>
  </w:style>
  <w:style w:type="paragraph" w:styleId="7">
    <w:name w:val="List Number"/>
    <w:basedOn w:val="1"/>
    <w:next w:val="1"/>
    <w:uiPriority w:val="0"/>
    <w:pPr>
      <w:keepNext/>
      <w:tabs>
        <w:tab w:val="left" w:pos="2880"/>
        <w:tab w:val="left" w:pos="3600"/>
        <w:tab w:val="left" w:pos="3780"/>
      </w:tabs>
      <w:spacing w:line="360" w:lineRule="auto"/>
      <w:ind w:left="3314" w:hanging="794"/>
      <w:jc w:val="left"/>
    </w:pPr>
    <w:rPr>
      <w:rFonts w:ascii="黑体" w:hAnsi="Times New Roman" w:eastAsia="黑体" w:cs="Times New Roman"/>
      <w:b/>
      <w:bCs/>
      <w:color w:val="000000"/>
      <w:sz w:val="28"/>
      <w:szCs w:val="28"/>
    </w:rPr>
  </w:style>
  <w:style w:type="paragraph" w:styleId="8">
    <w:name w:val="Normal Indent"/>
    <w:basedOn w:val="1"/>
    <w:link w:val="121"/>
    <w:qFormat/>
    <w:uiPriority w:val="0"/>
    <w:pPr>
      <w:spacing w:line="360" w:lineRule="auto"/>
      <w:ind w:firstLine="200" w:firstLineChars="200"/>
    </w:pPr>
    <w:rPr>
      <w:rFonts w:ascii="Times New Roman" w:hAnsi="Times New Roman" w:eastAsia="宋体" w:cs="Arial"/>
      <w:kern w:val="0"/>
      <w:sz w:val="24"/>
      <w:szCs w:val="24"/>
      <w:lang w:val="zh-CN"/>
    </w:rPr>
  </w:style>
  <w:style w:type="paragraph" w:styleId="9">
    <w:name w:val="Document Map"/>
    <w:basedOn w:val="1"/>
    <w:link w:val="112"/>
    <w:uiPriority w:val="0"/>
    <w:rPr>
      <w:rFonts w:ascii="宋体" w:eastAsia="宋体"/>
      <w:sz w:val="18"/>
      <w:szCs w:val="18"/>
    </w:rPr>
  </w:style>
  <w:style w:type="paragraph" w:styleId="10">
    <w:name w:val="toa heading"/>
    <w:basedOn w:val="1"/>
    <w:next w:val="1"/>
    <w:uiPriority w:val="0"/>
    <w:pPr>
      <w:spacing w:before="120"/>
    </w:pPr>
    <w:rPr>
      <w:rFonts w:ascii="Cambria" w:hAnsi="Cambria" w:cs="Times New Roman"/>
      <w:sz w:val="24"/>
    </w:rPr>
  </w:style>
  <w:style w:type="paragraph" w:styleId="11">
    <w:name w:val="annotation text"/>
    <w:basedOn w:val="1"/>
    <w:link w:val="86"/>
    <w:uiPriority w:val="0"/>
    <w:pPr>
      <w:jc w:val="left"/>
    </w:pPr>
    <w:rPr>
      <w:rFonts w:ascii="Times New Roman" w:hAnsi="Times New Roman" w:eastAsia="仿宋" w:cs="Times New Roman"/>
      <w:sz w:val="28"/>
      <w:szCs w:val="28"/>
    </w:rPr>
  </w:style>
  <w:style w:type="paragraph" w:styleId="12">
    <w:name w:val="Body Text Indent"/>
    <w:basedOn w:val="1"/>
    <w:link w:val="53"/>
    <w:qFormat/>
    <w:uiPriority w:val="99"/>
    <w:pPr>
      <w:spacing w:before="156"/>
      <w:ind w:firstLine="560"/>
    </w:pPr>
    <w:rPr>
      <w:rFonts w:ascii="Times New Roman" w:hAnsi="Times New Roman" w:eastAsia="宋体" w:cs="Times New Roman"/>
      <w:kern w:val="0"/>
      <w:sz w:val="20"/>
      <w:szCs w:val="20"/>
    </w:rPr>
  </w:style>
  <w:style w:type="paragraph" w:styleId="13">
    <w:name w:val="toc 3"/>
    <w:basedOn w:val="1"/>
    <w:next w:val="1"/>
    <w:uiPriority w:val="0"/>
    <w:pPr>
      <w:spacing w:after="160" w:line="560" w:lineRule="exact"/>
      <w:ind w:left="840" w:leftChars="400" w:firstLine="200" w:firstLineChars="200"/>
    </w:pPr>
    <w:rPr>
      <w:sz w:val="24"/>
    </w:rPr>
  </w:style>
  <w:style w:type="paragraph" w:styleId="14">
    <w:name w:val="Plain Text"/>
    <w:basedOn w:val="1"/>
    <w:uiPriority w:val="0"/>
    <w:rPr>
      <w:rFonts w:ascii="宋体" w:hAnsi="Calibri" w:eastAsia="宋体" w:cs="Courier New"/>
      <w:szCs w:val="21"/>
      <w:lang w:bidi="ar-SA"/>
    </w:rPr>
  </w:style>
  <w:style w:type="paragraph" w:styleId="15">
    <w:name w:val="Date"/>
    <w:basedOn w:val="1"/>
    <w:next w:val="1"/>
    <w:link w:val="110"/>
    <w:uiPriority w:val="0"/>
    <w:pPr>
      <w:spacing w:after="0" w:line="240" w:lineRule="auto"/>
      <w:ind w:left="100" w:leftChars="2500" w:firstLine="0" w:firstLineChars="0"/>
    </w:pPr>
    <w:rPr>
      <w:rFonts w:ascii="Calibri" w:hAnsi="Calibri" w:eastAsia="宋体" w:cs="Times New Roman"/>
      <w:sz w:val="21"/>
    </w:rPr>
  </w:style>
  <w:style w:type="paragraph" w:styleId="16">
    <w:name w:val="Body Text Indent 2"/>
    <w:basedOn w:val="1"/>
    <w:link w:val="54"/>
    <w:unhideWhenUsed/>
    <w:qFormat/>
    <w:uiPriority w:val="99"/>
    <w:pPr>
      <w:spacing w:after="120" w:line="480" w:lineRule="auto"/>
      <w:ind w:left="420" w:leftChars="200"/>
    </w:pPr>
    <w:rPr>
      <w:rFonts w:ascii="Times New Roman" w:hAnsi="Times New Roman" w:eastAsia="宋体" w:cs="Times New Roman"/>
      <w:szCs w:val="24"/>
    </w:rPr>
  </w:style>
  <w:style w:type="paragraph" w:styleId="17">
    <w:name w:val="Balloon Text"/>
    <w:basedOn w:val="1"/>
    <w:link w:val="83"/>
    <w:uiPriority w:val="0"/>
    <w:rPr>
      <w:sz w:val="18"/>
      <w:szCs w:val="18"/>
    </w:rPr>
  </w:style>
  <w:style w:type="paragraph" w:styleId="18">
    <w:name w:val="footer"/>
    <w:basedOn w:val="1"/>
    <w:link w:val="82"/>
    <w:uiPriority w:val="0"/>
    <w:pPr>
      <w:tabs>
        <w:tab w:val="center" w:pos="4153"/>
        <w:tab w:val="right" w:pos="8306"/>
      </w:tabs>
      <w:snapToGrid w:val="0"/>
      <w:jc w:val="left"/>
    </w:pPr>
    <w:rPr>
      <w:sz w:val="18"/>
      <w:szCs w:val="18"/>
    </w:rPr>
  </w:style>
  <w:style w:type="paragraph" w:styleId="19">
    <w:name w:val="header"/>
    <w:basedOn w:val="1"/>
    <w:link w:val="81"/>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iPriority w:val="0"/>
  </w:style>
  <w:style w:type="paragraph" w:styleId="21">
    <w:name w:val="Subtitle"/>
    <w:basedOn w:val="1"/>
    <w:next w:val="1"/>
    <w:link w:val="61"/>
    <w:qFormat/>
    <w:uiPriority w:val="0"/>
    <w:pPr>
      <w:adjustRightInd w:val="0"/>
      <w:snapToGrid w:val="0"/>
      <w:jc w:val="center"/>
    </w:pPr>
    <w:rPr>
      <w:rFonts w:ascii="Calibri Light" w:hAnsi="Calibri Light" w:eastAsia="宋体" w:cs="Times New Roman"/>
      <w:b/>
      <w:bCs/>
      <w:kern w:val="28"/>
      <w:sz w:val="24"/>
      <w:szCs w:val="32"/>
    </w:rPr>
  </w:style>
  <w:style w:type="paragraph" w:styleId="22">
    <w:name w:val="toc 2"/>
    <w:basedOn w:val="1"/>
    <w:next w:val="1"/>
    <w:uiPriority w:val="0"/>
    <w:pPr>
      <w:ind w:left="420" w:leftChars="200"/>
    </w:pPr>
  </w:style>
  <w:style w:type="paragraph" w:styleId="23">
    <w:name w:val="Normal (Web)"/>
    <w:basedOn w:val="1"/>
    <w:uiPriority w:val="0"/>
    <w:pPr>
      <w:widowControl/>
      <w:spacing w:before="100" w:beforeAutospacing="1" w:after="100" w:afterAutospacing="1" w:line="305" w:lineRule="atLeast"/>
      <w:jc w:val="left"/>
    </w:pPr>
    <w:rPr>
      <w:rFonts w:ascii="宋体" w:hAnsi="宋体" w:eastAsia="宋体" w:cs="宋体"/>
      <w:kern w:val="0"/>
      <w:sz w:val="22"/>
    </w:rPr>
  </w:style>
  <w:style w:type="paragraph" w:styleId="24">
    <w:name w:val="Title"/>
    <w:basedOn w:val="1"/>
    <w:next w:val="1"/>
    <w:link w:val="62"/>
    <w:qFormat/>
    <w:uiPriority w:val="0"/>
    <w:pPr>
      <w:adjustRightInd w:val="0"/>
      <w:snapToGrid w:val="0"/>
      <w:spacing w:line="360" w:lineRule="auto"/>
      <w:jc w:val="center"/>
    </w:pPr>
    <w:rPr>
      <w:rFonts w:ascii="Calibri Light" w:hAnsi="Calibri Light" w:eastAsia="宋体" w:cs="Times New Roman"/>
      <w:bCs/>
      <w:kern w:val="0"/>
      <w:sz w:val="24"/>
      <w:szCs w:val="32"/>
    </w:rPr>
  </w:style>
  <w:style w:type="paragraph" w:styleId="25">
    <w:name w:val="annotation subject"/>
    <w:basedOn w:val="11"/>
    <w:next w:val="11"/>
    <w:link w:val="94"/>
    <w:uiPriority w:val="0"/>
    <w:rPr>
      <w:rFonts w:eastAsia="宋体"/>
      <w:b/>
      <w:bCs/>
      <w:sz w:val="21"/>
      <w:szCs w:val="20"/>
    </w:rPr>
  </w:style>
  <w:style w:type="paragraph" w:styleId="26">
    <w:name w:val="Body Text First Indent"/>
    <w:basedOn w:val="5"/>
    <w:link w:val="44"/>
    <w:uiPriority w:val="0"/>
    <w:pPr>
      <w:ind w:firstLine="420" w:firstLineChars="100"/>
    </w:pPr>
    <w:rPr>
      <w:rFonts w:ascii="Times New Roman" w:hAnsi="Times New Roman" w:eastAsia="宋体" w:cs="Times New Roman"/>
    </w:rPr>
  </w:style>
  <w:style w:type="paragraph" w:styleId="27">
    <w:name w:val="Body Text First Indent 2"/>
    <w:basedOn w:val="1"/>
    <w:qFormat/>
    <w:uiPriority w:val="0"/>
    <w:pPr>
      <w:widowControl w:val="0"/>
      <w:ind w:left="420" w:leftChars="200" w:firstLine="420" w:firstLineChars="200"/>
      <w:jc w:val="both"/>
    </w:pPr>
    <w:rPr>
      <w:rFonts w:ascii="Times New Roman" w:hAnsi="Times New Roman" w:eastAsia="LF_Kai" w:cs="Arial"/>
      <w:kern w:val="2"/>
      <w:sz w:val="21"/>
      <w:szCs w:val="24"/>
    </w:rPr>
  </w:style>
  <w:style w:type="table" w:styleId="29">
    <w:name w:val="Table Grid"/>
    <w:basedOn w:val="2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page number"/>
    <w:uiPriority w:val="0"/>
    <w:rPr>
      <w:rFonts w:cs="Times New Roman"/>
    </w:rPr>
  </w:style>
  <w:style w:type="character" w:styleId="32">
    <w:name w:val="FollowedHyperlink"/>
    <w:basedOn w:val="30"/>
    <w:uiPriority w:val="0"/>
    <w:rPr>
      <w:rFonts w:ascii="Times New Roman" w:hAnsi="Times New Roman" w:eastAsia="宋体" w:cs="Times New Roman"/>
      <w:color w:val="800080"/>
      <w:u w:val="single"/>
    </w:rPr>
  </w:style>
  <w:style w:type="character" w:styleId="33">
    <w:name w:val="Hyperlink"/>
    <w:basedOn w:val="30"/>
    <w:uiPriority w:val="0"/>
    <w:rPr>
      <w:color w:val="0000FF"/>
      <w:u w:val="single"/>
    </w:rPr>
  </w:style>
  <w:style w:type="character" w:styleId="34">
    <w:name w:val="annotation reference"/>
    <w:basedOn w:val="30"/>
    <w:uiPriority w:val="0"/>
    <w:rPr>
      <w:sz w:val="21"/>
      <w:szCs w:val="21"/>
    </w:rPr>
  </w:style>
  <w:style w:type="paragraph" w:customStyle="1" w:styleId="35">
    <w:name w:val="Default"/>
    <w:qFormat/>
    <w:uiPriority w:val="0"/>
    <w:pPr>
      <w:widowControl w:val="0"/>
      <w:autoSpaceDE w:val="0"/>
      <w:autoSpaceDN w:val="0"/>
      <w:adjustRightInd w:val="0"/>
    </w:pPr>
    <w:rPr>
      <w:rFonts w:ascii="华文新魏" w:hAnsi="华文新魏" w:eastAsia="宋体" w:cs="华文新魏"/>
      <w:color w:val="000000"/>
      <w:sz w:val="24"/>
      <w:szCs w:val="24"/>
      <w:lang w:val="en-US" w:eastAsia="zh-CN" w:bidi="ar-SA"/>
    </w:rPr>
  </w:style>
  <w:style w:type="paragraph" w:customStyle="1" w:styleId="36">
    <w:name w:val="内容"/>
    <w:basedOn w:val="1"/>
    <w:next w:val="37"/>
    <w:qFormat/>
    <w:uiPriority w:val="0"/>
    <w:pPr>
      <w:spacing w:line="500" w:lineRule="exact"/>
      <w:ind w:left="200" w:leftChars="200" w:firstLine="200" w:firstLineChars="200"/>
      <w:jc w:val="left"/>
    </w:pPr>
    <w:rPr>
      <w:rFonts w:ascii="宋体" w:hAnsi="宋体"/>
      <w:color w:val="000000"/>
      <w:sz w:val="28"/>
      <w:szCs w:val="24"/>
    </w:rPr>
  </w:style>
  <w:style w:type="paragraph" w:customStyle="1" w:styleId="37">
    <w:name w:val="目录 811"/>
    <w:next w:val="1"/>
    <w:qFormat/>
    <w:uiPriority w:val="0"/>
    <w:pPr>
      <w:wordWrap w:val="0"/>
      <w:ind w:left="2550"/>
      <w:jc w:val="both"/>
    </w:pPr>
    <w:rPr>
      <w:rFonts w:ascii="Times New Roman" w:hAnsi="Times New Roman" w:eastAsia="宋体" w:cs="Times New Roman"/>
      <w:sz w:val="21"/>
      <w:lang w:val="en-US" w:eastAsia="zh-CN" w:bidi="ar-SA"/>
    </w:rPr>
  </w:style>
  <w:style w:type="character" w:customStyle="1" w:styleId="38">
    <w:name w:val="页眉 Char"/>
    <w:basedOn w:val="30"/>
    <w:link w:val="19"/>
    <w:qFormat/>
    <w:uiPriority w:val="99"/>
    <w:rPr>
      <w:sz w:val="18"/>
      <w:szCs w:val="18"/>
    </w:rPr>
  </w:style>
  <w:style w:type="character" w:customStyle="1" w:styleId="39">
    <w:name w:val="页脚 Char"/>
    <w:basedOn w:val="30"/>
    <w:link w:val="18"/>
    <w:qFormat/>
    <w:uiPriority w:val="99"/>
    <w:rPr>
      <w:sz w:val="18"/>
      <w:szCs w:val="18"/>
    </w:rPr>
  </w:style>
  <w:style w:type="character" w:customStyle="1" w:styleId="40">
    <w:name w:val="标题 2 Char"/>
    <w:basedOn w:val="41"/>
    <w:link w:val="3"/>
    <w:qFormat/>
    <w:uiPriority w:val="0"/>
    <w:rPr>
      <w:rFonts w:ascii="华文楷体" w:hAnsi="华文楷体" w:eastAsia="楷体" w:cs="Times New Roman"/>
      <w:sz w:val="32"/>
      <w:lang w:val="en-GB"/>
    </w:rPr>
  </w:style>
  <w:style w:type="character" w:customStyle="1" w:styleId="41">
    <w:name w:val="标题 3 Char"/>
    <w:basedOn w:val="30"/>
    <w:link w:val="4"/>
    <w:qFormat/>
    <w:uiPriority w:val="0"/>
    <w:rPr>
      <w:rFonts w:ascii="华文楷体" w:hAnsi="华文楷体" w:eastAsia="仿宋_GB2312" w:cs="Times New Roman"/>
      <w:b/>
      <w:kern w:val="0"/>
      <w:sz w:val="32"/>
      <w:szCs w:val="20"/>
      <w:lang w:val="en-GB"/>
    </w:rPr>
  </w:style>
  <w:style w:type="character" w:customStyle="1" w:styleId="42">
    <w:name w:val="正文文本 Char"/>
    <w:basedOn w:val="30"/>
    <w:link w:val="5"/>
    <w:qFormat/>
    <w:uiPriority w:val="99"/>
  </w:style>
  <w:style w:type="character" w:customStyle="1" w:styleId="43">
    <w:name w:val="批注框文本 Char"/>
    <w:basedOn w:val="30"/>
    <w:link w:val="17"/>
    <w:semiHidden/>
    <w:qFormat/>
    <w:uiPriority w:val="99"/>
    <w:rPr>
      <w:sz w:val="18"/>
      <w:szCs w:val="18"/>
    </w:rPr>
  </w:style>
  <w:style w:type="character" w:customStyle="1" w:styleId="44">
    <w:name w:val="正文首行缩进 Char"/>
    <w:basedOn w:val="42"/>
    <w:link w:val="26"/>
    <w:qFormat/>
    <w:uiPriority w:val="99"/>
    <w:rPr>
      <w:rFonts w:ascii="Times New Roman" w:hAnsi="Times New Roman" w:eastAsia="宋体" w:cs="Times New Roman"/>
    </w:rPr>
  </w:style>
  <w:style w:type="paragraph" w:customStyle="1" w:styleId="45">
    <w:name w:val="标题 11"/>
    <w:basedOn w:val="1"/>
    <w:qFormat/>
    <w:uiPriority w:val="1"/>
    <w:pPr>
      <w:autoSpaceDE w:val="0"/>
      <w:autoSpaceDN w:val="0"/>
      <w:ind w:left="776"/>
      <w:jc w:val="left"/>
      <w:outlineLvl w:val="1"/>
    </w:pPr>
    <w:rPr>
      <w:rFonts w:ascii="仿宋" w:hAnsi="仿宋" w:eastAsia="仿宋" w:cs="仿宋"/>
      <w:b/>
      <w:bCs/>
      <w:kern w:val="0"/>
      <w:sz w:val="28"/>
      <w:szCs w:val="28"/>
      <w:lang w:val="zh-CN" w:bidi="zh-CN"/>
    </w:rPr>
  </w:style>
  <w:style w:type="paragraph" w:styleId="46">
    <w:name w:val="List Paragraph"/>
    <w:basedOn w:val="1"/>
    <w:unhideWhenUsed/>
    <w:qFormat/>
    <w:uiPriority w:val="99"/>
    <w:pPr>
      <w:autoSpaceDE w:val="0"/>
      <w:autoSpaceDN w:val="0"/>
      <w:ind w:left="217" w:hanging="422"/>
      <w:jc w:val="left"/>
    </w:pPr>
    <w:rPr>
      <w:rFonts w:ascii="仿宋" w:hAnsi="仿宋" w:eastAsia="仿宋" w:cs="仿宋"/>
      <w:kern w:val="0"/>
      <w:sz w:val="22"/>
      <w:lang w:val="zh-CN" w:bidi="zh-CN"/>
    </w:rPr>
  </w:style>
  <w:style w:type="table" w:customStyle="1" w:styleId="47">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paragraph" w:customStyle="1" w:styleId="48">
    <w:name w:val="Table Paragraph"/>
    <w:basedOn w:val="1"/>
    <w:qFormat/>
    <w:uiPriority w:val="1"/>
    <w:pPr>
      <w:autoSpaceDE w:val="0"/>
      <w:autoSpaceDN w:val="0"/>
      <w:jc w:val="right"/>
    </w:pPr>
    <w:rPr>
      <w:rFonts w:ascii="Verdana" w:hAnsi="Verdana" w:eastAsia="Verdana" w:cs="Verdana"/>
      <w:kern w:val="0"/>
      <w:sz w:val="22"/>
      <w:lang w:val="zh-CN" w:bidi="zh-CN"/>
    </w:rPr>
  </w:style>
  <w:style w:type="character" w:customStyle="1" w:styleId="49">
    <w:name w:val="文档结构图 Char"/>
    <w:basedOn w:val="30"/>
    <w:link w:val="9"/>
    <w:semiHidden/>
    <w:qFormat/>
    <w:uiPriority w:val="99"/>
    <w:rPr>
      <w:rFonts w:ascii="宋体" w:eastAsia="宋体"/>
      <w:sz w:val="18"/>
      <w:szCs w:val="18"/>
    </w:rPr>
  </w:style>
  <w:style w:type="character" w:customStyle="1" w:styleId="50">
    <w:name w:val="标题 1 Char"/>
    <w:basedOn w:val="30"/>
    <w:link w:val="2"/>
    <w:qFormat/>
    <w:uiPriority w:val="0"/>
    <w:rPr>
      <w:b/>
      <w:bCs/>
      <w:kern w:val="44"/>
      <w:sz w:val="36"/>
      <w:szCs w:val="36"/>
    </w:rPr>
  </w:style>
  <w:style w:type="character" w:customStyle="1" w:styleId="51">
    <w:name w:val="标题 4 Char"/>
    <w:basedOn w:val="30"/>
    <w:link w:val="6"/>
    <w:qFormat/>
    <w:uiPriority w:val="0"/>
    <w:rPr>
      <w:rFonts w:ascii="Arial" w:hAnsi="Arial"/>
      <w:b/>
      <w:bCs/>
      <w:kern w:val="2"/>
      <w:sz w:val="28"/>
      <w:szCs w:val="28"/>
    </w:rPr>
  </w:style>
  <w:style w:type="character" w:customStyle="1" w:styleId="52">
    <w:name w:val="批注文字 Char"/>
    <w:basedOn w:val="30"/>
    <w:link w:val="11"/>
    <w:qFormat/>
    <w:uiPriority w:val="99"/>
    <w:rPr>
      <w:rFonts w:eastAsia="仿宋"/>
      <w:kern w:val="2"/>
      <w:sz w:val="28"/>
      <w:szCs w:val="28"/>
    </w:rPr>
  </w:style>
  <w:style w:type="character" w:customStyle="1" w:styleId="53">
    <w:name w:val="正文文本缩进 Char"/>
    <w:basedOn w:val="30"/>
    <w:link w:val="12"/>
    <w:qFormat/>
    <w:uiPriority w:val="99"/>
  </w:style>
  <w:style w:type="character" w:customStyle="1" w:styleId="54">
    <w:name w:val="正文文本缩进 2 Char"/>
    <w:basedOn w:val="30"/>
    <w:link w:val="16"/>
    <w:qFormat/>
    <w:uiPriority w:val="0"/>
    <w:rPr>
      <w:kern w:val="2"/>
      <w:sz w:val="21"/>
      <w:szCs w:val="24"/>
    </w:rPr>
  </w:style>
  <w:style w:type="character" w:customStyle="1" w:styleId="55">
    <w:name w:val="副标题 字符"/>
    <w:basedOn w:val="30"/>
    <w:qFormat/>
    <w:uiPriority w:val="11"/>
    <w:rPr>
      <w:rFonts w:asciiTheme="minorHAnsi" w:hAnsiTheme="minorHAnsi" w:eastAsiaTheme="minorEastAsia" w:cstheme="minorBidi"/>
      <w:b/>
      <w:bCs/>
      <w:kern w:val="28"/>
      <w:sz w:val="32"/>
      <w:szCs w:val="32"/>
    </w:rPr>
  </w:style>
  <w:style w:type="character" w:customStyle="1" w:styleId="56">
    <w:name w:val="标题 字符"/>
    <w:basedOn w:val="30"/>
    <w:qFormat/>
    <w:uiPriority w:val="10"/>
    <w:rPr>
      <w:rFonts w:asciiTheme="majorHAnsi" w:hAnsiTheme="majorHAnsi" w:eastAsiaTheme="majorEastAsia" w:cstheme="majorBidi"/>
      <w:b/>
      <w:bCs/>
      <w:kern w:val="2"/>
      <w:sz w:val="32"/>
      <w:szCs w:val="32"/>
    </w:rPr>
  </w:style>
  <w:style w:type="character" w:customStyle="1" w:styleId="57">
    <w:name w:val="批注主题 Char"/>
    <w:basedOn w:val="52"/>
    <w:link w:val="25"/>
    <w:semiHidden/>
    <w:qFormat/>
    <w:uiPriority w:val="99"/>
    <w:rPr>
      <w:rFonts w:eastAsia="仿宋"/>
      <w:b/>
      <w:bCs/>
      <w:kern w:val="2"/>
      <w:sz w:val="21"/>
      <w:szCs w:val="28"/>
    </w:rPr>
  </w:style>
  <w:style w:type="character" w:customStyle="1" w:styleId="58">
    <w:name w:val="页脚 字符1"/>
    <w:basedOn w:val="30"/>
    <w:qFormat/>
    <w:uiPriority w:val="99"/>
    <w:rPr>
      <w:sz w:val="18"/>
      <w:szCs w:val="18"/>
    </w:rPr>
  </w:style>
  <w:style w:type="paragraph" w:customStyle="1" w:styleId="59">
    <w:name w:val="图编号"/>
    <w:basedOn w:val="1"/>
    <w:next w:val="1"/>
    <w:qFormat/>
    <w:uiPriority w:val="0"/>
    <w:pPr>
      <w:tabs>
        <w:tab w:val="left" w:pos="1534"/>
      </w:tabs>
      <w:ind w:left="1534" w:hanging="1534"/>
      <w:jc w:val="center"/>
    </w:pPr>
    <w:rPr>
      <w:rFonts w:ascii="Times New Roman" w:hAnsi="Times New Roman" w:eastAsia="宋体" w:cs="Times New Roman"/>
      <w:sz w:val="24"/>
      <w:szCs w:val="24"/>
    </w:rPr>
  </w:style>
  <w:style w:type="paragraph" w:customStyle="1" w:styleId="60">
    <w:name w:val="Char Char Char1 Char"/>
    <w:basedOn w:val="1"/>
    <w:qFormat/>
    <w:uiPriority w:val="0"/>
    <w:pPr>
      <w:widowControl/>
      <w:spacing w:line="360" w:lineRule="auto"/>
      <w:ind w:firstLine="200" w:firstLineChars="200"/>
    </w:pPr>
    <w:rPr>
      <w:rFonts w:ascii="Times New Roman" w:hAnsi="Times New Roman" w:eastAsia="宋体" w:cs="Times New Roman"/>
      <w:szCs w:val="20"/>
    </w:rPr>
  </w:style>
  <w:style w:type="character" w:customStyle="1" w:styleId="61">
    <w:name w:val="副标题 Char"/>
    <w:basedOn w:val="30"/>
    <w:link w:val="21"/>
    <w:qFormat/>
    <w:uiPriority w:val="11"/>
    <w:rPr>
      <w:rFonts w:ascii="Calibri Light" w:hAnsi="Calibri Light"/>
      <w:b/>
      <w:bCs/>
      <w:kern w:val="28"/>
      <w:sz w:val="24"/>
      <w:szCs w:val="32"/>
    </w:rPr>
  </w:style>
  <w:style w:type="character" w:customStyle="1" w:styleId="62">
    <w:name w:val="标题 Char"/>
    <w:basedOn w:val="30"/>
    <w:link w:val="24"/>
    <w:qFormat/>
    <w:uiPriority w:val="10"/>
    <w:rPr>
      <w:rFonts w:ascii="Calibri Light" w:hAnsi="Calibri Light"/>
      <w:bCs/>
      <w:sz w:val="24"/>
      <w:szCs w:val="32"/>
    </w:rPr>
  </w:style>
  <w:style w:type="paragraph" w:customStyle="1" w:styleId="63">
    <w:name w:val="Char Char Char"/>
    <w:basedOn w:val="1"/>
    <w:qFormat/>
    <w:uiPriority w:val="0"/>
    <w:rPr>
      <w:rFonts w:ascii="宋体" w:hAnsi="Times New Roman" w:eastAsia="宋体" w:cs="Times New Roman"/>
      <w:sz w:val="30"/>
      <w:szCs w:val="30"/>
    </w:rPr>
  </w:style>
  <w:style w:type="paragraph" w:customStyle="1" w:styleId="64">
    <w:name w:val="默认段落字体 Para Char Char Char Char Char Char Char Char Char Char"/>
    <w:basedOn w:val="1"/>
    <w:qFormat/>
    <w:uiPriority w:val="0"/>
    <w:rPr>
      <w:rFonts w:ascii="Times New Roman" w:hAnsi="Times New Roman" w:eastAsia="宋体" w:cs="Times New Roman"/>
      <w:szCs w:val="24"/>
    </w:rPr>
  </w:style>
  <w:style w:type="character" w:customStyle="1" w:styleId="65">
    <w:name w:val="正文缩进 Char"/>
    <w:link w:val="66"/>
    <w:qFormat/>
    <w:uiPriority w:val="0"/>
    <w:rPr>
      <w:rFonts w:ascii="Tahoma" w:hAnsi="Tahoma"/>
      <w:sz w:val="28"/>
    </w:rPr>
  </w:style>
  <w:style w:type="paragraph" w:customStyle="1" w:styleId="66">
    <w:name w:val="正文缩进1"/>
    <w:basedOn w:val="1"/>
    <w:link w:val="65"/>
    <w:qFormat/>
    <w:uiPriority w:val="0"/>
    <w:pPr>
      <w:spacing w:line="360" w:lineRule="auto"/>
      <w:ind w:firstLine="567"/>
    </w:pPr>
    <w:rPr>
      <w:rFonts w:ascii="Tahoma" w:hAnsi="Tahoma" w:eastAsia="宋体" w:cs="Times New Roman"/>
      <w:kern w:val="0"/>
      <w:sz w:val="28"/>
      <w:szCs w:val="20"/>
    </w:rPr>
  </w:style>
  <w:style w:type="paragraph" w:customStyle="1" w:styleId="67">
    <w:name w:val="正文文本缩进 31"/>
    <w:basedOn w:val="1"/>
    <w:qFormat/>
    <w:uiPriority w:val="0"/>
    <w:pPr>
      <w:ind w:firstLine="600" w:firstLineChars="200"/>
    </w:pPr>
    <w:rPr>
      <w:rFonts w:ascii="Times New Roman" w:hAnsi="Times New Roman" w:eastAsia="仿宋_GB2312" w:cs="Times New Roman"/>
      <w:sz w:val="30"/>
      <w:szCs w:val="20"/>
    </w:rPr>
  </w:style>
  <w:style w:type="paragraph" w:customStyle="1" w:styleId="68">
    <w:name w:val="正文缩进2"/>
    <w:basedOn w:val="1"/>
    <w:qFormat/>
    <w:uiPriority w:val="0"/>
    <w:pPr>
      <w:spacing w:line="360" w:lineRule="auto"/>
      <w:ind w:firstLine="567"/>
    </w:pPr>
    <w:rPr>
      <w:rFonts w:ascii="Tahoma" w:hAnsi="Tahoma" w:eastAsia="宋体" w:cs="Times New Roman"/>
      <w:sz w:val="28"/>
      <w:szCs w:val="20"/>
    </w:rPr>
  </w:style>
  <w:style w:type="paragraph" w:customStyle="1" w:styleId="69">
    <w:name w:val="Char"/>
    <w:basedOn w:val="1"/>
    <w:qFormat/>
    <w:uiPriority w:val="0"/>
    <w:pPr>
      <w:widowControl/>
      <w:spacing w:after="160" w:line="240" w:lineRule="exact"/>
      <w:jc w:val="left"/>
    </w:pPr>
    <w:rPr>
      <w:rFonts w:ascii="Arial" w:hAnsi="Arial" w:eastAsia="Times New Roman" w:cs="Verdana"/>
      <w:b/>
      <w:color w:val="000000"/>
      <w:kern w:val="0"/>
      <w:sz w:val="24"/>
      <w:szCs w:val="20"/>
      <w:lang w:eastAsia="en-US"/>
    </w:rPr>
  </w:style>
  <w:style w:type="paragraph" w:customStyle="1" w:styleId="70">
    <w:name w:val="GS1"/>
    <w:basedOn w:val="1"/>
    <w:qFormat/>
    <w:uiPriority w:val="0"/>
    <w:pPr>
      <w:ind w:firstLine="560" w:firstLineChars="200"/>
    </w:pPr>
    <w:rPr>
      <w:rFonts w:ascii="仿宋_GB2312" w:hAnsi="Times New Roman" w:eastAsia="仿宋_GB2312" w:cs="Times New Roman"/>
      <w:sz w:val="28"/>
      <w:szCs w:val="20"/>
    </w:rPr>
  </w:style>
  <w:style w:type="character" w:customStyle="1" w:styleId="71">
    <w:name w:val="font31"/>
    <w:basedOn w:val="30"/>
    <w:qFormat/>
    <w:uiPriority w:val="0"/>
    <w:rPr>
      <w:rFonts w:hint="default" w:ascii="Times New Roman" w:hAnsi="Times New Roman" w:cs="Times New Roman"/>
      <w:color w:val="000000"/>
      <w:sz w:val="20"/>
      <w:szCs w:val="20"/>
      <w:u w:val="none"/>
    </w:rPr>
  </w:style>
  <w:style w:type="character" w:customStyle="1" w:styleId="72">
    <w:name w:val="font01"/>
    <w:basedOn w:val="30"/>
    <w:qFormat/>
    <w:uiPriority w:val="0"/>
    <w:rPr>
      <w:rFonts w:hint="eastAsia" w:ascii="宋体" w:hAnsi="宋体" w:eastAsia="宋体" w:cs="宋体"/>
      <w:color w:val="000000"/>
      <w:sz w:val="22"/>
      <w:szCs w:val="22"/>
      <w:u w:val="none"/>
    </w:rPr>
  </w:style>
  <w:style w:type="paragraph" w:customStyle="1" w:styleId="73">
    <w:name w:val="WPSOffice手动目录 1"/>
    <w:qFormat/>
    <w:uiPriority w:val="0"/>
    <w:rPr>
      <w:rFonts w:ascii="Calibri" w:hAnsi="Calibri" w:eastAsia="宋体" w:cs="Times New Roman"/>
      <w:lang w:val="en-US" w:eastAsia="zh-CN" w:bidi="ar-SA"/>
    </w:rPr>
  </w:style>
  <w:style w:type="paragraph" w:customStyle="1" w:styleId="74">
    <w:name w:val="WPSOffice手动目录 2"/>
    <w:qFormat/>
    <w:uiPriority w:val="0"/>
    <w:pPr>
      <w:ind w:left="200" w:leftChars="200"/>
    </w:pPr>
    <w:rPr>
      <w:rFonts w:ascii="Calibri" w:hAnsi="Calibri" w:eastAsia="宋体" w:cs="Times New Roman"/>
      <w:lang w:val="en-US" w:eastAsia="zh-CN" w:bidi="ar-SA"/>
    </w:rPr>
  </w:style>
  <w:style w:type="paragraph" w:customStyle="1" w:styleId="75">
    <w:name w:val="BT4"/>
    <w:basedOn w:val="1"/>
    <w:qFormat/>
    <w:uiPriority w:val="0"/>
    <w:pPr>
      <w:spacing w:line="360" w:lineRule="auto"/>
      <w:ind w:firstLine="200" w:firstLineChars="200"/>
    </w:pPr>
    <w:rPr>
      <w:rFonts w:ascii="仿宋" w:hAnsi="仿宋" w:eastAsia="仿宋"/>
      <w:sz w:val="28"/>
    </w:rPr>
  </w:style>
  <w:style w:type="character" w:customStyle="1" w:styleId="76">
    <w:name w:val="font51"/>
    <w:basedOn w:val="30"/>
    <w:qFormat/>
    <w:uiPriority w:val="0"/>
    <w:rPr>
      <w:rFonts w:hint="eastAsia" w:ascii="宋体" w:hAnsi="宋体" w:eastAsia="宋体" w:cs="宋体"/>
      <w:color w:val="000000"/>
      <w:sz w:val="20"/>
      <w:szCs w:val="20"/>
      <w:u w:val="none"/>
    </w:rPr>
  </w:style>
  <w:style w:type="character" w:customStyle="1" w:styleId="77">
    <w:name w:val="font21"/>
    <w:basedOn w:val="30"/>
    <w:qFormat/>
    <w:uiPriority w:val="0"/>
    <w:rPr>
      <w:rFonts w:hint="eastAsia" w:ascii="宋体" w:hAnsi="宋体" w:eastAsia="宋体" w:cs="宋体"/>
      <w:color w:val="000000"/>
      <w:sz w:val="20"/>
      <w:szCs w:val="20"/>
      <w:u w:val="none"/>
    </w:rPr>
  </w:style>
  <w:style w:type="character" w:customStyle="1" w:styleId="78">
    <w:name w:val="font61"/>
    <w:basedOn w:val="30"/>
    <w:qFormat/>
    <w:uiPriority w:val="0"/>
    <w:rPr>
      <w:rFonts w:hint="default" w:ascii="Times New Roman" w:hAnsi="Times New Roman" w:cs="Times New Roman"/>
      <w:b/>
      <w:bCs/>
      <w:color w:val="000000"/>
      <w:sz w:val="18"/>
      <w:szCs w:val="18"/>
      <w:u w:val="none"/>
    </w:rPr>
  </w:style>
  <w:style w:type="character" w:customStyle="1" w:styleId="79">
    <w:name w:val="font91"/>
    <w:basedOn w:val="30"/>
    <w:qFormat/>
    <w:uiPriority w:val="0"/>
    <w:rPr>
      <w:rFonts w:hint="eastAsia" w:ascii="宋体" w:hAnsi="宋体" w:eastAsia="宋体" w:cs="宋体"/>
      <w:color w:val="000000"/>
      <w:sz w:val="21"/>
      <w:szCs w:val="21"/>
      <w:u w:val="none"/>
    </w:rPr>
  </w:style>
  <w:style w:type="paragraph" w:customStyle="1" w:styleId="80">
    <w:name w:val="标题1"/>
    <w:basedOn w:val="1"/>
    <w:link w:val="87"/>
    <w:qFormat/>
    <w:uiPriority w:val="0"/>
    <w:pPr>
      <w:widowControl/>
      <w:spacing w:after="160" w:line="560" w:lineRule="exact"/>
      <w:ind w:firstLine="200" w:firstLineChars="200"/>
      <w:jc w:val="left"/>
      <w:outlineLvl w:val="0"/>
    </w:pPr>
    <w:rPr>
      <w:rFonts w:ascii="黑体" w:hAnsi="黑体" w:eastAsia="黑体" w:cs="黑体"/>
      <w:sz w:val="28"/>
      <w:szCs w:val="28"/>
    </w:rPr>
  </w:style>
  <w:style w:type="character" w:customStyle="1" w:styleId="81">
    <w:name w:val="页眉 字符"/>
    <w:basedOn w:val="30"/>
    <w:link w:val="19"/>
    <w:qFormat/>
    <w:uiPriority w:val="99"/>
    <w:rPr>
      <w:rFonts w:ascii="Times New Roman" w:hAnsi="Times New Roman" w:eastAsia="宋体" w:cs="Times New Roman"/>
      <w:sz w:val="18"/>
      <w:szCs w:val="18"/>
      <w:lang w:val="en-US" w:eastAsia="zh-CN" w:bidi="ar-SA"/>
    </w:rPr>
  </w:style>
  <w:style w:type="character" w:customStyle="1" w:styleId="82">
    <w:name w:val="页脚 字符"/>
    <w:basedOn w:val="30"/>
    <w:link w:val="18"/>
    <w:qFormat/>
    <w:uiPriority w:val="99"/>
    <w:rPr>
      <w:rFonts w:ascii="Times New Roman" w:hAnsi="Times New Roman" w:eastAsia="宋体" w:cs="Times New Roman"/>
      <w:sz w:val="18"/>
      <w:szCs w:val="18"/>
      <w:lang w:val="en-US" w:eastAsia="zh-CN" w:bidi="ar-SA"/>
    </w:rPr>
  </w:style>
  <w:style w:type="character" w:customStyle="1" w:styleId="83">
    <w:name w:val="批注框文本 字符"/>
    <w:basedOn w:val="30"/>
    <w:link w:val="17"/>
    <w:semiHidden/>
    <w:qFormat/>
    <w:uiPriority w:val="99"/>
    <w:rPr>
      <w:rFonts w:ascii="Times New Roman" w:hAnsi="Times New Roman" w:eastAsia="宋体" w:cs="Times New Roman"/>
      <w:sz w:val="18"/>
      <w:szCs w:val="18"/>
      <w:lang w:val="en-US" w:eastAsia="zh-CN" w:bidi="ar-SA"/>
    </w:rPr>
  </w:style>
  <w:style w:type="character" w:customStyle="1" w:styleId="84">
    <w:name w:val="正文文本 字符"/>
    <w:basedOn w:val="30"/>
    <w:link w:val="5"/>
    <w:qFormat/>
    <w:uiPriority w:val="1"/>
    <w:rPr>
      <w:rFonts w:ascii="宋体" w:hAnsi="宋体" w:eastAsia="宋体" w:cs="宋体"/>
      <w:sz w:val="28"/>
      <w:szCs w:val="28"/>
      <w:lang w:val="zh-CN" w:eastAsia="zh-CN" w:bidi="zh-CN"/>
    </w:rPr>
  </w:style>
  <w:style w:type="character" w:customStyle="1" w:styleId="85">
    <w:name w:val="标题 4 字符"/>
    <w:basedOn w:val="30"/>
    <w:link w:val="6"/>
    <w:qFormat/>
    <w:uiPriority w:val="1"/>
    <w:rPr>
      <w:rFonts w:ascii="宋体" w:hAnsi="宋体" w:eastAsia="宋体" w:cs="宋体"/>
      <w:b/>
      <w:bCs/>
      <w:sz w:val="28"/>
      <w:szCs w:val="28"/>
      <w:lang w:val="zh-CN" w:eastAsia="zh-CN" w:bidi="zh-CN"/>
    </w:rPr>
  </w:style>
  <w:style w:type="character" w:customStyle="1" w:styleId="86">
    <w:name w:val="批注文字 字符"/>
    <w:basedOn w:val="30"/>
    <w:link w:val="11"/>
    <w:qFormat/>
    <w:uiPriority w:val="99"/>
    <w:rPr>
      <w:rFonts w:ascii="Times New Roman" w:hAnsi="Times New Roman" w:eastAsia="Times New Roman" w:cs="Times New Roman"/>
      <w:sz w:val="24"/>
      <w:lang w:val="en-US" w:eastAsia="zh-CN" w:bidi="ar-SA"/>
    </w:rPr>
  </w:style>
  <w:style w:type="character" w:customStyle="1" w:styleId="87">
    <w:name w:val="标题1 Char"/>
    <w:basedOn w:val="30"/>
    <w:link w:val="80"/>
    <w:qFormat/>
    <w:uiPriority w:val="0"/>
    <w:rPr>
      <w:rFonts w:ascii="黑体" w:hAnsi="黑体" w:eastAsia="黑体" w:cs="黑体"/>
      <w:sz w:val="28"/>
      <w:szCs w:val="28"/>
      <w:lang w:val="en-US" w:eastAsia="zh-CN" w:bidi="ar-SA"/>
    </w:rPr>
  </w:style>
  <w:style w:type="character" w:customStyle="1" w:styleId="88">
    <w:name w:val="标题 2 字符"/>
    <w:basedOn w:val="30"/>
    <w:link w:val="3"/>
    <w:qFormat/>
    <w:uiPriority w:val="9"/>
    <w:rPr>
      <w:rFonts w:ascii="楷体" w:hAnsi="楷体" w:eastAsia="楷体" w:cs="宋体"/>
      <w:b/>
      <w:color w:val="000000" w:themeColor="text1"/>
      <w:kern w:val="2"/>
      <w:sz w:val="28"/>
      <w:szCs w:val="28"/>
      <w:lang w:val="en-US" w:eastAsia="zh-CN" w:bidi="ar-SA"/>
    </w:rPr>
  </w:style>
  <w:style w:type="character" w:customStyle="1" w:styleId="89">
    <w:name w:val="标题 1 字符"/>
    <w:basedOn w:val="30"/>
    <w:link w:val="2"/>
    <w:qFormat/>
    <w:uiPriority w:val="9"/>
    <w:rPr>
      <w:rFonts w:ascii="黑体" w:hAnsi="黑体" w:eastAsia="黑体" w:cs="黑体"/>
      <w:kern w:val="2"/>
      <w:sz w:val="28"/>
      <w:szCs w:val="28"/>
      <w:lang w:val="en-US" w:eastAsia="zh-CN" w:bidi="ar-SA"/>
    </w:rPr>
  </w:style>
  <w:style w:type="character" w:customStyle="1" w:styleId="90">
    <w:name w:val="标题 3 字符"/>
    <w:basedOn w:val="30"/>
    <w:link w:val="4"/>
    <w:qFormat/>
    <w:uiPriority w:val="9"/>
    <w:rPr>
      <w:rFonts w:ascii="楷体" w:hAnsi="楷体" w:eastAsia="楷体" w:cs="楷体"/>
      <w:color w:val="000000" w:themeColor="text1"/>
      <w:kern w:val="2"/>
      <w:sz w:val="28"/>
      <w:szCs w:val="28"/>
      <w:lang w:val="en-US" w:eastAsia="zh-CN" w:bidi="ar-SA"/>
    </w:rPr>
  </w:style>
  <w:style w:type="paragraph" w:customStyle="1" w:styleId="91">
    <w:name w:val="样式2"/>
    <w:basedOn w:val="1"/>
    <w:link w:val="92"/>
    <w:qFormat/>
    <w:uiPriority w:val="0"/>
    <w:pPr>
      <w:spacing w:beforeLines="50" w:after="160" w:afterLines="50" w:line="360" w:lineRule="auto"/>
      <w:ind w:firstLine="562" w:firstLineChars="200"/>
    </w:pPr>
    <w:rPr>
      <w:rFonts w:ascii="楷体" w:hAnsi="楷体" w:eastAsia="楷体" w:cs="Times New Roman"/>
      <w:b/>
      <w:sz w:val="28"/>
      <w:szCs w:val="28"/>
    </w:rPr>
  </w:style>
  <w:style w:type="character" w:customStyle="1" w:styleId="92">
    <w:name w:val="样式2 Char"/>
    <w:link w:val="91"/>
    <w:qFormat/>
    <w:uiPriority w:val="0"/>
    <w:rPr>
      <w:rFonts w:ascii="楷体" w:hAnsi="楷体" w:eastAsia="楷体" w:cs="Times New Roman"/>
      <w:b/>
      <w:sz w:val="28"/>
      <w:szCs w:val="28"/>
      <w:lang w:val="en-US" w:eastAsia="zh-CN" w:bidi="ar-SA"/>
    </w:rPr>
  </w:style>
  <w:style w:type="paragraph" w:customStyle="1" w:styleId="93">
    <w:name w:val="TOC 标题1"/>
    <w:basedOn w:val="2"/>
    <w:next w:val="1"/>
    <w:semiHidden/>
    <w:unhideWhenUsed/>
    <w:qFormat/>
    <w:uiPriority w:val="39"/>
    <w:pPr>
      <w:keepNext/>
      <w:keepLines/>
      <w:pageBreakBefore w:val="0"/>
      <w:spacing w:before="480" w:after="160" w:line="276" w:lineRule="auto"/>
      <w:ind w:left="0" w:firstLine="0" w:firstLineChars="0"/>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94">
    <w:name w:val="批注主题 字符"/>
    <w:basedOn w:val="86"/>
    <w:link w:val="25"/>
    <w:semiHidden/>
    <w:qFormat/>
    <w:uiPriority w:val="99"/>
    <w:rPr>
      <w:rFonts w:ascii="Times New Roman" w:hAnsi="Times New Roman" w:eastAsia="Times New Roman" w:cs="Times New Roman"/>
      <w:b/>
      <w:bCs/>
      <w:kern w:val="2"/>
      <w:sz w:val="24"/>
    </w:rPr>
  </w:style>
  <w:style w:type="paragraph" w:customStyle="1" w:styleId="95">
    <w:name w:val="修订1"/>
    <w:hidden/>
    <w:semiHidden/>
    <w:qFormat/>
    <w:uiPriority w:val="99"/>
    <w:pPr>
      <w:spacing w:after="160" w:line="259" w:lineRule="auto"/>
    </w:pPr>
    <w:rPr>
      <w:rFonts w:asciiTheme="minorHAnsi" w:hAnsiTheme="minorHAnsi" w:eastAsiaTheme="minorEastAsia" w:cstheme="minorBidi"/>
      <w:kern w:val="2"/>
      <w:sz w:val="24"/>
      <w:szCs w:val="22"/>
      <w:lang w:val="en-US" w:eastAsia="zh-CN" w:bidi="ar-SA"/>
    </w:rPr>
  </w:style>
  <w:style w:type="paragraph" w:customStyle="1" w:styleId="96">
    <w:name w:val="zz"/>
    <w:basedOn w:val="1"/>
    <w:qFormat/>
    <w:uiPriority w:val="0"/>
    <w:pPr>
      <w:spacing w:after="160" w:line="240" w:lineRule="exact"/>
      <w:ind w:firstLine="0" w:firstLineChars="0"/>
      <w:jc w:val="center"/>
    </w:pPr>
    <w:rPr>
      <w:rFonts w:ascii="楷体" w:hAnsi="楷体" w:eastAsia="楷体" w:cs="楷体"/>
      <w:sz w:val="28"/>
      <w:szCs w:val="28"/>
    </w:rPr>
  </w:style>
  <w:style w:type="paragraph" w:customStyle="1" w:styleId="97">
    <w:name w:val="bb"/>
    <w:basedOn w:val="1"/>
    <w:qFormat/>
    <w:uiPriority w:val="0"/>
    <w:pPr>
      <w:widowControl/>
      <w:spacing w:after="160" w:line="240" w:lineRule="auto"/>
      <w:ind w:firstLine="0" w:firstLineChars="0"/>
      <w:jc w:val="center"/>
    </w:pPr>
    <w:rPr>
      <w:rFonts w:ascii="Verdana" w:hAnsi="Verdana" w:eastAsia="等线"/>
      <w:sz w:val="22"/>
    </w:rPr>
  </w:style>
  <w:style w:type="paragraph" w:customStyle="1" w:styleId="98">
    <w:name w:val="b2"/>
    <w:basedOn w:val="1"/>
    <w:qFormat/>
    <w:uiPriority w:val="0"/>
    <w:pPr>
      <w:spacing w:after="160" w:line="240" w:lineRule="auto"/>
      <w:ind w:firstLine="0" w:firstLineChars="0"/>
      <w:jc w:val="center"/>
    </w:pPr>
    <w:rPr>
      <w:rFonts w:ascii="等线" w:hAnsi="等线" w:eastAsia="等线" w:cs="Arial"/>
      <w:sz w:val="20"/>
      <w:szCs w:val="20"/>
    </w:rPr>
  </w:style>
  <w:style w:type="paragraph" w:customStyle="1" w:styleId="99">
    <w:name w:val="b3"/>
    <w:basedOn w:val="98"/>
    <w:qFormat/>
    <w:uiPriority w:val="0"/>
    <w:pPr>
      <w:ind w:right="113"/>
      <w:jc w:val="right"/>
    </w:pPr>
  </w:style>
  <w:style w:type="paragraph" w:customStyle="1" w:styleId="100">
    <w:name w:val="b4"/>
    <w:basedOn w:val="1"/>
    <w:qFormat/>
    <w:uiPriority w:val="0"/>
    <w:pPr>
      <w:widowControl/>
      <w:spacing w:after="160" w:line="240" w:lineRule="auto"/>
      <w:ind w:firstLine="0" w:firstLineChars="0"/>
      <w:jc w:val="center"/>
    </w:pPr>
    <w:rPr>
      <w:rFonts w:ascii="等线" w:hAnsi="等线" w:eastAsia="等线" w:cs="宋体"/>
      <w:b/>
      <w:bCs/>
      <w:color w:val="FFFFFF"/>
      <w:kern w:val="0"/>
      <w:sz w:val="20"/>
      <w:szCs w:val="20"/>
    </w:rPr>
  </w:style>
  <w:style w:type="paragraph" w:customStyle="1" w:styleId="101">
    <w:name w:val="b5"/>
    <w:basedOn w:val="99"/>
    <w:qFormat/>
    <w:uiPriority w:val="0"/>
    <w:pPr>
      <w:jc w:val="left"/>
    </w:pPr>
  </w:style>
  <w:style w:type="paragraph" w:customStyle="1" w:styleId="102">
    <w:name w:val="样式1"/>
    <w:basedOn w:val="99"/>
    <w:qFormat/>
    <w:uiPriority w:val="0"/>
    <w:pPr>
      <w:ind w:firstLine="420"/>
      <w:jc w:val="left"/>
    </w:pPr>
  </w:style>
  <w:style w:type="paragraph" w:customStyle="1" w:styleId="103">
    <w:name w:val="b6"/>
    <w:basedOn w:val="102"/>
    <w:qFormat/>
    <w:uiPriority w:val="0"/>
    <w:pPr>
      <w:ind w:firstLine="204"/>
    </w:pPr>
  </w:style>
  <w:style w:type="paragraph" w:customStyle="1" w:styleId="104">
    <w:name w:val="b7"/>
    <w:basedOn w:val="101"/>
    <w:qFormat/>
    <w:uiPriority w:val="0"/>
    <w:pPr>
      <w:ind w:right="0"/>
    </w:pPr>
  </w:style>
  <w:style w:type="paragraph" w:customStyle="1" w:styleId="105">
    <w:name w:val="Char Char Char Char Char Char Char Char Char"/>
    <w:basedOn w:val="1"/>
    <w:qFormat/>
    <w:uiPriority w:val="0"/>
    <w:pPr>
      <w:widowControl/>
      <w:spacing w:after="160" w:line="240" w:lineRule="exact"/>
      <w:ind w:firstLine="0" w:firstLineChars="0"/>
      <w:jc w:val="left"/>
    </w:pPr>
    <w:rPr>
      <w:rFonts w:ascii="Times New Roman" w:hAnsi="Times New Roman" w:eastAsia="宋体" w:cs="Times New Roman"/>
      <w:sz w:val="21"/>
      <w:szCs w:val="20"/>
    </w:rPr>
  </w:style>
  <w:style w:type="table" w:customStyle="1" w:styleId="106">
    <w:name w:val="网格型1"/>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
    <w:name w:val="中等深浅底纹 1 - 强调文字颜色 11"/>
    <w:basedOn w:val="28"/>
    <w:qFormat/>
    <w:uiPriority w:val="63"/>
    <w:rPr>
      <w:rFonts w:ascii="Calibri" w:hAnsi="Calibri"/>
      <w:kern w:val="2"/>
      <w:sz w:val="21"/>
      <w:szCs w:val="22"/>
    </w:rPr>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cPr>
        <w:shd w:val="clear" w:color="auto" w:fill="D3DFEE"/>
      </w:tcPr>
    </w:tblStylePr>
    <w:tblStylePr w:type="band1Horz">
      <w:tcPr>
        <w:tcBorders>
          <w:insideH w:val="nil"/>
          <w:insideV w:val="nil"/>
        </w:tcBorders>
        <w:shd w:val="clear" w:color="auto" w:fill="D3DFEE"/>
      </w:tcPr>
    </w:tblStylePr>
    <w:tblStylePr w:type="band2Horz">
      <w:tcPr>
        <w:tcBorders>
          <w:insideH w:val="nil"/>
          <w:insideV w:val="nil"/>
        </w:tcBorders>
      </w:tcPr>
    </w:tblStylePr>
  </w:style>
  <w:style w:type="paragraph" w:customStyle="1" w:styleId="108">
    <w:name w:val="自定义目录2级"/>
    <w:basedOn w:val="1"/>
    <w:link w:val="109"/>
    <w:qFormat/>
    <w:uiPriority w:val="0"/>
    <w:pPr>
      <w:spacing w:after="0" w:afterLines="50" w:line="360" w:lineRule="exact"/>
      <w:ind w:firstLine="0" w:firstLineChars="0"/>
      <w:outlineLvl w:val="1"/>
    </w:pPr>
    <w:rPr>
      <w:rFonts w:ascii="华文楷体" w:hAnsi="华文楷体" w:eastAsia="华文楷体" w:cs="Times New Roman"/>
      <w:i/>
      <w:sz w:val="21"/>
      <w:szCs w:val="24"/>
    </w:rPr>
  </w:style>
  <w:style w:type="character" w:customStyle="1" w:styleId="109">
    <w:name w:val="自定义目录2级 Char"/>
    <w:link w:val="108"/>
    <w:qFormat/>
    <w:uiPriority w:val="0"/>
    <w:rPr>
      <w:rFonts w:ascii="华文楷体" w:hAnsi="华文楷体" w:eastAsia="华文楷体" w:cs="Times New Roman"/>
      <w:i/>
      <w:sz w:val="21"/>
      <w:szCs w:val="24"/>
      <w:lang w:val="en-US" w:eastAsia="zh-CN" w:bidi="ar-SA"/>
    </w:rPr>
  </w:style>
  <w:style w:type="character" w:customStyle="1" w:styleId="110">
    <w:name w:val="日期 字符"/>
    <w:basedOn w:val="30"/>
    <w:link w:val="15"/>
    <w:semiHidden/>
    <w:qFormat/>
    <w:uiPriority w:val="99"/>
    <w:rPr>
      <w:rFonts w:ascii="Calibri" w:hAnsi="Calibri" w:eastAsia="宋体" w:cs="Times New Roman"/>
      <w:sz w:val="21"/>
      <w:lang w:val="en-US" w:eastAsia="zh-CN" w:bidi="ar-SA"/>
    </w:rPr>
  </w:style>
  <w:style w:type="paragraph" w:customStyle="1" w:styleId="111">
    <w:name w:val="修订2"/>
    <w:hidden/>
    <w:semiHidden/>
    <w:qFormat/>
    <w:uiPriority w:val="99"/>
    <w:rPr>
      <w:rFonts w:ascii="Calibri" w:hAnsi="Calibri" w:eastAsia="宋体" w:cs="Times New Roman"/>
      <w:kern w:val="2"/>
      <w:sz w:val="21"/>
      <w:szCs w:val="22"/>
      <w:lang w:val="en-US" w:eastAsia="zh-CN" w:bidi="ar-SA"/>
    </w:rPr>
  </w:style>
  <w:style w:type="character" w:customStyle="1" w:styleId="112">
    <w:name w:val="文档结构图 字符"/>
    <w:basedOn w:val="30"/>
    <w:link w:val="9"/>
    <w:qFormat/>
    <w:uiPriority w:val="0"/>
    <w:rPr>
      <w:rFonts w:ascii="宋体" w:hAnsi="Calibri" w:eastAsia="宋体" w:cs="黑体"/>
      <w:kern w:val="2"/>
      <w:sz w:val="18"/>
      <w:szCs w:val="18"/>
      <w:lang w:val="en-US" w:eastAsia="zh-CN" w:bidi="ar-SA"/>
    </w:rPr>
  </w:style>
  <w:style w:type="paragraph" w:customStyle="1" w:styleId="113">
    <w:name w:val="表格"/>
    <w:basedOn w:val="1"/>
    <w:link w:val="114"/>
    <w:qFormat/>
    <w:uiPriority w:val="0"/>
    <w:pPr>
      <w:spacing w:after="0" w:line="240" w:lineRule="auto"/>
      <w:ind w:firstLine="0" w:firstLineChars="0"/>
      <w:jc w:val="center"/>
    </w:pPr>
    <w:rPr>
      <w:rFonts w:ascii="Times New Roman" w:hAnsi="Times New Roman" w:eastAsia="宋体" w:cs="Times New Roman"/>
      <w:sz w:val="21"/>
      <w:szCs w:val="21"/>
    </w:rPr>
  </w:style>
  <w:style w:type="character" w:customStyle="1" w:styleId="114">
    <w:name w:val="表格 Char"/>
    <w:link w:val="113"/>
    <w:qFormat/>
    <w:uiPriority w:val="0"/>
    <w:rPr>
      <w:rFonts w:ascii="Times New Roman" w:hAnsi="Times New Roman" w:eastAsia="宋体" w:cs="Times New Roman"/>
      <w:sz w:val="21"/>
      <w:szCs w:val="21"/>
      <w:lang w:val="en-US" w:eastAsia="zh-CN" w:bidi="ar-SA"/>
    </w:rPr>
  </w:style>
  <w:style w:type="character" w:customStyle="1" w:styleId="115">
    <w:name w:val="fontstyle01"/>
    <w:basedOn w:val="30"/>
    <w:qFormat/>
    <w:uiPriority w:val="0"/>
    <w:rPr>
      <w:rFonts w:hint="eastAsia" w:ascii="宋体" w:hAnsi="宋体" w:eastAsia="宋体" w:cs="Times New Roman"/>
      <w:color w:val="000000"/>
      <w:sz w:val="28"/>
      <w:szCs w:val="28"/>
      <w:lang w:val="en-US" w:eastAsia="zh-CN" w:bidi="ar-SA"/>
    </w:rPr>
  </w:style>
  <w:style w:type="character" w:customStyle="1" w:styleId="116">
    <w:name w:val="fontstyle21"/>
    <w:basedOn w:val="30"/>
    <w:qFormat/>
    <w:uiPriority w:val="0"/>
    <w:rPr>
      <w:rFonts w:hint="default" w:ascii="TimesNewRomanPSMT" w:hAnsi="TimesNewRomanPSMT" w:eastAsia="宋体" w:cs="Times New Roman"/>
      <w:color w:val="000000"/>
      <w:sz w:val="28"/>
      <w:szCs w:val="28"/>
      <w:lang w:val="en-US" w:eastAsia="zh-CN" w:bidi="ar-SA"/>
    </w:rPr>
  </w:style>
  <w:style w:type="character" w:customStyle="1" w:styleId="117">
    <w:name w:val="fontstyle31"/>
    <w:basedOn w:val="30"/>
    <w:qFormat/>
    <w:uiPriority w:val="0"/>
    <w:rPr>
      <w:rFonts w:hint="default" w:ascii="TimesNewRomanPSMT" w:hAnsi="TimesNewRomanPSMT" w:eastAsia="宋体" w:cs="Times New Roman"/>
      <w:color w:val="000000"/>
      <w:sz w:val="20"/>
      <w:szCs w:val="20"/>
      <w:lang w:val="en-US" w:eastAsia="zh-CN" w:bidi="ar-SA"/>
    </w:rPr>
  </w:style>
  <w:style w:type="character" w:customStyle="1" w:styleId="118">
    <w:name w:val="fontstyle41"/>
    <w:basedOn w:val="30"/>
    <w:qFormat/>
    <w:uiPriority w:val="0"/>
    <w:rPr>
      <w:rFonts w:hint="eastAsia" w:ascii="黑体" w:hAnsi="黑体" w:eastAsia="黑体" w:cs="Times New Roman"/>
      <w:color w:val="000000"/>
      <w:sz w:val="20"/>
      <w:szCs w:val="20"/>
      <w:lang w:val="en-US" w:eastAsia="zh-CN" w:bidi="ar-SA"/>
    </w:rPr>
  </w:style>
  <w:style w:type="character" w:customStyle="1" w:styleId="119">
    <w:name w:val="fontstyle11"/>
    <w:basedOn w:val="30"/>
    <w:qFormat/>
    <w:uiPriority w:val="0"/>
    <w:rPr>
      <w:rFonts w:hint="eastAsia" w:ascii="宋体" w:hAnsi="宋体" w:eastAsia="宋体" w:cs="Times New Roman"/>
      <w:color w:val="000000"/>
      <w:sz w:val="20"/>
      <w:szCs w:val="20"/>
      <w:lang w:val="en-US" w:eastAsia="zh-CN" w:bidi="ar-SA"/>
    </w:rPr>
  </w:style>
  <w:style w:type="table" w:customStyle="1" w:styleId="120">
    <w:name w:val="中等深浅底纹 1 - 强调文字颜色 111"/>
    <w:basedOn w:val="28"/>
    <w:qFormat/>
    <w:uiPriority w:val="63"/>
    <w:pPr>
      <w:spacing w:after="160" w:line="259" w:lineRule="auto"/>
    </w:pPr>
    <w:rPr>
      <w:rFonts w:ascii="Calibri" w:hAnsi="Calibri"/>
      <w:kern w:val="2"/>
      <w:sz w:val="21"/>
      <w:szCs w:val="22"/>
    </w:rPr>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cPr>
        <w:shd w:val="clear" w:color="auto" w:fill="D3DFEE"/>
      </w:tcPr>
    </w:tblStylePr>
    <w:tblStylePr w:type="band1Horz">
      <w:tcPr>
        <w:tcBorders>
          <w:insideH w:val="nil"/>
          <w:insideV w:val="nil"/>
        </w:tcBorders>
        <w:shd w:val="clear" w:color="auto" w:fill="D3DFEE"/>
      </w:tcPr>
    </w:tblStylePr>
    <w:tblStylePr w:type="band2Horz">
      <w:tcPr>
        <w:tcBorders>
          <w:insideH w:val="nil"/>
          <w:insideV w:val="nil"/>
        </w:tcBorders>
      </w:tcPr>
    </w:tblStylePr>
  </w:style>
  <w:style w:type="character" w:customStyle="1" w:styleId="121">
    <w:name w:val="正文缩进 字符"/>
    <w:basedOn w:val="30"/>
    <w:link w:val="8"/>
    <w:uiPriority w:val="0"/>
    <w:rPr>
      <w:rFonts w:ascii="Times New Roman" w:hAnsi="Times New Roman" w:eastAsia="宋体" w:cs="Times New Roman"/>
      <w:kern w:val="0"/>
      <w:sz w:val="24"/>
      <w:szCs w:val="24"/>
      <w:lang w:val="zh-CN"/>
    </w:rPr>
  </w:style>
  <w:style w:type="paragraph" w:customStyle="1" w:styleId="122">
    <w:name w:val="浅色列表1"/>
    <w:basedOn w:val="1"/>
    <w:uiPriority w:val="0"/>
    <w:pPr>
      <w:ind w:firstLine="200" w:firstLineChars="200"/>
    </w:pPr>
    <w:rPr>
      <w:rFonts w:ascii="Calibri" w:hAnsi="Calibri" w:eastAsia="宋体" w:cs="Arial"/>
    </w:rPr>
  </w:style>
  <w:style w:type="paragraph" w:styleId="123">
    <w:name w:val=""/>
    <w:basedOn w:val="2"/>
    <w:next w:val="1"/>
    <w:uiPriority w:val="0"/>
    <w:pPr>
      <w:keepNext/>
      <w:keepLines/>
      <w:pageBreakBefore w:val="0"/>
      <w:widowControl/>
      <w:spacing w:before="240" w:after="0" w:line="259" w:lineRule="auto"/>
      <w:ind w:left="0" w:firstLine="0"/>
      <w:jc w:val="left"/>
      <w:outlineLvl w:val="9"/>
    </w:pPr>
    <w:rPr>
      <w:rFonts w:ascii="Cambria" w:hAnsi="Cambria" w:eastAsia="宋体" w:cs="Times New Roman"/>
      <w:b w:val="0"/>
      <w:bCs w:val="0"/>
      <w:color w:val="365F91"/>
      <w:kern w:val="0"/>
      <w:sz w:val="32"/>
      <w:szCs w:val="32"/>
      <w:lang w:bidi="ar-SA"/>
    </w:rPr>
  </w:style>
  <w:style w:type="paragraph" w:customStyle="1" w:styleId="124">
    <w:name w:val="B4"/>
    <w:basedOn w:val="1"/>
    <w:qFormat/>
    <w:uiPriority w:val="0"/>
    <w:pPr>
      <w:spacing w:line="640" w:lineRule="exact"/>
      <w:ind w:firstLine="560" w:firstLineChars="200"/>
    </w:pPr>
    <w:rPr>
      <w:rFonts w:ascii="仿宋_GB2312" w:hAnsi="黑体" w:eastAsia="仿宋_GB2312" w:cs="Arial"/>
      <w:kern w:val="2"/>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chart" Target="charts/chart3.xml"/><Relationship Id="rId17" Type="http://schemas.openxmlformats.org/officeDocument/2006/relationships/chart" Target="charts/chart2.xml"/><Relationship Id="rId16" Type="http://schemas.openxmlformats.org/officeDocument/2006/relationships/chart" Target="charts/chart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Desktop\&#21335;&#26124;&#25919;&#24220;&#20538;&#26410;&#21457;&#34892;&#25253;&#21578;\24&#24180;&#36712;&#36947;&#20132;&#36890;\&#24179;&#34913;&#27979;&#31639;&#34920;-&#21335;&#26124;&#24066;&#36712;&#36947;&#20132;&#36890;1&#21495;&#32447;&#21271;&#24310;&#24037;&#31243;-.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Desktop\&#21335;&#26124;&#25919;&#24220;&#20538;&#26410;&#21457;&#34892;&#25253;&#21578;\24&#24180;&#36712;&#36947;&#20132;&#36890;\&#21335;&#26124;&#24066;&#36712;&#36947;&#20132;&#36890;%202&#21495;&#32447;&#19996;&#24310;&#24037;&#31243;-&#27979;&#31639;&#34920;20241219.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1%20&#39033;&#30446;&#36164;&#26009;\&#21335;&#26124;&#24066;&#25919;&#24220;&#20538;\2&#12289;&#22320;&#26041;&#25919;&#24220;&#20538;&#39033;&#30446;\8&#12289;&#21335;&#26124;&#21439;&#32769;&#26087;&#23567;&#21306;&#32508;&#21512;&#25913;&#36896;&#21313;&#20108;&#26399;&#24037;&#31243;\&#27979;&#31639;&#34920;-&#21335;&#26124;&#21439;&#32769;&#26087;&#23567;&#21306;&#32508;&#21512;&#25913;&#36896;&#21313;&#20108;&#26399;&#24037;&#31243;2024090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manualLayout>
          <c:layoutTarget val="inner"/>
          <c:xMode val="edge"/>
          <c:yMode val="edge"/>
          <c:x val="0.183384253819036"/>
          <c:y val="0.361182519280206"/>
          <c:w val="0.813090481786134"/>
          <c:h val="0.631105398457584"/>
        </c:manualLayout>
      </c:layout>
      <c:barChart>
        <c:barDir val="col"/>
        <c:grouping val="clustered"/>
        <c:varyColors val="0"/>
        <c:ser>
          <c:idx val="0"/>
          <c:order val="0"/>
          <c:tx>
            <c:strRef>
              <c:f>图!$A$2</c:f>
              <c:strCache>
                <c:ptCount val="1"/>
                <c:pt idx="0">
                  <c:v>现金流入</c:v>
                </c:pt>
              </c:strCache>
            </c:strRef>
          </c:tx>
          <c:spPr>
            <a:solidFill>
              <a:schemeClr val="accent1"/>
            </a:solidFill>
            <a:ln>
              <a:noFill/>
            </a:ln>
            <a:effectLst/>
          </c:spPr>
          <c:invertIfNegative val="0"/>
          <c:dLbls>
            <c:delete val="1"/>
          </c:dLbls>
          <c:cat>
            <c:strRef>
              <c:f>图!$B$1:$W$1</c:f>
              <c:strCache>
                <c:ptCount val="21"/>
                <c:pt idx="0">
                  <c:v>合计</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strCache>
            </c:strRef>
          </c:cat>
          <c:val>
            <c:numRef>
              <c:f>图!$B$2:$W$2</c:f>
              <c:numCache>
                <c:formatCode>_(* #,##0.00_);_(* \(#,##0.00\);_(* "-"??_);_(@_)</c:formatCode>
                <c:ptCount val="21"/>
                <c:pt idx="0">
                  <c:v>2177158.06</c:v>
                </c:pt>
                <c:pt idx="1">
                  <c:v>71127.12</c:v>
                </c:pt>
                <c:pt idx="2">
                  <c:v>168188.69</c:v>
                </c:pt>
                <c:pt idx="3">
                  <c:v>296390.3</c:v>
                </c:pt>
                <c:pt idx="4">
                  <c:v>293731.77</c:v>
                </c:pt>
                <c:pt idx="5">
                  <c:v>266555.18</c:v>
                </c:pt>
                <c:pt idx="6">
                  <c:v>102764</c:v>
                </c:pt>
                <c:pt idx="7">
                  <c:v>83992</c:v>
                </c:pt>
                <c:pt idx="8">
                  <c:v>85220</c:v>
                </c:pt>
                <c:pt idx="9">
                  <c:v>86449</c:v>
                </c:pt>
                <c:pt idx="10">
                  <c:v>87677</c:v>
                </c:pt>
                <c:pt idx="11">
                  <c:v>88902</c:v>
                </c:pt>
                <c:pt idx="12">
                  <c:v>89509</c:v>
                </c:pt>
                <c:pt idx="13">
                  <c:v>90116</c:v>
                </c:pt>
                <c:pt idx="14">
                  <c:v>90723</c:v>
                </c:pt>
                <c:pt idx="15">
                  <c:v>91330</c:v>
                </c:pt>
                <c:pt idx="16">
                  <c:v>91938</c:v>
                </c:pt>
                <c:pt idx="17">
                  <c:v>92545</c:v>
                </c:pt>
                <c:pt idx="18">
                  <c:v>93152</c:v>
                </c:pt>
                <c:pt idx="19">
                  <c:v>93759</c:v>
                </c:pt>
                <c:pt idx="20">
                  <c:v>79366</c:v>
                </c:pt>
              </c:numCache>
            </c:numRef>
          </c:val>
        </c:ser>
        <c:ser>
          <c:idx val="1"/>
          <c:order val="1"/>
          <c:tx>
            <c:strRef>
              <c:f>图!$A$3</c:f>
              <c:strCache>
                <c:ptCount val="1"/>
                <c:pt idx="0">
                  <c:v>现金流出</c:v>
                </c:pt>
              </c:strCache>
            </c:strRef>
          </c:tx>
          <c:spPr>
            <a:solidFill>
              <a:schemeClr val="accent2"/>
            </a:solidFill>
            <a:ln>
              <a:noFill/>
            </a:ln>
            <a:effectLst/>
          </c:spPr>
          <c:invertIfNegative val="0"/>
          <c:dLbls>
            <c:delete val="1"/>
          </c:dLbls>
          <c:cat>
            <c:strRef>
              <c:f>图!$B$1:$W$1</c:f>
              <c:strCache>
                <c:ptCount val="21"/>
                <c:pt idx="0">
                  <c:v>合计</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strCache>
            </c:strRef>
          </c:cat>
          <c:val>
            <c:numRef>
              <c:f>图!$B$3:$W$3</c:f>
              <c:numCache>
                <c:formatCode>_(* #,##0.00_);_(* \(#,##0.00\);_(* "-"??_);_(@_)</c:formatCode>
                <c:ptCount val="21"/>
                <c:pt idx="0">
                  <c:v>-1873894.73</c:v>
                </c:pt>
                <c:pt idx="1">
                  <c:v>-71127.12</c:v>
                </c:pt>
                <c:pt idx="2">
                  <c:v>-171771.93</c:v>
                </c:pt>
                <c:pt idx="3">
                  <c:v>-302733.26</c:v>
                </c:pt>
                <c:pt idx="4">
                  <c:v>-304599.73</c:v>
                </c:pt>
                <c:pt idx="5">
                  <c:v>-283219.84</c:v>
                </c:pt>
                <c:pt idx="6">
                  <c:v>-45104.2</c:v>
                </c:pt>
                <c:pt idx="7">
                  <c:v>-56009.15</c:v>
                </c:pt>
                <c:pt idx="8">
                  <c:v>-53053.76</c:v>
                </c:pt>
                <c:pt idx="9">
                  <c:v>-52662.15</c:v>
                </c:pt>
                <c:pt idx="10">
                  <c:v>-52272.54</c:v>
                </c:pt>
                <c:pt idx="11">
                  <c:v>-52536.69</c:v>
                </c:pt>
                <c:pt idx="12">
                  <c:v>-173228.3</c:v>
                </c:pt>
                <c:pt idx="13">
                  <c:v>-47840.39</c:v>
                </c:pt>
                <c:pt idx="14">
                  <c:v>-47485.83</c:v>
                </c:pt>
                <c:pt idx="15">
                  <c:v>-51533.86</c:v>
                </c:pt>
                <c:pt idx="16">
                  <c:v>-56347.4</c:v>
                </c:pt>
                <c:pt idx="17">
                  <c:v>-52368.58</c:v>
                </c:pt>
                <c:pt idx="18">
                  <c:v>-74756.56</c:v>
                </c:pt>
                <c:pt idx="19">
                  <c:v>-84559.86</c:v>
                </c:pt>
                <c:pt idx="20">
                  <c:v>-62349.69</c:v>
                </c:pt>
              </c:numCache>
            </c:numRef>
          </c:val>
        </c:ser>
        <c:ser>
          <c:idx val="2"/>
          <c:order val="2"/>
          <c:tx>
            <c:strRef>
              <c:f>图!$A$4</c:f>
              <c:strCache>
                <c:ptCount val="1"/>
                <c:pt idx="0">
                  <c:v>期末现金</c:v>
                </c:pt>
              </c:strCache>
            </c:strRef>
          </c:tx>
          <c:spPr>
            <a:solidFill>
              <a:schemeClr val="accent3"/>
            </a:solidFill>
            <a:ln>
              <a:noFill/>
            </a:ln>
            <a:effectLst/>
          </c:spPr>
          <c:invertIfNegative val="0"/>
          <c:dLbls>
            <c:delete val="1"/>
          </c:dLbls>
          <c:cat>
            <c:strRef>
              <c:f>图!$B$1:$W$1</c:f>
              <c:strCache>
                <c:ptCount val="21"/>
                <c:pt idx="0">
                  <c:v>合计</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strCache>
            </c:strRef>
          </c:cat>
          <c:val>
            <c:numRef>
              <c:f>图!$B$4:$W$4</c:f>
              <c:numCache>
                <c:formatCode>_(* #,##0.00_);_(* \(#,##0.00\);_(* "-"??_);_(@_)</c:formatCode>
                <c:ptCount val="21"/>
                <c:pt idx="0">
                  <c:v>303263.33</c:v>
                </c:pt>
                <c:pt idx="1">
                  <c:v>0</c:v>
                </c:pt>
                <c:pt idx="2">
                  <c:v>-3583.23999999999</c:v>
                </c:pt>
                <c:pt idx="3">
                  <c:v>-9926.20000000001</c:v>
                </c:pt>
                <c:pt idx="4">
                  <c:v>-20794.16</c:v>
                </c:pt>
                <c:pt idx="5">
                  <c:v>-37458.82</c:v>
                </c:pt>
                <c:pt idx="6">
                  <c:v>20200.98</c:v>
                </c:pt>
                <c:pt idx="7">
                  <c:v>48183.83</c:v>
                </c:pt>
                <c:pt idx="8">
                  <c:v>80350.07</c:v>
                </c:pt>
                <c:pt idx="9">
                  <c:v>114136.92</c:v>
                </c:pt>
                <c:pt idx="10">
                  <c:v>149541.38</c:v>
                </c:pt>
                <c:pt idx="11">
                  <c:v>185906.69</c:v>
                </c:pt>
                <c:pt idx="12">
                  <c:v>102187.39</c:v>
                </c:pt>
                <c:pt idx="13">
                  <c:v>144463</c:v>
                </c:pt>
                <c:pt idx="14">
                  <c:v>187700.17</c:v>
                </c:pt>
                <c:pt idx="15">
                  <c:v>227496.31</c:v>
                </c:pt>
                <c:pt idx="16">
                  <c:v>263086.91</c:v>
                </c:pt>
                <c:pt idx="17">
                  <c:v>303263.33</c:v>
                </c:pt>
                <c:pt idx="18">
                  <c:v>321658.77</c:v>
                </c:pt>
                <c:pt idx="19">
                  <c:v>330857.91</c:v>
                </c:pt>
                <c:pt idx="20">
                  <c:v>347874.22</c:v>
                </c:pt>
              </c:numCache>
            </c:numRef>
          </c:val>
        </c:ser>
        <c:dLbls>
          <c:showLegendKey val="0"/>
          <c:showVal val="0"/>
          <c:showCatName val="0"/>
          <c:showSerName val="0"/>
          <c:showPercent val="0"/>
          <c:showBubbleSize val="0"/>
        </c:dLbls>
        <c:gapWidth val="219"/>
        <c:overlap val="-27"/>
        <c:axId val="505638392"/>
        <c:axId val="505636424"/>
      </c:barChart>
      <c:catAx>
        <c:axId val="505638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05636424"/>
        <c:crosses val="autoZero"/>
        <c:auto val="1"/>
        <c:lblAlgn val="ctr"/>
        <c:lblOffset val="100"/>
        <c:noMultiLvlLbl val="0"/>
      </c:catAx>
      <c:valAx>
        <c:axId val="505636424"/>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0563839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图!$A$2</c:f>
              <c:strCache>
                <c:ptCount val="1"/>
                <c:pt idx="0">
                  <c:v>现金流入</c:v>
                </c:pt>
              </c:strCache>
            </c:strRef>
          </c:tx>
          <c:spPr>
            <a:solidFill>
              <a:schemeClr val="accent1"/>
            </a:solidFill>
            <a:ln>
              <a:noFill/>
            </a:ln>
            <a:effectLst/>
          </c:spPr>
          <c:invertIfNegative val="0"/>
          <c:dLbls>
            <c:delete val="1"/>
          </c:dLbls>
          <c:cat>
            <c:strRef>
              <c:f>图!$B$1:$AL$1</c:f>
              <c:strCache>
                <c:ptCount val="37"/>
                <c:pt idx="0">
                  <c:v>2020年</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pt idx="21">
                  <c:v>2041年</c:v>
                </c:pt>
                <c:pt idx="22">
                  <c:v>2042年</c:v>
                </c:pt>
                <c:pt idx="23">
                  <c:v>2043年</c:v>
                </c:pt>
                <c:pt idx="24">
                  <c:v>2044年</c:v>
                </c:pt>
                <c:pt idx="25">
                  <c:v>2045年</c:v>
                </c:pt>
                <c:pt idx="26">
                  <c:v>2046年</c:v>
                </c:pt>
                <c:pt idx="27">
                  <c:v>2047年</c:v>
                </c:pt>
                <c:pt idx="28">
                  <c:v>2048年</c:v>
                </c:pt>
                <c:pt idx="29">
                  <c:v>2049年</c:v>
                </c:pt>
                <c:pt idx="30">
                  <c:v>2050年</c:v>
                </c:pt>
                <c:pt idx="31">
                  <c:v>2051年</c:v>
                </c:pt>
                <c:pt idx="32">
                  <c:v>2052年</c:v>
                </c:pt>
                <c:pt idx="33">
                  <c:v>2053年</c:v>
                </c:pt>
                <c:pt idx="34">
                  <c:v>2054年</c:v>
                </c:pt>
                <c:pt idx="35">
                  <c:v>2055年</c:v>
                </c:pt>
                <c:pt idx="36">
                  <c:v>2056年</c:v>
                </c:pt>
              </c:strCache>
            </c:strRef>
          </c:cat>
          <c:val>
            <c:numRef>
              <c:f>图!$B$2:$AL$2</c:f>
              <c:numCache>
                <c:formatCode>_(* #,##0.00_);_(* \(#,##0.00\);_(* "-"??_);_(@_)</c:formatCode>
                <c:ptCount val="37"/>
                <c:pt idx="0">
                  <c:v>0</c:v>
                </c:pt>
                <c:pt idx="1">
                  <c:v>129158.1</c:v>
                </c:pt>
                <c:pt idx="2">
                  <c:v>167990.18</c:v>
                </c:pt>
                <c:pt idx="3">
                  <c:v>297301.95</c:v>
                </c:pt>
                <c:pt idx="4">
                  <c:v>226080.66</c:v>
                </c:pt>
                <c:pt idx="5">
                  <c:v>237141.78</c:v>
                </c:pt>
                <c:pt idx="6">
                  <c:v>82023.66</c:v>
                </c:pt>
                <c:pt idx="7">
                  <c:v>82683.72</c:v>
                </c:pt>
                <c:pt idx="8">
                  <c:v>83343.78</c:v>
                </c:pt>
                <c:pt idx="9">
                  <c:v>84002.7</c:v>
                </c:pt>
                <c:pt idx="10">
                  <c:v>84662.76</c:v>
                </c:pt>
                <c:pt idx="11">
                  <c:v>85322.82</c:v>
                </c:pt>
                <c:pt idx="12">
                  <c:v>85982.88</c:v>
                </c:pt>
                <c:pt idx="13">
                  <c:v>86641.8</c:v>
                </c:pt>
                <c:pt idx="14">
                  <c:v>87301.86</c:v>
                </c:pt>
                <c:pt idx="15">
                  <c:v>87961.92</c:v>
                </c:pt>
                <c:pt idx="16">
                  <c:v>88336.98</c:v>
                </c:pt>
                <c:pt idx="17">
                  <c:v>88710.9</c:v>
                </c:pt>
                <c:pt idx="18">
                  <c:v>82023.66</c:v>
                </c:pt>
                <c:pt idx="19">
                  <c:v>82683.72</c:v>
                </c:pt>
                <c:pt idx="20">
                  <c:v>83343.78</c:v>
                </c:pt>
                <c:pt idx="21">
                  <c:v>84002.7</c:v>
                </c:pt>
                <c:pt idx="22">
                  <c:v>84662.76</c:v>
                </c:pt>
                <c:pt idx="23">
                  <c:v>85322.82</c:v>
                </c:pt>
                <c:pt idx="24">
                  <c:v>85982.88</c:v>
                </c:pt>
                <c:pt idx="25">
                  <c:v>86641.8</c:v>
                </c:pt>
                <c:pt idx="26">
                  <c:v>87301.86</c:v>
                </c:pt>
                <c:pt idx="27">
                  <c:v>87961.92</c:v>
                </c:pt>
                <c:pt idx="28">
                  <c:v>88336.98</c:v>
                </c:pt>
                <c:pt idx="29">
                  <c:v>88710.9</c:v>
                </c:pt>
                <c:pt idx="30">
                  <c:v>88710.9</c:v>
                </c:pt>
                <c:pt idx="31">
                  <c:v>128710.9</c:v>
                </c:pt>
                <c:pt idx="32">
                  <c:v>0</c:v>
                </c:pt>
                <c:pt idx="33">
                  <c:v>0</c:v>
                </c:pt>
                <c:pt idx="34">
                  <c:v>0</c:v>
                </c:pt>
                <c:pt idx="35">
                  <c:v>0</c:v>
                </c:pt>
                <c:pt idx="36">
                  <c:v>0</c:v>
                </c:pt>
              </c:numCache>
            </c:numRef>
          </c:val>
        </c:ser>
        <c:ser>
          <c:idx val="1"/>
          <c:order val="1"/>
          <c:tx>
            <c:strRef>
              <c:f>图!$A$3</c:f>
              <c:strCache>
                <c:ptCount val="1"/>
                <c:pt idx="0">
                  <c:v>现金流出</c:v>
                </c:pt>
              </c:strCache>
            </c:strRef>
          </c:tx>
          <c:spPr>
            <a:solidFill>
              <a:schemeClr val="accent2"/>
            </a:solidFill>
            <a:ln>
              <a:noFill/>
            </a:ln>
            <a:effectLst/>
          </c:spPr>
          <c:invertIfNegative val="0"/>
          <c:dLbls>
            <c:delete val="1"/>
          </c:dLbls>
          <c:cat>
            <c:strRef>
              <c:f>图!$B$1:$AL$1</c:f>
              <c:strCache>
                <c:ptCount val="37"/>
                <c:pt idx="0">
                  <c:v>2020年</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pt idx="21">
                  <c:v>2041年</c:v>
                </c:pt>
                <c:pt idx="22">
                  <c:v>2042年</c:v>
                </c:pt>
                <c:pt idx="23">
                  <c:v>2043年</c:v>
                </c:pt>
                <c:pt idx="24">
                  <c:v>2044年</c:v>
                </c:pt>
                <c:pt idx="25">
                  <c:v>2045年</c:v>
                </c:pt>
                <c:pt idx="26">
                  <c:v>2046年</c:v>
                </c:pt>
                <c:pt idx="27">
                  <c:v>2047年</c:v>
                </c:pt>
                <c:pt idx="28">
                  <c:v>2048年</c:v>
                </c:pt>
                <c:pt idx="29">
                  <c:v>2049年</c:v>
                </c:pt>
                <c:pt idx="30">
                  <c:v>2050年</c:v>
                </c:pt>
                <c:pt idx="31">
                  <c:v>2051年</c:v>
                </c:pt>
                <c:pt idx="32">
                  <c:v>2052年</c:v>
                </c:pt>
                <c:pt idx="33">
                  <c:v>2053年</c:v>
                </c:pt>
                <c:pt idx="34">
                  <c:v>2054年</c:v>
                </c:pt>
                <c:pt idx="35">
                  <c:v>2055年</c:v>
                </c:pt>
                <c:pt idx="36">
                  <c:v>2056年</c:v>
                </c:pt>
              </c:strCache>
            </c:strRef>
          </c:cat>
          <c:val>
            <c:numRef>
              <c:f>图!$B$3:$AL$3</c:f>
              <c:numCache>
                <c:formatCode>_(* #,##0.00_);_(* \(#,##0.00\);_(* "-"??_);_(@_)</c:formatCode>
                <c:ptCount val="37"/>
                <c:pt idx="0">
                  <c:v>0</c:v>
                </c:pt>
                <c:pt idx="1">
                  <c:v>-130250.31</c:v>
                </c:pt>
                <c:pt idx="2">
                  <c:v>-172038.654</c:v>
                </c:pt>
                <c:pt idx="3">
                  <c:v>-306709.99</c:v>
                </c:pt>
                <c:pt idx="4">
                  <c:v>-242856.09</c:v>
                </c:pt>
                <c:pt idx="5">
                  <c:v>-260248.876002</c:v>
                </c:pt>
                <c:pt idx="6">
                  <c:v>-50598.66</c:v>
                </c:pt>
                <c:pt idx="7">
                  <c:v>-50229.66</c:v>
                </c:pt>
                <c:pt idx="8">
                  <c:v>-49862.66</c:v>
                </c:pt>
                <c:pt idx="9">
                  <c:v>-49583.92</c:v>
                </c:pt>
                <c:pt idx="10">
                  <c:v>-49215.92</c:v>
                </c:pt>
                <c:pt idx="11">
                  <c:v>-48847.92</c:v>
                </c:pt>
                <c:pt idx="12">
                  <c:v>-48572.65</c:v>
                </c:pt>
                <c:pt idx="13">
                  <c:v>-48205.65</c:v>
                </c:pt>
                <c:pt idx="14">
                  <c:v>-47837.65</c:v>
                </c:pt>
                <c:pt idx="15">
                  <c:v>-86679.782</c:v>
                </c:pt>
                <c:pt idx="16">
                  <c:v>-45456.5</c:v>
                </c:pt>
                <c:pt idx="17">
                  <c:v>-44967.5</c:v>
                </c:pt>
                <c:pt idx="18">
                  <c:v>-44582.83</c:v>
                </c:pt>
                <c:pt idx="19">
                  <c:v>-83233.83</c:v>
                </c:pt>
                <c:pt idx="20">
                  <c:v>-41885.83</c:v>
                </c:pt>
                <c:pt idx="21">
                  <c:v>-61121.33</c:v>
                </c:pt>
                <c:pt idx="22">
                  <c:v>-40247.33</c:v>
                </c:pt>
                <c:pt idx="23">
                  <c:v>-58164.74</c:v>
                </c:pt>
                <c:pt idx="24">
                  <c:v>-38797.07</c:v>
                </c:pt>
                <c:pt idx="25">
                  <c:v>-38309.07</c:v>
                </c:pt>
                <c:pt idx="26">
                  <c:v>-37821.07</c:v>
                </c:pt>
                <c:pt idx="27">
                  <c:v>-37452.69</c:v>
                </c:pt>
                <c:pt idx="28">
                  <c:v>-36963.69</c:v>
                </c:pt>
                <c:pt idx="29">
                  <c:v>-36474.69</c:v>
                </c:pt>
                <c:pt idx="30">
                  <c:v>-36162.29</c:v>
                </c:pt>
                <c:pt idx="31">
                  <c:v>-35574.29</c:v>
                </c:pt>
                <c:pt idx="32">
                  <c:v>-109198.02</c:v>
                </c:pt>
                <c:pt idx="33">
                  <c:v>-15663.35</c:v>
                </c:pt>
                <c:pt idx="34">
                  <c:v>-15075.35</c:v>
                </c:pt>
                <c:pt idx="35">
                  <c:v>-14487.35</c:v>
                </c:pt>
                <c:pt idx="36">
                  <c:v>-4700.28</c:v>
                </c:pt>
              </c:numCache>
            </c:numRef>
          </c:val>
        </c:ser>
        <c:ser>
          <c:idx val="2"/>
          <c:order val="2"/>
          <c:tx>
            <c:strRef>
              <c:f>图!$A$4</c:f>
              <c:strCache>
                <c:ptCount val="1"/>
                <c:pt idx="0">
                  <c:v>期末现金</c:v>
                </c:pt>
              </c:strCache>
            </c:strRef>
          </c:tx>
          <c:spPr>
            <a:solidFill>
              <a:schemeClr val="accent3"/>
            </a:solidFill>
            <a:ln>
              <a:noFill/>
            </a:ln>
            <a:effectLst/>
          </c:spPr>
          <c:invertIfNegative val="0"/>
          <c:dLbls>
            <c:delete val="1"/>
          </c:dLbls>
          <c:cat>
            <c:strRef>
              <c:f>图!$B$1:$AL$1</c:f>
              <c:strCache>
                <c:ptCount val="37"/>
                <c:pt idx="0">
                  <c:v>2020年</c:v>
                </c:pt>
                <c:pt idx="1">
                  <c:v>2021年</c:v>
                </c:pt>
                <c:pt idx="2">
                  <c:v>2022年</c:v>
                </c:pt>
                <c:pt idx="3">
                  <c:v>2023年</c:v>
                </c:pt>
                <c:pt idx="4">
                  <c:v>2024年</c:v>
                </c:pt>
                <c:pt idx="5">
                  <c:v>2025年</c:v>
                </c:pt>
                <c:pt idx="6">
                  <c:v>2026年</c:v>
                </c:pt>
                <c:pt idx="7">
                  <c:v>2027年</c:v>
                </c:pt>
                <c:pt idx="8">
                  <c:v>2028年</c:v>
                </c:pt>
                <c:pt idx="9">
                  <c:v>2029年</c:v>
                </c:pt>
                <c:pt idx="10">
                  <c:v>2030年</c:v>
                </c:pt>
                <c:pt idx="11">
                  <c:v>2031年</c:v>
                </c:pt>
                <c:pt idx="12">
                  <c:v>2032年</c:v>
                </c:pt>
                <c:pt idx="13">
                  <c:v>2033年</c:v>
                </c:pt>
                <c:pt idx="14">
                  <c:v>2034年</c:v>
                </c:pt>
                <c:pt idx="15">
                  <c:v>2035年</c:v>
                </c:pt>
                <c:pt idx="16">
                  <c:v>2036年</c:v>
                </c:pt>
                <c:pt idx="17">
                  <c:v>2037年</c:v>
                </c:pt>
                <c:pt idx="18">
                  <c:v>2038年</c:v>
                </c:pt>
                <c:pt idx="19">
                  <c:v>2039年</c:v>
                </c:pt>
                <c:pt idx="20">
                  <c:v>2040年</c:v>
                </c:pt>
                <c:pt idx="21">
                  <c:v>2041年</c:v>
                </c:pt>
                <c:pt idx="22">
                  <c:v>2042年</c:v>
                </c:pt>
                <c:pt idx="23">
                  <c:v>2043年</c:v>
                </c:pt>
                <c:pt idx="24">
                  <c:v>2044年</c:v>
                </c:pt>
                <c:pt idx="25">
                  <c:v>2045年</c:v>
                </c:pt>
                <c:pt idx="26">
                  <c:v>2046年</c:v>
                </c:pt>
                <c:pt idx="27">
                  <c:v>2047年</c:v>
                </c:pt>
                <c:pt idx="28">
                  <c:v>2048年</c:v>
                </c:pt>
                <c:pt idx="29">
                  <c:v>2049年</c:v>
                </c:pt>
                <c:pt idx="30">
                  <c:v>2050年</c:v>
                </c:pt>
                <c:pt idx="31">
                  <c:v>2051年</c:v>
                </c:pt>
                <c:pt idx="32">
                  <c:v>2052年</c:v>
                </c:pt>
                <c:pt idx="33">
                  <c:v>2053年</c:v>
                </c:pt>
                <c:pt idx="34">
                  <c:v>2054年</c:v>
                </c:pt>
                <c:pt idx="35">
                  <c:v>2055年</c:v>
                </c:pt>
                <c:pt idx="36">
                  <c:v>2056年</c:v>
                </c:pt>
              </c:strCache>
            </c:strRef>
          </c:cat>
          <c:val>
            <c:numRef>
              <c:f>图!$B$4:$AL$4</c:f>
              <c:numCache>
                <c:formatCode>_(* #,##0.00_);_(* \(#,##0.00\);_(* "-"??_);_(@_)</c:formatCode>
                <c:ptCount val="37"/>
                <c:pt idx="0">
                  <c:v>0</c:v>
                </c:pt>
                <c:pt idx="1">
                  <c:v>-1092.21000000001</c:v>
                </c:pt>
                <c:pt idx="2">
                  <c:v>-5140.68399999999</c:v>
                </c:pt>
                <c:pt idx="3">
                  <c:v>-14548.724</c:v>
                </c:pt>
                <c:pt idx="4">
                  <c:v>-31324.154</c:v>
                </c:pt>
                <c:pt idx="5">
                  <c:v>-54431.250002</c:v>
                </c:pt>
                <c:pt idx="6">
                  <c:v>-23006.250002</c:v>
                </c:pt>
                <c:pt idx="7">
                  <c:v>9447.80999800004</c:v>
                </c:pt>
                <c:pt idx="8">
                  <c:v>42928.929998</c:v>
                </c:pt>
                <c:pt idx="9">
                  <c:v>77347.709998</c:v>
                </c:pt>
                <c:pt idx="10">
                  <c:v>112794.549998</c:v>
                </c:pt>
                <c:pt idx="11">
                  <c:v>149269.449998</c:v>
                </c:pt>
                <c:pt idx="12">
                  <c:v>186679.679998</c:v>
                </c:pt>
                <c:pt idx="13">
                  <c:v>225115.829998</c:v>
                </c:pt>
                <c:pt idx="14">
                  <c:v>264580.039998</c:v>
                </c:pt>
                <c:pt idx="15">
                  <c:v>265862.177998</c:v>
                </c:pt>
                <c:pt idx="16">
                  <c:v>308742.657998</c:v>
                </c:pt>
                <c:pt idx="17">
                  <c:v>352486.057998</c:v>
                </c:pt>
                <c:pt idx="18">
                  <c:v>389926.887998</c:v>
                </c:pt>
                <c:pt idx="19">
                  <c:v>389376.777998</c:v>
                </c:pt>
                <c:pt idx="20">
                  <c:v>430834.727998</c:v>
                </c:pt>
                <c:pt idx="21">
                  <c:v>453716.097998</c:v>
                </c:pt>
                <c:pt idx="22">
                  <c:v>498131.527998</c:v>
                </c:pt>
                <c:pt idx="23">
                  <c:v>525289.607998</c:v>
                </c:pt>
                <c:pt idx="24">
                  <c:v>572475.417998</c:v>
                </c:pt>
                <c:pt idx="25">
                  <c:v>620808.147998</c:v>
                </c:pt>
                <c:pt idx="26">
                  <c:v>670288.937998</c:v>
                </c:pt>
                <c:pt idx="27">
                  <c:v>720798.167998</c:v>
                </c:pt>
                <c:pt idx="28">
                  <c:v>772171.457998</c:v>
                </c:pt>
                <c:pt idx="29">
                  <c:v>824407.667998</c:v>
                </c:pt>
                <c:pt idx="30">
                  <c:v>876956.277998</c:v>
                </c:pt>
                <c:pt idx="31">
                  <c:v>970092.887998</c:v>
                </c:pt>
                <c:pt idx="32">
                  <c:v>860894.867998</c:v>
                </c:pt>
                <c:pt idx="33">
                  <c:v>845231.517998</c:v>
                </c:pt>
                <c:pt idx="34">
                  <c:v>830156.167998</c:v>
                </c:pt>
                <c:pt idx="35">
                  <c:v>815668.817998</c:v>
                </c:pt>
                <c:pt idx="36">
                  <c:v>810968.537998</c:v>
                </c:pt>
              </c:numCache>
            </c:numRef>
          </c:val>
        </c:ser>
        <c:dLbls>
          <c:showLegendKey val="0"/>
          <c:showVal val="0"/>
          <c:showCatName val="0"/>
          <c:showSerName val="0"/>
          <c:showPercent val="0"/>
          <c:showBubbleSize val="0"/>
        </c:dLbls>
        <c:gapWidth val="219"/>
        <c:overlap val="-27"/>
        <c:axId val="434860248"/>
        <c:axId val="434859264"/>
      </c:barChart>
      <c:catAx>
        <c:axId val="434860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4859264"/>
        <c:crosses val="autoZero"/>
        <c:auto val="1"/>
        <c:lblAlgn val="ctr"/>
        <c:lblOffset val="100"/>
        <c:noMultiLvlLbl val="0"/>
      </c:catAx>
      <c:valAx>
        <c:axId val="434859264"/>
        <c:scaling>
          <c:orientation val="minMax"/>
        </c:scaling>
        <c:delete val="0"/>
        <c:axPos val="l"/>
        <c:majorGridlines>
          <c:spPr>
            <a:ln w="9525" cap="flat" cmpd="sng" algn="ctr">
              <a:solidFill>
                <a:schemeClr val="tx1">
                  <a:lumMod val="15000"/>
                  <a:lumOff val="85000"/>
                </a:schemeClr>
              </a:solidFill>
              <a:round/>
            </a:ln>
            <a:effectLst/>
          </c:spPr>
        </c:majorGridlines>
        <c:numFmt formatCode="_(* #,##0.00_);_(* \(#,##0.00\);_(* &quot;-&quot;??_);_(@_)"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486024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图!$A$2</c:f>
              <c:strCache>
                <c:ptCount val="1"/>
                <c:pt idx="0">
                  <c:v>现金流入</c:v>
                </c:pt>
              </c:strCache>
            </c:strRef>
          </c:tx>
          <c:spPr>
            <a:solidFill>
              <a:schemeClr val="accent1"/>
            </a:solidFill>
            <a:ln>
              <a:noFill/>
            </a:ln>
            <a:effectLst/>
          </c:spPr>
          <c:invertIfNegative val="0"/>
          <c:dLbls>
            <c:delete val="1"/>
          </c:dLbls>
          <c:cat>
            <c:strRef>
              <c:extLst>
                <c:ext xmlns:c15="http://schemas.microsoft.com/office/drawing/2012/chart" uri="{02D57815-91ED-43cb-92C2-25804820EDAC}">
                  <c15:fullRef>
                    <c15:sqref>图!$B$1:$AL$1</c15:sqref>
                  </c15:fullRef>
                </c:ext>
              </c:extLst>
              <c:f>(图!$E$1:$U$1,图!$AK$1:$AL$1)</c:f>
              <c:strCache>
                <c:ptCount val="17"/>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strCache>
            </c:strRef>
          </c:cat>
          <c:val>
            <c:numRef>
              <c:extLst>
                <c:ext xmlns:c15="http://schemas.microsoft.com/office/drawing/2012/chart" uri="{02D57815-91ED-43cb-92C2-25804820EDAC}">
                  <c15:fullRef>
                    <c15:sqref>图!$B$2:$AL$2</c15:sqref>
                  </c15:fullRef>
                </c:ext>
              </c:extLst>
              <c:f>(图!$E$2:$U$2,图!$AK$2:$AL$2)</c:f>
              <c:numCache>
                <c:formatCode>_ * #,##0.00_ ;_ * \-#,##0.00_ ;_ * "-"??_ ;_ @_ </c:formatCode>
                <c:ptCount val="17"/>
                <c:pt idx="0">
                  <c:v>6082.25</c:v>
                </c:pt>
                <c:pt idx="1">
                  <c:v>4537.75</c:v>
                </c:pt>
                <c:pt idx="2">
                  <c:v>1154.58</c:v>
                </c:pt>
                <c:pt idx="3">
                  <c:v>1374.78</c:v>
                </c:pt>
                <c:pt idx="4">
                  <c:v>1558.18</c:v>
                </c:pt>
                <c:pt idx="5">
                  <c:v>1790.07</c:v>
                </c:pt>
                <c:pt idx="6">
                  <c:v>1790.07</c:v>
                </c:pt>
                <c:pt idx="7">
                  <c:v>1790.07</c:v>
                </c:pt>
                <c:pt idx="8">
                  <c:v>1878.72</c:v>
                </c:pt>
                <c:pt idx="9">
                  <c:v>1878.72</c:v>
                </c:pt>
                <c:pt idx="10">
                  <c:v>1878.72</c:v>
                </c:pt>
                <c:pt idx="11">
                  <c:v>1973.08</c:v>
                </c:pt>
                <c:pt idx="12">
                  <c:v>1973.08</c:v>
                </c:pt>
                <c:pt idx="13">
                  <c:v>1973.08</c:v>
                </c:pt>
                <c:pt idx="14">
                  <c:v>2071.22</c:v>
                </c:pt>
                <c:pt idx="15">
                  <c:v>2071.22</c:v>
                </c:pt>
                <c:pt idx="16">
                  <c:v>0</c:v>
                </c:pt>
              </c:numCache>
            </c:numRef>
          </c:val>
        </c:ser>
        <c:ser>
          <c:idx val="1"/>
          <c:order val="1"/>
          <c:tx>
            <c:strRef>
              <c:f>图!$A$3</c:f>
              <c:strCache>
                <c:ptCount val="1"/>
                <c:pt idx="0">
                  <c:v>现金流出</c:v>
                </c:pt>
              </c:strCache>
            </c:strRef>
          </c:tx>
          <c:spPr>
            <a:solidFill>
              <a:schemeClr val="accent2"/>
            </a:solidFill>
            <a:ln>
              <a:noFill/>
            </a:ln>
            <a:effectLst/>
          </c:spPr>
          <c:invertIfNegative val="0"/>
          <c:dLbls>
            <c:delete val="1"/>
          </c:dLbls>
          <c:cat>
            <c:strRef>
              <c:extLst>
                <c:ext xmlns:c15="http://schemas.microsoft.com/office/drawing/2012/chart" uri="{02D57815-91ED-43cb-92C2-25804820EDAC}">
                  <c15:fullRef>
                    <c15:sqref>图!$B$1:$AL$1</c15:sqref>
                  </c15:fullRef>
                </c:ext>
              </c:extLst>
              <c:f>(图!$E$1:$U$1,图!$AK$1:$AL$1)</c:f>
              <c:strCache>
                <c:ptCount val="17"/>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strCache>
            </c:strRef>
          </c:cat>
          <c:val>
            <c:numRef>
              <c:extLst>
                <c:ext xmlns:c15="http://schemas.microsoft.com/office/drawing/2012/chart" uri="{02D57815-91ED-43cb-92C2-25804820EDAC}">
                  <c15:fullRef>
                    <c15:sqref>图!$B$3:$AL$3</c15:sqref>
                  </c15:fullRef>
                </c:ext>
              </c:extLst>
              <c:f>(图!$E$3:$U$3,图!$AK$3:$AL$3)</c:f>
              <c:numCache>
                <c:formatCode>_ * #,##0.00_ ;_ * \-#,##0.00_ ;_ * "-"??_ ;_ @_ </c:formatCode>
                <c:ptCount val="17"/>
                <c:pt idx="0">
                  <c:v>-6082.25</c:v>
                </c:pt>
                <c:pt idx="1">
                  <c:v>-4537.75</c:v>
                </c:pt>
                <c:pt idx="2">
                  <c:v>-530.78</c:v>
                </c:pt>
                <c:pt idx="3">
                  <c:v>-552.8</c:v>
                </c:pt>
                <c:pt idx="4">
                  <c:v>-571.14</c:v>
                </c:pt>
                <c:pt idx="5">
                  <c:v>-597.93</c:v>
                </c:pt>
                <c:pt idx="6">
                  <c:v>-597.93</c:v>
                </c:pt>
                <c:pt idx="7">
                  <c:v>-597.93</c:v>
                </c:pt>
                <c:pt idx="8">
                  <c:v>-691.33</c:v>
                </c:pt>
                <c:pt idx="9">
                  <c:v>-784.31</c:v>
                </c:pt>
                <c:pt idx="10">
                  <c:v>-784.31</c:v>
                </c:pt>
                <c:pt idx="11">
                  <c:v>-806.45</c:v>
                </c:pt>
                <c:pt idx="12">
                  <c:v>-806.45</c:v>
                </c:pt>
                <c:pt idx="13">
                  <c:v>-806.45</c:v>
                </c:pt>
                <c:pt idx="14">
                  <c:v>-829.5</c:v>
                </c:pt>
                <c:pt idx="15">
                  <c:v>-5752.25</c:v>
                </c:pt>
                <c:pt idx="16">
                  <c:v>-3779.55</c:v>
                </c:pt>
              </c:numCache>
            </c:numRef>
          </c:val>
        </c:ser>
        <c:ser>
          <c:idx val="2"/>
          <c:order val="2"/>
          <c:tx>
            <c:strRef>
              <c:f>图!$A$4</c:f>
              <c:strCache>
                <c:ptCount val="1"/>
                <c:pt idx="0">
                  <c:v>期末现金</c:v>
                </c:pt>
              </c:strCache>
            </c:strRef>
          </c:tx>
          <c:spPr>
            <a:solidFill>
              <a:schemeClr val="accent3"/>
            </a:solidFill>
            <a:ln>
              <a:noFill/>
            </a:ln>
            <a:effectLst/>
          </c:spPr>
          <c:invertIfNegative val="0"/>
          <c:dLbls>
            <c:delete val="1"/>
          </c:dLbls>
          <c:cat>
            <c:strRef>
              <c:extLst>
                <c:ext xmlns:c15="http://schemas.microsoft.com/office/drawing/2012/chart" uri="{02D57815-91ED-43cb-92C2-25804820EDAC}">
                  <c15:fullRef>
                    <c15:sqref>图!$B$1:$AL$1</c15:sqref>
                  </c15:fullRef>
                </c:ext>
              </c:extLst>
              <c:f>(图!$E$1:$U$1,图!$AK$1:$AL$1)</c:f>
              <c:strCache>
                <c:ptCount val="17"/>
                <c:pt idx="0">
                  <c:v>2023年</c:v>
                </c:pt>
                <c:pt idx="1">
                  <c:v>2024年</c:v>
                </c:pt>
                <c:pt idx="2">
                  <c:v>2025年</c:v>
                </c:pt>
                <c:pt idx="3">
                  <c:v>2026年</c:v>
                </c:pt>
                <c:pt idx="4">
                  <c:v>2027年</c:v>
                </c:pt>
                <c:pt idx="5">
                  <c:v>2028年</c:v>
                </c:pt>
                <c:pt idx="6">
                  <c:v>2029年</c:v>
                </c:pt>
                <c:pt idx="7">
                  <c:v>2030年</c:v>
                </c:pt>
                <c:pt idx="8">
                  <c:v>2031年</c:v>
                </c:pt>
                <c:pt idx="9">
                  <c:v>2032年</c:v>
                </c:pt>
                <c:pt idx="10">
                  <c:v>2033年</c:v>
                </c:pt>
                <c:pt idx="11">
                  <c:v>2034年</c:v>
                </c:pt>
                <c:pt idx="12">
                  <c:v>2035年</c:v>
                </c:pt>
                <c:pt idx="13">
                  <c:v>2036年</c:v>
                </c:pt>
                <c:pt idx="14">
                  <c:v>2037年</c:v>
                </c:pt>
                <c:pt idx="15">
                  <c:v>2038年</c:v>
                </c:pt>
                <c:pt idx="16">
                  <c:v>2039年</c:v>
                </c:pt>
              </c:strCache>
            </c:strRef>
          </c:cat>
          <c:val>
            <c:numRef>
              <c:extLst>
                <c:ext xmlns:c15="http://schemas.microsoft.com/office/drawing/2012/chart" uri="{02D57815-91ED-43cb-92C2-25804820EDAC}">
                  <c15:fullRef>
                    <c15:sqref>图!$B$4:$AL$4</c15:sqref>
                  </c15:fullRef>
                </c:ext>
              </c:extLst>
              <c:f>(图!$E$4:$U$4,图!$AK$4:$AL$4)</c:f>
              <c:numCache>
                <c:formatCode>_ * #,##0.00_ ;_ * \-#,##0.00_ ;_ * "-"??_ ;_ @_ </c:formatCode>
                <c:ptCount val="17"/>
                <c:pt idx="0">
                  <c:v>0</c:v>
                </c:pt>
                <c:pt idx="1">
                  <c:v>0</c:v>
                </c:pt>
                <c:pt idx="2">
                  <c:v>623.8</c:v>
                </c:pt>
                <c:pt idx="3">
                  <c:v>1445.78</c:v>
                </c:pt>
                <c:pt idx="4">
                  <c:v>2432.82</c:v>
                </c:pt>
                <c:pt idx="5">
                  <c:v>3624.96</c:v>
                </c:pt>
                <c:pt idx="6">
                  <c:v>4817.1</c:v>
                </c:pt>
                <c:pt idx="7">
                  <c:v>6009.24</c:v>
                </c:pt>
                <c:pt idx="8">
                  <c:v>7196.63</c:v>
                </c:pt>
                <c:pt idx="9">
                  <c:v>8291.04</c:v>
                </c:pt>
                <c:pt idx="10">
                  <c:v>9385.45</c:v>
                </c:pt>
                <c:pt idx="11">
                  <c:v>10552.08</c:v>
                </c:pt>
                <c:pt idx="12">
                  <c:v>11718.71</c:v>
                </c:pt>
                <c:pt idx="13">
                  <c:v>12885.34</c:v>
                </c:pt>
                <c:pt idx="14">
                  <c:v>14127.06</c:v>
                </c:pt>
                <c:pt idx="15">
                  <c:v>10446.03</c:v>
                </c:pt>
                <c:pt idx="16">
                  <c:v>6666.48</c:v>
                </c:pt>
              </c:numCache>
            </c:numRef>
          </c:val>
        </c:ser>
        <c:dLbls>
          <c:showLegendKey val="0"/>
          <c:showVal val="0"/>
          <c:showCatName val="0"/>
          <c:showSerName val="0"/>
          <c:showPercent val="0"/>
          <c:showBubbleSize val="0"/>
        </c:dLbls>
        <c:gapWidth val="219"/>
        <c:overlap val="-27"/>
        <c:axId val="376940416"/>
        <c:axId val="377132544"/>
      </c:barChart>
      <c:catAx>
        <c:axId val="376940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7132544"/>
        <c:crosses val="autoZero"/>
        <c:auto val="1"/>
        <c:lblAlgn val="ctr"/>
        <c:lblOffset val="100"/>
        <c:noMultiLvlLbl val="0"/>
      </c:catAx>
      <c:valAx>
        <c:axId val="377132544"/>
        <c:scaling>
          <c:orientation val="minMax"/>
        </c:scaling>
        <c:delete val="0"/>
        <c:axPos val="l"/>
        <c:majorGridlines>
          <c:spPr>
            <a:ln w="9525" cap="flat" cmpd="sng" algn="ctr">
              <a:solidFill>
                <a:schemeClr val="tx1">
                  <a:lumMod val="15000"/>
                  <a:lumOff val="850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694041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F0779D-EB91-4581-A45F-C40583552EBF}">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91</Pages>
  <Words>3259</Words>
  <Characters>18578</Characters>
  <Lines>154</Lines>
  <Paragraphs>43</Paragraphs>
  <TotalTime>0</TotalTime>
  <ScaleCrop>false</ScaleCrop>
  <LinksUpToDate>false</LinksUpToDate>
  <CharactersWithSpaces>21794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2023-10-25T02:12:00Z</dcterms:created>
  <dc:creator>d</dc:creator>
  <cp:lastModifiedBy>W</cp:lastModifiedBy>
  <cp:lastPrinted>2020-10-09T16:22:00Z</cp:lastPrinted>
  <dcterms:modified xsi:type="dcterms:W3CDTF">2024-09-20T11:58:09Z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35A68032CC27478A99B29A1C4E7BF525_13</vt:lpwstr>
  </property>
</Properties>
</file>