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643"/>
        <w:jc w:val="center"/>
        <w:rPr>
          <w:rFonts w:hint="eastAsia" w:ascii="方正小标宋简体" w:hAnsi="方正小标宋简体" w:eastAsia="方正小标宋简体" w:cs="方正小标宋简体"/>
          <w:b/>
          <w:sz w:val="44"/>
          <w:szCs w:val="44"/>
          <w:highlight w:val="none"/>
        </w:rPr>
      </w:pPr>
    </w:p>
    <w:p>
      <w:pPr>
        <w:snapToGrid w:val="0"/>
        <w:spacing w:line="360" w:lineRule="auto"/>
        <w:ind w:firstLine="0" w:firstLineChars="0"/>
        <w:jc w:val="center"/>
        <w:outlineLvl w:val="0"/>
        <w:rPr>
          <w:rFonts w:hint="eastAsia" w:ascii="方正小标宋简体" w:hAnsi="方正小标宋简体" w:eastAsia="方正小标宋简体" w:cs="方正小标宋简体"/>
          <w:b/>
          <w:sz w:val="44"/>
          <w:szCs w:val="44"/>
          <w:highlight w:val="none"/>
        </w:rPr>
      </w:pPr>
      <w:bookmarkStart w:id="0" w:name="_Toc5385"/>
      <w:bookmarkStart w:id="1" w:name="_Toc3306"/>
      <w:bookmarkStart w:id="2" w:name="_Toc5413"/>
      <w:bookmarkStart w:id="3" w:name="_Toc5959"/>
      <w:r>
        <w:rPr>
          <w:rFonts w:hint="eastAsia" w:ascii="方正小标宋简体" w:hAnsi="方正小标宋简体" w:eastAsia="方正小标宋简体" w:cs="方正小标宋简体"/>
          <w:b/>
          <w:sz w:val="44"/>
          <w:szCs w:val="44"/>
          <w:highlight w:val="none"/>
        </w:rPr>
        <w:t>2024年广东省政府专项债券（六期）</w:t>
      </w:r>
    </w:p>
    <w:p>
      <w:pPr>
        <w:snapToGrid w:val="0"/>
        <w:spacing w:line="360" w:lineRule="auto"/>
        <w:ind w:firstLine="0" w:firstLineChars="0"/>
        <w:jc w:val="center"/>
        <w:outlineLvl w:val="0"/>
        <w:rPr>
          <w:rFonts w:hint="eastAsia" w:ascii="方正小标宋简体" w:hAnsi="方正小标宋简体" w:eastAsia="方正小标宋简体" w:cs="方正小标宋简体"/>
          <w:b/>
          <w:sz w:val="44"/>
          <w:szCs w:val="44"/>
          <w:highlight w:val="none"/>
          <w:lang w:val="en-US" w:eastAsia="zh-CN"/>
        </w:rPr>
      </w:pPr>
      <w:r>
        <w:rPr>
          <w:rFonts w:hint="eastAsia" w:ascii="方正小标宋简体" w:hAnsi="方正小标宋简体" w:eastAsia="方正小标宋简体" w:cs="方正小标宋简体"/>
          <w:b/>
          <w:sz w:val="44"/>
          <w:szCs w:val="44"/>
          <w:highlight w:val="none"/>
        </w:rPr>
        <w:t>源城区工业园第三期扩园</w:t>
      </w:r>
      <w:r>
        <w:rPr>
          <w:rFonts w:hint="eastAsia" w:ascii="方正小标宋简体" w:hAnsi="方正小标宋简体" w:eastAsia="方正小标宋简体" w:cs="方正小标宋简体"/>
          <w:b/>
          <w:sz w:val="44"/>
          <w:szCs w:val="44"/>
          <w:highlight w:val="none"/>
          <w:lang w:val="en-US" w:eastAsia="zh-CN"/>
        </w:rPr>
        <w:t>项目</w:t>
      </w:r>
      <w:bookmarkEnd w:id="0"/>
      <w:bookmarkEnd w:id="1"/>
      <w:bookmarkEnd w:id="2"/>
      <w:bookmarkEnd w:id="3"/>
    </w:p>
    <w:p>
      <w:pPr>
        <w:snapToGrid w:val="0"/>
        <w:spacing w:line="360" w:lineRule="auto"/>
        <w:ind w:firstLine="0" w:firstLineChars="0"/>
        <w:jc w:val="center"/>
        <w:outlineLvl w:val="0"/>
        <w:rPr>
          <w:rFonts w:hint="eastAsia" w:ascii="方正小标宋简体" w:hAnsi="方正小标宋简体" w:eastAsia="方正小标宋简体" w:cs="方正小标宋简体"/>
          <w:b/>
          <w:bCs w:val="0"/>
          <w:sz w:val="44"/>
          <w:szCs w:val="44"/>
          <w:highlight w:val="none"/>
        </w:rPr>
      </w:pPr>
      <w:bookmarkStart w:id="4" w:name="_Toc7577"/>
      <w:bookmarkStart w:id="5" w:name="_Toc21889"/>
      <w:bookmarkStart w:id="6" w:name="_Toc11538"/>
      <w:bookmarkStart w:id="7" w:name="_Toc4241"/>
      <w:r>
        <w:rPr>
          <w:rFonts w:hint="eastAsia" w:ascii="方正小标宋简体" w:hAnsi="方正小标宋简体" w:eastAsia="方正小标宋简体" w:cs="方正小标宋简体"/>
          <w:b/>
          <w:sz w:val="44"/>
          <w:szCs w:val="44"/>
          <w:highlight w:val="none"/>
        </w:rPr>
        <w:t>专项债券</w:t>
      </w:r>
      <w:r>
        <w:rPr>
          <w:rFonts w:hint="eastAsia" w:ascii="方正小标宋简体" w:hAnsi="方正小标宋简体" w:eastAsia="方正小标宋简体" w:cs="方正小标宋简体"/>
          <w:b/>
          <w:bCs w:val="0"/>
          <w:sz w:val="44"/>
          <w:szCs w:val="44"/>
          <w:highlight w:val="none"/>
          <w:lang w:eastAsia="zh-CN"/>
        </w:rPr>
        <w:t>项目募投报告</w:t>
      </w:r>
      <w:bookmarkEnd w:id="4"/>
      <w:bookmarkEnd w:id="5"/>
      <w:bookmarkEnd w:id="6"/>
      <w:bookmarkEnd w:id="7"/>
    </w:p>
    <w:p>
      <w:pPr>
        <w:ind w:firstLine="803"/>
        <w:jc w:val="center"/>
        <w:rPr>
          <w:rFonts w:ascii="黑体" w:hAnsi="黑体" w:eastAsia="黑体" w:cs="黑体"/>
          <w:b/>
          <w:bCs/>
          <w:sz w:val="40"/>
          <w:szCs w:val="48"/>
          <w:highlight w:val="none"/>
        </w:rPr>
      </w:pPr>
    </w:p>
    <w:p>
      <w:pPr>
        <w:ind w:firstLine="800"/>
        <w:rPr>
          <w:rFonts w:ascii="黑体" w:hAnsi="黑体" w:eastAsia="黑体" w:cs="黑体"/>
          <w:sz w:val="40"/>
          <w:szCs w:val="48"/>
          <w:highlight w:val="none"/>
        </w:rPr>
      </w:pPr>
    </w:p>
    <w:p>
      <w:pPr>
        <w:pStyle w:val="16"/>
        <w:rPr>
          <w:rFonts w:ascii="黑体" w:hAnsi="黑体" w:eastAsia="黑体" w:cs="黑体"/>
          <w:sz w:val="40"/>
          <w:szCs w:val="48"/>
          <w:highlight w:val="none"/>
        </w:rPr>
      </w:pPr>
    </w:p>
    <w:p>
      <w:pPr>
        <w:ind w:firstLine="800"/>
        <w:rPr>
          <w:rFonts w:ascii="黑体" w:hAnsi="黑体" w:eastAsia="黑体" w:cs="黑体"/>
          <w:sz w:val="40"/>
          <w:szCs w:val="48"/>
          <w:highlight w:val="none"/>
        </w:rPr>
      </w:pPr>
    </w:p>
    <w:p>
      <w:pPr>
        <w:ind w:firstLine="560"/>
        <w:rPr>
          <w:highlight w:val="none"/>
        </w:rPr>
      </w:pPr>
    </w:p>
    <w:p>
      <w:pPr>
        <w:ind w:firstLine="800"/>
        <w:rPr>
          <w:rFonts w:ascii="黑体" w:hAnsi="黑体" w:eastAsia="黑体" w:cs="黑体"/>
          <w:sz w:val="40"/>
          <w:szCs w:val="48"/>
          <w:highlight w:val="none"/>
        </w:rPr>
      </w:pPr>
      <w:r>
        <w:rPr>
          <w:rFonts w:hint="eastAsia" w:ascii="黑体" w:hAnsi="黑体" w:eastAsia="黑体" w:cs="黑体"/>
          <w:sz w:val="40"/>
          <w:szCs w:val="48"/>
          <w:highlight w:val="none"/>
        </w:rPr>
        <w:t>实施单位盖章：河源市源城区工业园管理委员会</w:t>
      </w:r>
    </w:p>
    <w:p>
      <w:pPr>
        <w:ind w:firstLine="800"/>
        <w:rPr>
          <w:rFonts w:ascii="黑体" w:hAnsi="黑体" w:eastAsia="黑体" w:cs="黑体"/>
          <w:sz w:val="40"/>
          <w:szCs w:val="48"/>
          <w:highlight w:val="none"/>
        </w:rPr>
      </w:pPr>
    </w:p>
    <w:p>
      <w:pPr>
        <w:ind w:firstLine="800"/>
        <w:rPr>
          <w:rFonts w:ascii="黑体" w:hAnsi="黑体" w:eastAsia="黑体" w:cs="黑体"/>
          <w:sz w:val="40"/>
          <w:szCs w:val="48"/>
          <w:highlight w:val="none"/>
        </w:rPr>
      </w:pPr>
    </w:p>
    <w:p>
      <w:pPr>
        <w:pStyle w:val="16"/>
        <w:rPr>
          <w:highlight w:val="none"/>
        </w:rPr>
      </w:pPr>
    </w:p>
    <w:p>
      <w:pPr>
        <w:ind w:firstLine="800"/>
        <w:rPr>
          <w:rFonts w:ascii="黑体" w:hAnsi="黑体" w:eastAsia="黑体" w:cs="黑体"/>
          <w:sz w:val="40"/>
          <w:szCs w:val="48"/>
          <w:highlight w:val="none"/>
        </w:rPr>
      </w:pPr>
      <w:r>
        <w:rPr>
          <w:rFonts w:hint="eastAsia" w:ascii="黑体" w:hAnsi="黑体" w:eastAsia="黑体" w:cs="黑体"/>
          <w:sz w:val="40"/>
          <w:szCs w:val="48"/>
          <w:highlight w:val="none"/>
        </w:rPr>
        <w:t>主管部门盖章：河源市源城区工业园管理委员会</w:t>
      </w:r>
    </w:p>
    <w:p>
      <w:pPr>
        <w:ind w:firstLine="800"/>
        <w:rPr>
          <w:rFonts w:ascii="黑体" w:hAnsi="黑体" w:eastAsia="黑体" w:cs="黑体"/>
          <w:sz w:val="40"/>
          <w:szCs w:val="48"/>
          <w:highlight w:val="none"/>
        </w:rPr>
      </w:pPr>
    </w:p>
    <w:p>
      <w:pPr>
        <w:pStyle w:val="16"/>
        <w:rPr>
          <w:highlight w:val="none"/>
        </w:rPr>
      </w:pPr>
    </w:p>
    <w:p>
      <w:pPr>
        <w:ind w:firstLine="800"/>
        <w:rPr>
          <w:rFonts w:ascii="黑体" w:hAnsi="黑体" w:eastAsia="黑体" w:cs="黑体"/>
          <w:sz w:val="40"/>
          <w:szCs w:val="48"/>
          <w:highlight w:val="none"/>
        </w:rPr>
      </w:pPr>
    </w:p>
    <w:p>
      <w:pPr>
        <w:ind w:firstLine="800"/>
        <w:rPr>
          <w:rFonts w:ascii="黑体" w:hAnsi="黑体" w:eastAsia="黑体" w:cs="黑体"/>
          <w:sz w:val="40"/>
          <w:szCs w:val="48"/>
          <w:highlight w:val="none"/>
        </w:rPr>
      </w:pPr>
      <w:r>
        <w:rPr>
          <w:rFonts w:hint="eastAsia" w:ascii="黑体" w:hAnsi="黑体" w:eastAsia="黑体" w:cs="黑体"/>
          <w:sz w:val="40"/>
          <w:szCs w:val="48"/>
          <w:highlight w:val="none"/>
          <w:lang w:eastAsia="zh-CN"/>
        </w:rPr>
        <w:t>市（县、区）</w:t>
      </w:r>
      <w:r>
        <w:rPr>
          <w:rFonts w:hint="eastAsia" w:ascii="黑体" w:hAnsi="黑体" w:eastAsia="黑体" w:cs="黑体"/>
          <w:sz w:val="40"/>
          <w:szCs w:val="48"/>
          <w:highlight w:val="none"/>
        </w:rPr>
        <w:t>财政局盖章：河源市源城区财政局</w:t>
      </w:r>
    </w:p>
    <w:p>
      <w:pPr>
        <w:pStyle w:val="16"/>
        <w:rPr>
          <w:rFonts w:ascii="黑体" w:hAnsi="黑体" w:eastAsia="黑体" w:cs="黑体"/>
          <w:sz w:val="40"/>
          <w:szCs w:val="48"/>
          <w:highlight w:val="none"/>
        </w:rPr>
      </w:pPr>
    </w:p>
    <w:p>
      <w:pPr>
        <w:ind w:firstLine="800"/>
        <w:jc w:val="center"/>
        <w:rPr>
          <w:rFonts w:ascii="黑体" w:hAnsi="黑体" w:eastAsia="黑体" w:cs="黑体"/>
          <w:sz w:val="40"/>
          <w:szCs w:val="48"/>
          <w:highlight w:val="none"/>
        </w:rPr>
      </w:pPr>
    </w:p>
    <w:p>
      <w:pPr>
        <w:spacing w:line="360" w:lineRule="auto"/>
        <w:ind w:firstLine="0" w:firstLineChars="0"/>
        <w:jc w:val="center"/>
        <w:rPr>
          <w:rFonts w:hint="eastAsia" w:ascii="黑体" w:hAnsi="黑体" w:eastAsia="黑体" w:cs="黑体"/>
          <w:sz w:val="40"/>
          <w:szCs w:val="48"/>
          <w:highlight w:val="none"/>
        </w:rPr>
      </w:pPr>
      <w:r>
        <w:rPr>
          <w:rFonts w:hint="eastAsia" w:ascii="黑体" w:hAnsi="黑体" w:eastAsia="黑体" w:cs="黑体"/>
          <w:sz w:val="40"/>
          <w:szCs w:val="48"/>
          <w:highlight w:val="none"/>
          <w:lang w:val="en-US" w:eastAsia="zh-CN"/>
        </w:rPr>
        <w:t>2024</w:t>
      </w:r>
      <w:r>
        <w:rPr>
          <w:rFonts w:hint="eastAsia" w:ascii="黑体" w:hAnsi="黑体" w:eastAsia="黑体" w:cs="黑体"/>
          <w:sz w:val="40"/>
          <w:szCs w:val="48"/>
          <w:highlight w:val="none"/>
        </w:rPr>
        <w:t>年</w:t>
      </w:r>
      <w:r>
        <w:rPr>
          <w:rFonts w:hint="eastAsia" w:ascii="黑体" w:hAnsi="黑体" w:eastAsia="黑体" w:cs="黑体"/>
          <w:sz w:val="40"/>
          <w:szCs w:val="48"/>
          <w:highlight w:val="none"/>
          <w:lang w:val="en-US" w:eastAsia="zh-CN"/>
        </w:rPr>
        <w:t>01</w:t>
      </w:r>
      <w:r>
        <w:rPr>
          <w:rFonts w:hint="eastAsia" w:ascii="黑体" w:hAnsi="黑体" w:eastAsia="黑体" w:cs="黑体"/>
          <w:sz w:val="40"/>
          <w:szCs w:val="48"/>
          <w:highlight w:val="none"/>
        </w:rPr>
        <w:t>月</w:t>
      </w:r>
    </w:p>
    <w:p>
      <w:pPr>
        <w:pStyle w:val="16"/>
        <w:rPr>
          <w:rFonts w:hint="eastAsia"/>
        </w:rPr>
      </w:pPr>
    </w:p>
    <w:p>
      <w:pPr>
        <w:snapToGrid w:val="0"/>
        <w:ind w:left="0" w:leftChars="0" w:firstLine="0" w:firstLineChars="0"/>
        <w:jc w:val="center"/>
        <w:rPr>
          <w:rFonts w:hint="eastAsia" w:ascii="黑体" w:hAnsi="黑体" w:eastAsia="黑体" w:cs="黑体"/>
          <w:sz w:val="32"/>
          <w:szCs w:val="32"/>
        </w:rPr>
        <w:sectPr>
          <w:footerReference r:id="rId5" w:type="default"/>
          <w:pgSz w:w="11850" w:h="16783"/>
          <w:pgMar w:top="1644" w:right="1361" w:bottom="1587" w:left="1474"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snapToGrid w:val="0"/>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目录</w:t>
      </w:r>
    </w:p>
    <w:sdt>
      <w:sdtPr>
        <w:rPr>
          <w:rFonts w:ascii="宋体" w:hAnsi="宋体" w:eastAsia="宋体" w:cs="宋体"/>
          <w:kern w:val="0"/>
          <w:sz w:val="21"/>
          <w:szCs w:val="22"/>
          <w:lang w:val="en-US" w:eastAsia="zh-CN" w:bidi="ar-SA"/>
        </w:rPr>
        <w:id w:val="147478429"/>
        <w15:color w:val="DBDBDB"/>
        <w:docPartObj>
          <w:docPartGallery w:val="Table of Contents"/>
          <w:docPartUnique/>
        </w:docPartObj>
      </w:sdtPr>
      <w:sdtEndPr>
        <w:rPr>
          <w:rFonts w:ascii="宋体" w:hAnsi="宋体" w:eastAsia="宋体" w:cs="宋体"/>
          <w:kern w:val="0"/>
          <w:sz w:val="28"/>
          <w:szCs w:val="30"/>
          <w:lang w:val="en-US" w:eastAsia="zh-CN" w:bidi="ar-SA"/>
        </w:rPr>
      </w:sdtEndPr>
      <w:sdtContent>
        <w:p>
          <w:pPr>
            <w:snapToGrid w:val="0"/>
            <w:spacing w:beforeLines="0" w:afterLines="0"/>
            <w:ind w:firstLine="0" w:firstLineChars="0"/>
            <w:jc w:val="center"/>
          </w:pPr>
          <w:r>
            <w:rPr>
              <w:rFonts w:ascii="宋体" w:hAnsi="宋体" w:eastAsia="宋体"/>
              <w:sz w:val="30"/>
              <w:szCs w:val="30"/>
            </w:rPr>
            <w:fldChar w:fldCharType="begin"/>
          </w:r>
          <w:r>
            <w:rPr>
              <w:rFonts w:ascii="宋体" w:hAnsi="宋体" w:eastAsia="宋体"/>
              <w:sz w:val="30"/>
              <w:szCs w:val="30"/>
            </w:rPr>
            <w:instrText xml:space="preserve">TOC \o "1-3" \h \u </w:instrText>
          </w:r>
          <w:r>
            <w:rPr>
              <w:rFonts w:ascii="宋体" w:hAnsi="宋体" w:eastAsia="宋体"/>
              <w:sz w:val="30"/>
              <w:szCs w:val="30"/>
            </w:rPr>
            <w:fldChar w:fldCharType="separate"/>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_Toc19790 </w:instrText>
          </w:r>
          <w:r>
            <w:rPr>
              <w:rFonts w:ascii="宋体" w:hAnsi="宋体" w:eastAsia="宋体"/>
              <w:szCs w:val="30"/>
            </w:rPr>
            <w:fldChar w:fldCharType="separate"/>
          </w:r>
          <w:r>
            <w:rPr>
              <w:rFonts w:hint="eastAsia" w:ascii="黑体" w:hAnsi="黑体" w:eastAsia="黑体" w:cs="黑体"/>
              <w:sz w:val="28"/>
              <w:szCs w:val="28"/>
            </w:rPr>
            <w:t>一、项目基本情况</w:t>
          </w:r>
          <w:r>
            <w:tab/>
          </w:r>
          <w:r>
            <w:rPr>
              <w:rFonts w:ascii="Calibri" w:hAnsi="Calibri" w:eastAsia="仿宋" w:cs="宋体"/>
              <w:kern w:val="0"/>
              <w:sz w:val="28"/>
              <w:szCs w:val="22"/>
              <w:lang w:val="en-US" w:eastAsia="zh-CN" w:bidi="ar-SA"/>
            </w:rPr>
            <w:fldChar w:fldCharType="begin"/>
          </w:r>
          <w:r>
            <w:rPr>
              <w:rFonts w:ascii="Calibri" w:hAnsi="Calibri" w:eastAsia="仿宋" w:cs="宋体"/>
              <w:kern w:val="0"/>
              <w:sz w:val="28"/>
              <w:szCs w:val="22"/>
              <w:lang w:val="en-US" w:eastAsia="zh-CN" w:bidi="ar-SA"/>
            </w:rPr>
            <w:instrText xml:space="preserve"> PAGEREF _Toc19790 \h </w:instrText>
          </w:r>
          <w:r>
            <w:rPr>
              <w:rFonts w:ascii="Calibri" w:hAnsi="Calibri" w:eastAsia="仿宋" w:cs="宋体"/>
              <w:kern w:val="0"/>
              <w:sz w:val="28"/>
              <w:szCs w:val="22"/>
              <w:lang w:val="en-US" w:eastAsia="zh-CN" w:bidi="ar-SA"/>
            </w:rPr>
            <w:fldChar w:fldCharType="separate"/>
          </w:r>
          <w:r>
            <w:rPr>
              <w:rFonts w:ascii="Calibri" w:hAnsi="Calibri" w:eastAsia="仿宋" w:cs="宋体"/>
              <w:kern w:val="0"/>
              <w:sz w:val="28"/>
              <w:szCs w:val="22"/>
              <w:lang w:val="en-US" w:eastAsia="zh-CN" w:bidi="ar-SA"/>
            </w:rPr>
            <w:t>2</w:t>
          </w:r>
          <w:r>
            <w:rPr>
              <w:rFonts w:ascii="Calibri" w:hAnsi="Calibri" w:eastAsia="仿宋" w:cs="宋体"/>
              <w:kern w:val="0"/>
              <w:sz w:val="28"/>
              <w:szCs w:val="22"/>
              <w:lang w:val="en-US" w:eastAsia="zh-CN" w:bidi="ar-SA"/>
            </w:rP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_Toc32690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项目所处区域</w:t>
          </w:r>
          <w:r>
            <w:rPr>
              <w:rFonts w:hint="eastAsia" w:ascii="仿宋_GB2312" w:hAnsi="仿宋_GB2312" w:eastAsia="仿宋_GB2312" w:cs="仿宋_GB2312"/>
              <w:sz w:val="28"/>
              <w:szCs w:val="28"/>
              <w:lang w:eastAsia="zh-CN"/>
            </w:rPr>
            <w:t>财政经济</w:t>
          </w:r>
          <w:r>
            <w:rPr>
              <w:rFonts w:hint="eastAsia" w:ascii="仿宋_GB2312" w:hAnsi="仿宋_GB2312" w:eastAsia="仿宋_GB2312" w:cs="仿宋_GB2312"/>
              <w:sz w:val="28"/>
              <w:szCs w:val="28"/>
            </w:rPr>
            <w:t>情况</w:t>
          </w:r>
          <w:r>
            <w:rPr>
              <w:rFonts w:hint="eastAsia"/>
            </w:rPr>
            <w:tab/>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PAGEREF _Toc32690 \h </w:instrText>
          </w:r>
          <w:r>
            <w:rPr>
              <w:rFonts w:hint="eastAsia" w:ascii="Times New Roman" w:hAnsi="Times New Roman" w:eastAsia="宋体" w:cs="Times New Roman"/>
              <w:sz w:val="28"/>
              <w:szCs w:val="28"/>
              <w:lang w:val="en-US" w:eastAsia="zh-CN"/>
            </w:rPr>
            <w:fldChar w:fldCharType="separate"/>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lang w:val="en-US" w:eastAsia="zh-CN"/>
            </w:rPr>
            <w:fldChar w:fldCharType="end"/>
          </w:r>
          <w:r>
            <w:rPr>
              <w:rFonts w:hint="eastAsia" w:ascii="仿宋_GB2312" w:hAnsi="仿宋_GB2312" w:eastAsia="仿宋_GB2312" w:cs="仿宋_GB2312"/>
              <w:sz w:val="28"/>
              <w:szCs w:val="28"/>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_Toc4668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本地社会发展规划和</w:t>
          </w:r>
          <w:r>
            <w:rPr>
              <w:rFonts w:hint="eastAsia" w:ascii="仿宋_GB2312" w:hAnsi="仿宋_GB2312" w:eastAsia="仿宋_GB2312" w:cs="仿宋_GB2312"/>
              <w:sz w:val="28"/>
              <w:szCs w:val="28"/>
              <w:lang w:val="en-US"/>
            </w:rPr>
            <w:t>行业相关规划</w:t>
          </w:r>
          <w:r>
            <w:rPr>
              <w:rFonts w:hint="eastAsia"/>
            </w:rPr>
            <w:tab/>
          </w:r>
          <w:r>
            <w:rPr>
              <w:rFonts w:hint="eastAsia" w:ascii="Times New Roman" w:hAnsi="Times New Roman" w:eastAsia="宋体" w:cs="Times New Roman"/>
              <w:sz w:val="28"/>
              <w:szCs w:val="28"/>
              <w:lang w:val="en-US" w:eastAsia="zh-CN"/>
            </w:rPr>
            <w:fldChar w:fldCharType="begin"/>
          </w:r>
          <w:r>
            <w:rPr>
              <w:rFonts w:hint="eastAsia" w:ascii="Times New Roman" w:hAnsi="Times New Roman" w:eastAsia="宋体" w:cs="Times New Roman"/>
              <w:sz w:val="28"/>
              <w:szCs w:val="28"/>
              <w:lang w:val="en-US" w:eastAsia="zh-CN"/>
            </w:rPr>
            <w:instrText xml:space="preserve"> PAGEREF _Toc4668 \h </w:instrText>
          </w:r>
          <w:r>
            <w:rPr>
              <w:rFonts w:hint="eastAsia" w:ascii="Times New Roman" w:hAnsi="Times New Roman" w:eastAsia="宋体" w:cs="Times New Roman"/>
              <w:sz w:val="28"/>
              <w:szCs w:val="28"/>
              <w:lang w:val="en-US" w:eastAsia="zh-CN"/>
            </w:rPr>
            <w:fldChar w:fldCharType="separate"/>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lang w:val="en-US" w:eastAsia="zh-CN"/>
            </w:rPr>
            <w:fldChar w:fldCharType="end"/>
          </w:r>
          <w:r>
            <w:rPr>
              <w:rFonts w:hint="eastAsia" w:ascii="仿宋_GB2312" w:hAnsi="仿宋_GB2312" w:eastAsia="仿宋_GB2312" w:cs="仿宋_GB2312"/>
              <w:sz w:val="28"/>
              <w:szCs w:val="28"/>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_Toc9004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项目</w:t>
          </w:r>
          <w:r>
            <w:rPr>
              <w:rFonts w:hint="eastAsia" w:ascii="仿宋_GB2312" w:hAnsi="仿宋_GB2312" w:eastAsia="仿宋_GB2312" w:cs="仿宋_GB2312"/>
              <w:sz w:val="28"/>
              <w:szCs w:val="28"/>
              <w:lang w:eastAsia="zh-CN"/>
            </w:rPr>
            <w:t>情况</w:t>
          </w:r>
          <w:r>
            <w:rPr>
              <w:rFonts w:hint="eastAsia"/>
            </w:rPr>
            <w:tab/>
          </w:r>
          <w:r>
            <w:rPr>
              <w:rFonts w:hint="eastAsia"/>
              <w:lang w:val="en-US" w:eastAsia="zh-CN"/>
            </w:rPr>
            <w:fldChar w:fldCharType="begin"/>
          </w:r>
          <w:r>
            <w:rPr>
              <w:rFonts w:hint="eastAsia"/>
              <w:lang w:val="en-US" w:eastAsia="zh-CN"/>
            </w:rPr>
            <w:instrText xml:space="preserve"> PAGEREF _Toc9004 \h </w:instrText>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ascii="仿宋_GB2312" w:hAnsi="仿宋_GB2312" w:eastAsia="仿宋_GB2312" w:cs="仿宋_GB2312"/>
              <w:sz w:val="28"/>
              <w:szCs w:val="28"/>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_Toc1440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项目立项</w:t>
          </w:r>
          <w:r>
            <w:rPr>
              <w:rFonts w:hint="eastAsia" w:ascii="仿宋_GB2312" w:hAnsi="仿宋_GB2312" w:eastAsia="仿宋_GB2312" w:cs="仿宋_GB2312"/>
              <w:sz w:val="28"/>
              <w:szCs w:val="28"/>
              <w:lang w:eastAsia="zh-CN"/>
            </w:rPr>
            <w:t>情况</w:t>
          </w:r>
          <w:r>
            <w:rPr>
              <w:rFonts w:hint="eastAsia" w:ascii="仿宋_GB2312" w:hAnsi="仿宋_GB2312" w:eastAsia="仿宋_GB2312" w:cs="仿宋_GB2312"/>
              <w:sz w:val="28"/>
              <w:szCs w:val="28"/>
            </w:rPr>
            <w:t>或实施依据</w:t>
          </w:r>
          <w:r>
            <w:rPr>
              <w:rFonts w:hint="eastAsia"/>
            </w:rPr>
            <w:tab/>
          </w:r>
          <w:r>
            <w:rPr>
              <w:rFonts w:hint="eastAsia"/>
            </w:rPr>
            <w:fldChar w:fldCharType="begin"/>
          </w:r>
          <w:r>
            <w:rPr>
              <w:rFonts w:hint="eastAsia"/>
            </w:rPr>
            <w:instrText xml:space="preserve"> PAGEREF _Toc1440 \h </w:instrText>
          </w:r>
          <w:r>
            <w:rPr>
              <w:rFonts w:hint="eastAsia"/>
            </w:rPr>
            <w:fldChar w:fldCharType="separate"/>
          </w:r>
          <w:r>
            <w:rPr>
              <w:rFonts w:hint="eastAsia"/>
            </w:rPr>
            <w:t>3</w:t>
          </w:r>
          <w:r>
            <w:rPr>
              <w:rFonts w:hint="eastAsia"/>
            </w:rPr>
            <w:fldChar w:fldCharType="end"/>
          </w:r>
          <w:r>
            <w:rPr>
              <w:rFonts w:hint="eastAsia" w:ascii="仿宋_GB2312" w:hAnsi="仿宋_GB2312" w:eastAsia="仿宋_GB2312" w:cs="仿宋_GB2312"/>
              <w:sz w:val="28"/>
              <w:szCs w:val="28"/>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_Toc4522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责任</w:t>
          </w:r>
          <w:r>
            <w:rPr>
              <w:rFonts w:hint="eastAsia" w:ascii="仿宋_GB2312" w:hAnsi="仿宋_GB2312" w:eastAsia="仿宋_GB2312" w:cs="仿宋_GB2312"/>
              <w:sz w:val="28"/>
              <w:szCs w:val="28"/>
            </w:rPr>
            <w:t>主体</w:t>
          </w:r>
          <w:r>
            <w:rPr>
              <w:rFonts w:hint="eastAsia"/>
            </w:rPr>
            <w:tab/>
          </w:r>
          <w:r>
            <w:rPr>
              <w:rFonts w:hint="eastAsia"/>
            </w:rPr>
            <w:fldChar w:fldCharType="begin"/>
          </w:r>
          <w:r>
            <w:rPr>
              <w:rFonts w:hint="eastAsia"/>
            </w:rPr>
            <w:instrText xml:space="preserve"> PAGEREF _Toc4522 \h </w:instrText>
          </w:r>
          <w:r>
            <w:rPr>
              <w:rFonts w:hint="eastAsia"/>
            </w:rPr>
            <w:fldChar w:fldCharType="separate"/>
          </w:r>
          <w:r>
            <w:rPr>
              <w:rFonts w:hint="eastAsia"/>
            </w:rPr>
            <w:t>3</w:t>
          </w:r>
          <w:r>
            <w:rPr>
              <w:rFonts w:hint="eastAsia"/>
            </w:rPr>
            <w:fldChar w:fldCharType="end"/>
          </w:r>
          <w:r>
            <w:rPr>
              <w:rFonts w:hint="eastAsia" w:ascii="仿宋_GB2312" w:hAnsi="仿宋_GB2312" w:eastAsia="仿宋_GB2312" w:cs="仿宋_GB2312"/>
              <w:sz w:val="28"/>
              <w:szCs w:val="28"/>
            </w:rPr>
            <w:fldChar w:fldCharType="end"/>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_Toc14794 </w:instrText>
          </w:r>
          <w:r>
            <w:rPr>
              <w:rFonts w:ascii="宋体" w:hAnsi="宋体" w:eastAsia="宋体"/>
              <w:szCs w:val="30"/>
            </w:rPr>
            <w:fldChar w:fldCharType="separate"/>
          </w:r>
          <w:r>
            <w:rPr>
              <w:rFonts w:hint="eastAsia" w:ascii="黑体" w:hAnsi="黑体" w:eastAsia="黑体" w:cs="黑体"/>
              <w:kern w:val="0"/>
              <w:szCs w:val="32"/>
            </w:rPr>
            <w:t>二、</w:t>
          </w:r>
          <w:r>
            <w:rPr>
              <w:rFonts w:hint="eastAsia" w:ascii="黑体" w:hAnsi="黑体" w:eastAsia="黑体" w:cs="黑体"/>
              <w:kern w:val="0"/>
              <w:szCs w:val="32"/>
              <w:lang w:eastAsia="zh-CN"/>
            </w:rPr>
            <w:t>项目实施重要性和</w:t>
          </w:r>
          <w:r>
            <w:rPr>
              <w:rFonts w:hint="eastAsia" w:ascii="黑体" w:hAnsi="黑体" w:eastAsia="黑体" w:cs="黑体"/>
              <w:kern w:val="0"/>
              <w:szCs w:val="32"/>
            </w:rPr>
            <w:t>经济社会效益分析</w:t>
          </w:r>
          <w:r>
            <w:tab/>
          </w:r>
          <w:r>
            <w:fldChar w:fldCharType="begin"/>
          </w:r>
          <w:r>
            <w:instrText xml:space="preserve"> PAGEREF _Toc14794 \h </w:instrText>
          </w:r>
          <w:r>
            <w:fldChar w:fldCharType="separate"/>
          </w:r>
          <w:r>
            <w:t>4</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_Toc26983 </w:instrText>
          </w:r>
          <w:r>
            <w:rPr>
              <w:rFonts w:ascii="宋体" w:hAnsi="宋体" w:eastAsia="宋体"/>
              <w:szCs w:val="30"/>
            </w:rPr>
            <w:fldChar w:fldCharType="separate"/>
          </w:r>
          <w:r>
            <w:rPr>
              <w:rFonts w:hint="eastAsia" w:ascii="仿宋_GB2312" w:hAnsi="Calibri" w:eastAsia="仿宋_GB2312"/>
              <w:bCs/>
              <w:kern w:val="2"/>
              <w:szCs w:val="32"/>
              <w:lang w:val="en-US" w:eastAsia="zh-CN"/>
            </w:rPr>
            <w:t>（一）重要性分析</w:t>
          </w:r>
          <w:r>
            <w:tab/>
          </w:r>
          <w:r>
            <w:fldChar w:fldCharType="begin"/>
          </w:r>
          <w:r>
            <w:instrText xml:space="preserve"> PAGEREF _Toc26983 \h </w:instrText>
          </w:r>
          <w:r>
            <w:fldChar w:fldCharType="separate"/>
          </w:r>
          <w:r>
            <w:t>4</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_Toc31877 </w:instrText>
          </w:r>
          <w:r>
            <w:rPr>
              <w:rFonts w:ascii="宋体" w:hAnsi="宋体" w:eastAsia="宋体"/>
              <w:szCs w:val="30"/>
            </w:rPr>
            <w:fldChar w:fldCharType="separate"/>
          </w:r>
          <w:r>
            <w:rPr>
              <w:rFonts w:hint="eastAsia" w:ascii="仿宋_GB2312" w:hAnsi="Calibri" w:eastAsia="仿宋_GB2312"/>
              <w:bCs/>
              <w:kern w:val="2"/>
              <w:szCs w:val="32"/>
              <w:lang w:val="en-US" w:eastAsia="zh-CN"/>
            </w:rPr>
            <w:t>（二）</w:t>
          </w:r>
          <w:r>
            <w:rPr>
              <w:rFonts w:hint="eastAsia" w:ascii="仿宋_GB2312" w:hAnsi="Calibri" w:eastAsia="仿宋_GB2312"/>
              <w:bCs/>
              <w:kern w:val="2"/>
              <w:szCs w:val="32"/>
              <w:lang w:val="en-US"/>
            </w:rPr>
            <w:t>经济效益分析</w:t>
          </w:r>
          <w:r>
            <w:tab/>
          </w:r>
          <w:r>
            <w:fldChar w:fldCharType="begin"/>
          </w:r>
          <w:r>
            <w:instrText xml:space="preserve"> PAGEREF _Toc31877 \h </w:instrText>
          </w:r>
          <w:r>
            <w:fldChar w:fldCharType="separate"/>
          </w:r>
          <w:r>
            <w:t>4</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_Toc20343 </w:instrText>
          </w:r>
          <w:r>
            <w:rPr>
              <w:rFonts w:ascii="宋体" w:hAnsi="宋体" w:eastAsia="宋体"/>
              <w:szCs w:val="30"/>
            </w:rPr>
            <w:fldChar w:fldCharType="separate"/>
          </w:r>
          <w:r>
            <w:rPr>
              <w:rFonts w:hint="eastAsia" w:ascii="仿宋_GB2312" w:hAnsi="Calibri" w:eastAsia="仿宋_GB2312"/>
              <w:bCs/>
              <w:kern w:val="2"/>
              <w:szCs w:val="32"/>
              <w:lang w:val="en-US" w:eastAsia="zh-CN"/>
            </w:rPr>
            <w:t>（三）</w:t>
          </w:r>
          <w:r>
            <w:rPr>
              <w:rFonts w:hint="eastAsia" w:ascii="仿宋_GB2312" w:hAnsi="Calibri" w:eastAsia="仿宋_GB2312"/>
              <w:bCs/>
              <w:kern w:val="2"/>
              <w:szCs w:val="32"/>
              <w:lang w:val="en-US"/>
            </w:rPr>
            <w:t>社会效益分析</w:t>
          </w:r>
          <w:r>
            <w:tab/>
          </w:r>
          <w:r>
            <w:fldChar w:fldCharType="begin"/>
          </w:r>
          <w:r>
            <w:instrText xml:space="preserve"> PAGEREF _Toc20343 \h </w:instrText>
          </w:r>
          <w:r>
            <w:fldChar w:fldCharType="separate"/>
          </w:r>
          <w:r>
            <w:t>5</w:t>
          </w:r>
          <w:r>
            <w:fldChar w:fldCharType="end"/>
          </w:r>
          <w:r>
            <w:rPr>
              <w:rFonts w:ascii="宋体" w:hAnsi="宋体" w:eastAsia="宋体"/>
              <w:szCs w:val="30"/>
            </w:rPr>
            <w:fldChar w:fldCharType="end"/>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_Toc6959 </w:instrText>
          </w:r>
          <w:r>
            <w:rPr>
              <w:rFonts w:ascii="宋体" w:hAnsi="宋体" w:eastAsia="宋体"/>
              <w:szCs w:val="30"/>
            </w:rPr>
            <w:fldChar w:fldCharType="separate"/>
          </w:r>
          <w:r>
            <w:rPr>
              <w:rFonts w:hint="eastAsia" w:ascii="黑体" w:hAnsi="黑体" w:eastAsia="黑体" w:cs="黑体"/>
              <w:kern w:val="0"/>
              <w:szCs w:val="32"/>
            </w:rPr>
            <w:t>三、项目</w:t>
          </w:r>
          <w:r>
            <w:rPr>
              <w:rFonts w:hint="eastAsia" w:ascii="黑体" w:hAnsi="黑体" w:eastAsia="黑体" w:cs="黑体"/>
              <w:kern w:val="0"/>
              <w:szCs w:val="32"/>
              <w:lang w:eastAsia="zh-CN"/>
            </w:rPr>
            <w:t>投资估算、</w:t>
          </w:r>
          <w:r>
            <w:rPr>
              <w:rFonts w:hint="eastAsia" w:ascii="黑体" w:hAnsi="黑体" w:eastAsia="黑体" w:cs="黑体"/>
              <w:kern w:val="0"/>
              <w:szCs w:val="32"/>
            </w:rPr>
            <w:t>资金筹措方案</w:t>
          </w:r>
          <w:r>
            <w:rPr>
              <w:rFonts w:hint="eastAsia" w:ascii="黑体" w:hAnsi="黑体" w:eastAsia="黑体" w:cs="黑体"/>
              <w:kern w:val="0"/>
              <w:szCs w:val="32"/>
              <w:lang w:eastAsia="zh-CN"/>
            </w:rPr>
            <w:t>及使用计划</w:t>
          </w:r>
          <w:r>
            <w:tab/>
          </w:r>
          <w:r>
            <w:fldChar w:fldCharType="begin"/>
          </w:r>
          <w:r>
            <w:instrText xml:space="preserve"> PAGEREF _Toc6959 \h </w:instrText>
          </w:r>
          <w:r>
            <w:fldChar w:fldCharType="separate"/>
          </w:r>
          <w:r>
            <w:t>5</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_Toc28174 </w:instrText>
          </w:r>
          <w:r>
            <w:rPr>
              <w:rFonts w:ascii="宋体" w:hAnsi="宋体" w:eastAsia="宋体"/>
              <w:szCs w:val="30"/>
            </w:rPr>
            <w:fldChar w:fldCharType="separate"/>
          </w:r>
          <w:r>
            <w:rPr>
              <w:rFonts w:hint="eastAsia" w:ascii="仿宋_GB2312" w:hAnsi="仿宋_GB2312" w:eastAsia="仿宋_GB2312" w:cs="仿宋_GB2312"/>
              <w:bCs/>
              <w:szCs w:val="32"/>
            </w:rPr>
            <w:t>（一）投资估算</w:t>
          </w:r>
          <w:r>
            <w:tab/>
          </w:r>
          <w:r>
            <w:fldChar w:fldCharType="begin"/>
          </w:r>
          <w:r>
            <w:instrText xml:space="preserve"> PAGEREF _Toc28174 \h </w:instrText>
          </w:r>
          <w:r>
            <w:fldChar w:fldCharType="separate"/>
          </w:r>
          <w:r>
            <w:t>5</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_Toc30391 </w:instrText>
          </w:r>
          <w:r>
            <w:rPr>
              <w:rFonts w:ascii="宋体" w:hAnsi="宋体" w:eastAsia="宋体"/>
              <w:szCs w:val="30"/>
            </w:rPr>
            <w:fldChar w:fldCharType="separate"/>
          </w:r>
          <w:r>
            <w:rPr>
              <w:rFonts w:hint="eastAsia" w:ascii="仿宋_GB2312" w:hAnsi="仿宋_GB2312" w:eastAsia="仿宋_GB2312" w:cs="仿宋_GB2312"/>
              <w:bCs/>
              <w:szCs w:val="32"/>
              <w:lang w:eastAsia="zh-CN"/>
            </w:rPr>
            <w:t>（二）筹措方案</w:t>
          </w:r>
          <w:r>
            <w:tab/>
          </w:r>
          <w:r>
            <w:fldChar w:fldCharType="begin"/>
          </w:r>
          <w:r>
            <w:instrText xml:space="preserve"> PAGEREF _Toc30391 \h </w:instrText>
          </w:r>
          <w:r>
            <w:fldChar w:fldCharType="separate"/>
          </w:r>
          <w:r>
            <w:t>7</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_Toc5501 </w:instrText>
          </w:r>
          <w:r>
            <w:rPr>
              <w:rFonts w:ascii="宋体" w:hAnsi="宋体" w:eastAsia="宋体"/>
              <w:szCs w:val="30"/>
            </w:rPr>
            <w:fldChar w:fldCharType="separate"/>
          </w:r>
          <w:r>
            <w:rPr>
              <w:rFonts w:hint="eastAsia" w:ascii="仿宋_GB2312" w:hAnsi="仿宋_GB2312" w:eastAsia="仿宋_GB2312" w:cs="仿宋_GB2312"/>
              <w:bCs/>
              <w:kern w:val="0"/>
              <w:szCs w:val="32"/>
              <w:lang w:eastAsia="zh-CN"/>
            </w:rPr>
            <w:t>（三）项目实施安排</w:t>
          </w:r>
          <w:r>
            <w:tab/>
          </w:r>
          <w:r>
            <w:fldChar w:fldCharType="begin"/>
          </w:r>
          <w:r>
            <w:instrText xml:space="preserve"> PAGEREF _Toc5501 \h </w:instrText>
          </w:r>
          <w:r>
            <w:fldChar w:fldCharType="separate"/>
          </w:r>
          <w:r>
            <w:t>8</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_Toc22275 </w:instrText>
          </w:r>
          <w:r>
            <w:rPr>
              <w:rFonts w:ascii="宋体" w:hAnsi="宋体" w:eastAsia="宋体"/>
              <w:szCs w:val="30"/>
            </w:rPr>
            <w:fldChar w:fldCharType="separate"/>
          </w:r>
          <w:r>
            <w:rPr>
              <w:rFonts w:hint="eastAsia" w:ascii="仿宋_GB2312" w:hAnsi="Calibri" w:eastAsia="仿宋_GB2312" w:cs="宋体"/>
              <w:bCs/>
              <w:kern w:val="2"/>
              <w:szCs w:val="32"/>
              <w:highlight w:val="none"/>
              <w:lang w:val="en-US" w:eastAsia="zh-CN"/>
            </w:rPr>
            <w:t>（四）债券资金用途</w:t>
          </w:r>
          <w:r>
            <w:tab/>
          </w:r>
          <w:r>
            <w:fldChar w:fldCharType="begin"/>
          </w:r>
          <w:r>
            <w:instrText xml:space="preserve"> PAGEREF _Toc22275 \h </w:instrText>
          </w:r>
          <w:r>
            <w:fldChar w:fldCharType="separate"/>
          </w:r>
          <w:r>
            <w:t>9</w:t>
          </w:r>
          <w:r>
            <w:fldChar w:fldCharType="end"/>
          </w:r>
          <w:r>
            <w:rPr>
              <w:rFonts w:ascii="宋体" w:hAnsi="宋体" w:eastAsia="宋体"/>
              <w:szCs w:val="30"/>
            </w:rPr>
            <w:fldChar w:fldCharType="end"/>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_Toc28514 </w:instrText>
          </w:r>
          <w:r>
            <w:rPr>
              <w:rFonts w:ascii="宋体" w:hAnsi="宋体" w:eastAsia="宋体"/>
              <w:szCs w:val="30"/>
            </w:rPr>
            <w:fldChar w:fldCharType="separate"/>
          </w:r>
          <w:r>
            <w:rPr>
              <w:rFonts w:hint="eastAsia" w:ascii="黑体" w:hAnsi="黑体" w:eastAsia="黑体" w:cs="黑体"/>
              <w:kern w:val="0"/>
              <w:szCs w:val="32"/>
            </w:rPr>
            <w:t>四、项目</w:t>
          </w:r>
          <w:r>
            <w:rPr>
              <w:rFonts w:hint="eastAsia" w:ascii="黑体" w:hAnsi="黑体" w:eastAsia="黑体" w:cs="黑体"/>
              <w:kern w:val="0"/>
              <w:szCs w:val="32"/>
              <w:lang w:eastAsia="zh-CN"/>
            </w:rPr>
            <w:t>收益与</w:t>
          </w:r>
          <w:r>
            <w:rPr>
              <w:rFonts w:hint="eastAsia" w:ascii="黑体" w:hAnsi="黑体" w:eastAsia="黑体" w:cs="黑体"/>
              <w:kern w:val="0"/>
              <w:szCs w:val="32"/>
            </w:rPr>
            <w:t>融资平衡情况</w:t>
          </w:r>
          <w:r>
            <w:tab/>
          </w:r>
          <w:r>
            <w:fldChar w:fldCharType="begin"/>
          </w:r>
          <w:r>
            <w:instrText xml:space="preserve"> PAGEREF _Toc28514 \h </w:instrText>
          </w:r>
          <w:r>
            <w:fldChar w:fldCharType="separate"/>
          </w:r>
          <w:r>
            <w:t>10</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_Toc19038 </w:instrText>
          </w:r>
          <w:r>
            <w:rPr>
              <w:rFonts w:ascii="宋体" w:hAnsi="宋体" w:eastAsia="宋体"/>
              <w:szCs w:val="30"/>
            </w:rPr>
            <w:fldChar w:fldCharType="separate"/>
          </w:r>
          <w:r>
            <w:rPr>
              <w:rFonts w:hint="eastAsia" w:ascii="仿宋_GB2312" w:hAnsi="仿宋_GB2312" w:eastAsia="仿宋_GB2312" w:cs="仿宋_GB2312"/>
              <w:bCs/>
              <w:kern w:val="0"/>
              <w:szCs w:val="32"/>
            </w:rPr>
            <w:t>（一）项目</w:t>
          </w:r>
          <w:r>
            <w:rPr>
              <w:rFonts w:hint="eastAsia" w:ascii="仿宋_GB2312" w:hAnsi="仿宋_GB2312" w:eastAsia="仿宋_GB2312" w:cs="仿宋_GB2312"/>
              <w:bCs/>
              <w:kern w:val="0"/>
              <w:szCs w:val="32"/>
              <w:lang w:eastAsia="zh-CN"/>
            </w:rPr>
            <w:t>预期成本</w:t>
          </w:r>
          <w:r>
            <w:rPr>
              <w:rFonts w:hint="eastAsia" w:ascii="仿宋_GB2312" w:hAnsi="仿宋_GB2312" w:eastAsia="仿宋_GB2312" w:cs="仿宋_GB2312"/>
              <w:bCs/>
              <w:kern w:val="0"/>
              <w:szCs w:val="32"/>
            </w:rPr>
            <w:t>收益</w:t>
          </w:r>
          <w:r>
            <w:tab/>
          </w:r>
          <w:r>
            <w:fldChar w:fldCharType="begin"/>
          </w:r>
          <w:r>
            <w:instrText xml:space="preserve"> PAGEREF _Toc19038 \h </w:instrText>
          </w:r>
          <w:r>
            <w:fldChar w:fldCharType="separate"/>
          </w:r>
          <w:r>
            <w:t>10</w:t>
          </w:r>
          <w:r>
            <w:fldChar w:fldCharType="end"/>
          </w:r>
          <w:r>
            <w:rPr>
              <w:rFonts w:ascii="宋体" w:hAnsi="宋体" w:eastAsia="宋体"/>
              <w:szCs w:val="30"/>
            </w:rPr>
            <w:fldChar w:fldCharType="end"/>
          </w:r>
        </w:p>
        <w:p>
          <w:pPr>
            <w:pStyle w:val="7"/>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_Toc23628 </w:instrText>
          </w:r>
          <w:r>
            <w:rPr>
              <w:rFonts w:ascii="宋体" w:hAnsi="宋体" w:eastAsia="宋体"/>
              <w:szCs w:val="30"/>
            </w:rPr>
            <w:fldChar w:fldCharType="separate"/>
          </w:r>
          <w:r>
            <w:rPr>
              <w:rFonts w:hint="eastAsia" w:ascii="仿宋_GB2312" w:hAnsi="仿宋_GB2312" w:eastAsia="仿宋_GB2312" w:cs="仿宋_GB2312"/>
              <w:bCs/>
              <w:kern w:val="0"/>
              <w:szCs w:val="32"/>
              <w:lang w:val="en-US" w:eastAsia="zh-CN"/>
            </w:rPr>
            <w:t>1.项目收入测算</w:t>
          </w:r>
          <w:r>
            <w:tab/>
          </w:r>
          <w:r>
            <w:fldChar w:fldCharType="begin"/>
          </w:r>
          <w:r>
            <w:instrText xml:space="preserve"> PAGEREF _Toc23628 \h </w:instrText>
          </w:r>
          <w:r>
            <w:fldChar w:fldCharType="separate"/>
          </w:r>
          <w:r>
            <w:t>10</w:t>
          </w:r>
          <w:r>
            <w:fldChar w:fldCharType="end"/>
          </w:r>
          <w:r>
            <w:rPr>
              <w:rFonts w:ascii="宋体" w:hAnsi="宋体" w:eastAsia="宋体"/>
              <w:szCs w:val="30"/>
            </w:rPr>
            <w:fldChar w:fldCharType="end"/>
          </w:r>
        </w:p>
        <w:p>
          <w:pPr>
            <w:pStyle w:val="7"/>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_Toc20558 </w:instrText>
          </w:r>
          <w:r>
            <w:rPr>
              <w:rFonts w:ascii="宋体" w:hAnsi="宋体" w:eastAsia="宋体"/>
              <w:szCs w:val="30"/>
            </w:rPr>
            <w:fldChar w:fldCharType="separate"/>
          </w:r>
          <w:r>
            <w:rPr>
              <w:rFonts w:hint="eastAsia" w:ascii="仿宋_GB2312" w:hAnsi="仿宋_GB2312" w:eastAsia="仿宋_GB2312" w:cs="仿宋_GB2312"/>
              <w:bCs/>
              <w:kern w:val="0"/>
              <w:szCs w:val="32"/>
              <w:lang w:val="en-US" w:eastAsia="zh-CN"/>
            </w:rPr>
            <w:t>2.</w:t>
          </w:r>
          <w:r>
            <w:rPr>
              <w:rFonts w:hint="eastAsia" w:ascii="仿宋_GB2312" w:hAnsi="仿宋_GB2312" w:eastAsia="仿宋_GB2312" w:cs="仿宋_GB2312"/>
              <w:bCs/>
              <w:szCs w:val="32"/>
            </w:rPr>
            <w:t>项目成本及相关税费</w:t>
          </w:r>
          <w:r>
            <w:tab/>
          </w:r>
          <w:r>
            <w:fldChar w:fldCharType="begin"/>
          </w:r>
          <w:r>
            <w:instrText xml:space="preserve"> PAGEREF _Toc20558 \h </w:instrText>
          </w:r>
          <w:r>
            <w:fldChar w:fldCharType="separate"/>
          </w:r>
          <w:r>
            <w:t>18</w:t>
          </w:r>
          <w:r>
            <w:fldChar w:fldCharType="end"/>
          </w:r>
          <w:r>
            <w:rPr>
              <w:rFonts w:ascii="宋体" w:hAnsi="宋体" w:eastAsia="宋体"/>
              <w:szCs w:val="30"/>
            </w:rPr>
            <w:fldChar w:fldCharType="end"/>
          </w:r>
        </w:p>
        <w:p>
          <w:pPr>
            <w:pStyle w:val="7"/>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_Toc32663 </w:instrText>
          </w:r>
          <w:r>
            <w:rPr>
              <w:rFonts w:ascii="宋体" w:hAnsi="宋体" w:eastAsia="宋体"/>
              <w:szCs w:val="30"/>
            </w:rPr>
            <w:fldChar w:fldCharType="separate"/>
          </w:r>
          <w:r>
            <w:rPr>
              <w:rFonts w:hint="eastAsia" w:ascii="仿宋_GB2312" w:hAnsi="仿宋_GB2312" w:eastAsia="仿宋_GB2312" w:cs="仿宋_GB2312"/>
              <w:bCs/>
              <w:szCs w:val="32"/>
              <w:lang w:val="en-US" w:eastAsia="zh-CN"/>
            </w:rPr>
            <w:t>3.项目损益情况</w:t>
          </w:r>
          <w:r>
            <w:tab/>
          </w:r>
          <w:r>
            <w:fldChar w:fldCharType="begin"/>
          </w:r>
          <w:r>
            <w:instrText xml:space="preserve"> PAGEREF _Toc32663 \h </w:instrText>
          </w:r>
          <w:r>
            <w:fldChar w:fldCharType="separate"/>
          </w:r>
          <w:r>
            <w:t>19</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_Toc30139 </w:instrText>
          </w:r>
          <w:r>
            <w:rPr>
              <w:rFonts w:ascii="宋体" w:hAnsi="宋体" w:eastAsia="宋体"/>
              <w:szCs w:val="30"/>
            </w:rPr>
            <w:fldChar w:fldCharType="separate"/>
          </w:r>
          <w:r>
            <w:rPr>
              <w:rFonts w:hint="eastAsia" w:ascii="仿宋_GB2312" w:hAnsi="仿宋_GB2312" w:eastAsia="仿宋_GB2312" w:cs="仿宋_GB2312"/>
              <w:bCs/>
              <w:szCs w:val="32"/>
              <w:lang w:eastAsia="zh-CN"/>
            </w:rPr>
            <w:t>（二）</w:t>
          </w:r>
          <w:r>
            <w:rPr>
              <w:rFonts w:hint="eastAsia" w:ascii="仿宋_GB2312" w:hAnsi="仿宋_GB2312" w:eastAsia="仿宋_GB2312" w:cs="仿宋_GB2312"/>
              <w:bCs/>
              <w:szCs w:val="32"/>
            </w:rPr>
            <w:t>融资收益平衡情况</w:t>
          </w:r>
          <w:r>
            <w:tab/>
          </w:r>
          <w:r>
            <w:fldChar w:fldCharType="begin"/>
          </w:r>
          <w:r>
            <w:instrText xml:space="preserve"> PAGEREF _Toc30139 \h </w:instrText>
          </w:r>
          <w:r>
            <w:fldChar w:fldCharType="separate"/>
          </w:r>
          <w:r>
            <w:t>20</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_Toc21892 </w:instrText>
          </w:r>
          <w:r>
            <w:rPr>
              <w:rFonts w:ascii="宋体" w:hAnsi="宋体" w:eastAsia="宋体"/>
              <w:szCs w:val="30"/>
            </w:rPr>
            <w:fldChar w:fldCharType="separate"/>
          </w:r>
          <w:r>
            <w:rPr>
              <w:rFonts w:hint="eastAsia" w:ascii="仿宋_GB2312" w:hAnsi="仿宋_GB2312" w:eastAsia="仿宋_GB2312" w:cs="仿宋_GB2312"/>
              <w:bCs/>
              <w:szCs w:val="32"/>
              <w:lang w:val="en-US" w:eastAsia="zh-CN"/>
            </w:rPr>
            <w:t>（三）</w:t>
          </w:r>
          <w:r>
            <w:rPr>
              <w:rFonts w:hint="eastAsia" w:ascii="仿宋_GB2312" w:hAnsi="仿宋_GB2312" w:eastAsia="仿宋_GB2312" w:cs="仿宋_GB2312"/>
              <w:bCs/>
              <w:szCs w:val="32"/>
            </w:rPr>
            <w:t>总体评价</w:t>
          </w:r>
          <w:r>
            <w:tab/>
          </w:r>
          <w:r>
            <w:fldChar w:fldCharType="begin"/>
          </w:r>
          <w:r>
            <w:instrText xml:space="preserve"> PAGEREF _Toc21892 \h </w:instrText>
          </w:r>
          <w:r>
            <w:fldChar w:fldCharType="separate"/>
          </w:r>
          <w:r>
            <w:t>19</w:t>
          </w:r>
          <w:r>
            <w:fldChar w:fldCharType="end"/>
          </w:r>
          <w:r>
            <w:rPr>
              <w:rFonts w:ascii="宋体" w:hAnsi="宋体" w:eastAsia="宋体"/>
              <w:szCs w:val="30"/>
            </w:rPr>
            <w:fldChar w:fldCharType="end"/>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_Toc17654 </w:instrText>
          </w:r>
          <w:r>
            <w:rPr>
              <w:rFonts w:ascii="宋体" w:hAnsi="宋体" w:eastAsia="宋体"/>
              <w:szCs w:val="30"/>
            </w:rPr>
            <w:fldChar w:fldCharType="separate"/>
          </w:r>
          <w:r>
            <w:rPr>
              <w:rFonts w:hint="eastAsia" w:ascii="黑体" w:hAnsi="黑体" w:eastAsia="黑体" w:cs="黑体"/>
              <w:kern w:val="0"/>
              <w:szCs w:val="32"/>
            </w:rPr>
            <w:t>五、专项债券管理</w:t>
          </w:r>
          <w:r>
            <w:tab/>
          </w:r>
          <w:r>
            <w:fldChar w:fldCharType="begin"/>
          </w:r>
          <w:r>
            <w:instrText xml:space="preserve"> PAGEREF _Toc17654 \h </w:instrText>
          </w:r>
          <w:r>
            <w:fldChar w:fldCharType="separate"/>
          </w:r>
          <w:r>
            <w:t>19</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_Toc2542 </w:instrText>
          </w:r>
          <w:r>
            <w:rPr>
              <w:rFonts w:ascii="宋体" w:hAnsi="宋体" w:eastAsia="宋体"/>
              <w:szCs w:val="30"/>
            </w:rPr>
            <w:fldChar w:fldCharType="separate"/>
          </w:r>
          <w:r>
            <w:rPr>
              <w:rFonts w:hint="eastAsia" w:ascii="仿宋_GB2312" w:hAnsi="仿宋_GB2312" w:eastAsia="仿宋_GB2312" w:cs="仿宋_GB2312"/>
              <w:bCs/>
              <w:szCs w:val="32"/>
              <w:lang w:eastAsia="zh-CN"/>
            </w:rPr>
            <w:t>（一）</w:t>
          </w:r>
          <w:r>
            <w:rPr>
              <w:rFonts w:hint="eastAsia" w:ascii="仿宋_GB2312" w:hAnsi="仿宋_GB2312" w:eastAsia="仿宋_GB2312" w:cs="仿宋_GB2312"/>
              <w:bCs/>
              <w:szCs w:val="32"/>
            </w:rPr>
            <w:t>债券资金</w:t>
          </w:r>
          <w:r>
            <w:rPr>
              <w:rFonts w:hint="eastAsia" w:ascii="仿宋_GB2312" w:hAnsi="仿宋_GB2312" w:eastAsia="仿宋_GB2312" w:cs="仿宋_GB2312"/>
              <w:bCs/>
              <w:szCs w:val="32"/>
              <w:lang w:eastAsia="zh-CN"/>
            </w:rPr>
            <w:t>概况</w:t>
          </w:r>
          <w:r>
            <w:tab/>
          </w:r>
          <w:r>
            <w:fldChar w:fldCharType="begin"/>
          </w:r>
          <w:r>
            <w:instrText xml:space="preserve"> PAGEREF _Toc2542 \h </w:instrText>
          </w:r>
          <w:r>
            <w:fldChar w:fldCharType="separate"/>
          </w:r>
          <w:r>
            <w:t>19</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_Toc530 </w:instrText>
          </w:r>
          <w:r>
            <w:rPr>
              <w:rFonts w:ascii="宋体" w:hAnsi="宋体" w:eastAsia="宋体"/>
              <w:szCs w:val="30"/>
            </w:rPr>
            <w:fldChar w:fldCharType="separate"/>
          </w:r>
          <w:r>
            <w:rPr>
              <w:rFonts w:hint="eastAsia" w:ascii="仿宋_GB2312" w:hAnsi="仿宋_GB2312" w:eastAsia="仿宋_GB2312" w:cs="仿宋_GB2312"/>
              <w:bCs/>
              <w:szCs w:val="32"/>
              <w:lang w:val="en-US" w:eastAsia="zh-CN"/>
            </w:rPr>
            <w:t>（二）债券资金管理</w:t>
          </w:r>
          <w:r>
            <w:tab/>
          </w:r>
          <w:r>
            <w:fldChar w:fldCharType="begin"/>
          </w:r>
          <w:r>
            <w:instrText xml:space="preserve"> PAGEREF _Toc530 \h </w:instrText>
          </w:r>
          <w:r>
            <w:fldChar w:fldCharType="separate"/>
          </w:r>
          <w:r>
            <w:t>20</w:t>
          </w:r>
          <w:r>
            <w:fldChar w:fldCharType="end"/>
          </w:r>
          <w:r>
            <w:rPr>
              <w:rFonts w:ascii="宋体" w:hAnsi="宋体" w:eastAsia="宋体"/>
              <w:szCs w:val="30"/>
            </w:rPr>
            <w:fldChar w:fldCharType="end"/>
          </w:r>
        </w:p>
        <w:p>
          <w:pPr>
            <w:pStyle w:val="11"/>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_Toc429 </w:instrText>
          </w:r>
          <w:r>
            <w:rPr>
              <w:rFonts w:ascii="宋体" w:hAnsi="宋体" w:eastAsia="宋体"/>
              <w:szCs w:val="30"/>
            </w:rPr>
            <w:fldChar w:fldCharType="separate"/>
          </w:r>
          <w:r>
            <w:rPr>
              <w:rFonts w:hint="eastAsia" w:ascii="仿宋_GB2312" w:hAnsi="仿宋_GB2312" w:eastAsia="仿宋_GB2312" w:cs="仿宋_GB2312"/>
              <w:bCs/>
              <w:szCs w:val="32"/>
              <w:lang w:eastAsia="zh-CN"/>
            </w:rPr>
            <w:t>（三）</w:t>
          </w:r>
          <w:r>
            <w:rPr>
              <w:rFonts w:hint="eastAsia" w:ascii="仿宋_GB2312" w:hAnsi="仿宋_GB2312" w:eastAsia="仿宋_GB2312" w:cs="仿宋_GB2312"/>
              <w:bCs/>
              <w:szCs w:val="32"/>
            </w:rPr>
            <w:t>职责分工</w:t>
          </w:r>
          <w:r>
            <w:tab/>
          </w:r>
          <w:r>
            <w:fldChar w:fldCharType="begin"/>
          </w:r>
          <w:r>
            <w:instrText xml:space="preserve"> PAGEREF _Toc429 \h </w:instrText>
          </w:r>
          <w:r>
            <w:fldChar w:fldCharType="separate"/>
          </w:r>
          <w:r>
            <w:t>21</w:t>
          </w:r>
          <w:r>
            <w:fldChar w:fldCharType="end"/>
          </w:r>
          <w:r>
            <w:rPr>
              <w:rFonts w:ascii="宋体" w:hAnsi="宋体" w:eastAsia="宋体"/>
              <w:szCs w:val="30"/>
            </w:rPr>
            <w:fldChar w:fldCharType="end"/>
          </w:r>
        </w:p>
        <w:p>
          <w:pPr>
            <w:pStyle w:val="10"/>
            <w:keepNext w:val="0"/>
            <w:keepLines w:val="0"/>
            <w:pageBreakBefore w:val="0"/>
            <w:widowControl/>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_Toc21303 </w:instrText>
          </w:r>
          <w:r>
            <w:rPr>
              <w:rFonts w:ascii="宋体" w:hAnsi="宋体" w:eastAsia="宋体"/>
              <w:szCs w:val="30"/>
            </w:rPr>
            <w:fldChar w:fldCharType="separate"/>
          </w:r>
          <w:r>
            <w:rPr>
              <w:rFonts w:hint="eastAsia" w:ascii="黑体" w:hAnsi="黑体" w:eastAsia="黑体" w:cs="黑体"/>
              <w:szCs w:val="32"/>
              <w:lang w:val="en-US" w:eastAsia="zh-CN"/>
            </w:rPr>
            <w:t>六、项目风险控制</w:t>
          </w:r>
          <w:r>
            <w:tab/>
          </w:r>
          <w:r>
            <w:fldChar w:fldCharType="begin"/>
          </w:r>
          <w:r>
            <w:instrText xml:space="preserve"> PAGEREF _Toc21303 \h </w:instrText>
          </w:r>
          <w:r>
            <w:fldChar w:fldCharType="separate"/>
          </w:r>
          <w:r>
            <w:t>22</w:t>
          </w:r>
          <w:r>
            <w:fldChar w:fldCharType="end"/>
          </w:r>
          <w:r>
            <w:rPr>
              <w:rFonts w:ascii="宋体" w:hAnsi="宋体" w:eastAsia="宋体"/>
              <w:szCs w:val="30"/>
            </w:rPr>
            <w:fldChar w:fldCharType="end"/>
          </w:r>
        </w:p>
        <w:p>
          <w:pPr>
            <w:pStyle w:val="11"/>
            <w:keepNext w:val="0"/>
            <w:keepLines w:val="0"/>
            <w:pageBreakBefore w:val="0"/>
            <w:widowControl w:val="0"/>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_Toc5179 </w:instrText>
          </w:r>
          <w:r>
            <w:rPr>
              <w:rFonts w:ascii="宋体" w:hAnsi="宋体" w:eastAsia="宋体"/>
              <w:szCs w:val="30"/>
            </w:rPr>
            <w:fldChar w:fldCharType="separate"/>
          </w:r>
          <w:r>
            <w:rPr>
              <w:rFonts w:hint="eastAsia" w:ascii="楷体_GB2312" w:hAnsi="楷体_GB2312" w:eastAsia="楷体_GB2312" w:cs="楷体_GB2312"/>
              <w:bCs/>
              <w:szCs w:val="32"/>
              <w:lang w:val="en-US" w:eastAsia="zh-CN"/>
            </w:rPr>
            <w:t>（一）潜在风险及控制措施</w:t>
          </w:r>
          <w:r>
            <w:tab/>
          </w:r>
          <w:r>
            <w:fldChar w:fldCharType="begin"/>
          </w:r>
          <w:r>
            <w:instrText xml:space="preserve"> PAGEREF _Toc5179 \h </w:instrText>
          </w:r>
          <w:r>
            <w:fldChar w:fldCharType="separate"/>
          </w:r>
          <w:r>
            <w:t>22</w:t>
          </w:r>
          <w:r>
            <w:fldChar w:fldCharType="end"/>
          </w:r>
          <w:r>
            <w:rPr>
              <w:rFonts w:ascii="宋体" w:hAnsi="宋体" w:eastAsia="宋体"/>
              <w:szCs w:val="30"/>
            </w:rPr>
            <w:fldChar w:fldCharType="end"/>
          </w:r>
        </w:p>
        <w:p>
          <w:pPr>
            <w:pStyle w:val="11"/>
            <w:keepNext w:val="0"/>
            <w:keepLines w:val="0"/>
            <w:pageBreakBefore w:val="0"/>
            <w:widowControl w:val="0"/>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_Toc31801 </w:instrText>
          </w:r>
          <w:r>
            <w:rPr>
              <w:rFonts w:ascii="宋体" w:hAnsi="宋体" w:eastAsia="宋体"/>
              <w:szCs w:val="30"/>
            </w:rPr>
            <w:fldChar w:fldCharType="separate"/>
          </w:r>
          <w:r>
            <w:rPr>
              <w:rFonts w:hint="eastAsia" w:ascii="楷体_GB2312" w:hAnsi="楷体_GB2312" w:eastAsia="楷体_GB2312" w:cs="楷体_GB2312"/>
              <w:bCs/>
              <w:szCs w:val="32"/>
              <w:lang w:val="en-US" w:eastAsia="zh-CN"/>
            </w:rPr>
            <w:t>（二）还款保障措施</w:t>
          </w:r>
          <w:r>
            <w:tab/>
          </w:r>
          <w:r>
            <w:fldChar w:fldCharType="begin"/>
          </w:r>
          <w:r>
            <w:instrText xml:space="preserve"> PAGEREF _Toc31801 \h </w:instrText>
          </w:r>
          <w:r>
            <w:fldChar w:fldCharType="separate"/>
          </w:r>
          <w:r>
            <w:t>23</w:t>
          </w:r>
          <w:r>
            <w:fldChar w:fldCharType="end"/>
          </w:r>
          <w:r>
            <w:rPr>
              <w:rFonts w:ascii="宋体" w:hAnsi="宋体" w:eastAsia="宋体"/>
              <w:szCs w:val="30"/>
            </w:rPr>
            <w:fldChar w:fldCharType="end"/>
          </w:r>
        </w:p>
        <w:p>
          <w:pPr>
            <w:pStyle w:val="10"/>
            <w:keepNext w:val="0"/>
            <w:keepLines w:val="0"/>
            <w:pageBreakBefore w:val="0"/>
            <w:widowControl w:val="0"/>
            <w:tabs>
              <w:tab w:val="right" w:leader="dot" w:pos="9015"/>
            </w:tabs>
            <w:kinsoku/>
            <w:wordWrap/>
            <w:overflowPunct/>
            <w:topLinePunct w:val="0"/>
            <w:autoSpaceDE/>
            <w:autoSpaceDN/>
            <w:bidi w:val="0"/>
            <w:adjustRightInd/>
            <w:snapToGrid/>
            <w:spacing w:line="400" w:lineRule="exact"/>
            <w:ind w:firstLine="0" w:firstLineChars="0"/>
            <w:textAlignment w:val="auto"/>
          </w:pPr>
          <w:r>
            <w:rPr>
              <w:rFonts w:ascii="宋体" w:hAnsi="宋体" w:eastAsia="宋体"/>
              <w:szCs w:val="30"/>
            </w:rPr>
            <w:fldChar w:fldCharType="begin"/>
          </w:r>
          <w:r>
            <w:rPr>
              <w:rFonts w:ascii="宋体" w:hAnsi="宋体" w:eastAsia="宋体"/>
              <w:szCs w:val="30"/>
            </w:rPr>
            <w:instrText xml:space="preserve"> HYPERLINK \l _Toc8019 </w:instrText>
          </w:r>
          <w:r>
            <w:rPr>
              <w:rFonts w:ascii="宋体" w:hAnsi="宋体" w:eastAsia="宋体"/>
              <w:szCs w:val="30"/>
            </w:rPr>
            <w:fldChar w:fldCharType="separate"/>
          </w:r>
          <w:r>
            <w:rPr>
              <w:rFonts w:hint="eastAsia" w:ascii="黑体" w:hAnsi="黑体" w:eastAsia="黑体" w:cs="黑体"/>
              <w:bCs w:val="0"/>
              <w:szCs w:val="32"/>
              <w:lang w:eastAsia="zh-CN"/>
            </w:rPr>
            <w:t>七、</w:t>
          </w:r>
          <w:r>
            <w:rPr>
              <w:rFonts w:hint="eastAsia" w:ascii="黑体" w:hAnsi="黑体" w:eastAsia="黑体" w:cs="黑体"/>
              <w:szCs w:val="32"/>
              <w:lang w:val="en-US" w:eastAsia="zh-CN"/>
            </w:rPr>
            <w:t>其他需要说明事项</w:t>
          </w:r>
          <w:r>
            <w:tab/>
          </w:r>
          <w:r>
            <w:fldChar w:fldCharType="begin"/>
          </w:r>
          <w:r>
            <w:instrText xml:space="preserve"> PAGEREF _Toc8019 \h </w:instrText>
          </w:r>
          <w:r>
            <w:fldChar w:fldCharType="separate"/>
          </w:r>
          <w:r>
            <w:t>23</w:t>
          </w:r>
          <w:r>
            <w:fldChar w:fldCharType="end"/>
          </w:r>
          <w:r>
            <w:rPr>
              <w:rFonts w:ascii="宋体" w:hAnsi="宋体" w:eastAsia="宋体"/>
              <w:szCs w:val="30"/>
            </w:rPr>
            <w:fldChar w:fldCharType="end"/>
          </w:r>
        </w:p>
        <w:p>
          <w:pPr>
            <w:keepNext w:val="0"/>
            <w:keepLines w:val="0"/>
            <w:pageBreakBefore w:val="0"/>
            <w:widowControl/>
            <w:kinsoku/>
            <w:wordWrap/>
            <w:overflowPunct/>
            <w:topLinePunct w:val="0"/>
            <w:autoSpaceDE/>
            <w:autoSpaceDN/>
            <w:bidi w:val="0"/>
            <w:adjustRightInd/>
            <w:snapToGrid w:val="0"/>
            <w:spacing w:line="264" w:lineRule="auto"/>
            <w:ind w:left="0" w:leftChars="0" w:firstLine="0" w:firstLineChars="0"/>
            <w:jc w:val="both"/>
            <w:textAlignment w:val="auto"/>
            <w:rPr>
              <w:rFonts w:ascii="宋体" w:hAnsi="宋体" w:eastAsia="宋体"/>
              <w:sz w:val="30"/>
              <w:szCs w:val="30"/>
            </w:rPr>
          </w:pPr>
          <w:r>
            <w:rPr>
              <w:rFonts w:ascii="宋体" w:hAnsi="宋体" w:eastAsia="宋体"/>
              <w:szCs w:val="30"/>
            </w:rPr>
            <w:fldChar w:fldCharType="end"/>
          </w:r>
        </w:p>
      </w:sdtContent>
    </w:sdt>
    <w:p>
      <w:pPr>
        <w:pStyle w:val="20"/>
        <w:spacing w:after="0" w:line="360" w:lineRule="auto"/>
        <w:ind w:firstLine="0"/>
        <w:jc w:val="center"/>
        <w:outlineLvl w:val="9"/>
        <w:rPr>
          <w:rFonts w:hint="eastAsia" w:ascii="方正小标宋_GBK" w:hAnsi="方正小标宋_GBK" w:eastAsia="方正小标宋_GBK" w:cs="方正小标宋_GBK"/>
          <w:b w:val="0"/>
          <w:bCs w:val="0"/>
          <w:color w:val="000000"/>
          <w:sz w:val="44"/>
          <w:szCs w:val="44"/>
          <w:lang w:val="en-US" w:eastAsia="zh-CN" w:bidi="en-US"/>
        </w:rPr>
      </w:pPr>
      <w:bookmarkStart w:id="8" w:name="_Hlk123381332"/>
      <w:bookmarkStart w:id="9" w:name="_Toc21699"/>
      <w:bookmarkStart w:id="10" w:name="_Toc27875"/>
      <w:bookmarkStart w:id="11" w:name="_Toc28967"/>
      <w:bookmarkStart w:id="12" w:name="_Toc30204"/>
      <w:bookmarkStart w:id="13" w:name="_Toc27910"/>
      <w:bookmarkStart w:id="14" w:name="_Toc15042"/>
      <w:bookmarkStart w:id="15" w:name="_Toc28044"/>
      <w:bookmarkStart w:id="16" w:name="_Toc23810"/>
    </w:p>
    <w:p>
      <w:pPr>
        <w:pStyle w:val="20"/>
        <w:spacing w:after="0" w:line="360" w:lineRule="auto"/>
        <w:ind w:firstLine="0"/>
        <w:jc w:val="center"/>
        <w:outlineLvl w:val="9"/>
        <w:rPr>
          <w:rFonts w:hint="eastAsia" w:ascii="方正小标宋_GBK" w:hAnsi="方正小标宋_GBK" w:eastAsia="方正小标宋_GBK" w:cs="方正小标宋_GBK"/>
          <w:b w:val="0"/>
          <w:bCs w:val="0"/>
          <w:color w:val="000000"/>
          <w:sz w:val="44"/>
          <w:szCs w:val="44"/>
          <w:lang w:val="en-US" w:eastAsia="zh-CN" w:bidi="en-US"/>
        </w:rPr>
      </w:pPr>
      <w:r>
        <w:rPr>
          <w:rFonts w:hint="eastAsia" w:ascii="方正小标宋_GBK" w:hAnsi="方正小标宋_GBK" w:eastAsia="方正小标宋_GBK" w:cs="方正小标宋_GBK"/>
          <w:b w:val="0"/>
          <w:bCs w:val="0"/>
          <w:color w:val="000000"/>
          <w:sz w:val="44"/>
          <w:szCs w:val="44"/>
          <w:lang w:val="en-US" w:eastAsia="zh-CN" w:bidi="en-US"/>
        </w:rPr>
        <w:t>2024年广东省政府专项债券（六期）</w:t>
      </w:r>
    </w:p>
    <w:p>
      <w:pPr>
        <w:pStyle w:val="20"/>
        <w:spacing w:after="0" w:line="360" w:lineRule="auto"/>
        <w:ind w:firstLine="0"/>
        <w:jc w:val="center"/>
        <w:outlineLvl w:val="1"/>
        <w:rPr>
          <w:rFonts w:hint="eastAsia" w:ascii="方正小标宋_GBK" w:hAnsi="方正小标宋_GBK" w:eastAsia="方正小标宋_GBK" w:cs="方正小标宋_GBK"/>
          <w:b w:val="0"/>
          <w:bCs w:val="0"/>
          <w:color w:val="000000"/>
          <w:sz w:val="44"/>
          <w:szCs w:val="44"/>
          <w:lang w:val="en-US" w:eastAsia="zh-CN" w:bidi="en-US"/>
        </w:rPr>
      </w:pPr>
      <w:bookmarkStart w:id="17" w:name="_Toc15088"/>
      <w:bookmarkStart w:id="18" w:name="_Toc25943"/>
      <w:bookmarkStart w:id="19" w:name="_Toc1253"/>
      <w:bookmarkStart w:id="20" w:name="_Toc759"/>
      <w:bookmarkStart w:id="21" w:name="_Toc26544"/>
      <w:bookmarkStart w:id="22" w:name="_Toc7396"/>
      <w:r>
        <w:rPr>
          <w:rFonts w:hint="eastAsia" w:ascii="方正小标宋_GBK" w:hAnsi="方正小标宋_GBK" w:eastAsia="方正小标宋_GBK" w:cs="方正小标宋_GBK"/>
          <w:b w:val="0"/>
          <w:bCs w:val="0"/>
          <w:color w:val="000000"/>
          <w:sz w:val="44"/>
          <w:szCs w:val="44"/>
          <w:lang w:val="en-US" w:eastAsia="zh-CN" w:bidi="en-US"/>
        </w:rPr>
        <w:t>源城区工业园第三期扩园项目募投报告</w:t>
      </w:r>
      <w:bookmarkEnd w:id="17"/>
      <w:bookmarkEnd w:id="18"/>
      <w:bookmarkEnd w:id="19"/>
      <w:bookmarkEnd w:id="20"/>
      <w:bookmarkEnd w:id="21"/>
      <w:bookmarkEnd w:id="22"/>
    </w:p>
    <w:bookmarkEnd w:id="8"/>
    <w:p>
      <w:pPr>
        <w:adjustRightInd w:val="0"/>
        <w:snapToGrid w:val="0"/>
        <w:ind w:firstLine="641"/>
        <w:outlineLvl w:val="9"/>
        <w:rPr>
          <w:rFonts w:hint="eastAsia" w:ascii="黑体" w:hAnsi="黑体" w:eastAsia="黑体" w:cs="黑体"/>
          <w:kern w:val="0"/>
          <w:sz w:val="22"/>
          <w:szCs w:val="22"/>
        </w:rPr>
      </w:pPr>
    </w:p>
    <w:p>
      <w:pPr>
        <w:pStyle w:val="3"/>
        <w:adjustRightInd w:val="0"/>
        <w:snapToGrid w:val="0"/>
        <w:ind w:firstLine="641"/>
        <w:rPr>
          <w:rFonts w:hint="eastAsia" w:ascii="黑体" w:hAnsi="黑体" w:eastAsia="黑体" w:cs="黑体"/>
          <w:kern w:val="0"/>
          <w:sz w:val="32"/>
          <w:szCs w:val="32"/>
        </w:rPr>
      </w:pPr>
      <w:bookmarkStart w:id="23" w:name="_Toc19790"/>
      <w:bookmarkStart w:id="24" w:name="_Toc7553"/>
      <w:r>
        <w:rPr>
          <w:rFonts w:hint="eastAsia" w:ascii="黑体" w:hAnsi="黑体" w:eastAsia="黑体" w:cs="黑体"/>
          <w:kern w:val="0"/>
          <w:sz w:val="32"/>
          <w:szCs w:val="32"/>
        </w:rPr>
        <w:t>一、项目基本情况</w:t>
      </w:r>
      <w:bookmarkEnd w:id="9"/>
      <w:bookmarkEnd w:id="10"/>
      <w:bookmarkEnd w:id="11"/>
      <w:bookmarkEnd w:id="12"/>
      <w:bookmarkEnd w:id="13"/>
      <w:bookmarkEnd w:id="14"/>
      <w:bookmarkEnd w:id="15"/>
      <w:bookmarkEnd w:id="16"/>
      <w:bookmarkEnd w:id="23"/>
      <w:bookmarkEnd w:id="24"/>
    </w:p>
    <w:p>
      <w:pPr>
        <w:adjustRightInd w:val="0"/>
        <w:snapToGrid w:val="0"/>
        <w:spacing w:line="360" w:lineRule="auto"/>
        <w:ind w:firstLine="560"/>
        <w:outlineLvl w:val="1"/>
        <w:rPr>
          <w:rFonts w:hint="eastAsia" w:ascii="仿宋_GB2312" w:hAnsi="仿宋_GB2312" w:eastAsia="仿宋_GB2312" w:cs="仿宋_GB2312"/>
          <w:b/>
          <w:bCs/>
          <w:color w:val="000000"/>
          <w:sz w:val="32"/>
          <w:szCs w:val="32"/>
        </w:rPr>
      </w:pPr>
      <w:bookmarkStart w:id="25" w:name="_Toc10133"/>
      <w:bookmarkStart w:id="26" w:name="_Toc15306"/>
      <w:bookmarkStart w:id="27" w:name="_Toc4459"/>
      <w:bookmarkStart w:id="28" w:name="_Toc11378"/>
      <w:bookmarkStart w:id="29" w:name="_Toc32690"/>
      <w:bookmarkStart w:id="30" w:name="_Toc4999"/>
      <w:r>
        <w:rPr>
          <w:rFonts w:hint="eastAsia" w:ascii="仿宋_GB2312" w:hAnsi="仿宋_GB2312" w:eastAsia="仿宋_GB2312" w:cs="仿宋_GB2312"/>
          <w:b/>
          <w:bCs/>
          <w:color w:val="000000"/>
          <w:sz w:val="32"/>
          <w:szCs w:val="32"/>
          <w:lang w:eastAsia="zh-CN"/>
        </w:rPr>
        <w:t>（一）</w:t>
      </w:r>
      <w:r>
        <w:rPr>
          <w:rFonts w:hint="eastAsia" w:ascii="仿宋_GB2312" w:hAnsi="仿宋_GB2312" w:eastAsia="仿宋_GB2312" w:cs="仿宋_GB2312"/>
          <w:b/>
          <w:bCs/>
          <w:color w:val="000000"/>
          <w:sz w:val="32"/>
          <w:szCs w:val="32"/>
        </w:rPr>
        <w:t>项目所处区域</w:t>
      </w:r>
      <w:r>
        <w:rPr>
          <w:rFonts w:hint="eastAsia" w:ascii="仿宋_GB2312" w:hAnsi="仿宋_GB2312" w:eastAsia="仿宋_GB2312" w:cs="仿宋_GB2312"/>
          <w:b/>
          <w:bCs/>
          <w:color w:val="000000"/>
          <w:sz w:val="32"/>
          <w:szCs w:val="32"/>
          <w:lang w:eastAsia="zh-CN"/>
        </w:rPr>
        <w:t>财政经济</w:t>
      </w:r>
      <w:r>
        <w:rPr>
          <w:rFonts w:hint="eastAsia" w:ascii="仿宋_GB2312" w:hAnsi="仿宋_GB2312" w:eastAsia="仿宋_GB2312" w:cs="仿宋_GB2312"/>
          <w:b/>
          <w:bCs/>
          <w:color w:val="000000"/>
          <w:sz w:val="32"/>
          <w:szCs w:val="32"/>
        </w:rPr>
        <w:t>情况</w:t>
      </w:r>
      <w:bookmarkEnd w:id="25"/>
      <w:bookmarkEnd w:id="26"/>
      <w:bookmarkEnd w:id="27"/>
      <w:bookmarkEnd w:id="28"/>
      <w:bookmarkEnd w:id="29"/>
      <w:bookmarkEnd w:id="30"/>
    </w:p>
    <w:p>
      <w:pPr>
        <w:adjustRightInd w:val="0"/>
        <w:snapToGrid w:val="0"/>
        <w:spacing w:line="360" w:lineRule="auto"/>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河源市源城区工业园第三期扩园项目实施地点位于河源市源城区。源城区是河源市唯一的行政辖区，是河源市的政治、经济、文化中心，是中共河源市委、河源市人民政府、源城区人民政府所在地，位于广东省东北部、河源市南部。河源市源城区2020-2022年财政经济数据如下：</w:t>
      </w:r>
    </w:p>
    <w:p>
      <w:pPr>
        <w:snapToGrid w:val="0"/>
        <w:spacing w:line="360" w:lineRule="auto"/>
        <w:ind w:firstLine="0" w:firstLineChars="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表</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河源市源城区2020-2022年财政经济数据</w:t>
      </w:r>
    </w:p>
    <w:tbl>
      <w:tblPr>
        <w:tblStyle w:val="13"/>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02"/>
        <w:gridCol w:w="1436"/>
        <w:gridCol w:w="1527"/>
        <w:gridCol w:w="165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502" w:type="dxa"/>
            <w:tcBorders>
              <w:left w:val="single" w:color="auto" w:sz="4" w:space="0"/>
            </w:tcBorders>
            <w:shd w:val="clear" w:color="auto" w:fill="BEBEBE"/>
            <w:noWrap w:val="0"/>
            <w:vAlign w:val="center"/>
          </w:tcPr>
          <w:p>
            <w:pPr>
              <w:snapToGrid w:val="0"/>
              <w:spacing w:line="240" w:lineRule="auto"/>
              <w:ind w:firstLine="42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rPr>
              <w:t>项目</w:t>
            </w:r>
          </w:p>
        </w:tc>
        <w:tc>
          <w:tcPr>
            <w:tcW w:w="1436" w:type="dxa"/>
            <w:shd w:val="clear" w:color="auto" w:fill="BEBEBE"/>
            <w:noWrap w:val="0"/>
            <w:vAlign w:val="center"/>
          </w:tcPr>
          <w:p>
            <w:pPr>
              <w:snapToGrid w:val="0"/>
              <w:spacing w:line="240" w:lineRule="auto"/>
              <w:ind w:firstLine="0" w:firstLineChars="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lang w:val="en-US" w:eastAsia="zh-CN"/>
              </w:rPr>
              <w:t>2020年</w:t>
            </w:r>
          </w:p>
        </w:tc>
        <w:tc>
          <w:tcPr>
            <w:tcW w:w="1527" w:type="dxa"/>
            <w:shd w:val="clear" w:color="auto" w:fill="BEBEBE"/>
            <w:noWrap w:val="0"/>
            <w:vAlign w:val="center"/>
          </w:tcPr>
          <w:p>
            <w:pPr>
              <w:snapToGrid w:val="0"/>
              <w:spacing w:line="240" w:lineRule="auto"/>
              <w:ind w:firstLine="0" w:firstLineChars="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lang w:val="en-US" w:eastAsia="zh-CN"/>
              </w:rPr>
              <w:t>2021年</w:t>
            </w:r>
          </w:p>
        </w:tc>
        <w:tc>
          <w:tcPr>
            <w:tcW w:w="1653" w:type="dxa"/>
            <w:tcBorders>
              <w:right w:val="single" w:color="auto" w:sz="4" w:space="0"/>
            </w:tcBorders>
            <w:shd w:val="clear" w:color="auto" w:fill="BEBEBE"/>
            <w:noWrap w:val="0"/>
            <w:vAlign w:val="center"/>
          </w:tcPr>
          <w:p>
            <w:pPr>
              <w:snapToGrid w:val="0"/>
              <w:spacing w:line="240" w:lineRule="auto"/>
              <w:ind w:firstLine="0" w:firstLineChars="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lang w:val="en-US" w:eastAsia="zh-CN"/>
              </w:rPr>
              <w:t>2022</w:t>
            </w:r>
            <w:r>
              <w:rPr>
                <w:rFonts w:hint="eastAsia" w:ascii="黑体" w:hAnsi="黑体" w:eastAsia="黑体" w:cs="黑体"/>
                <w:bCs/>
                <w:color w:val="000000"/>
                <w:sz w:val="24"/>
                <w:szCs w:val="24"/>
              </w:rPr>
              <w:t>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502" w:type="dxa"/>
            <w:tcBorders>
              <w:left w:val="single" w:color="auto" w:sz="4" w:space="0"/>
            </w:tcBorders>
            <w:noWrap w:val="0"/>
            <w:vAlign w:val="center"/>
          </w:tcPr>
          <w:p>
            <w:pPr>
              <w:snapToGrid w:val="0"/>
              <w:spacing w:line="240" w:lineRule="auto"/>
              <w:ind w:firstLine="42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地区生产总值（亿元）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en-US"/>
              </w:rPr>
              <w:t>264.</w:t>
            </w:r>
            <w:r>
              <w:rPr>
                <w:rFonts w:hint="eastAsia" w:ascii="仿宋_GB2312" w:hAnsi="仿宋_GB2312" w:eastAsia="仿宋_GB2312" w:cs="仿宋_GB2312"/>
                <w:color w:val="000000"/>
                <w:sz w:val="24"/>
                <w:szCs w:val="24"/>
                <w:lang w:val="zh-TW" w:eastAsia="zh-TW"/>
              </w:rPr>
              <w:t>29</w:t>
            </w:r>
          </w:p>
        </w:tc>
        <w:tc>
          <w:tcPr>
            <w:tcW w:w="1527" w:type="dxa"/>
            <w:noWrap w:val="0"/>
            <w:vAlign w:val="center"/>
          </w:tcPr>
          <w:p>
            <w:pPr>
              <w:snapToGrid w:val="0"/>
              <w:spacing w:line="240" w:lineRule="auto"/>
              <w:ind w:firstLine="420"/>
              <w:jc w:val="righ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en-US"/>
              </w:rPr>
              <w:t>302.</w:t>
            </w:r>
            <w:r>
              <w:rPr>
                <w:rFonts w:hint="eastAsia" w:ascii="仿宋_GB2312" w:hAnsi="仿宋_GB2312" w:eastAsia="仿宋_GB2312" w:cs="仿宋_GB2312"/>
                <w:color w:val="000000"/>
                <w:sz w:val="24"/>
                <w:szCs w:val="24"/>
                <w:lang w:val="zh-TW" w:eastAsia="zh-TW"/>
              </w:rPr>
              <w:t>98</w:t>
            </w:r>
          </w:p>
        </w:tc>
        <w:tc>
          <w:tcPr>
            <w:tcW w:w="1653" w:type="dxa"/>
            <w:tcBorders>
              <w:right w:val="single" w:color="auto" w:sz="4" w:space="0"/>
            </w:tcBorders>
            <w:noWrap w:val="0"/>
            <w:vAlign w:val="center"/>
          </w:tcPr>
          <w:p>
            <w:pPr>
              <w:snapToGrid w:val="0"/>
              <w:spacing w:line="240" w:lineRule="auto"/>
              <w:ind w:firstLine="420"/>
              <w:jc w:val="righ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en-US"/>
              </w:rPr>
              <w:t>30</w:t>
            </w:r>
            <w:r>
              <w:rPr>
                <w:rFonts w:hint="eastAsia" w:ascii="仿宋_GB2312" w:hAnsi="仿宋_GB2312" w:eastAsia="仿宋_GB2312" w:cs="仿宋_GB2312"/>
                <w:color w:val="000000"/>
                <w:sz w:val="24"/>
                <w:szCs w:val="24"/>
                <w:lang w:val="en-US" w:eastAsia="zh-CN"/>
              </w:rPr>
              <w:t>7.24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502" w:type="dxa"/>
            <w:tcBorders>
              <w:left w:val="single" w:color="auto" w:sz="4" w:space="0"/>
            </w:tcBorders>
            <w:noWrap w:val="0"/>
            <w:vAlign w:val="center"/>
          </w:tcPr>
          <w:p>
            <w:pPr>
              <w:snapToGrid w:val="0"/>
              <w:spacing w:line="240" w:lineRule="auto"/>
              <w:ind w:firstLine="42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一般预算收入（亿元）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11.91</w:t>
            </w:r>
          </w:p>
        </w:tc>
        <w:tc>
          <w:tcPr>
            <w:tcW w:w="1527"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12.</w:t>
            </w:r>
            <w:r>
              <w:rPr>
                <w:rFonts w:hint="eastAsia" w:ascii="仿宋_GB2312" w:hAnsi="仿宋_GB2312" w:eastAsia="仿宋_GB2312" w:cs="仿宋_GB2312"/>
                <w:color w:val="000000"/>
                <w:sz w:val="24"/>
                <w:szCs w:val="24"/>
                <w:lang w:val="zh-TW" w:eastAsia="zh-TW"/>
              </w:rPr>
              <w:t>59</w:t>
            </w:r>
          </w:p>
        </w:tc>
        <w:tc>
          <w:tcPr>
            <w:tcW w:w="1653" w:type="dxa"/>
            <w:tcBorders>
              <w:right w:val="single" w:color="auto" w:sz="4" w:space="0"/>
            </w:tcBorders>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zh-CN"/>
              </w:rPr>
              <w:t>10.71</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4502" w:type="dxa"/>
            <w:tcBorders>
              <w:left w:val="single" w:color="auto" w:sz="4" w:space="0"/>
            </w:tcBorders>
            <w:noWrap w:val="0"/>
            <w:vAlign w:val="center"/>
          </w:tcPr>
          <w:p>
            <w:pPr>
              <w:snapToGrid w:val="0"/>
              <w:spacing w:line="240" w:lineRule="auto"/>
              <w:ind w:firstLine="42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政府性基金收入（亿元）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8.</w:t>
            </w:r>
            <w:r>
              <w:rPr>
                <w:rFonts w:hint="eastAsia" w:ascii="仿宋_GB2312" w:hAnsi="仿宋_GB2312" w:eastAsia="仿宋_GB2312" w:cs="仿宋_GB2312"/>
                <w:color w:val="000000"/>
                <w:sz w:val="24"/>
                <w:szCs w:val="24"/>
                <w:lang w:val="zh-TW" w:eastAsia="zh-TW"/>
              </w:rPr>
              <w:t>79</w:t>
            </w:r>
          </w:p>
        </w:tc>
        <w:tc>
          <w:tcPr>
            <w:tcW w:w="1527"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2.</w:t>
            </w:r>
            <w:r>
              <w:rPr>
                <w:rFonts w:hint="eastAsia" w:ascii="仿宋_GB2312" w:hAnsi="仿宋_GB2312" w:eastAsia="仿宋_GB2312" w:cs="仿宋_GB2312"/>
                <w:color w:val="000000"/>
                <w:sz w:val="24"/>
                <w:szCs w:val="24"/>
                <w:lang w:val="zh-TW" w:eastAsia="zh-TW"/>
              </w:rPr>
              <w:t>72</w:t>
            </w:r>
          </w:p>
        </w:tc>
        <w:tc>
          <w:tcPr>
            <w:tcW w:w="1653" w:type="dxa"/>
            <w:tcBorders>
              <w:right w:val="single" w:color="auto" w:sz="4" w:space="0"/>
            </w:tcBorders>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zh-CN"/>
              </w:rPr>
              <w:t>1.67</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502" w:type="dxa"/>
            <w:tcBorders>
              <w:left w:val="single" w:color="auto" w:sz="4" w:space="0"/>
            </w:tcBorders>
            <w:noWrap w:val="0"/>
            <w:vAlign w:val="center"/>
          </w:tcPr>
          <w:p>
            <w:pPr>
              <w:snapToGrid w:val="0"/>
              <w:spacing w:line="240" w:lineRule="auto"/>
              <w:ind w:firstLine="42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其中：国有土地出让收入（亿元）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8.</w:t>
            </w:r>
            <w:r>
              <w:rPr>
                <w:rFonts w:hint="eastAsia" w:ascii="仿宋_GB2312" w:hAnsi="仿宋_GB2312" w:eastAsia="仿宋_GB2312" w:cs="仿宋_GB2312"/>
                <w:color w:val="000000"/>
                <w:sz w:val="24"/>
                <w:szCs w:val="24"/>
                <w:lang w:val="zh-TW" w:eastAsia="zh-TW"/>
              </w:rPr>
              <w:t>70</w:t>
            </w:r>
          </w:p>
        </w:tc>
        <w:tc>
          <w:tcPr>
            <w:tcW w:w="1527"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2.</w:t>
            </w:r>
            <w:r>
              <w:rPr>
                <w:rFonts w:hint="eastAsia" w:ascii="仿宋_GB2312" w:hAnsi="仿宋_GB2312" w:eastAsia="仿宋_GB2312" w:cs="仿宋_GB2312"/>
                <w:color w:val="000000"/>
                <w:sz w:val="24"/>
                <w:szCs w:val="24"/>
                <w:lang w:val="zh-TW" w:eastAsia="zh-TW"/>
              </w:rPr>
              <w:t>69</w:t>
            </w:r>
          </w:p>
        </w:tc>
        <w:tc>
          <w:tcPr>
            <w:tcW w:w="1653" w:type="dxa"/>
            <w:tcBorders>
              <w:right w:val="single" w:color="auto" w:sz="4" w:space="0"/>
            </w:tcBorders>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zh-CN"/>
              </w:rPr>
              <w:t>1.49</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502" w:type="dxa"/>
            <w:tcBorders>
              <w:left w:val="single" w:color="auto" w:sz="4" w:space="0"/>
            </w:tcBorders>
            <w:noWrap w:val="0"/>
            <w:vAlign w:val="center"/>
          </w:tcPr>
          <w:p>
            <w:pPr>
              <w:snapToGrid w:val="0"/>
              <w:spacing w:line="240" w:lineRule="auto"/>
              <w:ind w:firstLine="42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政府性基金支出（亿元）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17.31</w:t>
            </w:r>
          </w:p>
        </w:tc>
        <w:tc>
          <w:tcPr>
            <w:tcW w:w="1527"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8.</w:t>
            </w:r>
            <w:r>
              <w:rPr>
                <w:rFonts w:hint="eastAsia" w:ascii="仿宋_GB2312" w:hAnsi="仿宋_GB2312" w:eastAsia="仿宋_GB2312" w:cs="仿宋_GB2312"/>
                <w:color w:val="000000"/>
                <w:sz w:val="24"/>
                <w:szCs w:val="24"/>
                <w:lang w:val="zh-TW" w:eastAsia="zh-TW"/>
              </w:rPr>
              <w:t>87</w:t>
            </w:r>
          </w:p>
        </w:tc>
        <w:tc>
          <w:tcPr>
            <w:tcW w:w="1653" w:type="dxa"/>
            <w:tcBorders>
              <w:right w:val="single" w:color="auto" w:sz="4" w:space="0"/>
            </w:tcBorders>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zh-CN"/>
              </w:rPr>
              <w:t>18.14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502" w:type="dxa"/>
            <w:tcBorders>
              <w:left w:val="single" w:color="auto" w:sz="4" w:space="0"/>
            </w:tcBorders>
            <w:noWrap w:val="0"/>
            <w:vAlign w:val="center"/>
          </w:tcPr>
          <w:p>
            <w:pPr>
              <w:snapToGrid w:val="0"/>
              <w:spacing w:line="240" w:lineRule="auto"/>
              <w:ind w:firstLine="0" w:firstLineChars="0"/>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其中：国有土地出让支出（亿元）</w:t>
            </w:r>
          </w:p>
        </w:tc>
        <w:tc>
          <w:tcPr>
            <w:tcW w:w="1436"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8.61</w:t>
            </w:r>
          </w:p>
        </w:tc>
        <w:tc>
          <w:tcPr>
            <w:tcW w:w="1527" w:type="dxa"/>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en-US"/>
              </w:rPr>
              <w:t>4.</w:t>
            </w:r>
            <w:r>
              <w:rPr>
                <w:rFonts w:hint="eastAsia" w:ascii="仿宋_GB2312" w:hAnsi="仿宋_GB2312" w:eastAsia="仿宋_GB2312" w:cs="仿宋_GB2312"/>
                <w:color w:val="000000"/>
                <w:sz w:val="24"/>
                <w:szCs w:val="24"/>
                <w:lang w:val="zh-TW" w:eastAsia="zh-TW"/>
              </w:rPr>
              <w:t>10</w:t>
            </w:r>
          </w:p>
        </w:tc>
        <w:tc>
          <w:tcPr>
            <w:tcW w:w="1653" w:type="dxa"/>
            <w:tcBorders>
              <w:right w:val="single" w:color="auto" w:sz="4" w:space="0"/>
            </w:tcBorders>
            <w:noWrap w:val="0"/>
            <w:vAlign w:val="center"/>
          </w:tcPr>
          <w:p>
            <w:pPr>
              <w:snapToGrid w:val="0"/>
              <w:spacing w:line="240" w:lineRule="auto"/>
              <w:ind w:left="0" w:leftChars="0" w:firstLine="0" w:firstLineChars="0"/>
              <w:jc w:val="right"/>
              <w:rPr>
                <w:rFonts w:hint="eastAsia" w:ascii="仿宋_GB2312" w:hAnsi="仿宋_GB2312" w:eastAsia="仿宋_GB2312" w:cs="仿宋_GB2312"/>
                <w:color w:val="000000"/>
                <w:sz w:val="24"/>
                <w:szCs w:val="24"/>
                <w:lang w:val="en-US" w:eastAsia="en-US"/>
              </w:rPr>
            </w:pPr>
            <w:r>
              <w:rPr>
                <w:rFonts w:hint="eastAsia" w:ascii="仿宋_GB2312" w:hAnsi="仿宋_GB2312" w:eastAsia="仿宋_GB2312" w:cs="仿宋_GB2312"/>
                <w:color w:val="000000"/>
                <w:sz w:val="24"/>
                <w:szCs w:val="24"/>
                <w:lang w:val="en-US" w:eastAsia="zh-CN"/>
              </w:rPr>
              <w:t>3.13</w:t>
            </w:r>
          </w:p>
        </w:tc>
      </w:tr>
    </w:tbl>
    <w:p>
      <w:pPr>
        <w:pStyle w:val="4"/>
        <w:keepNext/>
        <w:keepLines/>
        <w:pageBreakBefore w:val="0"/>
        <w:widowControl w:val="0"/>
        <w:kinsoku/>
        <w:wordWrap/>
        <w:overflowPunct/>
        <w:topLinePunct w:val="0"/>
        <w:autoSpaceDE/>
        <w:autoSpaceDN/>
        <w:bidi w:val="0"/>
        <w:adjustRightInd w:val="0"/>
        <w:snapToGrid w:val="0"/>
        <w:spacing w:before="0" w:beforeLines="0" w:after="0" w:afterLines="0"/>
        <w:ind w:firstLine="0" w:firstLineChars="0"/>
        <w:textAlignment w:val="auto"/>
        <w:rPr>
          <w:rFonts w:hint="eastAsia" w:ascii="仿宋_GB2312" w:hAnsi="仿宋_GB2312" w:eastAsia="仿宋_GB2312" w:cs="仿宋_GB2312"/>
          <w:b w:val="0"/>
          <w:bCs w:val="0"/>
          <w:sz w:val="32"/>
          <w:szCs w:val="32"/>
        </w:rPr>
      </w:pPr>
      <w:bookmarkStart w:id="31" w:name="_Toc2435"/>
      <w:bookmarkStart w:id="32" w:name="_Toc4668"/>
      <w:r>
        <w:rPr>
          <w:rFonts w:hint="eastAsia" w:ascii="仿宋_GB2312" w:hAnsi="仿宋_GB2312" w:eastAsia="仿宋_GB2312" w:cs="仿宋_GB2312"/>
          <w:b/>
          <w:bCs/>
          <w:color w:val="000000"/>
          <w:sz w:val="32"/>
        </w:rPr>
        <w:t>（</w:t>
      </w:r>
      <w:r>
        <w:rPr>
          <w:rFonts w:hint="eastAsia" w:ascii="仿宋_GB2312" w:hAnsi="仿宋_GB2312" w:eastAsia="仿宋_GB2312" w:cs="仿宋_GB2312"/>
          <w:b/>
          <w:bCs/>
          <w:color w:val="000000"/>
          <w:sz w:val="32"/>
          <w:lang w:eastAsia="zh-CN"/>
        </w:rPr>
        <w:t>二</w:t>
      </w:r>
      <w:r>
        <w:rPr>
          <w:rFonts w:hint="eastAsia" w:ascii="仿宋_GB2312" w:hAnsi="仿宋_GB2312" w:eastAsia="仿宋_GB2312" w:cs="仿宋_GB2312"/>
          <w:b/>
          <w:bCs/>
          <w:color w:val="000000"/>
          <w:sz w:val="32"/>
        </w:rPr>
        <w:t>）</w:t>
      </w:r>
      <w:r>
        <w:rPr>
          <w:rFonts w:hint="eastAsia" w:ascii="仿宋_GB2312" w:hAnsi="仿宋_GB2312" w:eastAsia="仿宋_GB2312" w:cs="仿宋_GB2312"/>
          <w:b/>
          <w:bCs/>
          <w:color w:val="000000"/>
          <w:sz w:val="32"/>
          <w:lang w:eastAsia="zh-CN"/>
        </w:rPr>
        <w:t>本地社会发展规划和</w:t>
      </w:r>
      <w:r>
        <w:rPr>
          <w:rFonts w:hint="eastAsia" w:ascii="仿宋_GB2312" w:hAnsi="仿宋_GB2312" w:eastAsia="仿宋_GB2312" w:cs="仿宋_GB2312"/>
          <w:b/>
          <w:bCs/>
          <w:color w:val="000000"/>
          <w:sz w:val="32"/>
          <w:szCs w:val="32"/>
          <w:lang w:val="en-US"/>
        </w:rPr>
        <w:t>行业</w:t>
      </w:r>
      <w:r>
        <w:rPr>
          <w:rFonts w:hint="eastAsia" w:ascii="仿宋_GB2312" w:hAnsi="仿宋_GB2312" w:eastAsia="仿宋_GB2312" w:cs="仿宋_GB2312"/>
          <w:b/>
          <w:bCs/>
          <w:color w:val="000000"/>
          <w:sz w:val="32"/>
          <w:lang w:val="en-US"/>
        </w:rPr>
        <w:t>相关规划</w:t>
      </w:r>
      <w:bookmarkEnd w:id="31"/>
      <w:bookmarkEnd w:id="32"/>
    </w:p>
    <w:p>
      <w:pPr>
        <w:numPr>
          <w:ilvl w:val="0"/>
          <w:numId w:val="0"/>
        </w:numPr>
        <w:adjustRightInd w:val="0"/>
        <w:snapToGrid w:val="0"/>
        <w:spacing w:beforeLines="0" w:afterLines="0" w:line="360" w:lineRule="auto"/>
        <w:ind w:firstLine="640" w:firstLineChars="200"/>
        <w:jc w:val="left"/>
        <w:rPr>
          <w:rFonts w:hint="eastAsia"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lang w:val="en-US" w:eastAsia="zh-CN"/>
        </w:rPr>
        <w:t>源城区区委七届十二次全会提出，要把工业园区建设成为河源市高质量发展示范园区，打造大湾区现代产业延伸区和现代产业新城。作为工业经济的主战场，源城区工业园要发挥效能，引领都市经济高质量发展。要提升服务能力和水平，加大园区扩园力度，优化园区产业布局，补齐基础设施短板，推动全区工业经济高质量发展。</w:t>
      </w:r>
    </w:p>
    <w:p>
      <w:pPr>
        <w:widowControl w:val="0"/>
        <w:numPr>
          <w:ilvl w:val="0"/>
          <w:numId w:val="0"/>
        </w:numPr>
        <w:adjustRightInd w:val="0"/>
        <w:snapToGrid w:val="0"/>
        <w:spacing w:beforeLines="0" w:afterLines="0" w:line="360" w:lineRule="auto"/>
        <w:ind w:firstLine="643" w:firstLineChars="200"/>
        <w:jc w:val="both"/>
        <w:outlineLvl w:val="1"/>
        <w:rPr>
          <w:rFonts w:hint="eastAsia" w:ascii="仿宋_GB2312" w:hAnsi="仿宋_GB2312" w:eastAsia="仿宋_GB2312" w:cs="仿宋_GB2312"/>
          <w:b/>
          <w:bCs/>
          <w:color w:val="000000"/>
          <w:sz w:val="32"/>
          <w:szCs w:val="32"/>
          <w:lang w:eastAsia="zh-CN"/>
        </w:rPr>
      </w:pPr>
      <w:bookmarkStart w:id="33" w:name="_Toc19892"/>
      <w:bookmarkStart w:id="34" w:name="_Toc21002"/>
      <w:bookmarkStart w:id="35" w:name="_Toc28496"/>
      <w:bookmarkStart w:id="36" w:name="_Toc18098"/>
      <w:bookmarkStart w:id="37" w:name="_Toc9004"/>
      <w:bookmarkStart w:id="38" w:name="_Toc1043"/>
      <w:r>
        <w:rPr>
          <w:rFonts w:hint="eastAsia" w:ascii="仿宋_GB2312" w:hAnsi="仿宋_GB2312" w:eastAsia="仿宋_GB2312" w:cs="仿宋_GB2312"/>
          <w:b/>
          <w:bCs/>
          <w:color w:val="000000"/>
          <w:kern w:val="0"/>
          <w:sz w:val="32"/>
          <w:szCs w:val="32"/>
          <w:lang w:val="en-US" w:eastAsia="zh-CN"/>
        </w:rPr>
        <w:t>（三）</w:t>
      </w:r>
      <w:r>
        <w:rPr>
          <w:rFonts w:hint="eastAsia" w:ascii="仿宋_GB2312" w:hAnsi="仿宋_GB2312" w:eastAsia="仿宋_GB2312" w:cs="仿宋_GB2312"/>
          <w:b/>
          <w:bCs/>
          <w:color w:val="000000"/>
          <w:sz w:val="32"/>
          <w:szCs w:val="32"/>
        </w:rPr>
        <w:t>项目</w:t>
      </w:r>
      <w:bookmarkEnd w:id="33"/>
      <w:bookmarkEnd w:id="34"/>
      <w:bookmarkEnd w:id="35"/>
      <w:bookmarkEnd w:id="36"/>
      <w:r>
        <w:rPr>
          <w:rFonts w:hint="eastAsia" w:ascii="仿宋_GB2312" w:hAnsi="仿宋_GB2312" w:eastAsia="仿宋_GB2312" w:cs="仿宋_GB2312"/>
          <w:b/>
          <w:bCs/>
          <w:color w:val="000000"/>
          <w:sz w:val="32"/>
          <w:szCs w:val="32"/>
          <w:lang w:eastAsia="zh-CN"/>
        </w:rPr>
        <w:t>情况</w:t>
      </w:r>
      <w:bookmarkEnd w:id="37"/>
      <w:bookmarkEnd w:id="38"/>
    </w:p>
    <w:p>
      <w:pPr>
        <w:snapToGrid w:val="0"/>
        <w:spacing w:line="360" w:lineRule="auto"/>
        <w:ind w:firstLine="0" w:firstLineChars="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表2：河源市源城区工业园第三期扩园项目建设情况</w:t>
      </w:r>
    </w:p>
    <w:tbl>
      <w:tblPr>
        <w:tblStyle w:val="13"/>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995"/>
        <w:gridCol w:w="822"/>
        <w:gridCol w:w="1161"/>
        <w:gridCol w:w="1161"/>
        <w:gridCol w:w="1260"/>
        <w:gridCol w:w="1277"/>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3731" w:type="dxa"/>
            <w:gridSpan w:val="3"/>
            <w:tcBorders>
              <w:bottom w:val="single" w:color="auto" w:sz="4" w:space="0"/>
            </w:tcBorders>
            <w:shd w:val="solid" w:color="D9D9D9" w:fill="BEBEBE"/>
            <w:noWrap w:val="0"/>
            <w:vAlign w:val="center"/>
          </w:tcPr>
          <w:p>
            <w:pPr>
              <w:snapToGrid w:val="0"/>
              <w:spacing w:line="240" w:lineRule="auto"/>
              <w:ind w:firstLine="42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rPr>
              <w:t>项目概况</w:t>
            </w:r>
          </w:p>
        </w:tc>
        <w:tc>
          <w:tcPr>
            <w:tcW w:w="1161" w:type="dxa"/>
            <w:vMerge w:val="restart"/>
            <w:shd w:val="solid" w:color="D9D9D9" w:fill="auto"/>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项目总投资（万元）</w:t>
            </w:r>
          </w:p>
        </w:tc>
        <w:tc>
          <w:tcPr>
            <w:tcW w:w="1161" w:type="dxa"/>
            <w:vMerge w:val="restart"/>
            <w:shd w:val="solid" w:color="D9D9D9" w:fill="auto"/>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计划发行债券规模（万元）</w:t>
            </w:r>
          </w:p>
        </w:tc>
        <w:tc>
          <w:tcPr>
            <w:tcW w:w="1260" w:type="dxa"/>
            <w:vMerge w:val="restart"/>
            <w:shd w:val="solid" w:color="D9D9D9" w:fill="auto"/>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以前年度专项债券规模（万元）</w:t>
            </w:r>
          </w:p>
        </w:tc>
        <w:tc>
          <w:tcPr>
            <w:tcW w:w="1277" w:type="dxa"/>
            <w:vMerge w:val="restart"/>
            <w:shd w:val="solid" w:color="D9D9D9" w:fill="auto"/>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计划202</w:t>
            </w:r>
            <w:r>
              <w:rPr>
                <w:rFonts w:hint="eastAsia" w:ascii="黑体" w:hAnsi="黑体" w:eastAsia="黑体" w:cs="黑体"/>
                <w:bCs/>
                <w:color w:val="000000"/>
                <w:sz w:val="24"/>
                <w:szCs w:val="24"/>
                <w:lang w:val="en-US" w:eastAsia="zh-CN"/>
              </w:rPr>
              <w:t>4</w:t>
            </w:r>
            <w:r>
              <w:rPr>
                <w:rFonts w:hint="eastAsia" w:ascii="黑体" w:hAnsi="黑体" w:eastAsia="黑体" w:cs="黑体"/>
                <w:bCs/>
                <w:color w:val="000000"/>
                <w:sz w:val="24"/>
                <w:szCs w:val="24"/>
              </w:rPr>
              <w:t>年专项债券规模（万元）</w:t>
            </w:r>
          </w:p>
        </w:tc>
        <w:tc>
          <w:tcPr>
            <w:tcW w:w="1148" w:type="dxa"/>
            <w:vMerge w:val="restart"/>
            <w:shd w:val="solid" w:color="D9D9D9" w:fill="auto"/>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计划以后年度专项债券规模（万元）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4" w:type="dxa"/>
            <w:shd w:val="solid" w:color="D9D9D9" w:fill="BEBEBE"/>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项目位置</w:t>
            </w:r>
          </w:p>
        </w:tc>
        <w:tc>
          <w:tcPr>
            <w:tcW w:w="1995" w:type="dxa"/>
            <w:shd w:val="solid" w:color="D9D9D9" w:fill="BEBEBE"/>
            <w:noWrap w:val="0"/>
            <w:vAlign w:val="center"/>
          </w:tcPr>
          <w:p>
            <w:pPr>
              <w:snapToGrid w:val="0"/>
              <w:spacing w:line="240" w:lineRule="auto"/>
              <w:ind w:firstLine="420"/>
              <w:jc w:val="center"/>
              <w:rPr>
                <w:rFonts w:hint="eastAsia" w:ascii="黑体" w:hAnsi="黑体" w:eastAsia="黑体" w:cs="黑体"/>
                <w:bCs/>
                <w:color w:val="000000"/>
                <w:sz w:val="24"/>
                <w:szCs w:val="24"/>
              </w:rPr>
            </w:pPr>
            <w:r>
              <w:rPr>
                <w:rFonts w:hint="eastAsia" w:ascii="黑体" w:hAnsi="黑体" w:eastAsia="黑体" w:cs="黑体"/>
                <w:bCs/>
                <w:color w:val="000000"/>
                <w:sz w:val="24"/>
                <w:szCs w:val="24"/>
              </w:rPr>
              <w:t>项目内容</w:t>
            </w:r>
          </w:p>
        </w:tc>
        <w:tc>
          <w:tcPr>
            <w:tcW w:w="822" w:type="dxa"/>
            <w:shd w:val="solid" w:color="D9D9D9" w:fill="BEBEBE"/>
            <w:noWrap w:val="0"/>
            <w:vAlign w:val="center"/>
          </w:tcPr>
          <w:p>
            <w:pPr>
              <w:snapToGrid w:val="0"/>
              <w:spacing w:line="240" w:lineRule="auto"/>
              <w:ind w:left="0" w:leftChars="0" w:firstLine="0" w:firstLineChars="0"/>
              <w:jc w:val="both"/>
              <w:rPr>
                <w:rFonts w:hint="eastAsia" w:ascii="黑体" w:hAnsi="黑体" w:eastAsia="黑体" w:cs="黑体"/>
                <w:bCs/>
                <w:color w:val="000000"/>
                <w:sz w:val="24"/>
                <w:szCs w:val="24"/>
              </w:rPr>
            </w:pPr>
            <w:r>
              <w:rPr>
                <w:rFonts w:hint="eastAsia" w:ascii="黑体" w:hAnsi="黑体" w:eastAsia="黑体" w:cs="黑体"/>
                <w:bCs/>
                <w:color w:val="000000"/>
                <w:sz w:val="24"/>
                <w:szCs w:val="24"/>
              </w:rPr>
              <w:t>项目类型</w:t>
            </w:r>
          </w:p>
        </w:tc>
        <w:tc>
          <w:tcPr>
            <w:tcW w:w="1161" w:type="dxa"/>
            <w:vMerge w:val="continue"/>
            <w:shd w:val="solid" w:color="D9D9D9" w:fill="auto"/>
            <w:noWrap w:val="0"/>
            <w:vAlign w:val="center"/>
          </w:tcPr>
          <w:p>
            <w:pPr>
              <w:ind w:firstLine="200"/>
              <w:jc w:val="center"/>
              <w:textAlignment w:val="center"/>
              <w:rPr>
                <w:rFonts w:hint="eastAsia" w:ascii="仿宋" w:hAnsi="仿宋" w:eastAsia="仿宋" w:cs="仿宋"/>
                <w:b/>
                <w:sz w:val="21"/>
                <w:szCs w:val="21"/>
              </w:rPr>
            </w:pPr>
          </w:p>
        </w:tc>
        <w:tc>
          <w:tcPr>
            <w:tcW w:w="1161" w:type="dxa"/>
            <w:vMerge w:val="continue"/>
            <w:shd w:val="solid" w:color="D9D9D9" w:fill="auto"/>
            <w:noWrap w:val="0"/>
            <w:vAlign w:val="center"/>
          </w:tcPr>
          <w:p>
            <w:pPr>
              <w:ind w:firstLine="200"/>
              <w:jc w:val="center"/>
              <w:textAlignment w:val="center"/>
              <w:rPr>
                <w:rFonts w:hint="eastAsia" w:ascii="仿宋" w:hAnsi="仿宋" w:eastAsia="仿宋" w:cs="仿宋"/>
                <w:b/>
                <w:sz w:val="21"/>
                <w:szCs w:val="21"/>
              </w:rPr>
            </w:pPr>
          </w:p>
        </w:tc>
        <w:tc>
          <w:tcPr>
            <w:tcW w:w="1260" w:type="dxa"/>
            <w:vMerge w:val="continue"/>
            <w:shd w:val="solid" w:color="D9D9D9" w:fill="auto"/>
            <w:noWrap w:val="0"/>
            <w:vAlign w:val="center"/>
          </w:tcPr>
          <w:p>
            <w:pPr>
              <w:ind w:firstLine="200"/>
              <w:jc w:val="center"/>
              <w:textAlignment w:val="center"/>
              <w:rPr>
                <w:rFonts w:hint="eastAsia" w:ascii="仿宋" w:hAnsi="仿宋" w:eastAsia="仿宋" w:cs="仿宋"/>
                <w:b/>
                <w:sz w:val="21"/>
                <w:szCs w:val="21"/>
              </w:rPr>
            </w:pPr>
          </w:p>
        </w:tc>
        <w:tc>
          <w:tcPr>
            <w:tcW w:w="1277" w:type="dxa"/>
            <w:vMerge w:val="continue"/>
            <w:shd w:val="solid" w:color="D9D9D9" w:fill="auto"/>
            <w:noWrap w:val="0"/>
            <w:vAlign w:val="center"/>
          </w:tcPr>
          <w:p>
            <w:pPr>
              <w:ind w:firstLine="200"/>
              <w:jc w:val="center"/>
              <w:textAlignment w:val="center"/>
              <w:rPr>
                <w:rFonts w:hint="eastAsia" w:ascii="仿宋" w:hAnsi="仿宋" w:eastAsia="仿宋" w:cs="仿宋"/>
                <w:b/>
                <w:sz w:val="21"/>
                <w:szCs w:val="21"/>
              </w:rPr>
            </w:pPr>
          </w:p>
        </w:tc>
        <w:tc>
          <w:tcPr>
            <w:tcW w:w="1148" w:type="dxa"/>
            <w:vMerge w:val="continue"/>
            <w:shd w:val="solid" w:color="D9D9D9" w:fill="auto"/>
            <w:noWrap w:val="0"/>
            <w:vAlign w:val="center"/>
          </w:tcPr>
          <w:p>
            <w:pPr>
              <w:ind w:firstLine="200"/>
              <w:jc w:val="center"/>
              <w:textAlignment w:val="center"/>
              <w:rPr>
                <w:rFonts w:hint="eastAsia" w:ascii="仿宋" w:hAnsi="仿宋" w:eastAsia="仿宋" w:cs="仿宋"/>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6" w:hRule="atLeast"/>
          <w:jc w:val="center"/>
        </w:trPr>
        <w:tc>
          <w:tcPr>
            <w:tcW w:w="914" w:type="dxa"/>
            <w:noWrap w:val="0"/>
            <w:vAlign w:val="center"/>
          </w:tcPr>
          <w:p>
            <w:pPr>
              <w:snapToGrid w:val="0"/>
              <w:spacing w:line="240" w:lineRule="auto"/>
              <w:ind w:left="0" w:leftChars="0" w:firstLine="0" w:firstLineChars="0"/>
              <w:jc w:val="both"/>
              <w:rPr>
                <w:rFonts w:hint="eastAsia" w:ascii="仿宋" w:hAnsi="仿宋" w:eastAsia="仿宋" w:cs="仿宋"/>
                <w:color w:val="000000"/>
                <w:sz w:val="21"/>
                <w:szCs w:val="21"/>
              </w:rPr>
            </w:pPr>
            <w:r>
              <w:rPr>
                <w:rFonts w:hint="eastAsia" w:ascii="仿宋" w:hAnsi="仿宋" w:eastAsia="仿宋" w:cs="仿宋"/>
                <w:color w:val="000000"/>
                <w:sz w:val="21"/>
                <w:szCs w:val="21"/>
              </w:rPr>
              <w:t>河源市源城区</w:t>
            </w:r>
            <w:r>
              <w:rPr>
                <w:rFonts w:hint="eastAsia" w:ascii="仿宋" w:hAnsi="仿宋" w:cs="仿宋"/>
                <w:color w:val="000000"/>
                <w:sz w:val="21"/>
                <w:szCs w:val="21"/>
                <w:lang w:val="en-US" w:eastAsia="zh-CN"/>
              </w:rPr>
              <w:t>,</w:t>
            </w:r>
            <w:r>
              <w:rPr>
                <w:rFonts w:hint="eastAsia" w:ascii="仿宋" w:hAnsi="仿宋" w:eastAsia="仿宋" w:cs="仿宋"/>
                <w:color w:val="000000"/>
                <w:sz w:val="21"/>
                <w:szCs w:val="21"/>
              </w:rPr>
              <w:t>埔前河以东、龙岭大道以南、粤赣高速以西、埔前大道以北</w:t>
            </w:r>
          </w:p>
        </w:tc>
        <w:tc>
          <w:tcPr>
            <w:tcW w:w="1995" w:type="dxa"/>
            <w:noWrap w:val="0"/>
            <w:vAlign w:val="center"/>
          </w:tcPr>
          <w:p>
            <w:pPr>
              <w:snapToGrid w:val="0"/>
              <w:spacing w:line="240" w:lineRule="auto"/>
              <w:ind w:left="0" w:leftChars="0" w:firstLine="0" w:firstLineChars="0"/>
              <w:jc w:val="both"/>
              <w:rPr>
                <w:rFonts w:hint="eastAsia" w:ascii="仿宋" w:hAnsi="仿宋" w:eastAsia="仿宋" w:cs="仿宋"/>
                <w:color w:val="000000"/>
                <w:sz w:val="21"/>
                <w:szCs w:val="21"/>
              </w:rPr>
            </w:pPr>
            <w:r>
              <w:rPr>
                <w:rFonts w:hint="eastAsia" w:ascii="仿宋" w:hAnsi="仿宋" w:eastAsia="仿宋" w:cs="仿宋"/>
                <w:color w:val="000000"/>
                <w:sz w:val="21"/>
                <w:szCs w:val="21"/>
              </w:rPr>
              <w:t>本项目总规划用地范围约1,030.00亩，其中用于建设用地约642.24亩，农用地343.85亩，其他土地(内陆滩涂)44.88亩。项目挖土石方2,509,304.81m³，回填土石方1,926,342.95m³，新建雨污工程2,256.00m，新建道路2,886.00m。</w:t>
            </w:r>
          </w:p>
        </w:tc>
        <w:tc>
          <w:tcPr>
            <w:tcW w:w="822" w:type="dxa"/>
            <w:noWrap w:val="0"/>
            <w:vAlign w:val="center"/>
          </w:tcPr>
          <w:p>
            <w:pPr>
              <w:snapToGrid w:val="0"/>
              <w:spacing w:line="240" w:lineRule="auto"/>
              <w:ind w:left="0" w:leftChars="0" w:firstLine="0" w:firstLineChars="0"/>
              <w:jc w:val="both"/>
              <w:rPr>
                <w:rFonts w:hint="eastAsia" w:ascii="仿宋" w:hAnsi="仿宋" w:eastAsia="仿宋" w:cs="仿宋"/>
                <w:color w:val="000000"/>
                <w:sz w:val="21"/>
                <w:szCs w:val="21"/>
              </w:rPr>
            </w:pPr>
            <w:r>
              <w:rPr>
                <w:rFonts w:hint="eastAsia" w:ascii="仿宋" w:hAnsi="仿宋" w:eastAsia="仿宋" w:cs="仿宋"/>
                <w:color w:val="000000"/>
                <w:sz w:val="21"/>
                <w:szCs w:val="21"/>
              </w:rPr>
              <w:t>具有一定收益的公益性事业领域</w:t>
            </w:r>
          </w:p>
        </w:tc>
        <w:tc>
          <w:tcPr>
            <w:tcW w:w="1161" w:type="dxa"/>
            <w:noWrap w:val="0"/>
            <w:vAlign w:val="center"/>
          </w:tcPr>
          <w:p>
            <w:pPr>
              <w:spacing w:line="240" w:lineRule="auto"/>
              <w:ind w:firstLine="0" w:firstLineChars="0"/>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rPr>
              <w:t>62,487</w:t>
            </w:r>
            <w:r>
              <w:rPr>
                <w:rFonts w:hint="eastAsia" w:ascii="仿宋" w:hAnsi="仿宋" w:cs="仿宋"/>
                <w:kern w:val="0"/>
                <w:sz w:val="21"/>
                <w:szCs w:val="21"/>
                <w:lang w:val="en-US" w:eastAsia="zh-CN"/>
              </w:rPr>
              <w:t>.00</w:t>
            </w:r>
          </w:p>
        </w:tc>
        <w:tc>
          <w:tcPr>
            <w:tcW w:w="1161" w:type="dxa"/>
            <w:noWrap w:val="0"/>
            <w:vAlign w:val="center"/>
          </w:tcPr>
          <w:p>
            <w:pPr>
              <w:spacing w:line="240" w:lineRule="auto"/>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49,976.00</w:t>
            </w:r>
          </w:p>
        </w:tc>
        <w:tc>
          <w:tcPr>
            <w:tcW w:w="1260" w:type="dxa"/>
            <w:noWrap w:val="0"/>
            <w:vAlign w:val="center"/>
          </w:tcPr>
          <w:p>
            <w:pPr>
              <w:spacing w:line="240" w:lineRule="auto"/>
              <w:ind w:firstLine="0" w:firstLineChars="0"/>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34</w:t>
            </w:r>
            <w:r>
              <w:rPr>
                <w:rFonts w:hint="eastAsia" w:ascii="仿宋" w:hAnsi="仿宋" w:cs="仿宋"/>
                <w:kern w:val="0"/>
                <w:sz w:val="21"/>
                <w:szCs w:val="21"/>
                <w:lang w:val="en-US" w:eastAsia="zh-CN"/>
              </w:rPr>
              <w:t>,</w:t>
            </w:r>
            <w:r>
              <w:rPr>
                <w:rFonts w:hint="eastAsia" w:ascii="仿宋" w:hAnsi="仿宋" w:eastAsia="仿宋" w:cs="仿宋"/>
                <w:kern w:val="0"/>
                <w:sz w:val="21"/>
                <w:szCs w:val="21"/>
                <w:lang w:val="en-US" w:eastAsia="zh-CN"/>
              </w:rPr>
              <w:t>876</w:t>
            </w:r>
            <w:r>
              <w:rPr>
                <w:rFonts w:hint="eastAsia" w:ascii="仿宋" w:hAnsi="仿宋" w:cs="仿宋"/>
                <w:kern w:val="0"/>
                <w:sz w:val="21"/>
                <w:szCs w:val="21"/>
                <w:lang w:val="en-US" w:eastAsia="zh-CN"/>
              </w:rPr>
              <w:t>.00</w:t>
            </w:r>
          </w:p>
        </w:tc>
        <w:tc>
          <w:tcPr>
            <w:tcW w:w="1277" w:type="dxa"/>
            <w:noWrap w:val="0"/>
            <w:vAlign w:val="center"/>
          </w:tcPr>
          <w:p>
            <w:pPr>
              <w:spacing w:line="240" w:lineRule="auto"/>
              <w:ind w:firstLine="0" w:firstLineChars="0"/>
              <w:jc w:val="center"/>
              <w:rPr>
                <w:rFonts w:hint="default" w:ascii="仿宋" w:hAnsi="仿宋" w:eastAsia="仿宋" w:cs="仿宋"/>
                <w:kern w:val="0"/>
                <w:sz w:val="21"/>
                <w:szCs w:val="21"/>
                <w:lang w:val="en-US" w:eastAsia="zh-CN"/>
              </w:rPr>
            </w:pPr>
            <w:r>
              <w:rPr>
                <w:rFonts w:hint="eastAsia" w:ascii="仿宋" w:hAnsi="仿宋" w:cs="仿宋"/>
                <w:kern w:val="0"/>
                <w:sz w:val="21"/>
                <w:szCs w:val="21"/>
                <w:lang w:val="en-US" w:eastAsia="zh-CN"/>
              </w:rPr>
              <w:t>15,100.00</w:t>
            </w:r>
          </w:p>
        </w:tc>
        <w:tc>
          <w:tcPr>
            <w:tcW w:w="1148" w:type="dxa"/>
            <w:noWrap w:val="0"/>
            <w:vAlign w:val="center"/>
          </w:tcPr>
          <w:p>
            <w:pPr>
              <w:spacing w:line="240" w:lineRule="auto"/>
              <w:ind w:firstLine="0" w:firstLineChars="0"/>
              <w:jc w:val="center"/>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0</w:t>
            </w:r>
            <w:r>
              <w:rPr>
                <w:rFonts w:hint="eastAsia" w:ascii="仿宋" w:hAnsi="仿宋" w:cs="仿宋"/>
                <w:kern w:val="0"/>
                <w:sz w:val="21"/>
                <w:szCs w:val="21"/>
                <w:lang w:val="en-US" w:eastAsia="zh-CN"/>
              </w:rPr>
              <w:t>.00</w:t>
            </w:r>
          </w:p>
        </w:tc>
      </w:tr>
    </w:tbl>
    <w:p>
      <w:pPr>
        <w:widowControl w:val="0"/>
        <w:numPr>
          <w:ilvl w:val="0"/>
          <w:numId w:val="0"/>
        </w:numPr>
        <w:adjustRightInd w:val="0"/>
        <w:snapToGrid w:val="0"/>
        <w:spacing w:beforeLines="0" w:afterLines="0" w:line="360" w:lineRule="auto"/>
        <w:ind w:firstLine="561"/>
        <w:jc w:val="both"/>
        <w:outlineLvl w:val="1"/>
        <w:rPr>
          <w:rFonts w:hint="eastAsia" w:ascii="仿宋_GB2312" w:hAnsi="仿宋_GB2312" w:eastAsia="仿宋_GB2312" w:cs="仿宋_GB2312"/>
          <w:b/>
          <w:bCs/>
          <w:color w:val="000000"/>
          <w:sz w:val="32"/>
          <w:szCs w:val="32"/>
        </w:rPr>
      </w:pPr>
      <w:bookmarkStart w:id="39" w:name="_Toc4305"/>
      <w:bookmarkStart w:id="40" w:name="_Toc8096"/>
      <w:bookmarkStart w:id="41" w:name="_Toc18655"/>
      <w:bookmarkStart w:id="42" w:name="_Toc1440"/>
      <w:bookmarkStart w:id="43" w:name="_Toc26791"/>
      <w:bookmarkStart w:id="44" w:name="_Toc2548"/>
      <w:r>
        <w:rPr>
          <w:rFonts w:hint="eastAsia" w:ascii="仿宋_GB2312" w:hAnsi="仿宋_GB2312" w:eastAsia="仿宋_GB2312" w:cs="仿宋_GB2312"/>
          <w:b/>
          <w:bCs/>
          <w:color w:val="000000"/>
          <w:sz w:val="32"/>
          <w:szCs w:val="32"/>
          <w:lang w:eastAsia="zh-CN"/>
        </w:rPr>
        <w:t>（四）</w:t>
      </w:r>
      <w:r>
        <w:rPr>
          <w:rFonts w:hint="eastAsia" w:ascii="仿宋_GB2312" w:hAnsi="仿宋_GB2312" w:eastAsia="仿宋_GB2312" w:cs="仿宋_GB2312"/>
          <w:b/>
          <w:bCs/>
          <w:color w:val="000000"/>
          <w:sz w:val="32"/>
          <w:szCs w:val="32"/>
        </w:rPr>
        <w:t>项目立项</w:t>
      </w:r>
      <w:r>
        <w:rPr>
          <w:rFonts w:hint="eastAsia" w:ascii="仿宋_GB2312" w:hAnsi="仿宋_GB2312" w:eastAsia="仿宋_GB2312" w:cs="仿宋_GB2312"/>
          <w:b/>
          <w:bCs/>
          <w:color w:val="000000"/>
          <w:sz w:val="32"/>
          <w:szCs w:val="32"/>
          <w:lang w:eastAsia="zh-CN"/>
        </w:rPr>
        <w:t>情况</w:t>
      </w:r>
      <w:r>
        <w:rPr>
          <w:rFonts w:hint="eastAsia" w:ascii="仿宋_GB2312" w:hAnsi="仿宋_GB2312" w:eastAsia="仿宋_GB2312" w:cs="仿宋_GB2312"/>
          <w:b/>
          <w:bCs/>
          <w:color w:val="000000"/>
          <w:sz w:val="32"/>
          <w:szCs w:val="32"/>
        </w:rPr>
        <w:t>或实施依据</w:t>
      </w:r>
      <w:bookmarkEnd w:id="39"/>
      <w:bookmarkEnd w:id="40"/>
      <w:bookmarkEnd w:id="41"/>
      <w:bookmarkEnd w:id="42"/>
      <w:bookmarkEnd w:id="43"/>
      <w:bookmarkEnd w:id="44"/>
    </w:p>
    <w:p>
      <w:pPr>
        <w:numPr>
          <w:ilvl w:val="0"/>
          <w:numId w:val="0"/>
        </w:numPr>
        <w:adjustRightInd w:val="0"/>
        <w:snapToGrid w:val="0"/>
        <w:spacing w:beforeLines="0" w:afterLines="0" w:line="360" w:lineRule="auto"/>
        <w:ind w:firstLine="560"/>
        <w:jc w:val="left"/>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lang w:eastAsia="zh-CN"/>
        </w:rPr>
        <w:t>2019年12月27日，河源市源城区发展和改革局作出《关于源城区工业园第三期扩园项目可行性研究报告的批复》（源发改[2019]387号），同意了河源市源城区工业园第三期扩园项目项目，项目投资总额控制在62,487.00万元。</w:t>
      </w:r>
    </w:p>
    <w:p>
      <w:pPr>
        <w:widowControl w:val="0"/>
        <w:numPr>
          <w:ilvl w:val="0"/>
          <w:numId w:val="0"/>
        </w:numPr>
        <w:adjustRightInd w:val="0"/>
        <w:snapToGrid w:val="0"/>
        <w:spacing w:beforeLines="0" w:afterLines="0" w:line="360" w:lineRule="auto"/>
        <w:ind w:firstLine="561"/>
        <w:jc w:val="both"/>
        <w:outlineLvl w:val="1"/>
        <w:rPr>
          <w:rFonts w:hint="eastAsia" w:ascii="仿宋_GB2312" w:hAnsi="仿宋_GB2312" w:eastAsia="仿宋_GB2312" w:cs="仿宋_GB2312"/>
          <w:b/>
          <w:bCs/>
          <w:color w:val="000000"/>
          <w:sz w:val="32"/>
          <w:szCs w:val="32"/>
          <w:highlight w:val="none"/>
        </w:rPr>
      </w:pPr>
      <w:bookmarkStart w:id="45" w:name="_Toc22609"/>
      <w:bookmarkStart w:id="46" w:name="_Toc4522"/>
      <w:bookmarkStart w:id="47" w:name="_Toc29630"/>
      <w:bookmarkStart w:id="48" w:name="_Toc8252"/>
      <w:bookmarkStart w:id="49" w:name="_Toc4489"/>
      <w:bookmarkStart w:id="50" w:name="_Toc8867"/>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highlight w:val="none"/>
          <w:lang w:eastAsia="zh-CN"/>
        </w:rPr>
        <w:t>五</w:t>
      </w: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highlight w:val="none"/>
          <w:lang w:eastAsia="zh-CN"/>
        </w:rPr>
        <w:t>责任</w:t>
      </w:r>
      <w:r>
        <w:rPr>
          <w:rFonts w:hint="eastAsia" w:ascii="仿宋_GB2312" w:hAnsi="仿宋_GB2312" w:eastAsia="仿宋_GB2312" w:cs="仿宋_GB2312"/>
          <w:b/>
          <w:bCs/>
          <w:color w:val="000000"/>
          <w:sz w:val="32"/>
          <w:szCs w:val="32"/>
          <w:highlight w:val="none"/>
        </w:rPr>
        <w:t>主体</w:t>
      </w:r>
      <w:bookmarkEnd w:id="45"/>
      <w:bookmarkEnd w:id="46"/>
      <w:bookmarkEnd w:id="47"/>
      <w:bookmarkEnd w:id="48"/>
      <w:bookmarkEnd w:id="49"/>
      <w:bookmarkEnd w:id="50"/>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561"/>
        <w:jc w:val="left"/>
        <w:textAlignment w:val="auto"/>
        <w:rPr>
          <w:rFonts w:hint="eastAsia" w:ascii="仿宋_GB2312" w:hAnsi="仿宋_GB2312" w:eastAsia="仿宋_GB2312" w:cs="仿宋_GB2312"/>
          <w:sz w:val="32"/>
          <w:szCs w:val="32"/>
          <w:lang w:eastAsia="zh-CN"/>
        </w:rPr>
      </w:pPr>
      <w:bookmarkStart w:id="51" w:name="_Toc32753"/>
      <w:bookmarkStart w:id="52" w:name="_Toc2577"/>
      <w:bookmarkStart w:id="53" w:name="_Toc12123"/>
      <w:bookmarkStart w:id="54" w:name="_Toc26292"/>
      <w:bookmarkStart w:id="55" w:name="_Toc958"/>
      <w:bookmarkStart w:id="56" w:name="_Toc739"/>
      <w:bookmarkStart w:id="57" w:name="_Toc26539"/>
      <w:bookmarkStart w:id="58" w:name="_Toc6040"/>
      <w:r>
        <w:rPr>
          <w:rFonts w:hint="eastAsia" w:ascii="仿宋_GB2312" w:hAnsi="仿宋_GB2312" w:eastAsia="仿宋_GB2312" w:cs="仿宋_GB2312"/>
          <w:sz w:val="32"/>
          <w:szCs w:val="32"/>
          <w:lang w:eastAsia="zh-CN"/>
        </w:rPr>
        <w:t>本项目实施单位为河源市源城区工业园管理委员会，项目主管部门为河源市源城区工业园管理委员会，资产管理部门为河源市源城区工业园管理委员会。具体详见下表。源城区工业园第三期扩园项目形成资产的属于国有资产，资产产权归属于河源市源城区工业园管理委员会，由河源市源城区工业园管理委员会负责监管项目资产及登记管理。</w:t>
      </w:r>
    </w:p>
    <w:p>
      <w:pPr>
        <w:snapToGrid w:val="0"/>
        <w:spacing w:line="360" w:lineRule="auto"/>
        <w:ind w:firstLine="0" w:firstLineChars="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表3：</w:t>
      </w:r>
      <w:r>
        <w:rPr>
          <w:rFonts w:hint="eastAsia" w:ascii="仿宋_GB2312" w:hAnsi="仿宋_GB2312" w:eastAsia="仿宋_GB2312" w:cs="仿宋_GB2312"/>
          <w:sz w:val="28"/>
          <w:szCs w:val="28"/>
          <w:lang w:val="en-US" w:eastAsia="zh-CN"/>
        </w:rPr>
        <w:t>责任</w:t>
      </w:r>
      <w:r>
        <w:rPr>
          <w:rFonts w:hint="eastAsia" w:ascii="仿宋_GB2312" w:hAnsi="仿宋_GB2312" w:eastAsia="仿宋_GB2312" w:cs="仿宋_GB2312"/>
          <w:sz w:val="28"/>
          <w:szCs w:val="28"/>
          <w:lang w:eastAsia="zh-CN"/>
        </w:rPr>
        <w:t>主体情况</w:t>
      </w:r>
    </w:p>
    <w:tbl>
      <w:tblPr>
        <w:tblStyle w:val="13"/>
        <w:tblW w:w="0" w:type="auto"/>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2552"/>
        <w:gridCol w:w="6381"/>
      </w:tblGrid>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308" w:hRule="atLeast"/>
          <w:jc w:val="center"/>
        </w:trPr>
        <w:tc>
          <w:tcPr>
            <w:tcW w:w="2552" w:type="dxa"/>
            <w:tcBorders>
              <w:top w:val="single" w:color="auto" w:sz="4" w:space="0"/>
              <w:left w:val="single" w:color="auto" w:sz="4" w:space="0"/>
              <w:bottom w:val="single" w:color="auto" w:sz="4" w:space="0"/>
              <w:right w:val="single" w:color="auto" w:sz="4" w:space="0"/>
            </w:tcBorders>
            <w:shd w:val="clear" w:color="auto" w:fill="D9D9D9"/>
            <w:noWrap w:val="0"/>
            <w:tcMar>
              <w:top w:w="80" w:type="dxa"/>
              <w:left w:w="80" w:type="dxa"/>
              <w:bottom w:w="80" w:type="dxa"/>
              <w:right w:w="80" w:type="dxa"/>
            </w:tcMar>
            <w:vAlign w:val="center"/>
          </w:tcPr>
          <w:p>
            <w:pPr>
              <w:pStyle w:val="23"/>
              <w:spacing w:line="240" w:lineRule="auto"/>
              <w:ind w:firstLine="200" w:firstLineChars="0"/>
              <w:jc w:val="center"/>
              <w:rPr>
                <w:rFonts w:hint="eastAsia" w:ascii="黑体" w:hAnsi="黑体" w:eastAsia="黑体" w:cs="黑体"/>
                <w:bCs/>
                <w:color w:val="000000"/>
                <w:kern w:val="0"/>
                <w:sz w:val="24"/>
                <w:szCs w:val="24"/>
                <w:lang w:val="en-US" w:eastAsia="zh-CN" w:bidi="ar-SA"/>
              </w:rPr>
            </w:pPr>
            <w:r>
              <w:rPr>
                <w:rFonts w:hint="eastAsia" w:ascii="黑体" w:hAnsi="黑体" w:eastAsia="黑体" w:cs="黑体"/>
                <w:bCs/>
                <w:color w:val="000000"/>
                <w:kern w:val="0"/>
                <w:sz w:val="24"/>
                <w:szCs w:val="24"/>
                <w:lang w:val="zh-TW" w:eastAsia="zh-TW" w:bidi="ar-SA"/>
              </w:rPr>
              <w:t>名称</w:t>
            </w:r>
          </w:p>
        </w:tc>
        <w:tc>
          <w:tcPr>
            <w:tcW w:w="6381" w:type="dxa"/>
            <w:tcBorders>
              <w:top w:val="single" w:color="auto" w:sz="4" w:space="0"/>
              <w:left w:val="single" w:color="auto" w:sz="4" w:space="0"/>
              <w:bottom w:val="single" w:color="auto" w:sz="4" w:space="0"/>
              <w:right w:val="single" w:color="auto" w:sz="4" w:space="0"/>
            </w:tcBorders>
            <w:noWrap w:val="0"/>
            <w:vAlign w:val="center"/>
          </w:tcPr>
          <w:p>
            <w:pPr>
              <w:pStyle w:val="23"/>
              <w:spacing w:line="240" w:lineRule="auto"/>
              <w:ind w:firstLine="200" w:firstLineChars="0"/>
              <w:jc w:val="center"/>
              <w:rPr>
                <w:rFonts w:hint="eastAsia" w:ascii="仿宋_GB2312" w:hAnsi="仿宋_GB2312" w:eastAsia="仿宋_GB2312" w:cs="仿宋_GB2312"/>
                <w:color w:val="000000"/>
                <w:kern w:val="0"/>
                <w:sz w:val="24"/>
                <w:szCs w:val="24"/>
                <w:lang w:val="en-US" w:eastAsia="zh-CN" w:bidi="ar-SA"/>
              </w:rPr>
            </w:pPr>
            <w:r>
              <w:rPr>
                <w:rFonts w:hint="eastAsia" w:ascii="仿宋_GB2312" w:hAnsi="仿宋_GB2312" w:eastAsia="仿宋_GB2312" w:cs="仿宋_GB2312"/>
                <w:color w:val="000000"/>
                <w:kern w:val="0"/>
                <w:sz w:val="24"/>
                <w:szCs w:val="24"/>
                <w:lang w:val="en-US" w:eastAsia="zh-CN" w:bidi="ar-SA"/>
              </w:rPr>
              <w:t>河源市源城区工业园管理委员会</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387" w:hRule="atLeast"/>
          <w:jc w:val="center"/>
        </w:trPr>
        <w:tc>
          <w:tcPr>
            <w:tcW w:w="2552" w:type="dxa"/>
            <w:tcBorders>
              <w:top w:val="single" w:color="auto" w:sz="4" w:space="0"/>
              <w:left w:val="single" w:color="auto" w:sz="4" w:space="0"/>
              <w:bottom w:val="single" w:color="auto" w:sz="4" w:space="0"/>
              <w:right w:val="single" w:color="auto" w:sz="4" w:space="0"/>
            </w:tcBorders>
            <w:shd w:val="clear" w:color="auto" w:fill="D9D9D9"/>
            <w:noWrap w:val="0"/>
            <w:tcMar>
              <w:top w:w="80" w:type="dxa"/>
              <w:left w:w="80" w:type="dxa"/>
              <w:bottom w:w="80" w:type="dxa"/>
              <w:right w:w="80" w:type="dxa"/>
            </w:tcMar>
            <w:vAlign w:val="center"/>
          </w:tcPr>
          <w:p>
            <w:pPr>
              <w:pStyle w:val="23"/>
              <w:spacing w:line="240" w:lineRule="auto"/>
              <w:ind w:firstLine="200" w:firstLineChars="0"/>
              <w:jc w:val="center"/>
              <w:rPr>
                <w:rFonts w:hint="eastAsia" w:ascii="黑体" w:hAnsi="黑体" w:eastAsia="黑体" w:cs="黑体"/>
                <w:bCs/>
                <w:color w:val="000000"/>
                <w:kern w:val="0"/>
                <w:sz w:val="24"/>
                <w:szCs w:val="24"/>
                <w:lang w:val="en-US" w:eastAsia="zh-CN" w:bidi="ar-SA"/>
              </w:rPr>
            </w:pPr>
            <w:r>
              <w:rPr>
                <w:rFonts w:hint="eastAsia" w:ascii="黑体" w:hAnsi="黑体" w:eastAsia="黑体" w:cs="黑体"/>
                <w:bCs/>
                <w:color w:val="000000"/>
                <w:kern w:val="0"/>
                <w:sz w:val="24"/>
                <w:szCs w:val="24"/>
                <w:lang w:val="zh-TW" w:eastAsia="zh-TW" w:bidi="ar-SA"/>
              </w:rPr>
              <w:t>统一社会信用代码</w:t>
            </w:r>
          </w:p>
        </w:tc>
        <w:tc>
          <w:tcPr>
            <w:tcW w:w="6381" w:type="dxa"/>
            <w:tcBorders>
              <w:top w:val="single" w:color="auto" w:sz="4" w:space="0"/>
              <w:left w:val="single" w:color="auto" w:sz="4" w:space="0"/>
              <w:bottom w:val="single" w:color="auto" w:sz="4" w:space="0"/>
              <w:right w:val="single" w:color="auto" w:sz="4" w:space="0"/>
            </w:tcBorders>
            <w:noWrap w:val="0"/>
            <w:vAlign w:val="center"/>
          </w:tcPr>
          <w:p>
            <w:pPr>
              <w:pStyle w:val="23"/>
              <w:spacing w:line="240" w:lineRule="auto"/>
              <w:ind w:firstLine="200" w:firstLineChars="0"/>
              <w:jc w:val="center"/>
              <w:rPr>
                <w:rFonts w:hint="eastAsia" w:ascii="仿宋_GB2312" w:hAnsi="仿宋_GB2312" w:eastAsia="仿宋_GB2312" w:cs="仿宋_GB2312"/>
                <w:color w:val="000000"/>
                <w:kern w:val="0"/>
                <w:sz w:val="24"/>
                <w:szCs w:val="24"/>
                <w:lang w:val="en-US" w:eastAsia="zh-CN" w:bidi="ar-SA"/>
              </w:rPr>
            </w:pPr>
            <w:r>
              <w:rPr>
                <w:rFonts w:hint="eastAsia" w:ascii="仿宋_GB2312" w:hAnsi="仿宋_GB2312" w:eastAsia="仿宋_GB2312" w:cs="仿宋_GB2312"/>
                <w:color w:val="000000"/>
                <w:kern w:val="0"/>
                <w:sz w:val="24"/>
                <w:szCs w:val="24"/>
                <w:lang w:val="en-US" w:eastAsia="zh-CN" w:bidi="ar-SA"/>
              </w:rPr>
              <w:t>11441602MB2D48157U</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253" w:hRule="atLeast"/>
          <w:jc w:val="center"/>
        </w:trPr>
        <w:tc>
          <w:tcPr>
            <w:tcW w:w="2552" w:type="dxa"/>
            <w:tcBorders>
              <w:top w:val="single" w:color="auto" w:sz="4" w:space="0"/>
              <w:left w:val="single" w:color="auto" w:sz="4" w:space="0"/>
              <w:bottom w:val="single" w:color="auto" w:sz="4" w:space="0"/>
              <w:right w:val="single" w:color="auto" w:sz="4" w:space="0"/>
            </w:tcBorders>
            <w:shd w:val="clear" w:color="auto" w:fill="D9D9D9"/>
            <w:noWrap w:val="0"/>
            <w:tcMar>
              <w:top w:w="80" w:type="dxa"/>
              <w:left w:w="80" w:type="dxa"/>
              <w:bottom w:w="80" w:type="dxa"/>
              <w:right w:w="80" w:type="dxa"/>
            </w:tcMar>
            <w:vAlign w:val="center"/>
          </w:tcPr>
          <w:p>
            <w:pPr>
              <w:pStyle w:val="23"/>
              <w:spacing w:line="240" w:lineRule="auto"/>
              <w:ind w:firstLine="200" w:firstLineChars="0"/>
              <w:jc w:val="center"/>
              <w:rPr>
                <w:rFonts w:hint="eastAsia" w:ascii="黑体" w:hAnsi="黑体" w:eastAsia="黑体" w:cs="黑体"/>
                <w:bCs/>
                <w:color w:val="000000"/>
                <w:kern w:val="0"/>
                <w:sz w:val="24"/>
                <w:szCs w:val="24"/>
                <w:lang w:val="en-US" w:eastAsia="zh-CN" w:bidi="ar-SA"/>
              </w:rPr>
            </w:pPr>
            <w:r>
              <w:rPr>
                <w:rFonts w:hint="eastAsia" w:ascii="黑体" w:hAnsi="黑体" w:eastAsia="黑体" w:cs="黑体"/>
                <w:bCs/>
                <w:color w:val="000000"/>
                <w:kern w:val="0"/>
                <w:sz w:val="24"/>
                <w:szCs w:val="24"/>
                <w:lang w:val="zh-TW" w:eastAsia="zh-TW" w:bidi="ar-SA"/>
              </w:rPr>
              <w:t>住所</w:t>
            </w:r>
          </w:p>
        </w:tc>
        <w:tc>
          <w:tcPr>
            <w:tcW w:w="6381" w:type="dxa"/>
            <w:tcBorders>
              <w:top w:val="single" w:color="auto" w:sz="4" w:space="0"/>
              <w:left w:val="single" w:color="auto" w:sz="4" w:space="0"/>
              <w:bottom w:val="single" w:color="auto" w:sz="4" w:space="0"/>
              <w:right w:val="single" w:color="auto" w:sz="4" w:space="0"/>
            </w:tcBorders>
            <w:noWrap w:val="0"/>
            <w:vAlign w:val="center"/>
          </w:tcPr>
          <w:p>
            <w:pPr>
              <w:pStyle w:val="23"/>
              <w:spacing w:line="240" w:lineRule="auto"/>
              <w:ind w:firstLine="200" w:firstLineChars="0"/>
              <w:jc w:val="center"/>
              <w:rPr>
                <w:rFonts w:hint="eastAsia" w:ascii="仿宋_GB2312" w:hAnsi="仿宋_GB2312" w:eastAsia="仿宋_GB2312" w:cs="仿宋_GB2312"/>
                <w:color w:val="000000"/>
                <w:kern w:val="0"/>
                <w:sz w:val="24"/>
                <w:szCs w:val="24"/>
                <w:lang w:val="en-US" w:eastAsia="zh-CN" w:bidi="ar-SA"/>
              </w:rPr>
            </w:pPr>
            <w:r>
              <w:rPr>
                <w:rFonts w:hint="eastAsia" w:ascii="仿宋_GB2312" w:hAnsi="仿宋_GB2312" w:eastAsia="仿宋_GB2312" w:cs="仿宋_GB2312"/>
                <w:color w:val="000000"/>
                <w:kern w:val="0"/>
                <w:sz w:val="24"/>
                <w:szCs w:val="24"/>
                <w:lang w:val="en-US" w:eastAsia="zh-CN" w:bidi="ar-SA"/>
              </w:rPr>
              <w:t>河源市源城区龙岭工业园龙岭三路</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208" w:hRule="atLeast"/>
          <w:jc w:val="center"/>
        </w:trPr>
        <w:tc>
          <w:tcPr>
            <w:tcW w:w="2552" w:type="dxa"/>
            <w:tcBorders>
              <w:top w:val="single" w:color="auto" w:sz="4" w:space="0"/>
              <w:left w:val="single" w:color="auto" w:sz="4" w:space="0"/>
              <w:bottom w:val="single" w:color="auto" w:sz="4" w:space="0"/>
              <w:right w:val="single" w:color="auto" w:sz="4" w:space="0"/>
            </w:tcBorders>
            <w:shd w:val="clear" w:color="auto" w:fill="D9D9D9"/>
            <w:noWrap w:val="0"/>
            <w:tcMar>
              <w:top w:w="80" w:type="dxa"/>
              <w:left w:w="80" w:type="dxa"/>
              <w:bottom w:w="80" w:type="dxa"/>
              <w:right w:w="80" w:type="dxa"/>
            </w:tcMar>
            <w:vAlign w:val="center"/>
          </w:tcPr>
          <w:p>
            <w:pPr>
              <w:pStyle w:val="23"/>
              <w:spacing w:line="240" w:lineRule="auto"/>
              <w:ind w:firstLine="200" w:firstLineChars="0"/>
              <w:jc w:val="center"/>
              <w:rPr>
                <w:rFonts w:hint="eastAsia" w:ascii="黑体" w:hAnsi="黑体" w:eastAsia="黑体" w:cs="黑体"/>
                <w:bCs/>
                <w:color w:val="000000"/>
                <w:kern w:val="0"/>
                <w:sz w:val="24"/>
                <w:szCs w:val="24"/>
                <w:lang w:val="en-US" w:eastAsia="zh-CN" w:bidi="ar-SA"/>
              </w:rPr>
            </w:pPr>
            <w:r>
              <w:rPr>
                <w:rFonts w:hint="eastAsia" w:ascii="黑体" w:hAnsi="黑体" w:eastAsia="黑体" w:cs="黑体"/>
                <w:bCs/>
                <w:color w:val="000000"/>
                <w:kern w:val="0"/>
                <w:sz w:val="24"/>
                <w:szCs w:val="24"/>
                <w:lang w:val="en-US" w:eastAsia="zh-CN" w:bidi="ar-SA"/>
              </w:rPr>
              <w:t>负责人</w:t>
            </w:r>
          </w:p>
        </w:tc>
        <w:tc>
          <w:tcPr>
            <w:tcW w:w="6381" w:type="dxa"/>
            <w:tcBorders>
              <w:top w:val="single" w:color="auto" w:sz="4" w:space="0"/>
              <w:left w:val="single" w:color="auto" w:sz="4" w:space="0"/>
              <w:bottom w:val="single" w:color="auto" w:sz="4" w:space="0"/>
              <w:right w:val="single" w:color="auto" w:sz="4" w:space="0"/>
            </w:tcBorders>
            <w:noWrap w:val="0"/>
            <w:vAlign w:val="center"/>
          </w:tcPr>
          <w:p>
            <w:pPr>
              <w:pStyle w:val="23"/>
              <w:spacing w:line="240" w:lineRule="auto"/>
              <w:ind w:firstLine="200" w:firstLineChars="0"/>
              <w:jc w:val="center"/>
              <w:rPr>
                <w:rFonts w:hint="eastAsia" w:ascii="仿宋_GB2312" w:hAnsi="仿宋_GB2312" w:eastAsia="仿宋_GB2312" w:cs="仿宋_GB2312"/>
                <w:color w:val="000000"/>
                <w:kern w:val="0"/>
                <w:sz w:val="24"/>
                <w:szCs w:val="24"/>
                <w:lang w:val="en-US" w:eastAsia="zh-CN" w:bidi="ar-SA"/>
              </w:rPr>
            </w:pPr>
            <w:r>
              <w:rPr>
                <w:rFonts w:hint="eastAsia" w:ascii="仿宋_GB2312" w:hAnsi="仿宋_GB2312" w:eastAsia="仿宋_GB2312" w:cs="仿宋_GB2312"/>
                <w:color w:val="000000"/>
                <w:kern w:val="0"/>
                <w:sz w:val="24"/>
                <w:szCs w:val="24"/>
                <w:lang w:val="en-US" w:eastAsia="zh-CN" w:bidi="ar-SA"/>
              </w:rPr>
              <w:t>凌志成</w:t>
            </w:r>
          </w:p>
        </w:tc>
      </w:tr>
      <w:tr>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0" w:type="dxa"/>
            <w:bottom w:w="0" w:type="dxa"/>
            <w:right w:w="0" w:type="dxa"/>
          </w:tblCellMar>
        </w:tblPrEx>
        <w:trPr>
          <w:trHeight w:val="268" w:hRule="atLeast"/>
          <w:jc w:val="center"/>
        </w:trPr>
        <w:tc>
          <w:tcPr>
            <w:tcW w:w="2552" w:type="dxa"/>
            <w:tcBorders>
              <w:top w:val="single" w:color="auto" w:sz="4" w:space="0"/>
              <w:left w:val="single" w:color="auto" w:sz="4" w:space="0"/>
              <w:bottom w:val="single" w:color="auto" w:sz="4" w:space="0"/>
              <w:right w:val="single" w:color="auto" w:sz="4" w:space="0"/>
            </w:tcBorders>
            <w:shd w:val="clear" w:color="auto" w:fill="D9D9D9"/>
            <w:noWrap w:val="0"/>
            <w:tcMar>
              <w:top w:w="80" w:type="dxa"/>
              <w:left w:w="80" w:type="dxa"/>
              <w:bottom w:w="80" w:type="dxa"/>
              <w:right w:w="80" w:type="dxa"/>
            </w:tcMar>
            <w:vAlign w:val="center"/>
          </w:tcPr>
          <w:p>
            <w:pPr>
              <w:pStyle w:val="23"/>
              <w:spacing w:line="240" w:lineRule="auto"/>
              <w:ind w:firstLine="200" w:firstLineChars="0"/>
              <w:jc w:val="center"/>
              <w:rPr>
                <w:rFonts w:hint="eastAsia" w:ascii="黑体" w:hAnsi="黑体" w:eastAsia="黑体" w:cs="黑体"/>
                <w:bCs/>
                <w:color w:val="000000"/>
                <w:kern w:val="0"/>
                <w:sz w:val="24"/>
                <w:szCs w:val="24"/>
                <w:lang w:val="en-US" w:eastAsia="zh-CN" w:bidi="ar-SA"/>
              </w:rPr>
            </w:pPr>
            <w:r>
              <w:rPr>
                <w:rFonts w:hint="eastAsia" w:ascii="黑体" w:hAnsi="黑体" w:eastAsia="黑体" w:cs="黑体"/>
                <w:bCs/>
                <w:color w:val="000000"/>
                <w:kern w:val="0"/>
                <w:sz w:val="24"/>
                <w:szCs w:val="24"/>
                <w:lang w:val="en-US" w:eastAsia="zh-CN" w:bidi="ar-SA"/>
              </w:rPr>
              <w:t>机构性质</w:t>
            </w:r>
          </w:p>
        </w:tc>
        <w:tc>
          <w:tcPr>
            <w:tcW w:w="6381" w:type="dxa"/>
            <w:tcBorders>
              <w:top w:val="single" w:color="auto" w:sz="4" w:space="0"/>
              <w:left w:val="single" w:color="auto" w:sz="4" w:space="0"/>
              <w:bottom w:val="single" w:color="auto" w:sz="4" w:space="0"/>
              <w:right w:val="single" w:color="auto" w:sz="4" w:space="0"/>
            </w:tcBorders>
            <w:noWrap w:val="0"/>
            <w:vAlign w:val="center"/>
          </w:tcPr>
          <w:p>
            <w:pPr>
              <w:pStyle w:val="23"/>
              <w:spacing w:line="240" w:lineRule="auto"/>
              <w:ind w:firstLine="200" w:firstLineChars="0"/>
              <w:jc w:val="center"/>
              <w:rPr>
                <w:rFonts w:hint="eastAsia" w:ascii="仿宋_GB2312" w:hAnsi="仿宋_GB2312" w:eastAsia="仿宋_GB2312" w:cs="仿宋_GB2312"/>
                <w:color w:val="000000"/>
                <w:kern w:val="0"/>
                <w:sz w:val="24"/>
                <w:szCs w:val="24"/>
                <w:lang w:val="en-US" w:eastAsia="zh-CN" w:bidi="ar-SA"/>
              </w:rPr>
            </w:pPr>
            <w:r>
              <w:rPr>
                <w:rFonts w:hint="eastAsia" w:ascii="仿宋_GB2312" w:hAnsi="仿宋_GB2312" w:eastAsia="仿宋_GB2312" w:cs="仿宋_GB2312"/>
                <w:color w:val="000000"/>
                <w:kern w:val="0"/>
                <w:sz w:val="24"/>
                <w:szCs w:val="24"/>
                <w:lang w:val="en-US" w:eastAsia="zh-CN" w:bidi="ar-SA"/>
              </w:rPr>
              <w:t>机关（派出机构）</w:t>
            </w:r>
          </w:p>
        </w:tc>
      </w:tr>
    </w:tbl>
    <w:p>
      <w:pPr>
        <w:pStyle w:val="3"/>
        <w:adjustRightInd w:val="0"/>
        <w:snapToGrid w:val="0"/>
        <w:ind w:firstLine="641"/>
        <w:rPr>
          <w:rFonts w:hint="eastAsia" w:ascii="黑体" w:hAnsi="黑体" w:eastAsia="黑体" w:cs="黑体"/>
          <w:kern w:val="0"/>
          <w:sz w:val="32"/>
          <w:szCs w:val="32"/>
        </w:rPr>
      </w:pPr>
      <w:bookmarkStart w:id="59" w:name="_Toc4152"/>
      <w:bookmarkStart w:id="60" w:name="_Toc14794"/>
      <w:r>
        <w:rPr>
          <w:rFonts w:hint="eastAsia" w:ascii="黑体" w:hAnsi="黑体" w:eastAsia="黑体" w:cs="黑体"/>
          <w:kern w:val="0"/>
          <w:sz w:val="32"/>
          <w:szCs w:val="32"/>
        </w:rPr>
        <w:t>二、</w:t>
      </w:r>
      <w:r>
        <w:rPr>
          <w:rFonts w:hint="eastAsia" w:ascii="黑体" w:hAnsi="黑体" w:eastAsia="黑体" w:cs="黑体"/>
          <w:kern w:val="0"/>
          <w:sz w:val="32"/>
          <w:szCs w:val="32"/>
          <w:lang w:eastAsia="zh-CN"/>
        </w:rPr>
        <w:t>项目实施重要性和</w:t>
      </w:r>
      <w:r>
        <w:rPr>
          <w:rFonts w:hint="eastAsia" w:ascii="黑体" w:hAnsi="黑体" w:eastAsia="黑体" w:cs="黑体"/>
          <w:kern w:val="0"/>
          <w:sz w:val="32"/>
          <w:szCs w:val="32"/>
        </w:rPr>
        <w:t>经济社会效益分析</w:t>
      </w:r>
      <w:bookmarkEnd w:id="51"/>
      <w:bookmarkEnd w:id="52"/>
      <w:bookmarkEnd w:id="53"/>
      <w:bookmarkEnd w:id="54"/>
      <w:bookmarkEnd w:id="55"/>
      <w:bookmarkEnd w:id="56"/>
      <w:bookmarkEnd w:id="57"/>
      <w:bookmarkEnd w:id="58"/>
      <w:bookmarkEnd w:id="59"/>
      <w:bookmarkEnd w:id="60"/>
    </w:p>
    <w:p>
      <w:pPr>
        <w:pStyle w:val="6"/>
        <w:snapToGrid w:val="0"/>
        <w:spacing w:before="0" w:beforeLines="0" w:after="0" w:afterLines="0" w:line="360" w:lineRule="auto"/>
        <w:ind w:firstLine="640" w:firstLineChars="200"/>
        <w:rPr>
          <w:rFonts w:hint="eastAsia" w:ascii="仿宋_GB2312" w:hAnsi="Calibri" w:eastAsia="仿宋_GB2312"/>
          <w:kern w:val="2"/>
          <w:sz w:val="32"/>
          <w:szCs w:val="32"/>
          <w:lang w:val="en-US"/>
        </w:rPr>
      </w:pPr>
      <w:r>
        <w:rPr>
          <w:rFonts w:hint="eastAsia" w:ascii="仿宋_GB2312" w:hAnsi="Calibri" w:eastAsia="仿宋_GB2312"/>
          <w:kern w:val="2"/>
          <w:sz w:val="32"/>
          <w:szCs w:val="32"/>
          <w:lang w:val="en-US" w:eastAsia="zh-CN"/>
        </w:rPr>
        <w:t>主要说明</w:t>
      </w:r>
      <w:r>
        <w:rPr>
          <w:rFonts w:hint="eastAsia" w:ascii="仿宋_GB2312" w:hAnsi="Calibri" w:eastAsia="仿宋_GB2312"/>
          <w:kern w:val="2"/>
          <w:sz w:val="32"/>
          <w:szCs w:val="32"/>
          <w:lang w:val="en-US"/>
        </w:rPr>
        <w:t>项目实施的</w:t>
      </w:r>
      <w:r>
        <w:rPr>
          <w:rFonts w:hint="eastAsia" w:ascii="仿宋_GB2312" w:hAnsi="Calibri" w:eastAsia="仿宋_GB2312"/>
          <w:kern w:val="2"/>
          <w:sz w:val="32"/>
          <w:szCs w:val="32"/>
          <w:lang w:val="en-US" w:eastAsia="zh-CN"/>
        </w:rPr>
        <w:t>重要性、</w:t>
      </w:r>
      <w:r>
        <w:rPr>
          <w:rFonts w:hint="eastAsia" w:ascii="仿宋_GB2312" w:hAnsi="Calibri" w:eastAsia="仿宋_GB2312"/>
          <w:kern w:val="2"/>
          <w:sz w:val="32"/>
          <w:szCs w:val="32"/>
          <w:lang w:val="en-US"/>
        </w:rPr>
        <w:t>必要性，运作的目标和意义。</w:t>
      </w:r>
    </w:p>
    <w:p>
      <w:pPr>
        <w:pStyle w:val="6"/>
        <w:snapToGrid w:val="0"/>
        <w:spacing w:before="0" w:beforeLines="0" w:after="0" w:afterLines="0" w:line="360" w:lineRule="auto"/>
        <w:ind w:firstLine="643" w:firstLineChars="200"/>
        <w:outlineLvl w:val="1"/>
        <w:rPr>
          <w:rFonts w:hint="eastAsia" w:ascii="仿宋_GB2312" w:hAnsi="Calibri" w:eastAsia="仿宋_GB2312"/>
          <w:kern w:val="2"/>
          <w:sz w:val="32"/>
          <w:szCs w:val="32"/>
          <w:lang w:val="en-US" w:eastAsia="zh-CN"/>
        </w:rPr>
      </w:pPr>
      <w:bookmarkStart w:id="61" w:name="_Toc26983"/>
      <w:r>
        <w:rPr>
          <w:rFonts w:hint="eastAsia" w:ascii="仿宋_GB2312" w:hAnsi="Calibri" w:eastAsia="仿宋_GB2312"/>
          <w:b/>
          <w:bCs/>
          <w:kern w:val="2"/>
          <w:sz w:val="32"/>
          <w:szCs w:val="32"/>
          <w:lang w:val="en-US" w:eastAsia="zh-CN"/>
        </w:rPr>
        <w:t>（一）重要性分析：</w:t>
      </w:r>
      <w:r>
        <w:rPr>
          <w:rFonts w:hint="eastAsia" w:ascii="仿宋_GB2312" w:hAnsi="Calibri" w:eastAsia="仿宋_GB2312"/>
          <w:kern w:val="2"/>
          <w:sz w:val="32"/>
          <w:szCs w:val="32"/>
          <w:lang w:val="en-US" w:eastAsia="zh-CN"/>
        </w:rPr>
        <w:t>源城区工业园第三期扩园项目规划建设方案，进行工业园扩园项目建设后，将进一步改善工业园区的交通、给排水等基础功能，对于改变园区及源城区的城市面貌，改善园区基础设施条件，实现园区及城市的现代化，促进源城区的奋力崛起具有十分重大的现实意义。</w:t>
      </w:r>
      <w:bookmarkEnd w:id="61"/>
    </w:p>
    <w:p>
      <w:pPr>
        <w:pStyle w:val="6"/>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firstLine="643" w:firstLineChars="200"/>
        <w:textAlignment w:val="auto"/>
        <w:outlineLvl w:val="1"/>
        <w:rPr>
          <w:rFonts w:hint="eastAsia" w:ascii="仿宋_GB2312" w:hAnsi="Calibri" w:eastAsia="仿宋_GB2312"/>
          <w:kern w:val="2"/>
          <w:sz w:val="32"/>
          <w:szCs w:val="32"/>
          <w:lang w:val="en-US"/>
        </w:rPr>
      </w:pPr>
      <w:bookmarkStart w:id="62" w:name="_Toc31877"/>
      <w:r>
        <w:rPr>
          <w:rFonts w:hint="eastAsia" w:ascii="仿宋_GB2312" w:hAnsi="Calibri" w:eastAsia="仿宋_GB2312"/>
          <w:b/>
          <w:bCs/>
          <w:kern w:val="2"/>
          <w:sz w:val="32"/>
          <w:szCs w:val="32"/>
          <w:lang w:val="en-US" w:eastAsia="zh-CN"/>
        </w:rPr>
        <w:t>（二）</w:t>
      </w:r>
      <w:r>
        <w:rPr>
          <w:rFonts w:hint="eastAsia" w:ascii="仿宋_GB2312" w:hAnsi="Calibri" w:eastAsia="仿宋_GB2312"/>
          <w:b/>
          <w:bCs/>
          <w:kern w:val="2"/>
          <w:sz w:val="32"/>
          <w:szCs w:val="32"/>
          <w:lang w:val="en-US"/>
        </w:rPr>
        <w:t>经济效益分析：</w:t>
      </w:r>
      <w:r>
        <w:rPr>
          <w:rFonts w:hint="eastAsia" w:ascii="仿宋_GB2312" w:hAnsi="Calibri" w:eastAsia="仿宋_GB2312"/>
          <w:kern w:val="2"/>
          <w:sz w:val="32"/>
          <w:szCs w:val="32"/>
          <w:lang w:val="en-US"/>
        </w:rPr>
        <w:t>随着源城区招商引资力度不断加强以及投资环境的不断完善，许多客商要求进入源城区投资办企业，而源城区工业园目前工业用地供应紧张，无法满足工业快速发展对建设用地的需要。为了适应经济快速发展的需要，增加工业经济发展的储备能力，培植源城区工业新的经济增长点，结合广东省承接产业转移示范区建设的需要，源城区决定实施工业园第三期扩园项目，以提高园区和城市竞争力的需要，满足工业经济发展投资的需求。</w:t>
      </w:r>
      <w:bookmarkEnd w:id="62"/>
    </w:p>
    <w:p>
      <w:pPr>
        <w:pStyle w:val="6"/>
        <w:snapToGrid w:val="0"/>
        <w:spacing w:before="0" w:beforeLines="0" w:after="0" w:afterLines="0" w:line="360" w:lineRule="auto"/>
        <w:ind w:firstLine="640"/>
        <w:outlineLvl w:val="1"/>
        <w:rPr>
          <w:rFonts w:hint="eastAsia" w:ascii="仿宋_GB2312" w:hAnsi="Calibri" w:eastAsia="仿宋_GB2312" w:cs="宋体"/>
          <w:kern w:val="2"/>
          <w:sz w:val="32"/>
          <w:szCs w:val="32"/>
          <w:lang w:val="en-US"/>
        </w:rPr>
      </w:pPr>
      <w:bookmarkStart w:id="63" w:name="_Toc26398"/>
      <w:bookmarkStart w:id="64" w:name="_Toc630"/>
      <w:bookmarkStart w:id="65" w:name="_Toc20343"/>
      <w:r>
        <w:rPr>
          <w:rFonts w:hint="eastAsia" w:ascii="仿宋_GB2312" w:hAnsi="Calibri" w:eastAsia="仿宋_GB2312"/>
          <w:b/>
          <w:bCs/>
          <w:kern w:val="2"/>
          <w:sz w:val="32"/>
          <w:szCs w:val="32"/>
          <w:lang w:val="en-US" w:eastAsia="zh-CN"/>
        </w:rPr>
        <w:t>（三）</w:t>
      </w:r>
      <w:r>
        <w:rPr>
          <w:rFonts w:hint="eastAsia" w:ascii="仿宋_GB2312" w:hAnsi="Calibri" w:eastAsia="仿宋_GB2312"/>
          <w:b/>
          <w:bCs/>
          <w:kern w:val="2"/>
          <w:sz w:val="32"/>
          <w:szCs w:val="32"/>
          <w:lang w:val="en-US"/>
        </w:rPr>
        <w:t>社会效益分析：</w:t>
      </w:r>
      <w:bookmarkEnd w:id="63"/>
      <w:bookmarkEnd w:id="64"/>
      <w:r>
        <w:rPr>
          <w:rFonts w:hint="eastAsia" w:ascii="仿宋_GB2312" w:hAnsi="Calibri" w:eastAsia="仿宋_GB2312" w:cs="宋体"/>
          <w:kern w:val="2"/>
          <w:sz w:val="32"/>
          <w:szCs w:val="32"/>
          <w:lang w:val="en-US"/>
        </w:rPr>
        <w:t>本次建设项目的建设有利于完善源城区的城市规划，提升源城区的城市品位，对提高地区居民的文化生活水平和生活质量有一定的间接促进作用。</w:t>
      </w:r>
      <w:bookmarkEnd w:id="65"/>
    </w:p>
    <w:p>
      <w:pPr>
        <w:pStyle w:val="6"/>
        <w:snapToGrid w:val="0"/>
        <w:spacing w:before="0" w:beforeLines="0" w:after="0" w:afterLines="0" w:line="360" w:lineRule="auto"/>
        <w:ind w:firstLine="640"/>
        <w:rPr>
          <w:rFonts w:hint="eastAsia" w:ascii="仿宋_GB2312" w:hAnsi="Calibri" w:eastAsia="仿宋_GB2312" w:cs="宋体"/>
          <w:kern w:val="2"/>
          <w:sz w:val="32"/>
          <w:szCs w:val="32"/>
          <w:lang w:val="en-US"/>
        </w:rPr>
      </w:pPr>
      <w:r>
        <w:rPr>
          <w:rFonts w:hint="eastAsia" w:ascii="仿宋_GB2312" w:hAnsi="Calibri" w:eastAsia="仿宋_GB2312" w:cs="宋体"/>
          <w:kern w:val="2"/>
          <w:sz w:val="32"/>
          <w:szCs w:val="32"/>
          <w:lang w:val="en-US"/>
        </w:rPr>
        <w:t>因此，项目的实施有利于提高区域服务质量，解决城市发展的矛盾性，增强源城区的吸引力，对促进源城区社会和经济的可持续发展有着非常重要和深远的意义，是源城区广大人民群众的迫切要求，社会效益显著。</w:t>
      </w:r>
    </w:p>
    <w:p>
      <w:pPr>
        <w:pStyle w:val="3"/>
        <w:adjustRightInd w:val="0"/>
        <w:snapToGrid w:val="0"/>
        <w:ind w:firstLine="641"/>
        <w:rPr>
          <w:rFonts w:hint="eastAsia" w:ascii="黑体" w:hAnsi="黑体" w:eastAsia="黑体" w:cs="黑体"/>
          <w:kern w:val="0"/>
          <w:sz w:val="32"/>
          <w:szCs w:val="32"/>
          <w:lang w:eastAsia="zh-CN"/>
        </w:rPr>
      </w:pPr>
      <w:bookmarkStart w:id="66" w:name="_Toc17294"/>
      <w:bookmarkStart w:id="67" w:name="_Toc29852"/>
      <w:bookmarkStart w:id="68" w:name="_Toc10404"/>
      <w:bookmarkStart w:id="69" w:name="_Toc6959"/>
      <w:bookmarkStart w:id="70" w:name="_Toc19682"/>
      <w:bookmarkStart w:id="71" w:name="_Toc3477"/>
      <w:bookmarkStart w:id="72" w:name="_Toc7352"/>
      <w:bookmarkStart w:id="73" w:name="_Toc21476"/>
      <w:bookmarkStart w:id="74" w:name="_Toc8795"/>
      <w:bookmarkStart w:id="75" w:name="_Toc26619"/>
      <w:r>
        <w:rPr>
          <w:rFonts w:hint="eastAsia" w:ascii="黑体" w:hAnsi="黑体" w:eastAsia="黑体" w:cs="黑体"/>
          <w:kern w:val="0"/>
          <w:sz w:val="32"/>
          <w:szCs w:val="32"/>
        </w:rPr>
        <w:t>三、项目</w:t>
      </w:r>
      <w:r>
        <w:rPr>
          <w:rFonts w:hint="eastAsia" w:ascii="黑体" w:hAnsi="黑体" w:eastAsia="黑体" w:cs="黑体"/>
          <w:kern w:val="0"/>
          <w:sz w:val="32"/>
          <w:szCs w:val="32"/>
          <w:lang w:eastAsia="zh-CN"/>
        </w:rPr>
        <w:t>投资估算、</w:t>
      </w:r>
      <w:r>
        <w:rPr>
          <w:rFonts w:hint="eastAsia" w:ascii="黑体" w:hAnsi="黑体" w:eastAsia="黑体" w:cs="黑体"/>
          <w:kern w:val="0"/>
          <w:sz w:val="32"/>
          <w:szCs w:val="32"/>
        </w:rPr>
        <w:t>资金筹措方案</w:t>
      </w:r>
      <w:r>
        <w:rPr>
          <w:rFonts w:hint="eastAsia" w:ascii="黑体" w:hAnsi="黑体" w:eastAsia="黑体" w:cs="黑体"/>
          <w:kern w:val="0"/>
          <w:sz w:val="32"/>
          <w:szCs w:val="32"/>
          <w:lang w:eastAsia="zh-CN"/>
        </w:rPr>
        <w:t>及使用计划</w:t>
      </w:r>
      <w:bookmarkEnd w:id="66"/>
      <w:bookmarkEnd w:id="67"/>
      <w:bookmarkEnd w:id="68"/>
      <w:bookmarkEnd w:id="69"/>
      <w:bookmarkEnd w:id="70"/>
      <w:bookmarkEnd w:id="71"/>
      <w:bookmarkEnd w:id="72"/>
      <w:bookmarkEnd w:id="73"/>
      <w:bookmarkEnd w:id="74"/>
      <w:bookmarkEnd w:id="75"/>
    </w:p>
    <w:p>
      <w:pPr>
        <w:adjustRightInd w:val="0"/>
        <w:snapToGrid w:val="0"/>
        <w:spacing w:line="360" w:lineRule="auto"/>
        <w:ind w:firstLine="643" w:firstLineChars="200"/>
        <w:jc w:val="left"/>
        <w:outlineLvl w:val="1"/>
        <w:rPr>
          <w:rFonts w:hint="eastAsia" w:ascii="仿宋_GB2312" w:hAnsi="仿宋_GB2312" w:eastAsia="仿宋_GB2312" w:cs="仿宋_GB2312"/>
          <w:b/>
          <w:bCs/>
          <w:color w:val="000000"/>
          <w:sz w:val="32"/>
          <w:szCs w:val="32"/>
        </w:rPr>
      </w:pPr>
      <w:bookmarkStart w:id="76" w:name="_Toc8766"/>
      <w:bookmarkStart w:id="77" w:name="_Toc28174"/>
      <w:bookmarkStart w:id="78" w:name="_Toc16321"/>
      <w:bookmarkStart w:id="79" w:name="_Toc20317"/>
      <w:bookmarkStart w:id="80" w:name="_Toc32572"/>
      <w:bookmarkStart w:id="81" w:name="_Toc30249"/>
      <w:r>
        <w:rPr>
          <w:rFonts w:hint="eastAsia" w:ascii="仿宋_GB2312" w:hAnsi="仿宋_GB2312" w:eastAsia="仿宋_GB2312" w:cs="仿宋_GB2312"/>
          <w:b/>
          <w:bCs/>
          <w:color w:val="000000"/>
          <w:sz w:val="32"/>
          <w:szCs w:val="32"/>
        </w:rPr>
        <w:t>（一）投资估算</w:t>
      </w:r>
      <w:bookmarkEnd w:id="76"/>
      <w:bookmarkEnd w:id="77"/>
    </w:p>
    <w:p>
      <w:pPr>
        <w:adjustRightInd w:val="0"/>
        <w:snapToGrid w:val="0"/>
        <w:spacing w:line="360" w:lineRule="auto"/>
        <w:ind w:firstLine="640" w:firstLineChars="200"/>
        <w:jc w:val="left"/>
        <w:outlineLvl w:val="2"/>
        <w:rPr>
          <w:rFonts w:hint="eastAsia" w:ascii="仿宋_GB2312" w:hAnsi="仿宋_GB2312" w:eastAsia="仿宋_GB2312" w:cs="仿宋_GB2312"/>
          <w:b w:val="0"/>
          <w:bCs w:val="0"/>
          <w:color w:val="000000"/>
          <w:sz w:val="32"/>
          <w:szCs w:val="32"/>
        </w:rPr>
      </w:pPr>
      <w:bookmarkStart w:id="82" w:name="_Toc2120"/>
      <w:r>
        <w:rPr>
          <w:rFonts w:hint="eastAsia" w:ascii="仿宋_GB2312" w:hAnsi="仿宋_GB2312" w:eastAsia="仿宋_GB2312" w:cs="仿宋_GB2312"/>
          <w:b w:val="0"/>
          <w:bCs w:val="0"/>
          <w:color w:val="000000"/>
          <w:sz w:val="32"/>
          <w:szCs w:val="32"/>
          <w:lang w:val="en-US" w:eastAsia="zh-CN"/>
        </w:rPr>
        <w:t>1.</w:t>
      </w:r>
      <w:r>
        <w:rPr>
          <w:rFonts w:hint="eastAsia" w:ascii="仿宋_GB2312" w:hAnsi="仿宋_GB2312" w:eastAsia="仿宋_GB2312" w:cs="仿宋_GB2312"/>
          <w:b w:val="0"/>
          <w:bCs w:val="0"/>
          <w:color w:val="000000"/>
          <w:sz w:val="32"/>
          <w:szCs w:val="32"/>
        </w:rPr>
        <w:t>编制依据及原则</w:t>
      </w:r>
      <w:bookmarkEnd w:id="82"/>
    </w:p>
    <w:p>
      <w:pPr>
        <w:pageBreakBefore w:val="0"/>
        <w:widowControl/>
        <w:kinsoku/>
        <w:wordWrap/>
        <w:overflowPunct/>
        <w:topLinePunct w:val="0"/>
        <w:bidi w:val="0"/>
        <w:adjustRightInd w:val="0"/>
        <w:snapToGrid w:val="0"/>
        <w:spacing w:line="360" w:lineRule="auto"/>
        <w:ind w:firstLine="640" w:firstLineChars="200"/>
        <w:outlineLvl w:val="9"/>
        <w:rPr>
          <w:rFonts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（1）建安工程参照《广东省建筑工程概算定额》及类似工程造价指标估算；</w:t>
      </w:r>
    </w:p>
    <w:p>
      <w:pPr>
        <w:pageBreakBefore w:val="0"/>
        <w:widowControl/>
        <w:kinsoku/>
        <w:wordWrap/>
        <w:overflowPunct/>
        <w:topLinePunct w:val="0"/>
        <w:bidi w:val="0"/>
        <w:adjustRightInd w:val="0"/>
        <w:snapToGrid w:val="0"/>
        <w:spacing w:line="360" w:lineRule="auto"/>
        <w:ind w:firstLine="640" w:firstLineChars="200"/>
        <w:outlineLvl w:val="9"/>
        <w:rPr>
          <w:rFonts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（2）国家计委﹑建设部﹑环保总局计价格计投资［2002］1591号文；</w:t>
      </w:r>
    </w:p>
    <w:p>
      <w:pPr>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3</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河源市近期工程造价信息；</w:t>
      </w:r>
    </w:p>
    <w:p>
      <w:pPr>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4</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本项目建设方案工程内容；</w:t>
      </w:r>
    </w:p>
    <w:p>
      <w:pPr>
        <w:adjustRightInd w:val="0"/>
        <w:snapToGrid w:val="0"/>
        <w:spacing w:line="360" w:lineRule="auto"/>
        <w:ind w:firstLine="640" w:firstLineChars="200"/>
        <w:jc w:val="left"/>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5</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建设单位提供的有关投资费用资料。</w:t>
      </w:r>
    </w:p>
    <w:p>
      <w:pPr>
        <w:adjustRightInd w:val="0"/>
        <w:snapToGrid w:val="0"/>
        <w:spacing w:line="360" w:lineRule="auto"/>
        <w:ind w:firstLine="640" w:firstLineChars="200"/>
        <w:jc w:val="left"/>
        <w:outlineLvl w:val="2"/>
        <w:rPr>
          <w:rFonts w:hint="eastAsia" w:ascii="仿宋_GB2312" w:hAnsi="仿宋_GB2312" w:eastAsia="仿宋_GB2312" w:cs="仿宋_GB2312"/>
          <w:b w:val="0"/>
          <w:bCs w:val="0"/>
          <w:color w:val="000000"/>
          <w:sz w:val="32"/>
          <w:szCs w:val="32"/>
        </w:rPr>
      </w:pPr>
      <w:bookmarkStart w:id="83" w:name="_Toc8774"/>
      <w:r>
        <w:rPr>
          <w:rFonts w:hint="eastAsia" w:ascii="仿宋_GB2312" w:hAnsi="仿宋_GB2312" w:eastAsia="仿宋_GB2312" w:cs="仿宋_GB2312"/>
          <w:b w:val="0"/>
          <w:bCs w:val="0"/>
          <w:color w:val="000000"/>
          <w:sz w:val="32"/>
          <w:szCs w:val="32"/>
          <w:lang w:val="en-US" w:eastAsia="zh-CN"/>
        </w:rPr>
        <w:t>2.</w:t>
      </w:r>
      <w:r>
        <w:rPr>
          <w:rFonts w:hint="eastAsia" w:ascii="仿宋_GB2312" w:hAnsi="仿宋_GB2312" w:eastAsia="仿宋_GB2312" w:cs="仿宋_GB2312"/>
          <w:b w:val="0"/>
          <w:bCs w:val="0"/>
          <w:color w:val="000000"/>
          <w:sz w:val="32"/>
          <w:szCs w:val="32"/>
        </w:rPr>
        <w:t>项目总投资</w:t>
      </w:r>
      <w:bookmarkEnd w:id="83"/>
    </w:p>
    <w:p>
      <w:pPr>
        <w:adjustRightInd w:val="0"/>
        <w:snapToGrid w:val="0"/>
        <w:spacing w:line="360" w:lineRule="auto"/>
        <w:ind w:firstLine="640" w:firstLineChars="200"/>
        <w:jc w:val="left"/>
        <w:rPr>
          <w:rFonts w:hint="eastAsia" w:ascii="仿宋_GB2312" w:hAnsi="Calibri" w:eastAsia="仿宋_GB2312" w:cs="Times New Roman"/>
          <w:kern w:val="2"/>
          <w:sz w:val="32"/>
          <w:szCs w:val="32"/>
          <w:highlight w:val="yellow"/>
          <w:lang w:eastAsia="zh-CN"/>
        </w:rPr>
      </w:pPr>
      <w:r>
        <w:rPr>
          <w:rFonts w:hint="eastAsia" w:ascii="仿宋_GB2312" w:hAnsi="仿宋_GB2312" w:eastAsia="仿宋_GB2312" w:cs="仿宋_GB2312"/>
          <w:b w:val="0"/>
          <w:bCs w:val="0"/>
          <w:color w:val="000000"/>
          <w:sz w:val="32"/>
          <w:szCs w:val="32"/>
          <w:lang w:eastAsia="zh-CN"/>
        </w:rPr>
        <w:t>项目建设投资总额62,487</w:t>
      </w:r>
      <w:r>
        <w:rPr>
          <w:rFonts w:hint="eastAsia" w:ascii="仿宋_GB2312" w:hAnsi="仿宋_GB2312" w:eastAsia="仿宋_GB2312" w:cs="仿宋_GB2312"/>
          <w:b w:val="0"/>
          <w:bCs w:val="0"/>
          <w:color w:val="000000"/>
          <w:sz w:val="32"/>
          <w:szCs w:val="32"/>
          <w:lang w:val="en-US" w:eastAsia="zh-CN"/>
        </w:rPr>
        <w:t>.00</w:t>
      </w:r>
      <w:r>
        <w:rPr>
          <w:rFonts w:hint="eastAsia" w:ascii="仿宋_GB2312" w:hAnsi="仿宋_GB2312" w:eastAsia="仿宋_GB2312" w:cs="仿宋_GB2312"/>
          <w:b w:val="0"/>
          <w:bCs w:val="0"/>
          <w:color w:val="000000"/>
          <w:sz w:val="32"/>
          <w:szCs w:val="32"/>
          <w:lang w:eastAsia="zh-CN"/>
        </w:rPr>
        <w:t>万元，其中：房屋拆迁费用24,800</w:t>
      </w:r>
      <w:r>
        <w:rPr>
          <w:rFonts w:hint="eastAsia" w:ascii="仿宋_GB2312" w:hAnsi="仿宋_GB2312" w:eastAsia="仿宋_GB2312" w:cs="仿宋_GB2312"/>
          <w:b w:val="0"/>
          <w:bCs w:val="0"/>
          <w:color w:val="000000"/>
          <w:sz w:val="32"/>
          <w:szCs w:val="32"/>
          <w:lang w:val="en-US" w:eastAsia="zh-CN"/>
        </w:rPr>
        <w:t>.00</w:t>
      </w:r>
      <w:r>
        <w:rPr>
          <w:rFonts w:hint="eastAsia" w:ascii="仿宋_GB2312" w:hAnsi="仿宋_GB2312" w:eastAsia="仿宋_GB2312" w:cs="仿宋_GB2312"/>
          <w:b w:val="0"/>
          <w:bCs w:val="0"/>
          <w:color w:val="000000"/>
          <w:sz w:val="32"/>
          <w:szCs w:val="32"/>
          <w:lang w:eastAsia="zh-CN"/>
        </w:rPr>
        <w:t>万元，土地征收费用14,419.99万元，工程费用21,536.35万元，勘察设计费用139.99万元，监理费用116.80万元，工程建设其他费用1,258.51万元，预备费用215.36万元。</w:t>
      </w:r>
      <w:bookmarkEnd w:id="78"/>
      <w:bookmarkEnd w:id="79"/>
      <w:bookmarkEnd w:id="80"/>
      <w:bookmarkEnd w:id="81"/>
    </w:p>
    <w:p>
      <w:pPr>
        <w:kinsoku/>
        <w:overflowPunct/>
        <w:autoSpaceDE/>
        <w:adjustRightInd/>
        <w:snapToGrid w:val="0"/>
        <w:spacing w:line="360" w:lineRule="auto"/>
        <w:ind w:firstLine="0" w:firstLineChars="0"/>
        <w:jc w:val="center"/>
        <w:rPr>
          <w:rFonts w:hint="eastAsia" w:ascii="仿宋_GB2312" w:hAnsi="仿宋_GB2312" w:eastAsia="仿宋_GB2312" w:cs="仿宋_GB2312"/>
          <w:snapToGrid/>
          <w:sz w:val="28"/>
          <w:szCs w:val="28"/>
          <w:lang w:eastAsia="zh-CN"/>
        </w:rPr>
      </w:pPr>
      <w:bookmarkStart w:id="84" w:name="_Toc29191"/>
      <w:bookmarkStart w:id="85" w:name="_Toc25545"/>
      <w:r>
        <w:rPr>
          <w:rFonts w:hint="eastAsia" w:ascii="仿宋_GB2312" w:hAnsi="仿宋_GB2312" w:eastAsia="仿宋_GB2312" w:cs="仿宋_GB2312"/>
          <w:snapToGrid/>
          <w:sz w:val="28"/>
          <w:szCs w:val="28"/>
        </w:rPr>
        <w:t>表</w:t>
      </w:r>
      <w:r>
        <w:rPr>
          <w:rFonts w:hint="eastAsia" w:ascii="仿宋_GB2312" w:hAnsi="仿宋_GB2312" w:eastAsia="仿宋_GB2312" w:cs="仿宋_GB2312"/>
          <w:snapToGrid/>
          <w:sz w:val="28"/>
          <w:szCs w:val="28"/>
          <w:lang w:val="en-US" w:eastAsia="zh-CN"/>
        </w:rPr>
        <w:t>4：</w:t>
      </w:r>
      <w:r>
        <w:rPr>
          <w:rFonts w:hint="eastAsia" w:ascii="仿宋_GB2312" w:hAnsi="仿宋_GB2312" w:eastAsia="仿宋_GB2312" w:cs="仿宋_GB2312"/>
          <w:snapToGrid/>
          <w:sz w:val="28"/>
          <w:szCs w:val="28"/>
        </w:rPr>
        <w:t>项目投资估算表</w:t>
      </w:r>
      <w:r>
        <w:rPr>
          <w:rFonts w:hint="eastAsia" w:ascii="仿宋_GB2312" w:hAnsi="仿宋_GB2312" w:eastAsia="仿宋_GB2312" w:cs="仿宋_GB2312"/>
          <w:snapToGrid/>
          <w:sz w:val="28"/>
          <w:szCs w:val="28"/>
          <w:lang w:eastAsia="zh-CN"/>
        </w:rPr>
        <w:t>（单位：万元）</w:t>
      </w:r>
      <w:bookmarkEnd w:id="84"/>
      <w:bookmarkEnd w:id="85"/>
    </w:p>
    <w:tbl>
      <w:tblPr>
        <w:tblStyle w:val="13"/>
        <w:tblW w:w="9582" w:type="dxa"/>
        <w:tblInd w:w="-2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4"/>
        <w:gridCol w:w="1303"/>
        <w:gridCol w:w="2760"/>
        <w:gridCol w:w="1834"/>
        <w:gridCol w:w="25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tblHeader/>
        </w:trPr>
        <w:tc>
          <w:tcPr>
            <w:tcW w:w="1114" w:type="dxa"/>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黑体" w:hAnsi="黑体" w:eastAsia="黑体" w:cs="黑体"/>
                <w:color w:val="000000"/>
                <w:sz w:val="24"/>
                <w:szCs w:val="24"/>
                <w:u w:val="none"/>
                <w:lang w:val="en-US" w:eastAsia="zh-CN" w:bidi="ar"/>
              </w:rPr>
            </w:pPr>
            <w:r>
              <w:rPr>
                <w:rFonts w:hint="eastAsia" w:ascii="黑体" w:hAnsi="黑体" w:eastAsia="黑体" w:cs="黑体"/>
                <w:color w:val="000000"/>
                <w:sz w:val="24"/>
                <w:szCs w:val="24"/>
                <w:u w:val="none"/>
                <w:lang w:val="en-US" w:eastAsia="zh-CN" w:bidi="ar"/>
              </w:rPr>
              <w:t>序号</w:t>
            </w:r>
          </w:p>
        </w:tc>
        <w:tc>
          <w:tcPr>
            <w:tcW w:w="4063" w:type="dxa"/>
            <w:gridSpan w:val="2"/>
            <w:tcBorders>
              <w:top w:val="single" w:color="000000" w:sz="8" w:space="0"/>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黑体" w:hAnsi="黑体" w:eastAsia="黑体" w:cs="黑体"/>
                <w:color w:val="000000"/>
                <w:sz w:val="24"/>
                <w:szCs w:val="24"/>
                <w:u w:val="none"/>
                <w:lang w:val="en-US" w:eastAsia="zh-CN" w:bidi="ar"/>
              </w:rPr>
            </w:pPr>
            <w:r>
              <w:rPr>
                <w:rFonts w:hint="eastAsia" w:ascii="黑体" w:hAnsi="黑体" w:eastAsia="黑体" w:cs="黑体"/>
                <w:color w:val="000000"/>
                <w:sz w:val="24"/>
                <w:szCs w:val="24"/>
                <w:u w:val="none"/>
                <w:lang w:val="en-US" w:eastAsia="zh-CN" w:bidi="ar"/>
              </w:rPr>
              <w:t>项目</w:t>
            </w:r>
          </w:p>
        </w:tc>
        <w:tc>
          <w:tcPr>
            <w:tcW w:w="1834" w:type="dxa"/>
            <w:tcBorders>
              <w:top w:val="single" w:color="000000" w:sz="8" w:space="0"/>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黑体" w:hAnsi="黑体" w:eastAsia="黑体" w:cs="黑体"/>
                <w:color w:val="000000"/>
                <w:sz w:val="24"/>
                <w:szCs w:val="24"/>
                <w:u w:val="none"/>
                <w:lang w:val="en-US" w:eastAsia="zh-CN" w:bidi="ar"/>
              </w:rPr>
            </w:pPr>
            <w:r>
              <w:rPr>
                <w:rFonts w:hint="eastAsia" w:ascii="黑体" w:hAnsi="黑体" w:eastAsia="黑体" w:cs="黑体"/>
                <w:color w:val="000000"/>
                <w:sz w:val="24"/>
                <w:szCs w:val="24"/>
                <w:u w:val="none"/>
                <w:lang w:val="en-US" w:eastAsia="zh-CN" w:bidi="ar"/>
              </w:rPr>
              <w:t>金额</w:t>
            </w:r>
          </w:p>
        </w:tc>
        <w:tc>
          <w:tcPr>
            <w:tcW w:w="2571" w:type="dxa"/>
            <w:tcBorders>
              <w:top w:val="single" w:color="000000" w:sz="8" w:space="0"/>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黑体" w:hAnsi="黑体" w:eastAsia="黑体" w:cs="黑体"/>
                <w:color w:val="000000"/>
                <w:sz w:val="24"/>
                <w:szCs w:val="24"/>
                <w:u w:val="none"/>
                <w:lang w:val="en-US" w:eastAsia="zh-CN" w:bidi="ar"/>
              </w:rPr>
            </w:pPr>
            <w:r>
              <w:rPr>
                <w:rFonts w:hint="eastAsia" w:ascii="黑体" w:hAnsi="黑体" w:eastAsia="黑体" w:cs="黑体"/>
                <w:color w:val="00000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1114" w:type="dxa"/>
            <w:tcBorders>
              <w:top w:val="nil"/>
              <w:left w:val="single" w:color="000000" w:sz="8" w:space="0"/>
              <w:bottom w:val="single" w:color="000000" w:sz="8" w:space="0"/>
              <w:right w:val="single" w:color="000000" w:sz="8" w:space="0"/>
            </w:tcBorders>
            <w:shd w:val="clear" w:color="auto" w:fill="FFFFFF"/>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kern w:val="0"/>
                <w:sz w:val="24"/>
                <w:szCs w:val="24"/>
                <w:lang w:val="en-US" w:eastAsia="zh-CN" w:bidi="ar-SA"/>
              </w:rPr>
            </w:pPr>
            <w:r>
              <w:rPr>
                <w:rFonts w:hint="eastAsia" w:ascii="仿宋_GB2312" w:hAnsi="仿宋_GB2312" w:eastAsia="仿宋_GB2312" w:cs="仿宋_GB2312"/>
                <w:b/>
                <w:bCs/>
                <w:color w:val="000000"/>
                <w:kern w:val="0"/>
                <w:sz w:val="24"/>
                <w:szCs w:val="24"/>
                <w:lang w:val="en-US" w:eastAsia="zh-CN" w:bidi="ar-SA"/>
              </w:rPr>
              <w:t>一</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kern w:val="0"/>
                <w:sz w:val="24"/>
                <w:szCs w:val="24"/>
                <w:lang w:val="en-US" w:eastAsia="zh-CN" w:bidi="ar-SA"/>
              </w:rPr>
            </w:pPr>
            <w:r>
              <w:rPr>
                <w:rFonts w:hint="eastAsia" w:ascii="仿宋_GB2312" w:hAnsi="仿宋_GB2312" w:eastAsia="仿宋_GB2312" w:cs="仿宋_GB2312"/>
                <w:b/>
                <w:bCs/>
                <w:color w:val="000000"/>
                <w:kern w:val="0"/>
                <w:sz w:val="24"/>
                <w:szCs w:val="24"/>
                <w:lang w:val="en-US" w:eastAsia="zh-CN" w:bidi="ar-SA"/>
              </w:rPr>
              <w:t>工程费用</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kern w:val="0"/>
                <w:sz w:val="24"/>
                <w:szCs w:val="24"/>
                <w:lang w:val="en-US" w:eastAsia="zh-CN" w:bidi="ar-SA"/>
              </w:rPr>
            </w:pPr>
            <w:r>
              <w:rPr>
                <w:rFonts w:hint="default" w:ascii="仿宋_GB2312" w:hAnsi="仿宋_GB2312" w:eastAsia="仿宋_GB2312" w:cs="仿宋_GB2312"/>
                <w:b/>
                <w:bCs/>
                <w:color w:val="000000"/>
                <w:kern w:val="0"/>
                <w:sz w:val="24"/>
                <w:szCs w:val="24"/>
                <w:lang w:val="en-US" w:eastAsia="zh-CN" w:bidi="ar-SA"/>
              </w:rPr>
              <w:t>21,536.35</w:t>
            </w:r>
          </w:p>
        </w:tc>
        <w:tc>
          <w:tcPr>
            <w:tcW w:w="2571"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1</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建筑工程费用</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19,716.77</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1.1.2</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填方</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963.17</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1114" w:type="dxa"/>
            <w:vMerge w:val="restart"/>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1.2.1</w:t>
            </w:r>
          </w:p>
        </w:tc>
        <w:tc>
          <w:tcPr>
            <w:tcW w:w="1303"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龙滨大道</w:t>
            </w:r>
          </w:p>
        </w:tc>
        <w:tc>
          <w:tcPr>
            <w:tcW w:w="2760"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人行道、路缘石部分</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1,301.86</w:t>
            </w:r>
          </w:p>
        </w:tc>
        <w:tc>
          <w:tcPr>
            <w:tcW w:w="2571"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道路长度1140米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11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130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27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路面部分</w:t>
            </w:r>
          </w:p>
        </w:tc>
        <w:tc>
          <w:tcPr>
            <w:tcW w:w="183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420.58</w:t>
            </w:r>
          </w:p>
        </w:tc>
        <w:tc>
          <w:tcPr>
            <w:tcW w:w="257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1114" w:type="dxa"/>
            <w:vMerge w:val="restart"/>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1.2.2</w:t>
            </w:r>
          </w:p>
        </w:tc>
        <w:tc>
          <w:tcPr>
            <w:tcW w:w="1303"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区内环路</w:t>
            </w:r>
          </w:p>
        </w:tc>
        <w:tc>
          <w:tcPr>
            <w:tcW w:w="2760"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路基部分</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60.85</w:t>
            </w:r>
          </w:p>
        </w:tc>
        <w:tc>
          <w:tcPr>
            <w:tcW w:w="2571"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道路长度1306米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111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130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27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人行道、路缘石部分</w:t>
            </w:r>
          </w:p>
        </w:tc>
        <w:tc>
          <w:tcPr>
            <w:tcW w:w="183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684.54</w:t>
            </w:r>
          </w:p>
        </w:tc>
        <w:tc>
          <w:tcPr>
            <w:tcW w:w="257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11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130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27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路面部分</w:t>
            </w:r>
          </w:p>
        </w:tc>
        <w:tc>
          <w:tcPr>
            <w:tcW w:w="183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241.40</w:t>
            </w:r>
          </w:p>
        </w:tc>
        <w:tc>
          <w:tcPr>
            <w:tcW w:w="257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114" w:type="dxa"/>
            <w:vMerge w:val="restart"/>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1.2.3</w:t>
            </w:r>
          </w:p>
        </w:tc>
        <w:tc>
          <w:tcPr>
            <w:tcW w:w="1303"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龙岭二路</w:t>
            </w:r>
          </w:p>
        </w:tc>
        <w:tc>
          <w:tcPr>
            <w:tcW w:w="2760"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路基部分</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11.99</w:t>
            </w:r>
          </w:p>
        </w:tc>
        <w:tc>
          <w:tcPr>
            <w:tcW w:w="2571" w:type="dxa"/>
            <w:vMerge w:val="restart"/>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道路长度440米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1" w:hRule="atLeast"/>
        </w:trPr>
        <w:tc>
          <w:tcPr>
            <w:tcW w:w="111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130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27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人行道、路缘石部分</w:t>
            </w:r>
          </w:p>
        </w:tc>
        <w:tc>
          <w:tcPr>
            <w:tcW w:w="183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116.24</w:t>
            </w:r>
          </w:p>
        </w:tc>
        <w:tc>
          <w:tcPr>
            <w:tcW w:w="257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114"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1303"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c>
          <w:tcPr>
            <w:tcW w:w="276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color w:val="000000"/>
                <w:kern w:val="0"/>
                <w:sz w:val="24"/>
                <w:szCs w:val="24"/>
                <w:lang w:val="en-US" w:eastAsia="zh-CN" w:bidi="ar-SA"/>
              </w:rPr>
            </w:pPr>
            <w:r>
              <w:rPr>
                <w:rFonts w:hint="eastAsia" w:ascii="仿宋_GB2312" w:hAnsi="仿宋_GB2312" w:eastAsia="仿宋_GB2312" w:cs="仿宋_GB2312"/>
                <w:b w:val="0"/>
                <w:bCs w:val="0"/>
                <w:color w:val="000000"/>
                <w:kern w:val="0"/>
                <w:sz w:val="24"/>
                <w:szCs w:val="24"/>
                <w:lang w:val="en-US" w:eastAsia="zh-CN" w:bidi="ar-SA"/>
              </w:rPr>
              <w:t>路面部分</w:t>
            </w:r>
          </w:p>
        </w:tc>
        <w:tc>
          <w:tcPr>
            <w:tcW w:w="1834"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default" w:ascii="仿宋_GB2312" w:hAnsi="仿宋_GB2312" w:eastAsia="仿宋_GB2312" w:cs="仿宋_GB2312"/>
                <w:b w:val="0"/>
                <w:bCs w:val="0"/>
                <w:color w:val="000000"/>
                <w:kern w:val="0"/>
                <w:sz w:val="24"/>
                <w:szCs w:val="24"/>
                <w:lang w:val="en-US" w:eastAsia="zh-CN" w:bidi="ar-SA"/>
              </w:rPr>
            </w:pPr>
            <w:r>
              <w:rPr>
                <w:rFonts w:hint="default" w:ascii="仿宋_GB2312" w:hAnsi="仿宋_GB2312" w:eastAsia="仿宋_GB2312" w:cs="仿宋_GB2312"/>
                <w:b w:val="0"/>
                <w:bCs w:val="0"/>
                <w:color w:val="000000"/>
                <w:kern w:val="0"/>
                <w:sz w:val="24"/>
                <w:szCs w:val="24"/>
                <w:lang w:val="en-US" w:eastAsia="zh-CN" w:bidi="ar-SA"/>
              </w:rPr>
              <w:t>78.22</w:t>
            </w:r>
          </w:p>
        </w:tc>
        <w:tc>
          <w:tcPr>
            <w:tcW w:w="2571" w:type="dxa"/>
            <w:vMerge w:val="continue"/>
            <w:tcBorders>
              <w:top w:val="nil"/>
              <w:left w:val="nil"/>
              <w:bottom w:val="single" w:color="000000" w:sz="8" w:space="0"/>
              <w:right w:val="single" w:color="000000" w:sz="8" w:space="0"/>
            </w:tcBorders>
            <w:shd w:val="clear" w:color="auto" w:fill="auto"/>
            <w:vAlign w:val="center"/>
          </w:tcPr>
          <w:p>
            <w:pPr>
              <w:jc w:val="center"/>
              <w:rPr>
                <w:rFonts w:hint="eastAsia" w:ascii="仿宋_GB2312" w:hAnsi="仿宋_GB2312" w:eastAsia="仿宋_GB2312" w:cs="仿宋_GB2312"/>
                <w:b w:val="0"/>
                <w:bCs w:val="0"/>
                <w:color w:val="000000"/>
                <w:kern w:val="0"/>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1.3</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交通工程</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478.26</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含龙滨大道、区内环路、龙岭二路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7"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1.4</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绿地工程</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2,218.69</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含龙滨大道、区内环路、龙岭二路、广场绿地、公园绿地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1.5</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照明工程</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583.57</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含龙滨大道、区内环路、龙岭二路、广场绿地、公园绿地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安装工程</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1,819.58</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2.1</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雨水、污水工程</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1,819.58</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含龙滨大道、区内环路、龙岭二路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二</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勘察设计费用</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139.99</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9"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勘察费</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32.30</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按设计费用的30%计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9"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设计费</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107.68</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按工程费用的0.5%计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三</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监理费用</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116.80</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四</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工程建设其他费用</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1,258.51</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五</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房屋拆迁费用</w:t>
            </w:r>
          </w:p>
        </w:tc>
        <w:tc>
          <w:tcPr>
            <w:tcW w:w="1834" w:type="dxa"/>
            <w:tcBorders>
              <w:top w:val="nil"/>
              <w:left w:val="nil"/>
              <w:bottom w:val="single" w:color="000000" w:sz="8" w:space="0"/>
              <w:right w:val="single" w:color="000000" w:sz="8" w:space="0"/>
            </w:tcBorders>
            <w:shd w:val="clear" w:color="auto" w:fill="auto"/>
            <w:noWrap/>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24,800.00</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房屋建筑面积5.6万平方米，约240栋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七</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土地征收费用</w:t>
            </w:r>
          </w:p>
        </w:tc>
        <w:tc>
          <w:tcPr>
            <w:tcW w:w="1834" w:type="dxa"/>
            <w:tcBorders>
              <w:top w:val="nil"/>
              <w:left w:val="nil"/>
              <w:bottom w:val="single" w:color="000000" w:sz="8" w:space="0"/>
              <w:right w:val="single" w:color="000000" w:sz="8" w:space="0"/>
            </w:tcBorders>
            <w:shd w:val="clear" w:color="auto" w:fill="auto"/>
            <w:noWrap/>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14,419.99</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含完善用地手续费用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八</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预备费用</w:t>
            </w:r>
          </w:p>
        </w:tc>
        <w:tc>
          <w:tcPr>
            <w:tcW w:w="1834" w:type="dxa"/>
            <w:tcBorders>
              <w:top w:val="nil"/>
              <w:left w:val="nil"/>
              <w:bottom w:val="single" w:color="000000" w:sz="8" w:space="0"/>
              <w:right w:val="single" w:color="000000" w:sz="8" w:space="0"/>
            </w:tcBorders>
            <w:shd w:val="clear" w:color="auto" w:fill="FFFFFF"/>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215.36</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1</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基本预备费</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215.36</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按工程费用1%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3"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2</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r>
              <w:rPr>
                <w:rFonts w:hint="eastAsia" w:ascii="仿宋_GB2312" w:hAnsi="仿宋_GB2312" w:eastAsia="仿宋_GB2312" w:cs="仿宋_GB2312"/>
                <w:b w:val="0"/>
                <w:bCs w:val="0"/>
                <w:color w:val="000000"/>
                <w:sz w:val="24"/>
                <w:szCs w:val="24"/>
                <w:lang w:val="en-US" w:eastAsia="zh-CN"/>
              </w:rPr>
              <w:t>涨价预备费</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val="0"/>
                <w:bCs w:val="0"/>
                <w:color w:val="000000"/>
                <w:sz w:val="24"/>
                <w:szCs w:val="24"/>
              </w:rPr>
            </w:pPr>
            <w:r>
              <w:rPr>
                <w:rFonts w:hint="default" w:ascii="仿宋_GB2312" w:hAnsi="仿宋_GB2312" w:eastAsia="仿宋_GB2312" w:cs="仿宋_GB2312"/>
                <w:b w:val="0"/>
                <w:bCs w:val="0"/>
                <w:color w:val="000000"/>
                <w:sz w:val="24"/>
                <w:szCs w:val="24"/>
                <w:lang w:val="en-US" w:eastAsia="zh-CN"/>
              </w:rPr>
              <w:t>0.00</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val="0"/>
                <w:bCs w:val="0"/>
                <w:color w:val="00000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1114" w:type="dxa"/>
            <w:tcBorders>
              <w:top w:val="nil"/>
              <w:left w:val="single" w:color="000000" w:sz="8" w:space="0"/>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lang w:val="en-US" w:eastAsia="zh-CN"/>
              </w:rPr>
              <w:t>九</w:t>
            </w:r>
          </w:p>
        </w:tc>
        <w:tc>
          <w:tcPr>
            <w:tcW w:w="4063" w:type="dxa"/>
            <w:gridSpan w:val="2"/>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8"/>
                <w:szCs w:val="28"/>
                <w:lang w:eastAsia="zh-CN"/>
              </w:rPr>
              <w:t>项目总投资</w:t>
            </w:r>
          </w:p>
        </w:tc>
        <w:tc>
          <w:tcPr>
            <w:tcW w:w="1834"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right"/>
              <w:textAlignment w:val="center"/>
              <w:rPr>
                <w:rFonts w:hint="default" w:ascii="仿宋_GB2312" w:hAnsi="仿宋_GB2312" w:eastAsia="仿宋_GB2312" w:cs="仿宋_GB2312"/>
                <w:b/>
                <w:bCs/>
                <w:color w:val="000000"/>
                <w:sz w:val="24"/>
                <w:szCs w:val="24"/>
              </w:rPr>
            </w:pPr>
            <w:r>
              <w:rPr>
                <w:rFonts w:hint="default" w:ascii="仿宋_GB2312" w:hAnsi="仿宋_GB2312" w:eastAsia="仿宋_GB2312" w:cs="仿宋_GB2312"/>
                <w:b/>
                <w:bCs/>
                <w:color w:val="000000"/>
                <w:sz w:val="24"/>
                <w:szCs w:val="24"/>
                <w:lang w:val="en-US" w:eastAsia="zh-CN"/>
              </w:rPr>
              <w:t>62,487.00</w:t>
            </w:r>
          </w:p>
        </w:tc>
        <w:tc>
          <w:tcPr>
            <w:tcW w:w="2571" w:type="dxa"/>
            <w:tcBorders>
              <w:top w:val="nil"/>
              <w:left w:val="nil"/>
              <w:bottom w:val="single" w:color="000000" w:sz="8" w:space="0"/>
              <w:right w:val="single" w:color="000000" w:sz="8" w:space="0"/>
            </w:tcBorders>
            <w:shd w:val="clear" w:color="auto" w:fill="auto"/>
            <w:vAlign w:val="center"/>
          </w:tcPr>
          <w:p>
            <w:pPr>
              <w:snapToGrid w:val="0"/>
              <w:spacing w:line="240" w:lineRule="auto"/>
              <w:ind w:firstLine="0" w:firstLineChars="0"/>
              <w:jc w:val="center"/>
              <w:textAlignment w:val="center"/>
              <w:rPr>
                <w:rFonts w:hint="eastAsia" w:ascii="仿宋_GB2312" w:hAnsi="仿宋_GB2312" w:eastAsia="仿宋_GB2312" w:cs="仿宋_GB2312"/>
                <w:b/>
                <w:bCs/>
                <w:color w:val="000000"/>
                <w:sz w:val="24"/>
                <w:szCs w:val="24"/>
              </w:rPr>
            </w:pPr>
          </w:p>
        </w:tc>
      </w:tr>
    </w:tbl>
    <w:p>
      <w:pPr>
        <w:adjustRightInd w:val="0"/>
        <w:snapToGrid w:val="0"/>
        <w:spacing w:line="360" w:lineRule="auto"/>
        <w:ind w:firstLine="0" w:firstLineChars="0"/>
        <w:outlineLvl w:val="1"/>
        <w:rPr>
          <w:rFonts w:hint="eastAsia" w:ascii="仿宋_GB2312" w:hAnsi="仿宋_GB2312" w:eastAsia="仿宋_GB2312" w:cs="仿宋_GB2312"/>
          <w:b/>
          <w:bCs/>
          <w:color w:val="000000"/>
          <w:sz w:val="32"/>
          <w:szCs w:val="32"/>
          <w:lang w:eastAsia="zh-CN"/>
        </w:rPr>
      </w:pPr>
      <w:bookmarkStart w:id="86" w:name="_Toc17598"/>
      <w:bookmarkStart w:id="87" w:name="_Toc30391"/>
      <w:r>
        <w:rPr>
          <w:rFonts w:hint="eastAsia" w:ascii="仿宋_GB2312" w:hAnsi="仿宋_GB2312" w:eastAsia="仿宋_GB2312" w:cs="仿宋_GB2312"/>
          <w:b/>
          <w:bCs/>
          <w:color w:val="000000"/>
          <w:sz w:val="32"/>
          <w:szCs w:val="32"/>
          <w:lang w:eastAsia="zh-CN"/>
        </w:rPr>
        <w:t>（二）筹措方案</w:t>
      </w:r>
      <w:bookmarkEnd w:id="86"/>
      <w:bookmarkEnd w:id="87"/>
    </w:p>
    <w:p>
      <w:pPr>
        <w:pStyle w:val="16"/>
        <w:adjustRightInd w:val="0"/>
        <w:snapToGrid w:val="0"/>
        <w:spacing w:line="360" w:lineRule="auto"/>
        <w:ind w:firstLine="640"/>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本项目总投资62,487</w:t>
      </w:r>
      <w:r>
        <w:rPr>
          <w:rFonts w:hint="eastAsia" w:cs="仿宋_GB2312"/>
          <w:b w:val="0"/>
          <w:bCs w:val="0"/>
          <w:kern w:val="0"/>
          <w:sz w:val="32"/>
          <w:szCs w:val="32"/>
          <w:lang w:val="en-US" w:eastAsia="zh-CN"/>
        </w:rPr>
        <w:t>.00</w:t>
      </w:r>
      <w:r>
        <w:rPr>
          <w:rFonts w:hint="eastAsia" w:ascii="仿宋_GB2312" w:hAnsi="仿宋_GB2312" w:eastAsia="仿宋_GB2312" w:cs="仿宋_GB2312"/>
          <w:b w:val="0"/>
          <w:bCs w:val="0"/>
          <w:kern w:val="0"/>
          <w:sz w:val="32"/>
          <w:szCs w:val="32"/>
          <w:lang w:val="en-US" w:eastAsia="zh-CN"/>
        </w:rPr>
        <w:t>万元，本项目计划发行专项债券资金</w:t>
      </w:r>
      <w:r>
        <w:rPr>
          <w:rFonts w:hint="eastAsia" w:cs="仿宋_GB2312"/>
          <w:b w:val="0"/>
          <w:bCs w:val="0"/>
          <w:kern w:val="0"/>
          <w:sz w:val="32"/>
          <w:szCs w:val="32"/>
          <w:lang w:val="en-US" w:eastAsia="zh-CN"/>
        </w:rPr>
        <w:t>49,976.00</w:t>
      </w:r>
      <w:r>
        <w:rPr>
          <w:rFonts w:hint="eastAsia" w:ascii="仿宋_GB2312" w:hAnsi="仿宋_GB2312" w:eastAsia="仿宋_GB2312" w:cs="仿宋_GB2312"/>
          <w:b w:val="0"/>
          <w:bCs w:val="0"/>
          <w:kern w:val="0"/>
          <w:sz w:val="32"/>
          <w:szCs w:val="32"/>
          <w:lang w:val="en-US" w:eastAsia="zh-CN"/>
        </w:rPr>
        <w:t>万元，占项目总投资的</w:t>
      </w:r>
      <w:r>
        <w:rPr>
          <w:rFonts w:hint="eastAsia" w:cs="仿宋_GB2312"/>
          <w:b w:val="0"/>
          <w:bCs w:val="0"/>
          <w:kern w:val="0"/>
          <w:sz w:val="32"/>
          <w:szCs w:val="32"/>
          <w:lang w:val="en-US" w:eastAsia="zh-CN"/>
        </w:rPr>
        <w:t>79.98%</w:t>
      </w:r>
      <w:r>
        <w:rPr>
          <w:rFonts w:hint="eastAsia" w:ascii="仿宋_GB2312" w:hAnsi="仿宋_GB2312" w:eastAsia="仿宋_GB2312" w:cs="仿宋_GB2312"/>
          <w:b w:val="0"/>
          <w:bCs w:val="0"/>
          <w:kern w:val="0"/>
          <w:sz w:val="32"/>
          <w:szCs w:val="32"/>
          <w:lang w:val="en-US" w:eastAsia="zh-CN"/>
        </w:rPr>
        <w:t>。其中以前年度已发行专项债券资金34,876.00万元，2024年计划发行专项债券资金</w:t>
      </w:r>
      <w:r>
        <w:rPr>
          <w:rFonts w:hint="eastAsia" w:cs="仿宋_GB2312"/>
          <w:b w:val="0"/>
          <w:bCs w:val="0"/>
          <w:kern w:val="0"/>
          <w:sz w:val="32"/>
          <w:szCs w:val="32"/>
          <w:lang w:val="en-US" w:eastAsia="zh-CN"/>
        </w:rPr>
        <w:t>15,100.00</w:t>
      </w:r>
      <w:r>
        <w:rPr>
          <w:rFonts w:hint="eastAsia" w:ascii="仿宋_GB2312" w:hAnsi="仿宋_GB2312" w:eastAsia="仿宋_GB2312" w:cs="仿宋_GB2312"/>
          <w:b w:val="0"/>
          <w:bCs w:val="0"/>
          <w:kern w:val="0"/>
          <w:sz w:val="32"/>
          <w:szCs w:val="32"/>
          <w:lang w:val="en-US" w:eastAsia="zh-CN"/>
        </w:rPr>
        <w:t>万元，项目资本金</w:t>
      </w:r>
      <w:r>
        <w:rPr>
          <w:rFonts w:hint="eastAsia" w:cs="仿宋_GB2312"/>
          <w:b w:val="0"/>
          <w:bCs w:val="0"/>
          <w:kern w:val="0"/>
          <w:sz w:val="32"/>
          <w:szCs w:val="32"/>
          <w:lang w:val="en-US" w:eastAsia="zh-CN"/>
        </w:rPr>
        <w:t>12,511.00</w:t>
      </w:r>
      <w:r>
        <w:rPr>
          <w:rFonts w:hint="eastAsia" w:ascii="仿宋_GB2312" w:hAnsi="仿宋_GB2312" w:eastAsia="仿宋_GB2312" w:cs="仿宋_GB2312"/>
          <w:b w:val="0"/>
          <w:bCs w:val="0"/>
          <w:kern w:val="0"/>
          <w:sz w:val="32"/>
          <w:szCs w:val="32"/>
          <w:lang w:val="en-US" w:eastAsia="zh-CN"/>
        </w:rPr>
        <w:t>万元，占项目总投资的</w:t>
      </w:r>
      <w:r>
        <w:rPr>
          <w:rFonts w:hint="eastAsia" w:cs="仿宋_GB2312"/>
          <w:b w:val="0"/>
          <w:bCs w:val="0"/>
          <w:kern w:val="0"/>
          <w:sz w:val="32"/>
          <w:szCs w:val="32"/>
          <w:lang w:val="en-US" w:eastAsia="zh-CN"/>
        </w:rPr>
        <w:t>20.02%</w:t>
      </w:r>
      <w:r>
        <w:rPr>
          <w:rFonts w:hint="eastAsia" w:ascii="仿宋_GB2312" w:hAnsi="仿宋_GB2312" w:eastAsia="仿宋_GB2312" w:cs="仿宋_GB2312"/>
          <w:b w:val="0"/>
          <w:bCs w:val="0"/>
          <w:kern w:val="0"/>
          <w:sz w:val="32"/>
          <w:szCs w:val="32"/>
          <w:lang w:val="en-US" w:eastAsia="zh-CN"/>
        </w:rPr>
        <w:t>，由地方财政部门根据项目建设进度计划统筹安排。</w:t>
      </w:r>
    </w:p>
    <w:p>
      <w:pPr>
        <w:pageBreakBefore w:val="0"/>
        <w:widowControl/>
        <w:kinsoku/>
        <w:wordWrap/>
        <w:overflowPunct/>
        <w:topLinePunct w:val="0"/>
        <w:bidi w:val="0"/>
        <w:adjustRightInd w:val="0"/>
        <w:snapToGrid w:val="0"/>
        <w:spacing w:line="360" w:lineRule="auto"/>
        <w:ind w:firstLine="643" w:firstLineChars="200"/>
        <w:outlineLvl w:val="2"/>
        <w:rPr>
          <w:rFonts w:ascii="仿宋_GB2312" w:hAnsi="仿宋_GB2312" w:eastAsia="仿宋_GB2312" w:cs="仿宋_GB2312"/>
          <w:sz w:val="32"/>
          <w:szCs w:val="32"/>
          <w:lang w:eastAsia="zh-CN" w:bidi="ar-SA"/>
        </w:rPr>
      </w:pPr>
      <w:bookmarkStart w:id="88" w:name="_Toc15571"/>
      <w:r>
        <w:rPr>
          <w:rFonts w:hint="eastAsia" w:ascii="仿宋_GB2312" w:hAnsi="仿宋_GB2312" w:eastAsia="仿宋_GB2312" w:cs="仿宋_GB2312"/>
          <w:b/>
          <w:bCs/>
          <w:sz w:val="32"/>
          <w:szCs w:val="32"/>
          <w:lang w:eastAsia="zh-CN" w:bidi="ar-SA"/>
        </w:rPr>
        <w:t>1.市场化融资资金筹措：</w:t>
      </w:r>
      <w:r>
        <w:rPr>
          <w:rFonts w:hint="eastAsia" w:ascii="仿宋_GB2312" w:hAnsi="仿宋_GB2312" w:eastAsia="仿宋_GB2312" w:cs="仿宋_GB2312"/>
          <w:sz w:val="32"/>
          <w:szCs w:val="32"/>
          <w:lang w:eastAsia="zh-CN" w:bidi="ar-SA"/>
        </w:rPr>
        <w:t>无。</w:t>
      </w:r>
      <w:bookmarkEnd w:id="88"/>
    </w:p>
    <w:p>
      <w:pPr>
        <w:pageBreakBefore w:val="0"/>
        <w:widowControl/>
        <w:kinsoku/>
        <w:wordWrap/>
        <w:overflowPunct/>
        <w:topLinePunct w:val="0"/>
        <w:bidi w:val="0"/>
        <w:adjustRightInd w:val="0"/>
        <w:snapToGrid w:val="0"/>
        <w:spacing w:line="360" w:lineRule="auto"/>
        <w:ind w:firstLine="643" w:firstLineChars="200"/>
        <w:jc w:val="both"/>
        <w:outlineLvl w:val="9"/>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b/>
          <w:bCs/>
          <w:sz w:val="32"/>
          <w:szCs w:val="32"/>
          <w:lang w:eastAsia="zh-CN" w:bidi="ar-SA"/>
        </w:rPr>
        <w:t>2.地方政府债券资金筹措：</w:t>
      </w:r>
      <w:r>
        <w:rPr>
          <w:rFonts w:hint="eastAsia" w:ascii="仿宋_GB2312" w:hAnsi="仿宋_GB2312" w:eastAsia="仿宋_GB2312" w:cs="仿宋_GB2312"/>
          <w:sz w:val="32"/>
          <w:szCs w:val="32"/>
          <w:lang w:val="en-US" w:eastAsia="zh-CN" w:bidi="ar-SA"/>
        </w:rPr>
        <w:t>2022年已发行2022年广东省政府专项债券（六期）20,000.00万元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3.28%</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w:t>
      </w:r>
    </w:p>
    <w:p>
      <w:pPr>
        <w:pageBreakBefore w:val="0"/>
        <w:widowControl/>
        <w:kinsoku/>
        <w:wordWrap/>
        <w:overflowPunct/>
        <w:topLinePunct w:val="0"/>
        <w:bidi w:val="0"/>
        <w:adjustRightInd w:val="0"/>
        <w:snapToGrid w:val="0"/>
        <w:spacing w:line="360" w:lineRule="auto"/>
        <w:ind w:firstLine="640" w:firstLineChars="200"/>
        <w:jc w:val="both"/>
        <w:outlineLvl w:val="9"/>
        <w:rPr>
          <w:rFonts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val="en-US" w:eastAsia="zh-CN" w:bidi="ar-SA"/>
        </w:rPr>
        <w:t>2023年已发行专项债券金额14,876.00万元，其中：2023年广东省政府专项债券（一期）11,000.00万元（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2.98%），2023年广东省政府专项债券（二十一期）800.00万元（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2.76%），2023年广东省政府专项债券（十一期）1,576.00万元（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2.94%），2023年广东省政府专项债券（三期）1,500.00万元（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15</w:t>
      </w:r>
      <w:r>
        <w:rPr>
          <w:rFonts w:hint="eastAsia" w:ascii="仿宋_GB2312" w:hAnsi="仿宋_GB2312" w:eastAsia="仿宋_GB2312" w:cs="仿宋_GB2312"/>
          <w:sz w:val="32"/>
          <w:szCs w:val="32"/>
          <w:lang w:eastAsia="zh-CN" w:bidi="ar-SA"/>
        </w:rPr>
        <w:t>年，债券年利率为</w:t>
      </w:r>
      <w:r>
        <w:rPr>
          <w:rFonts w:hint="eastAsia" w:ascii="仿宋_GB2312" w:hAnsi="仿宋_GB2312" w:eastAsia="仿宋_GB2312" w:cs="仿宋_GB2312"/>
          <w:sz w:val="32"/>
          <w:szCs w:val="32"/>
          <w:lang w:val="en-US" w:eastAsia="zh-CN" w:bidi="ar-SA"/>
        </w:rPr>
        <w:t>3.12%）。</w:t>
      </w:r>
      <w:r>
        <w:rPr>
          <w:rFonts w:hint="eastAsia" w:ascii="仿宋_GB2312" w:hAnsi="仿宋_GB2312" w:eastAsia="仿宋_GB2312" w:cs="仿宋_GB2312"/>
          <w:sz w:val="32"/>
          <w:szCs w:val="32"/>
          <w:lang w:val="en-US" w:eastAsia="zh-CN" w:bidi="ar-SA"/>
        </w:rPr>
        <w:tab/>
      </w:r>
      <w:r>
        <w:rPr>
          <w:rFonts w:hint="eastAsia" w:ascii="仿宋_GB2312" w:hAnsi="仿宋_GB2312" w:eastAsia="仿宋_GB2312" w:cs="仿宋_GB2312"/>
          <w:sz w:val="32"/>
          <w:szCs w:val="32"/>
          <w:lang w:val="en-US" w:eastAsia="zh-CN" w:bidi="ar-SA"/>
        </w:rPr>
        <w:tab/>
      </w:r>
      <w:r>
        <w:rPr>
          <w:rFonts w:hint="eastAsia" w:ascii="仿宋_GB2312" w:hAnsi="仿宋_GB2312" w:eastAsia="仿宋_GB2312" w:cs="仿宋_GB2312"/>
          <w:sz w:val="32"/>
          <w:szCs w:val="32"/>
          <w:lang w:val="en-US" w:eastAsia="zh-CN" w:bidi="ar-SA"/>
        </w:rPr>
        <w:tab/>
      </w:r>
      <w:r>
        <w:rPr>
          <w:rFonts w:hint="eastAsia" w:ascii="仿宋_GB2312" w:hAnsi="仿宋_GB2312" w:eastAsia="仿宋_GB2312" w:cs="仿宋_GB2312"/>
          <w:sz w:val="32"/>
          <w:szCs w:val="32"/>
          <w:lang w:eastAsia="zh-CN" w:bidi="ar-SA"/>
        </w:rPr>
        <w:t>202</w:t>
      </w:r>
      <w:r>
        <w:rPr>
          <w:rFonts w:hint="eastAsia" w:ascii="仿宋_GB2312" w:hAnsi="仿宋_GB2312" w:eastAsia="仿宋_GB2312" w:cs="仿宋_GB2312"/>
          <w:sz w:val="32"/>
          <w:szCs w:val="32"/>
          <w:lang w:val="en-US" w:eastAsia="zh-CN" w:bidi="ar-SA"/>
        </w:rPr>
        <w:t>4</w:t>
      </w:r>
      <w:r>
        <w:rPr>
          <w:rFonts w:hint="eastAsia" w:ascii="仿宋_GB2312" w:hAnsi="仿宋_GB2312" w:eastAsia="仿宋_GB2312" w:cs="仿宋_GB2312"/>
          <w:sz w:val="32"/>
          <w:szCs w:val="32"/>
          <w:lang w:eastAsia="zh-CN" w:bidi="ar-SA"/>
        </w:rPr>
        <w:t>年计划发行债券15,100.00万元，其中</w:t>
      </w:r>
      <w:r>
        <w:rPr>
          <w:rFonts w:hint="eastAsia" w:ascii="仿宋_GB2312" w:hAnsi="仿宋_GB2312" w:eastAsia="仿宋_GB2312" w:cs="仿宋_GB2312"/>
          <w:sz w:val="32"/>
          <w:szCs w:val="32"/>
          <w:lang w:val="en-US" w:eastAsia="zh-CN" w:bidi="ar-SA"/>
        </w:rPr>
        <w:t>本次</w:t>
      </w:r>
      <w:r>
        <w:rPr>
          <w:rFonts w:hint="eastAsia" w:ascii="仿宋_GB2312" w:hAnsi="仿宋_GB2312" w:eastAsia="仿宋_GB2312" w:cs="仿宋_GB2312"/>
          <w:sz w:val="32"/>
          <w:szCs w:val="32"/>
          <w:lang w:eastAsia="zh-CN" w:bidi="ar-SA"/>
        </w:rPr>
        <w:t>计划发行</w:t>
      </w:r>
      <w:r>
        <w:rPr>
          <w:rFonts w:hint="eastAsia" w:ascii="仿宋_GB2312" w:hAnsi="仿宋_GB2312" w:eastAsia="仿宋_GB2312" w:cs="仿宋_GB2312"/>
          <w:sz w:val="32"/>
          <w:szCs w:val="32"/>
          <w:lang w:val="en-US" w:eastAsia="zh-CN" w:bidi="ar-SA"/>
        </w:rPr>
        <w:t>5</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0</w:t>
      </w:r>
      <w:r>
        <w:rPr>
          <w:rFonts w:hint="eastAsia" w:ascii="仿宋_GB2312" w:hAnsi="仿宋_GB2312" w:eastAsia="仿宋_GB2312" w:cs="仿宋_GB2312"/>
          <w:sz w:val="32"/>
          <w:szCs w:val="32"/>
          <w:lang w:eastAsia="zh-CN" w:bidi="ar-SA"/>
        </w:rPr>
        <w:t>00.00万元，计划</w:t>
      </w:r>
      <w:r>
        <w:rPr>
          <w:rFonts w:hint="eastAsia" w:ascii="仿宋_GB2312" w:hAnsi="仿宋_GB2312" w:eastAsia="仿宋_GB2312" w:cs="仿宋_GB2312"/>
          <w:sz w:val="32"/>
          <w:szCs w:val="32"/>
          <w:lang w:val="en-US" w:eastAsia="zh-CN" w:bidi="ar-SA"/>
        </w:rPr>
        <w:t>后续</w:t>
      </w:r>
      <w:r>
        <w:rPr>
          <w:rFonts w:hint="eastAsia" w:ascii="仿宋_GB2312" w:hAnsi="仿宋_GB2312" w:eastAsia="仿宋_GB2312" w:cs="仿宋_GB2312"/>
          <w:sz w:val="32"/>
          <w:szCs w:val="32"/>
          <w:lang w:eastAsia="zh-CN" w:bidi="ar-SA"/>
        </w:rPr>
        <w:t>发行政府专项债券资金10,100.00</w:t>
      </w:r>
      <w:r>
        <w:rPr>
          <w:rFonts w:hint="eastAsia" w:ascii="仿宋_GB2312" w:hAnsi="仿宋_GB2312" w:eastAsia="仿宋_GB2312" w:cs="仿宋_GB2312"/>
          <w:sz w:val="32"/>
          <w:szCs w:val="32"/>
          <w:lang w:val="en-US" w:eastAsia="zh-CN" w:bidi="ar-SA"/>
        </w:rPr>
        <w:t>万元</w:t>
      </w:r>
      <w:r>
        <w:rPr>
          <w:rFonts w:hint="eastAsia" w:ascii="仿宋_GB2312" w:hAnsi="仿宋_GB2312" w:eastAsia="仿宋_GB2312" w:cs="仿宋_GB2312"/>
          <w:sz w:val="32"/>
          <w:szCs w:val="32"/>
          <w:lang w:eastAsia="zh-CN" w:bidi="ar-SA"/>
        </w:rPr>
        <w:t>。</w:t>
      </w:r>
    </w:p>
    <w:p>
      <w:pPr>
        <w:pageBreakBefore w:val="0"/>
        <w:widowControl/>
        <w:kinsoku/>
        <w:wordWrap/>
        <w:overflowPunct/>
        <w:topLinePunct w:val="0"/>
        <w:bidi w:val="0"/>
        <w:adjustRightInd w:val="0"/>
        <w:snapToGrid w:val="0"/>
        <w:spacing w:line="360" w:lineRule="auto"/>
        <w:ind w:firstLine="643" w:firstLineChars="200"/>
        <w:outlineLvl w:val="2"/>
        <w:rPr>
          <w:rFonts w:hint="eastAsia" w:ascii="仿宋_GB2312" w:hAnsi="仿宋_GB2312" w:eastAsia="仿宋_GB2312" w:cs="仿宋_GB2312"/>
          <w:sz w:val="32"/>
          <w:szCs w:val="32"/>
          <w:lang w:eastAsia="zh-CN" w:bidi="ar-SA"/>
        </w:rPr>
      </w:pPr>
      <w:bookmarkStart w:id="89" w:name="_Toc24611"/>
      <w:r>
        <w:rPr>
          <w:rFonts w:hint="eastAsia" w:ascii="仿宋_GB2312" w:hAnsi="仿宋_GB2312" w:eastAsia="仿宋_GB2312" w:cs="仿宋_GB2312"/>
          <w:b/>
          <w:bCs/>
          <w:sz w:val="32"/>
          <w:szCs w:val="32"/>
          <w:lang w:eastAsia="zh-CN" w:bidi="ar-SA"/>
        </w:rPr>
        <w:t>3.非融资资金筹措：</w:t>
      </w:r>
      <w:r>
        <w:rPr>
          <w:rFonts w:hint="eastAsia" w:ascii="仿宋_GB2312" w:hAnsi="仿宋_GB2312" w:eastAsia="仿宋_GB2312" w:cs="仿宋_GB2312"/>
          <w:sz w:val="32"/>
          <w:szCs w:val="32"/>
          <w:lang w:eastAsia="zh-CN" w:bidi="ar-SA"/>
        </w:rPr>
        <w:t>12,511.00万元。</w:t>
      </w:r>
      <w:bookmarkEnd w:id="89"/>
    </w:p>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5：</w:t>
      </w:r>
      <w:r>
        <w:rPr>
          <w:rFonts w:hint="eastAsia" w:ascii="仿宋_GB2312" w:hAnsi="仿宋_GB2312" w:eastAsia="仿宋_GB2312" w:cs="仿宋_GB2312"/>
          <w:sz w:val="32"/>
          <w:szCs w:val="32"/>
          <w:highlight w:val="none"/>
        </w:rPr>
        <w:t>项目资金筹措情况</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单位：万元</w:t>
      </w:r>
      <w:r>
        <w:rPr>
          <w:rFonts w:hint="eastAsia" w:ascii="仿宋_GB2312" w:hAnsi="仿宋_GB2312" w:eastAsia="仿宋_GB2312" w:cs="仿宋_GB2312"/>
          <w:sz w:val="32"/>
          <w:szCs w:val="32"/>
          <w:highlight w:val="none"/>
          <w:lang w:eastAsia="zh-CN"/>
        </w:rPr>
        <w:t>）</w:t>
      </w:r>
    </w:p>
    <w:tbl>
      <w:tblPr>
        <w:tblStyle w:val="14"/>
        <w:tblW w:w="102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061"/>
        <w:gridCol w:w="862"/>
        <w:gridCol w:w="420"/>
        <w:gridCol w:w="396"/>
        <w:gridCol w:w="432"/>
        <w:gridCol w:w="420"/>
        <w:gridCol w:w="1116"/>
        <w:gridCol w:w="816"/>
        <w:gridCol w:w="324"/>
        <w:gridCol w:w="408"/>
        <w:gridCol w:w="945"/>
        <w:gridCol w:w="1048"/>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年度</w:t>
            </w:r>
          </w:p>
        </w:tc>
        <w:tc>
          <w:tcPr>
            <w:tcW w:w="10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项目投资</w:t>
            </w:r>
          </w:p>
        </w:tc>
        <w:tc>
          <w:tcPr>
            <w:tcW w:w="8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val="en-US" w:eastAsia="zh-CN" w:bidi="ar-SA"/>
              </w:rPr>
              <w:t>已</w:t>
            </w:r>
            <w:r>
              <w:rPr>
                <w:rFonts w:hint="eastAsia" w:ascii="仿宋_GB2312" w:hAnsi="仿宋_GB2312" w:eastAsia="仿宋_GB2312" w:cs="仿宋_GB2312"/>
                <w:sz w:val="18"/>
                <w:szCs w:val="18"/>
                <w:lang w:bidi="ar-SA"/>
              </w:rPr>
              <w:t>到位金额</w:t>
            </w:r>
          </w:p>
        </w:tc>
        <w:tc>
          <w:tcPr>
            <w:tcW w:w="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市</w:t>
            </w:r>
            <w:r>
              <w:rPr>
                <w:rFonts w:hint="eastAsia" w:ascii="仿宋_GB2312" w:hAnsi="仿宋_GB2312" w:eastAsia="仿宋_GB2312" w:cs="仿宋_GB2312"/>
                <w:sz w:val="18"/>
                <w:szCs w:val="18"/>
                <w:lang w:val="en-US" w:eastAsia="zh-CN" w:bidi="ar-SA"/>
              </w:rPr>
              <w:t>市</w:t>
            </w:r>
            <w:r>
              <w:rPr>
                <w:rFonts w:hint="eastAsia" w:ascii="仿宋_GB2312" w:hAnsi="仿宋_GB2312" w:eastAsia="仿宋_GB2312" w:cs="仿宋_GB2312"/>
                <w:sz w:val="18"/>
                <w:szCs w:val="18"/>
                <w:lang w:bidi="ar-SA"/>
              </w:rPr>
              <w:t>场化融资资金</w:t>
            </w:r>
          </w:p>
        </w:tc>
        <w:tc>
          <w:tcPr>
            <w:tcW w:w="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val="en-US" w:eastAsia="zh-CN" w:bidi="ar-SA"/>
              </w:rPr>
              <w:t>已</w:t>
            </w:r>
            <w:r>
              <w:rPr>
                <w:rFonts w:hint="eastAsia" w:ascii="仿宋_GB2312" w:hAnsi="仿宋_GB2312" w:eastAsia="仿宋_GB2312" w:cs="仿宋_GB2312"/>
                <w:sz w:val="18"/>
                <w:szCs w:val="18"/>
                <w:lang w:bidi="ar-SA"/>
              </w:rPr>
              <w:t>到位金额</w:t>
            </w:r>
          </w:p>
        </w:tc>
        <w:tc>
          <w:tcPr>
            <w:tcW w:w="351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非融资资金</w:t>
            </w:r>
          </w:p>
        </w:tc>
        <w:tc>
          <w:tcPr>
            <w:tcW w:w="30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地方政府专项债券融资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eastAsia="zh-CN" w:bidi="ar-SA"/>
              </w:rPr>
            </w:pPr>
          </w:p>
        </w:tc>
        <w:tc>
          <w:tcPr>
            <w:tcW w:w="10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eastAsia="zh-CN" w:bidi="ar-SA"/>
              </w:rPr>
            </w:pPr>
          </w:p>
        </w:tc>
        <w:tc>
          <w:tcPr>
            <w:tcW w:w="8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eastAsia="zh-CN" w:bidi="ar-SA"/>
              </w:rPr>
            </w:pPr>
          </w:p>
        </w:tc>
        <w:tc>
          <w:tcPr>
            <w:tcW w:w="4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eastAsia="zh-CN" w:bidi="ar-SA"/>
              </w:rPr>
            </w:pPr>
          </w:p>
        </w:tc>
        <w:tc>
          <w:tcPr>
            <w:tcW w:w="3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eastAsia="zh-CN" w:bidi="ar-SA"/>
              </w:rPr>
            </w:pP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单位自有资金</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val="en-US" w:eastAsia="zh-CN" w:bidi="ar-SA"/>
              </w:rPr>
              <w:t>其中</w:t>
            </w:r>
            <w:r>
              <w:rPr>
                <w:rFonts w:hint="eastAsia" w:ascii="仿宋_GB2312" w:hAnsi="仿宋_GB2312" w:eastAsia="仿宋_GB2312" w:cs="仿宋_GB2312"/>
                <w:sz w:val="18"/>
                <w:szCs w:val="18"/>
                <w:lang w:bidi="ar-SA"/>
              </w:rPr>
              <w:t>：已到位金额</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财政性资金</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其中：已到位金额</w:t>
            </w:r>
          </w:p>
        </w:tc>
        <w:tc>
          <w:tcPr>
            <w:tcW w:w="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其</w:t>
            </w:r>
            <w:r>
              <w:rPr>
                <w:rFonts w:hint="eastAsia" w:ascii="仿宋_GB2312" w:hAnsi="仿宋_GB2312" w:eastAsia="仿宋_GB2312" w:cs="仿宋_GB2312"/>
                <w:sz w:val="18"/>
                <w:szCs w:val="18"/>
                <w:lang w:val="en-US" w:eastAsia="zh-CN" w:bidi="ar-SA"/>
              </w:rPr>
              <w:t>其</w:t>
            </w:r>
            <w:r>
              <w:rPr>
                <w:rFonts w:hint="eastAsia" w:ascii="仿宋_GB2312" w:hAnsi="仿宋_GB2312" w:eastAsia="仿宋_GB2312" w:cs="仿宋_GB2312"/>
                <w:sz w:val="18"/>
                <w:szCs w:val="18"/>
                <w:lang w:bidi="ar-SA"/>
              </w:rPr>
              <w:t>他</w:t>
            </w: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right="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其</w:t>
            </w:r>
            <w:r>
              <w:rPr>
                <w:rFonts w:hint="eastAsia" w:ascii="仿宋_GB2312" w:hAnsi="仿宋_GB2312" w:eastAsia="仿宋_GB2312" w:cs="仿宋_GB2312"/>
                <w:sz w:val="18"/>
                <w:szCs w:val="18"/>
                <w:lang w:val="en-US" w:eastAsia="zh-CN" w:bidi="ar-SA"/>
              </w:rPr>
              <w:t>其</w:t>
            </w:r>
            <w:r>
              <w:rPr>
                <w:rFonts w:hint="eastAsia" w:ascii="仿宋_GB2312" w:hAnsi="仿宋_GB2312" w:eastAsia="仿宋_GB2312" w:cs="仿宋_GB2312"/>
                <w:sz w:val="18"/>
                <w:szCs w:val="18"/>
                <w:lang w:bidi="ar-SA"/>
              </w:rPr>
              <w:t>中：已到位金额</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本次发行金额</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以前发行金额</w:t>
            </w:r>
          </w:p>
        </w:tc>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default" w:ascii="仿宋_GB2312" w:hAnsi="仿宋_GB2312" w:eastAsia="仿宋_GB2312" w:cs="仿宋_GB2312"/>
                <w:sz w:val="18"/>
                <w:szCs w:val="18"/>
                <w:lang w:bidi="ar-SA"/>
              </w:rPr>
            </w:pPr>
            <w:r>
              <w:rPr>
                <w:rFonts w:hint="eastAsia" w:ascii="仿宋_GB2312" w:hAnsi="仿宋_GB2312" w:eastAsia="仿宋_GB2312" w:cs="仿宋_GB2312"/>
                <w:sz w:val="18"/>
                <w:szCs w:val="18"/>
                <w:lang w:bidi="ar-SA"/>
              </w:rPr>
              <w:t>计划以后发行金额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bidi="ar-SA"/>
              </w:rPr>
            </w:pPr>
            <w:r>
              <w:rPr>
                <w:rStyle w:val="27"/>
                <w:rFonts w:hAnsi="等线"/>
                <w:lang w:val="en-US" w:eastAsia="zh-CN" w:bidi="ar"/>
              </w:rPr>
              <w:t>合计</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62,487.00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ind w:left="0" w:leftChars="0" w:firstLine="0" w:firstLineChars="0"/>
              <w:jc w:val="center"/>
              <w:rPr>
                <w:rFonts w:hint="default" w:ascii="仿宋_GB2312" w:hAnsi="仿宋_GB2312" w:eastAsia="仿宋_GB2312" w:cs="仿宋_GB2312"/>
                <w:sz w:val="18"/>
                <w:szCs w:val="18"/>
                <w:lang w:bidi="ar-SA"/>
              </w:rPr>
            </w:pPr>
            <w:r>
              <w:rPr>
                <w:rFonts w:hint="default" w:ascii="仿宋_GB2312" w:hAnsi="仿宋_GB2312" w:eastAsia="仿宋_GB2312" w:cs="仿宋_GB2312"/>
                <w:sz w:val="18"/>
                <w:szCs w:val="18"/>
                <w:lang w:bidi="ar-SA"/>
              </w:rPr>
              <w:t>41,876.00</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12,511.00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7,000.00</w:t>
            </w:r>
          </w:p>
        </w:tc>
        <w:tc>
          <w:tcPr>
            <w:tcW w:w="3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5,000.00</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eastAsia="zh-CN" w:bidi="ar-SA"/>
              </w:rPr>
            </w:pPr>
            <w:r>
              <w:rPr>
                <w:rFonts w:hint="default" w:ascii="仿宋_GB2312" w:hAnsi="等线" w:eastAsia="仿宋_GB2312" w:cs="仿宋_GB2312"/>
                <w:i w:val="0"/>
                <w:iCs w:val="0"/>
                <w:color w:val="000000"/>
                <w:kern w:val="0"/>
                <w:sz w:val="18"/>
                <w:szCs w:val="18"/>
                <w:u w:val="none"/>
                <w:lang w:val="en-US" w:eastAsia="zh-CN" w:bidi="ar"/>
              </w:rPr>
              <w:t>34,876.00</w:t>
            </w:r>
          </w:p>
        </w:tc>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eastAsia="zh-CN" w:bidi="ar-SA"/>
              </w:rPr>
            </w:pPr>
            <w:r>
              <w:rPr>
                <w:rFonts w:hint="eastAsia" w:ascii="仿宋_GB2312" w:hAnsi="等线" w:eastAsia="仿宋_GB2312" w:cs="仿宋_GB2312"/>
                <w:i w:val="0"/>
                <w:iCs w:val="0"/>
                <w:color w:val="000000"/>
                <w:kern w:val="0"/>
                <w:sz w:val="18"/>
                <w:szCs w:val="18"/>
                <w:u w:val="none"/>
                <w:lang w:val="en-US" w:eastAsia="zh-CN" w:bidi="ar"/>
              </w:rPr>
              <w:t>10,100.00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2022年</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24,000.00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等线" w:eastAsia="仿宋_GB2312" w:cs="仿宋_GB2312"/>
                <w:i w:val="0"/>
                <w:iCs w:val="0"/>
                <w:color w:val="000000"/>
                <w:kern w:val="0"/>
                <w:sz w:val="18"/>
                <w:szCs w:val="18"/>
                <w:u w:val="none"/>
                <w:lang w:val="en-US" w:eastAsia="zh-CN" w:bidi="ar"/>
              </w:rPr>
            </w:pPr>
            <w:r>
              <w:rPr>
                <w:rFonts w:hint="default" w:ascii="仿宋_GB2312" w:hAnsi="等线" w:eastAsia="仿宋_GB2312" w:cs="仿宋_GB2312"/>
                <w:i w:val="0"/>
                <w:iCs w:val="0"/>
                <w:color w:val="000000"/>
                <w:kern w:val="0"/>
                <w:sz w:val="18"/>
                <w:szCs w:val="18"/>
                <w:u w:val="none"/>
                <w:lang w:val="en-US" w:eastAsia="zh-CN" w:bidi="ar"/>
              </w:rPr>
              <w:t>2</w:t>
            </w:r>
            <w:r>
              <w:rPr>
                <w:rFonts w:hint="eastAsia" w:ascii="仿宋_GB2312" w:hAnsi="等线" w:eastAsia="仿宋_GB2312" w:cs="仿宋_GB2312"/>
                <w:i w:val="0"/>
                <w:iCs w:val="0"/>
                <w:color w:val="000000"/>
                <w:kern w:val="0"/>
                <w:sz w:val="18"/>
                <w:szCs w:val="18"/>
                <w:u w:val="none"/>
                <w:lang w:val="en-US" w:eastAsia="zh-CN" w:bidi="ar"/>
              </w:rPr>
              <w:t>4</w:t>
            </w:r>
            <w:r>
              <w:rPr>
                <w:rFonts w:hint="default" w:ascii="仿宋_GB2312" w:hAnsi="等线" w:eastAsia="仿宋_GB2312" w:cs="仿宋_GB2312"/>
                <w:i w:val="0"/>
                <w:iCs w:val="0"/>
                <w:color w:val="000000"/>
                <w:kern w:val="0"/>
                <w:sz w:val="18"/>
                <w:szCs w:val="18"/>
                <w:u w:val="none"/>
                <w:lang w:val="en-US" w:eastAsia="zh-CN" w:bidi="ar"/>
              </w:rPr>
              <w:t>,000.00</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等线" w:eastAsia="仿宋_GB2312" w:cs="仿宋_GB2312"/>
                <w:i w:val="0"/>
                <w:iCs w:val="0"/>
                <w:color w:val="000000"/>
                <w:kern w:val="0"/>
                <w:sz w:val="18"/>
                <w:szCs w:val="18"/>
                <w:u w:val="none"/>
                <w:lang w:val="en-US" w:eastAsia="zh-CN" w:bidi="ar"/>
              </w:rPr>
            </w:pP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4,000.00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4,000.00</w:t>
            </w:r>
          </w:p>
        </w:tc>
        <w:tc>
          <w:tcPr>
            <w:tcW w:w="3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20,000.00</w:t>
            </w:r>
          </w:p>
        </w:tc>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firstLine="360" w:firstLineChars="200"/>
              <w:jc w:val="center"/>
              <w:textAlignment w:val="center"/>
              <w:rPr>
                <w:rFonts w:hint="default" w:ascii="仿宋_GB2312" w:hAnsi="仿宋_GB2312" w:eastAsia="仿宋_GB2312" w:cs="仿宋_GB2312"/>
                <w:sz w:val="18"/>
                <w:szCs w:val="18"/>
                <w:lang w:eastAsia="zh-CN" w:bidi="ar-SA"/>
              </w:rPr>
            </w:pPr>
            <w:r>
              <w:rPr>
                <w:rFonts w:hint="eastAsia" w:ascii="仿宋_GB2312" w:hAnsi="等线" w:eastAsia="仿宋_GB2312" w:cs="仿宋_GB2312"/>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2023年</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17,876.00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ind w:left="0" w:leftChars="0" w:firstLine="0" w:firstLineChars="0"/>
              <w:jc w:val="center"/>
              <w:rPr>
                <w:rFonts w:hint="default"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17,876.00</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3,000.00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3,000.00</w:t>
            </w:r>
          </w:p>
        </w:tc>
        <w:tc>
          <w:tcPr>
            <w:tcW w:w="3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14,876.00</w:t>
            </w:r>
          </w:p>
        </w:tc>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firstLine="360" w:firstLineChars="200"/>
              <w:jc w:val="center"/>
              <w:textAlignment w:val="center"/>
              <w:rPr>
                <w:rFonts w:hint="default" w:ascii="仿宋_GB2312" w:hAnsi="仿宋_GB2312" w:eastAsia="仿宋_GB2312" w:cs="仿宋_GB2312"/>
                <w:sz w:val="18"/>
                <w:szCs w:val="18"/>
                <w:lang w:eastAsia="zh-CN" w:bidi="ar-SA"/>
              </w:rPr>
            </w:pPr>
            <w:r>
              <w:rPr>
                <w:rFonts w:hint="eastAsia" w:ascii="仿宋_GB2312" w:hAnsi="等线" w:eastAsia="仿宋_GB2312" w:cs="仿宋_GB2312"/>
                <w:i w:val="0"/>
                <w:iCs w:val="0"/>
                <w:color w:val="000000"/>
                <w:kern w:val="0"/>
                <w:sz w:val="18"/>
                <w:szCs w:val="18"/>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2024年</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bidi="ar-SA"/>
              </w:rPr>
            </w:pPr>
            <w:r>
              <w:rPr>
                <w:rFonts w:hint="default" w:ascii="仿宋_GB2312" w:hAnsi="等线" w:eastAsia="仿宋_GB2312" w:cs="仿宋_GB2312"/>
                <w:i w:val="0"/>
                <w:iCs w:val="0"/>
                <w:color w:val="000000"/>
                <w:kern w:val="0"/>
                <w:sz w:val="18"/>
                <w:szCs w:val="18"/>
                <w:u w:val="none"/>
                <w:lang w:val="en-US" w:eastAsia="zh-CN" w:bidi="ar"/>
              </w:rPr>
              <w:t>20,611.00</w:t>
            </w:r>
          </w:p>
        </w:tc>
        <w:tc>
          <w:tcPr>
            <w:tcW w:w="862" w:type="dxa"/>
            <w:tcBorders>
              <w:top w:val="single" w:color="auto" w:sz="4" w:space="0"/>
              <w:left w:val="single" w:color="auto" w:sz="4" w:space="0"/>
              <w:bottom w:val="single" w:color="auto" w:sz="4" w:space="0"/>
              <w:right w:val="single" w:color="auto" w:sz="4" w:space="0"/>
            </w:tcBorders>
            <w:shd w:val="clear" w:color="auto" w:fill="auto"/>
            <w:vAlign w:val="center"/>
          </w:tcPr>
          <w:p>
            <w:pPr>
              <w:ind w:left="0" w:leftChars="0" w:firstLine="0" w:firstLineChars="0"/>
              <w:jc w:val="center"/>
              <w:rPr>
                <w:rFonts w:hint="default" w:ascii="仿宋_GB2312" w:hAnsi="仿宋_GB2312" w:eastAsia="仿宋_GB2312" w:cs="仿宋_GB2312"/>
                <w:sz w:val="18"/>
                <w:szCs w:val="18"/>
                <w:lang w:val="en-US" w:eastAsia="zh-CN" w:bidi="ar-SA"/>
              </w:rPr>
            </w:pPr>
            <w:r>
              <w:rPr>
                <w:rFonts w:hint="eastAsia" w:ascii="仿宋_GB2312" w:hAnsi="仿宋_GB2312" w:eastAsia="仿宋_GB2312" w:cs="仿宋_GB2312"/>
                <w:sz w:val="18"/>
                <w:szCs w:val="18"/>
                <w:lang w:val="en-US" w:eastAsia="zh-CN" w:bidi="ar-SA"/>
              </w:rPr>
              <w:t>0.00</w:t>
            </w: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39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3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bidi="ar-SA"/>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5,511.00</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sz w:val="18"/>
                <w:szCs w:val="18"/>
                <w:lang w:val="en-US" w:eastAsia="zh-CN" w:bidi="ar-SA"/>
              </w:rPr>
            </w:pPr>
            <w:r>
              <w:rPr>
                <w:rFonts w:hint="eastAsia" w:ascii="仿宋_GB2312" w:hAnsi="仿宋_GB2312" w:eastAsia="仿宋_GB2312" w:cs="仿宋_GB2312"/>
                <w:sz w:val="18"/>
                <w:szCs w:val="18"/>
                <w:lang w:val="en-US" w:eastAsia="zh-CN" w:bidi="ar-SA"/>
              </w:rPr>
              <w:t>-</w:t>
            </w:r>
          </w:p>
        </w:tc>
        <w:tc>
          <w:tcPr>
            <w:tcW w:w="32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40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仿宋_GB2312" w:hAnsi="仿宋_GB2312" w:eastAsia="仿宋_GB2312" w:cs="仿宋_GB2312"/>
                <w:sz w:val="18"/>
                <w:szCs w:val="18"/>
                <w:lang w:val="en-US" w:eastAsia="zh-CN" w:bidi="ar-SA"/>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eastAsia" w:ascii="仿宋_GB2312" w:hAnsi="仿宋_GB2312" w:eastAsia="仿宋_GB2312" w:cs="仿宋_GB2312"/>
                <w:sz w:val="18"/>
                <w:szCs w:val="18"/>
                <w:lang w:val="en-US" w:eastAsia="zh-CN" w:bidi="ar-SA"/>
              </w:rPr>
            </w:pPr>
            <w:r>
              <w:rPr>
                <w:rFonts w:hint="default" w:ascii="仿宋_GB2312" w:hAnsi="等线" w:eastAsia="仿宋_GB2312" w:cs="仿宋_GB2312"/>
                <w:i w:val="0"/>
                <w:iCs w:val="0"/>
                <w:color w:val="000000"/>
                <w:kern w:val="0"/>
                <w:sz w:val="18"/>
                <w:szCs w:val="18"/>
                <w:u w:val="none"/>
                <w:lang w:val="en-US" w:eastAsia="zh-CN" w:bidi="ar"/>
              </w:rPr>
              <w:t>5,000.00</w:t>
            </w:r>
          </w:p>
        </w:tc>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firstLine="360" w:firstLineChars="200"/>
              <w:jc w:val="center"/>
              <w:textAlignment w:val="center"/>
              <w:rPr>
                <w:rFonts w:hint="eastAsia" w:ascii="仿宋_GB2312" w:hAnsi="仿宋_GB2312" w:eastAsia="仿宋_GB2312" w:cs="仿宋_GB2312"/>
                <w:sz w:val="18"/>
                <w:szCs w:val="18"/>
                <w:lang w:val="en-US" w:eastAsia="zh-CN" w:bidi="ar-SA"/>
              </w:rPr>
            </w:pPr>
            <w:r>
              <w:rPr>
                <w:rFonts w:hint="eastAsia" w:ascii="仿宋_GB2312" w:hAnsi="等线" w:eastAsia="仿宋_GB2312" w:cs="仿宋_GB2312"/>
                <w:i w:val="0"/>
                <w:iCs w:val="0"/>
                <w:color w:val="000000"/>
                <w:kern w:val="0"/>
                <w:sz w:val="18"/>
                <w:szCs w:val="18"/>
                <w:u w:val="none"/>
                <w:lang w:val="en-US" w:eastAsia="zh-CN" w:bidi="ar"/>
              </w:rPr>
              <w:t>-</w:t>
            </w:r>
          </w:p>
        </w:tc>
        <w:tc>
          <w:tcPr>
            <w:tcW w:w="109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both"/>
              <w:textAlignment w:val="center"/>
              <w:rPr>
                <w:rFonts w:hint="default" w:ascii="仿宋_GB2312" w:hAnsi="仿宋_GB2312" w:eastAsia="仿宋_GB2312" w:cs="仿宋_GB2312"/>
                <w:sz w:val="18"/>
                <w:szCs w:val="18"/>
                <w:lang w:eastAsia="zh-CN" w:bidi="ar-SA"/>
              </w:rPr>
            </w:pPr>
            <w:r>
              <w:rPr>
                <w:rFonts w:hint="eastAsia" w:ascii="仿宋_GB2312" w:hAnsi="等线" w:eastAsia="仿宋_GB2312" w:cs="仿宋_GB2312"/>
                <w:i w:val="0"/>
                <w:iCs w:val="0"/>
                <w:color w:val="000000"/>
                <w:kern w:val="0"/>
                <w:sz w:val="18"/>
                <w:szCs w:val="18"/>
                <w:u w:val="none"/>
                <w:lang w:val="en-US" w:eastAsia="zh-CN" w:bidi="ar"/>
              </w:rPr>
              <w:t>10,100.00</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643" w:firstLineChars="200"/>
        <w:jc w:val="left"/>
        <w:textAlignment w:val="auto"/>
        <w:outlineLvl w:val="1"/>
        <w:rPr>
          <w:rFonts w:hint="eastAsia" w:ascii="仿宋_GB2312" w:hAnsi="仿宋_GB2312" w:eastAsia="仿宋_GB2312" w:cs="仿宋_GB2312"/>
          <w:b/>
          <w:bCs/>
          <w:color w:val="000000"/>
          <w:kern w:val="0"/>
          <w:sz w:val="32"/>
          <w:szCs w:val="32"/>
          <w:lang w:eastAsia="zh-CN"/>
        </w:rPr>
      </w:pPr>
      <w:bookmarkStart w:id="90" w:name="_Toc26513"/>
      <w:bookmarkStart w:id="91" w:name="_Toc27055"/>
      <w:bookmarkStart w:id="92" w:name="_Toc5501"/>
      <w:bookmarkStart w:id="93" w:name="_Toc21890"/>
      <w:bookmarkStart w:id="94" w:name="_Toc8930"/>
      <w:bookmarkStart w:id="95" w:name="_Toc14323"/>
      <w:r>
        <w:rPr>
          <w:rFonts w:hint="eastAsia" w:ascii="仿宋_GB2312" w:hAnsi="仿宋_GB2312" w:eastAsia="仿宋_GB2312" w:cs="仿宋_GB2312"/>
          <w:b/>
          <w:bCs/>
          <w:color w:val="000000"/>
          <w:kern w:val="0"/>
          <w:sz w:val="32"/>
          <w:szCs w:val="32"/>
          <w:lang w:eastAsia="zh-CN"/>
        </w:rPr>
        <w:t>（三）项目实施安排</w:t>
      </w:r>
      <w:bookmarkEnd w:id="90"/>
      <w:bookmarkEnd w:id="91"/>
      <w:bookmarkEnd w:id="92"/>
      <w:bookmarkEnd w:id="93"/>
      <w:bookmarkEnd w:id="94"/>
      <w:bookmarkEnd w:id="95"/>
    </w:p>
    <w:p>
      <w:pPr>
        <w:pStyle w:val="6"/>
        <w:snapToGrid w:val="0"/>
        <w:spacing w:before="0" w:beforeLines="0" w:after="0" w:afterLines="0" w:line="360" w:lineRule="auto"/>
        <w:ind w:firstLine="640"/>
        <w:rPr>
          <w:rFonts w:hint="eastAsia" w:ascii="仿宋_GB2312" w:hAnsi="Calibri" w:eastAsia="仿宋_GB2312"/>
          <w:kern w:val="2"/>
          <w:sz w:val="32"/>
          <w:szCs w:val="32"/>
          <w:highlight w:val="none"/>
          <w:lang w:val="en-US" w:eastAsia="zh-CN"/>
        </w:rPr>
      </w:pPr>
      <w:r>
        <w:rPr>
          <w:rFonts w:hint="eastAsia" w:ascii="仿宋_GB2312" w:hAnsi="Calibri" w:eastAsia="仿宋_GB2312"/>
          <w:kern w:val="2"/>
          <w:sz w:val="32"/>
          <w:szCs w:val="32"/>
          <w:highlight w:val="none"/>
          <w:lang w:val="en-US" w:eastAsia="zh-CN"/>
        </w:rPr>
        <w:t>2019年12月17日源城区发展和改革局作出《关于源城区工业园第三期扩园项目项目可行性研究报告的批复》（源发改[2019]387号），项目代码：2019-441602-48-01-086533。项目估算总投资为62,487.00万元，建设资金来源由区财政统筹解决。</w:t>
      </w:r>
    </w:p>
    <w:p>
      <w:pPr>
        <w:pStyle w:val="6"/>
        <w:snapToGrid w:val="0"/>
        <w:spacing w:before="0" w:beforeLines="0" w:after="0" w:afterLines="0" w:line="360" w:lineRule="auto"/>
        <w:ind w:firstLine="640"/>
        <w:rPr>
          <w:rFonts w:hint="eastAsia" w:ascii="仿宋_GB2312" w:hAnsi="Calibri" w:eastAsia="仿宋_GB2312"/>
          <w:kern w:val="2"/>
          <w:sz w:val="32"/>
          <w:szCs w:val="32"/>
          <w:highlight w:val="none"/>
          <w:lang w:val="en-US" w:eastAsia="zh-CN"/>
        </w:rPr>
      </w:pPr>
      <w:r>
        <w:rPr>
          <w:rFonts w:hint="eastAsia" w:ascii="仿宋_GB2312" w:hAnsi="Calibri" w:eastAsia="仿宋_GB2312"/>
          <w:kern w:val="2"/>
          <w:sz w:val="32"/>
          <w:szCs w:val="32"/>
          <w:highlight w:val="none"/>
          <w:lang w:val="en-US" w:eastAsia="zh-CN"/>
        </w:rPr>
        <w:t>源城区工业园第三期扩园项目计划开工日期为2022年2月，预计2024年10月竣工验收。</w:t>
      </w:r>
    </w:p>
    <w:p>
      <w:pPr>
        <w:pStyle w:val="6"/>
        <w:snapToGrid w:val="0"/>
        <w:spacing w:before="0" w:beforeLines="0" w:after="0" w:afterLines="0" w:line="360" w:lineRule="auto"/>
        <w:ind w:firstLine="640"/>
        <w:rPr>
          <w:rFonts w:hint="eastAsia" w:ascii="仿宋_GB2312" w:hAnsi="Calibri" w:eastAsia="仿宋_GB2312"/>
          <w:kern w:val="2"/>
          <w:sz w:val="32"/>
          <w:szCs w:val="32"/>
          <w:highlight w:val="none"/>
          <w:lang w:val="en-US" w:eastAsia="zh-CN"/>
        </w:rPr>
      </w:pPr>
      <w:r>
        <w:rPr>
          <w:rFonts w:hint="eastAsia" w:ascii="仿宋_GB2312" w:hAnsi="Calibri" w:eastAsia="仿宋_GB2312"/>
          <w:kern w:val="2"/>
          <w:sz w:val="32"/>
          <w:szCs w:val="32"/>
          <w:highlight w:val="none"/>
          <w:lang w:val="en-US" w:eastAsia="zh-CN"/>
        </w:rPr>
        <w:t>项目建设地点位于河源市源城区，埔前河以东、龙岭大道以南、粤赣高速以西、埔前大道以北。</w:t>
      </w:r>
    </w:p>
    <w:p>
      <w:pPr>
        <w:pStyle w:val="6"/>
        <w:keepNext w:val="0"/>
        <w:keepLines w:val="0"/>
        <w:pageBreakBefore w:val="0"/>
        <w:widowControl w:val="0"/>
        <w:kinsoku/>
        <w:wordWrap/>
        <w:overflowPunct/>
        <w:topLinePunct w:val="0"/>
        <w:autoSpaceDE/>
        <w:autoSpaceDN/>
        <w:bidi w:val="0"/>
        <w:adjustRightInd w:val="0"/>
        <w:snapToGrid w:val="0"/>
        <w:spacing w:before="0" w:beforeLines="0" w:after="0" w:afterLines="0" w:line="360" w:lineRule="auto"/>
        <w:ind w:firstLine="640"/>
        <w:textAlignment w:val="auto"/>
        <w:rPr>
          <w:rFonts w:hint="eastAsia" w:ascii="仿宋_GB2312" w:hAnsi="Calibri" w:eastAsia="仿宋_GB2312" w:cs="宋体"/>
          <w:b w:val="0"/>
          <w:bCs w:val="0"/>
          <w:color w:val="000000"/>
          <w:kern w:val="2"/>
          <w:sz w:val="32"/>
          <w:szCs w:val="32"/>
          <w:highlight w:val="none"/>
          <w:lang w:val="en-US" w:eastAsia="zh-CN"/>
        </w:rPr>
      </w:pPr>
      <w:r>
        <w:rPr>
          <w:rFonts w:hint="eastAsia" w:ascii="仿宋_GB2312" w:hAnsi="Calibri" w:eastAsia="仿宋_GB2312"/>
          <w:kern w:val="2"/>
          <w:sz w:val="32"/>
          <w:szCs w:val="32"/>
          <w:highlight w:val="none"/>
          <w:lang w:val="en-US" w:eastAsia="zh-CN"/>
        </w:rPr>
        <w:t>项目建设规模及内容：总规划用地范围约1,030.00亩，其中用于建设用地约642.24亩，农用地343.85亩，其他土地(内陆滩涂)44.88亩。项目挖土石方2,509,304.81m³，回填土石方1,926,342.95m³，新建雨污工程2,256.00m，新建道路2,886.00m。主要说明</w:t>
      </w:r>
      <w:r>
        <w:rPr>
          <w:rFonts w:hint="eastAsia" w:ascii="仿宋_GB2312" w:hAnsi="Calibri" w:eastAsia="仿宋_GB2312" w:cs="宋体"/>
          <w:b w:val="0"/>
          <w:bCs w:val="0"/>
          <w:color w:val="000000"/>
          <w:kern w:val="2"/>
          <w:sz w:val="32"/>
          <w:szCs w:val="32"/>
          <w:highlight w:val="none"/>
          <w:lang w:val="en-US"/>
        </w:rPr>
        <w:t>项目</w:t>
      </w:r>
      <w:r>
        <w:rPr>
          <w:rFonts w:hint="eastAsia" w:ascii="仿宋_GB2312" w:hAnsi="Calibri" w:eastAsia="仿宋_GB2312" w:cs="宋体"/>
          <w:b w:val="0"/>
          <w:bCs w:val="0"/>
          <w:color w:val="000000"/>
          <w:kern w:val="2"/>
          <w:sz w:val="32"/>
          <w:szCs w:val="32"/>
          <w:highlight w:val="none"/>
          <w:lang w:val="en-US" w:eastAsia="zh-CN"/>
        </w:rPr>
        <w:t>建设状态。</w:t>
      </w:r>
    </w:p>
    <w:p>
      <w:pPr>
        <w:pStyle w:val="6"/>
        <w:numPr>
          <w:ilvl w:val="0"/>
          <w:numId w:val="0"/>
        </w:numPr>
        <w:spacing w:before="0" w:beforeLines="0" w:after="0" w:afterLines="0" w:line="360" w:lineRule="auto"/>
        <w:ind w:left="0" w:firstLine="643" w:firstLineChars="200"/>
        <w:outlineLvl w:val="1"/>
        <w:rPr>
          <w:rFonts w:hint="eastAsia" w:ascii="仿宋_GB2312" w:hAnsi="Calibri" w:eastAsia="仿宋_GB2312" w:cs="宋体"/>
          <w:b/>
          <w:bCs/>
          <w:kern w:val="2"/>
          <w:sz w:val="32"/>
          <w:szCs w:val="32"/>
          <w:highlight w:val="none"/>
          <w:lang w:val="en-US" w:eastAsia="zh-CN"/>
        </w:rPr>
      </w:pPr>
      <w:bookmarkStart w:id="96" w:name="_Toc9616"/>
      <w:bookmarkStart w:id="97" w:name="_Toc22275"/>
      <w:r>
        <w:rPr>
          <w:rFonts w:hint="eastAsia" w:ascii="仿宋_GB2312" w:hAnsi="Calibri" w:eastAsia="仿宋_GB2312" w:cs="宋体"/>
          <w:b/>
          <w:bCs/>
          <w:kern w:val="2"/>
          <w:sz w:val="32"/>
          <w:szCs w:val="32"/>
          <w:highlight w:val="none"/>
          <w:lang w:val="en-US" w:eastAsia="zh-CN"/>
        </w:rPr>
        <w:t>（四）债券资金用途</w:t>
      </w:r>
      <w:bookmarkEnd w:id="96"/>
      <w:bookmarkEnd w:id="97"/>
    </w:p>
    <w:p>
      <w:pPr>
        <w:numPr>
          <w:ilvl w:val="0"/>
          <w:numId w:val="0"/>
        </w:numPr>
        <w:adjustRightInd w:val="0"/>
        <w:snapToGrid w:val="0"/>
        <w:spacing w:beforeLines="0" w:afterLines="0" w:line="360" w:lineRule="auto"/>
        <w:ind w:firstLine="640" w:firstLineChars="200"/>
        <w:jc w:val="left"/>
        <w:rPr>
          <w:rFonts w:hint="eastAsia" w:ascii="仿宋_GB2312" w:hAnsi="仿宋_GB2312" w:eastAsia="仿宋_GB2312" w:cs="仿宋_GB2312"/>
          <w:b w:val="0"/>
          <w:bCs w:val="0"/>
          <w:kern w:val="0"/>
          <w:sz w:val="32"/>
          <w:szCs w:val="32"/>
          <w:highlight w:val="none"/>
          <w:lang w:val="en-US" w:eastAsia="zh-CN"/>
        </w:rPr>
      </w:pPr>
      <w:r>
        <w:rPr>
          <w:rFonts w:hint="eastAsia" w:ascii="仿宋_GB2312" w:hAnsi="仿宋_GB2312" w:eastAsia="仿宋_GB2312" w:cs="仿宋_GB2312"/>
          <w:b w:val="0"/>
          <w:bCs w:val="0"/>
          <w:kern w:val="0"/>
          <w:sz w:val="32"/>
          <w:szCs w:val="32"/>
          <w:highlight w:val="none"/>
          <w:lang w:val="en-US" w:eastAsia="zh-CN"/>
        </w:rPr>
        <w:t>以前年度债券资金用款金额34,876.00万元，2024年拟发行政府专项债券15,100.00万元，其中本次拟发行5,000.00万元，主要用于市政配套基础设施5,000.00万元。</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6：</w:t>
      </w:r>
      <w:r>
        <w:rPr>
          <w:rFonts w:hint="eastAsia" w:ascii="仿宋_GB2312" w:hAnsi="仿宋_GB2312" w:eastAsia="仿宋_GB2312" w:cs="仿宋_GB2312"/>
          <w:sz w:val="32"/>
          <w:szCs w:val="32"/>
          <w:highlight w:val="none"/>
        </w:rPr>
        <w:t>项目</w:t>
      </w:r>
      <w:r>
        <w:rPr>
          <w:rFonts w:hint="eastAsia" w:cs="仿宋_GB2312"/>
          <w:sz w:val="32"/>
          <w:szCs w:val="32"/>
          <w:highlight w:val="none"/>
          <w:lang w:val="en-US" w:eastAsia="zh-CN"/>
        </w:rPr>
        <w:t>用款计划</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单位：万元</w:t>
      </w:r>
      <w:r>
        <w:rPr>
          <w:rFonts w:hint="eastAsia" w:ascii="仿宋_GB2312" w:hAnsi="仿宋_GB2312" w:eastAsia="仿宋_GB2312" w:cs="仿宋_GB2312"/>
          <w:sz w:val="32"/>
          <w:szCs w:val="32"/>
          <w:highlight w:val="none"/>
          <w:lang w:eastAsia="zh-CN"/>
        </w:rPr>
        <w:t>）</w:t>
      </w:r>
    </w:p>
    <w:tbl>
      <w:tblPr>
        <w:tblStyle w:val="13"/>
        <w:tblW w:w="10171" w:type="dxa"/>
        <w:jc w:val="center"/>
        <w:tblLayout w:type="fixed"/>
        <w:tblCellMar>
          <w:top w:w="0" w:type="dxa"/>
          <w:left w:w="0" w:type="dxa"/>
          <w:bottom w:w="0" w:type="dxa"/>
          <w:right w:w="0" w:type="dxa"/>
        </w:tblCellMar>
      </w:tblPr>
      <w:tblGrid>
        <w:gridCol w:w="1160"/>
        <w:gridCol w:w="1134"/>
        <w:gridCol w:w="996"/>
        <w:gridCol w:w="892"/>
        <w:gridCol w:w="943"/>
        <w:gridCol w:w="943"/>
        <w:gridCol w:w="925"/>
        <w:gridCol w:w="875"/>
        <w:gridCol w:w="976"/>
        <w:gridCol w:w="669"/>
        <w:gridCol w:w="658"/>
      </w:tblGrid>
      <w:tr>
        <w:tblPrEx>
          <w:tblCellMar>
            <w:top w:w="0" w:type="dxa"/>
            <w:left w:w="0" w:type="dxa"/>
            <w:bottom w:w="0" w:type="dxa"/>
            <w:right w:w="0" w:type="dxa"/>
          </w:tblCellMar>
        </w:tblPrEx>
        <w:trPr>
          <w:trHeight w:val="295" w:hRule="atLeast"/>
          <w:jc w:val="center"/>
        </w:trPr>
        <w:tc>
          <w:tcPr>
            <w:tcW w:w="116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项目总投资</w:t>
            </w:r>
          </w:p>
        </w:tc>
        <w:tc>
          <w:tcPr>
            <w:tcW w:w="1134"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以前年度用款金额</w:t>
            </w:r>
          </w:p>
        </w:tc>
        <w:tc>
          <w:tcPr>
            <w:tcW w:w="7219"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textAlignment w:val="center"/>
              <w:rPr>
                <w:rFonts w:hint="eastAsia" w:ascii="仿宋" w:hAnsi="仿宋" w:eastAsia="仿宋" w:cs="仿宋"/>
                <w:sz w:val="21"/>
                <w:szCs w:val="21"/>
              </w:rPr>
            </w:pPr>
            <w:r>
              <w:rPr>
                <w:rFonts w:hint="eastAsia" w:ascii="仿宋" w:hAnsi="仿宋" w:eastAsia="仿宋" w:cs="仿宋"/>
                <w:sz w:val="21"/>
                <w:szCs w:val="21"/>
                <w:lang w:bidi="ar"/>
              </w:rPr>
              <w:t>发行当年202</w:t>
            </w:r>
            <w:r>
              <w:rPr>
                <w:rFonts w:hint="eastAsia" w:ascii="仿宋" w:hAnsi="仿宋" w:cs="仿宋"/>
                <w:sz w:val="21"/>
                <w:szCs w:val="21"/>
                <w:lang w:val="en-US" w:eastAsia="zh-CN" w:bidi="ar"/>
              </w:rPr>
              <w:t>4</w:t>
            </w:r>
            <w:r>
              <w:rPr>
                <w:rFonts w:hint="eastAsia" w:ascii="仿宋" w:hAnsi="仿宋" w:eastAsia="仿宋" w:cs="仿宋"/>
                <w:sz w:val="21"/>
                <w:szCs w:val="21"/>
                <w:lang w:bidi="ar"/>
              </w:rPr>
              <w:t>年用款计划</w:t>
            </w:r>
          </w:p>
        </w:tc>
        <w:tc>
          <w:tcPr>
            <w:tcW w:w="658"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以后年度计划用款金额</w:t>
            </w:r>
          </w:p>
        </w:tc>
      </w:tr>
      <w:tr>
        <w:tblPrEx>
          <w:tblCellMar>
            <w:top w:w="0" w:type="dxa"/>
            <w:left w:w="0" w:type="dxa"/>
            <w:bottom w:w="0" w:type="dxa"/>
            <w:right w:w="0" w:type="dxa"/>
          </w:tblCellMar>
        </w:tblPrEx>
        <w:trPr>
          <w:trHeight w:val="838" w:hRule="atLeast"/>
          <w:jc w:val="center"/>
        </w:trPr>
        <w:tc>
          <w:tcPr>
            <w:tcW w:w="116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sz w:val="21"/>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sz w:val="21"/>
                <w:szCs w:val="21"/>
              </w:rPr>
            </w:pPr>
          </w:p>
        </w:tc>
        <w:tc>
          <w:tcPr>
            <w:tcW w:w="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一季度用款金额</w:t>
            </w:r>
          </w:p>
        </w:tc>
        <w:tc>
          <w:tcPr>
            <w:tcW w:w="8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其中：</w:t>
            </w:r>
            <w:r>
              <w:rPr>
                <w:rFonts w:hint="eastAsia" w:ascii="仿宋" w:hAnsi="仿宋" w:cs="仿宋"/>
                <w:sz w:val="21"/>
                <w:szCs w:val="21"/>
                <w:lang w:val="en-US" w:eastAsia="zh-CN" w:bidi="ar"/>
              </w:rPr>
              <w:t>本次</w:t>
            </w:r>
            <w:r>
              <w:rPr>
                <w:rFonts w:hint="eastAsia" w:ascii="仿宋" w:hAnsi="仿宋" w:eastAsia="仿宋" w:cs="仿宋"/>
                <w:sz w:val="21"/>
                <w:szCs w:val="21"/>
                <w:lang w:bidi="ar"/>
              </w:rPr>
              <w:t>专项债券使用金额</w:t>
            </w:r>
          </w:p>
        </w:tc>
        <w:tc>
          <w:tcPr>
            <w:tcW w:w="9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二季度用款金额</w:t>
            </w:r>
          </w:p>
        </w:tc>
        <w:tc>
          <w:tcPr>
            <w:tcW w:w="9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其中：</w:t>
            </w:r>
            <w:r>
              <w:rPr>
                <w:rFonts w:hint="eastAsia" w:ascii="仿宋" w:hAnsi="仿宋" w:cs="仿宋"/>
                <w:sz w:val="21"/>
                <w:szCs w:val="21"/>
                <w:lang w:val="en-US" w:eastAsia="zh-CN" w:bidi="ar"/>
              </w:rPr>
              <w:t>本次</w:t>
            </w:r>
            <w:r>
              <w:rPr>
                <w:rFonts w:hint="eastAsia" w:ascii="仿宋" w:hAnsi="仿宋" w:eastAsia="仿宋" w:cs="仿宋"/>
                <w:sz w:val="21"/>
                <w:szCs w:val="21"/>
                <w:lang w:bidi="ar"/>
              </w:rPr>
              <w:t>专项债券使用金额</w:t>
            </w:r>
          </w:p>
        </w:tc>
        <w:tc>
          <w:tcPr>
            <w:tcW w:w="9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三季度用款金额</w:t>
            </w:r>
          </w:p>
        </w:tc>
        <w:tc>
          <w:tcPr>
            <w:tcW w:w="8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其中：</w:t>
            </w:r>
            <w:r>
              <w:rPr>
                <w:rFonts w:hint="eastAsia" w:ascii="仿宋" w:hAnsi="仿宋" w:cs="仿宋"/>
                <w:sz w:val="21"/>
                <w:szCs w:val="21"/>
                <w:lang w:val="en-US" w:eastAsia="zh-CN" w:bidi="ar"/>
              </w:rPr>
              <w:t>本次</w:t>
            </w:r>
            <w:r>
              <w:rPr>
                <w:rFonts w:hint="eastAsia" w:ascii="仿宋" w:hAnsi="仿宋" w:eastAsia="仿宋" w:cs="仿宋"/>
                <w:sz w:val="21"/>
                <w:szCs w:val="21"/>
                <w:lang w:bidi="ar"/>
              </w:rPr>
              <w:t>专项债券使用金额</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四季度用款金额</w:t>
            </w:r>
          </w:p>
        </w:tc>
        <w:tc>
          <w:tcPr>
            <w:tcW w:w="6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仿宋" w:hAnsi="仿宋" w:eastAsia="仿宋" w:cs="仿宋"/>
                <w:sz w:val="21"/>
                <w:szCs w:val="21"/>
              </w:rPr>
            </w:pPr>
            <w:r>
              <w:rPr>
                <w:rFonts w:hint="eastAsia" w:ascii="仿宋" w:hAnsi="仿宋" w:eastAsia="仿宋" w:cs="仿宋"/>
                <w:sz w:val="21"/>
                <w:szCs w:val="21"/>
                <w:lang w:bidi="ar"/>
              </w:rPr>
              <w:t>其中：</w:t>
            </w:r>
            <w:r>
              <w:rPr>
                <w:rFonts w:hint="eastAsia" w:ascii="仿宋" w:hAnsi="仿宋" w:cs="仿宋"/>
                <w:sz w:val="21"/>
                <w:szCs w:val="21"/>
                <w:lang w:val="en-US" w:eastAsia="zh-CN" w:bidi="ar"/>
              </w:rPr>
              <w:t>本次</w:t>
            </w:r>
            <w:r>
              <w:rPr>
                <w:rFonts w:hint="eastAsia" w:ascii="仿宋" w:hAnsi="仿宋" w:eastAsia="仿宋" w:cs="仿宋"/>
                <w:sz w:val="21"/>
                <w:szCs w:val="21"/>
                <w:lang w:bidi="ar"/>
              </w:rPr>
              <w:t>专项债券使用金额</w:t>
            </w:r>
          </w:p>
        </w:tc>
        <w:tc>
          <w:tcPr>
            <w:tcW w:w="658"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 w:hAnsi="仿宋" w:eastAsia="仿宋" w:cs="仿宋"/>
                <w:sz w:val="21"/>
                <w:szCs w:val="21"/>
              </w:rPr>
            </w:pPr>
          </w:p>
        </w:tc>
      </w:tr>
      <w:tr>
        <w:tblPrEx>
          <w:tblCellMar>
            <w:top w:w="0" w:type="dxa"/>
            <w:left w:w="0" w:type="dxa"/>
            <w:bottom w:w="0" w:type="dxa"/>
            <w:right w:w="0" w:type="dxa"/>
          </w:tblCellMar>
        </w:tblPrEx>
        <w:trPr>
          <w:trHeight w:val="910" w:hRule="atLeast"/>
          <w:jc w:val="center"/>
        </w:trPr>
        <w:tc>
          <w:tcPr>
            <w:tcW w:w="11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62,487.00</w:t>
            </w:r>
          </w:p>
        </w:tc>
        <w:tc>
          <w:tcPr>
            <w:tcW w:w="11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41,876.00</w:t>
            </w:r>
          </w:p>
        </w:tc>
        <w:tc>
          <w:tcPr>
            <w:tcW w:w="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6,000.00</w:t>
            </w:r>
          </w:p>
        </w:tc>
        <w:tc>
          <w:tcPr>
            <w:tcW w:w="8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default" w:ascii="仿宋" w:hAnsi="仿宋" w:eastAsia="仿宋" w:cs="仿宋"/>
                <w:sz w:val="21"/>
                <w:szCs w:val="21"/>
                <w:lang w:val="en-US" w:eastAsia="zh-CN" w:bidi="ar"/>
              </w:rPr>
            </w:pPr>
            <w:r>
              <w:rPr>
                <w:rFonts w:hint="eastAsia" w:ascii="仿宋" w:hAnsi="仿宋" w:eastAsia="仿宋" w:cs="仿宋"/>
                <w:i w:val="0"/>
                <w:iCs w:val="0"/>
                <w:color w:val="000000"/>
                <w:kern w:val="0"/>
                <w:sz w:val="21"/>
                <w:szCs w:val="21"/>
                <w:u w:val="none"/>
                <w:lang w:val="en-US" w:eastAsia="zh-CN" w:bidi="ar"/>
              </w:rPr>
              <w:t>5,000.00</w:t>
            </w:r>
          </w:p>
        </w:tc>
        <w:tc>
          <w:tcPr>
            <w:tcW w:w="9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6,000.00</w:t>
            </w:r>
          </w:p>
        </w:tc>
        <w:tc>
          <w:tcPr>
            <w:tcW w:w="9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0.00</w:t>
            </w:r>
          </w:p>
        </w:tc>
        <w:tc>
          <w:tcPr>
            <w:tcW w:w="9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6,000.00</w:t>
            </w:r>
          </w:p>
        </w:tc>
        <w:tc>
          <w:tcPr>
            <w:tcW w:w="8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eastAsia="仿宋" w:cs="仿宋"/>
                <w:i w:val="0"/>
                <w:iCs w:val="0"/>
                <w:color w:val="000000"/>
                <w:kern w:val="0"/>
                <w:sz w:val="21"/>
                <w:szCs w:val="21"/>
                <w:u w:val="none"/>
                <w:lang w:val="en-US" w:eastAsia="zh-CN" w:bidi="ar"/>
              </w:rPr>
              <w:t>0.00</w:t>
            </w:r>
          </w:p>
        </w:tc>
        <w:tc>
          <w:tcPr>
            <w:tcW w:w="9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default" w:ascii="仿宋" w:hAnsi="仿宋" w:eastAsia="仿宋" w:cs="仿宋"/>
                <w:sz w:val="21"/>
                <w:szCs w:val="21"/>
                <w:lang w:val="en-US" w:eastAsia="zh-CN" w:bidi="ar"/>
              </w:rPr>
            </w:pPr>
            <w:r>
              <w:rPr>
                <w:rFonts w:hint="eastAsia" w:ascii="仿宋" w:hAnsi="仿宋" w:eastAsia="仿宋" w:cs="仿宋"/>
                <w:i w:val="0"/>
                <w:iCs w:val="0"/>
                <w:color w:val="000000"/>
                <w:kern w:val="0"/>
                <w:sz w:val="21"/>
                <w:szCs w:val="21"/>
                <w:u w:val="none"/>
                <w:lang w:val="en-US" w:eastAsia="zh-CN" w:bidi="ar"/>
              </w:rPr>
              <w:t>2,611.00</w:t>
            </w:r>
          </w:p>
        </w:tc>
        <w:tc>
          <w:tcPr>
            <w:tcW w:w="66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 w:hAnsi="仿宋" w:eastAsia="仿宋" w:cs="仿宋"/>
                <w:sz w:val="21"/>
                <w:szCs w:val="21"/>
                <w:lang w:bidi="ar"/>
              </w:rPr>
            </w:pPr>
            <w:r>
              <w:rPr>
                <w:rFonts w:hint="eastAsia" w:ascii="仿宋" w:hAnsi="仿宋" w:cs="仿宋"/>
                <w:i w:val="0"/>
                <w:iCs w:val="0"/>
                <w:color w:val="000000"/>
                <w:kern w:val="0"/>
                <w:sz w:val="21"/>
                <w:szCs w:val="21"/>
                <w:u w:val="none"/>
                <w:lang w:val="en-US" w:eastAsia="zh-CN" w:bidi="ar"/>
              </w:rPr>
              <w:t>0</w:t>
            </w:r>
            <w:r>
              <w:rPr>
                <w:rFonts w:hint="eastAsia" w:ascii="仿宋" w:hAnsi="仿宋" w:eastAsia="仿宋" w:cs="仿宋"/>
                <w:i w:val="0"/>
                <w:iCs w:val="0"/>
                <w:color w:val="000000"/>
                <w:kern w:val="0"/>
                <w:sz w:val="21"/>
                <w:szCs w:val="21"/>
                <w:u w:val="none"/>
                <w:lang w:val="en-US" w:eastAsia="zh-CN" w:bidi="ar"/>
              </w:rPr>
              <w:t>.00</w:t>
            </w:r>
          </w:p>
        </w:tc>
        <w:tc>
          <w:tcPr>
            <w:tcW w:w="6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both"/>
              <w:textAlignment w:val="center"/>
              <w:rPr>
                <w:rFonts w:hint="eastAsia" w:ascii="仿宋" w:hAnsi="仿宋" w:eastAsia="仿宋" w:cs="仿宋"/>
                <w:sz w:val="21"/>
                <w:szCs w:val="21"/>
                <w:lang w:bidi="ar"/>
              </w:rPr>
            </w:pPr>
          </w:p>
        </w:tc>
      </w:tr>
    </w:tbl>
    <w:p>
      <w:pPr>
        <w:pStyle w:val="3"/>
        <w:adjustRightInd w:val="0"/>
        <w:snapToGrid w:val="0"/>
        <w:spacing w:beforeLines="0" w:afterLines="0"/>
        <w:ind w:firstLine="0" w:firstLineChars="0"/>
        <w:rPr>
          <w:rFonts w:hint="eastAsia" w:ascii="黑体" w:hAnsi="黑体" w:eastAsia="黑体" w:cs="黑体"/>
          <w:kern w:val="0"/>
          <w:sz w:val="32"/>
          <w:szCs w:val="32"/>
        </w:rPr>
      </w:pPr>
      <w:bookmarkStart w:id="98" w:name="_Toc11977"/>
      <w:bookmarkStart w:id="99" w:name="_Toc4078"/>
      <w:bookmarkStart w:id="100" w:name="_Toc15207"/>
      <w:bookmarkStart w:id="101" w:name="_Toc28900"/>
      <w:bookmarkStart w:id="102" w:name="_Toc28514"/>
      <w:bookmarkStart w:id="103" w:name="_Toc10240"/>
      <w:bookmarkStart w:id="104" w:name="_Toc16021"/>
      <w:bookmarkStart w:id="105" w:name="_Toc26587"/>
      <w:bookmarkStart w:id="106" w:name="_Toc18304"/>
      <w:bookmarkStart w:id="107" w:name="_Toc12886"/>
      <w:r>
        <w:rPr>
          <w:rFonts w:hint="eastAsia" w:ascii="黑体" w:hAnsi="黑体" w:eastAsia="黑体" w:cs="黑体"/>
          <w:kern w:val="0"/>
          <w:sz w:val="32"/>
          <w:szCs w:val="32"/>
        </w:rPr>
        <w:t>四、项目</w:t>
      </w:r>
      <w:r>
        <w:rPr>
          <w:rFonts w:hint="eastAsia" w:ascii="黑体" w:hAnsi="黑体" w:eastAsia="黑体" w:cs="黑体"/>
          <w:kern w:val="0"/>
          <w:sz w:val="32"/>
          <w:szCs w:val="32"/>
          <w:lang w:eastAsia="zh-CN"/>
        </w:rPr>
        <w:t>收益与</w:t>
      </w:r>
      <w:r>
        <w:rPr>
          <w:rFonts w:hint="eastAsia" w:ascii="黑体" w:hAnsi="黑体" w:eastAsia="黑体" w:cs="黑体"/>
          <w:kern w:val="0"/>
          <w:sz w:val="32"/>
          <w:szCs w:val="32"/>
        </w:rPr>
        <w:t>融资平衡情况</w:t>
      </w:r>
      <w:bookmarkEnd w:id="98"/>
      <w:bookmarkEnd w:id="99"/>
      <w:bookmarkEnd w:id="100"/>
      <w:bookmarkEnd w:id="101"/>
      <w:bookmarkEnd w:id="102"/>
      <w:bookmarkEnd w:id="103"/>
      <w:bookmarkEnd w:id="104"/>
      <w:bookmarkEnd w:id="105"/>
      <w:bookmarkEnd w:id="106"/>
      <w:bookmarkEnd w:id="107"/>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bCs/>
          <w:color w:val="000000"/>
          <w:kern w:val="0"/>
          <w:sz w:val="32"/>
          <w:szCs w:val="32"/>
        </w:rPr>
      </w:pPr>
      <w:bookmarkStart w:id="108" w:name="_Toc18664"/>
      <w:bookmarkStart w:id="109" w:name="_Toc8303"/>
      <w:bookmarkStart w:id="110" w:name="_Toc32020"/>
      <w:bookmarkStart w:id="111" w:name="_Toc20398"/>
      <w:r>
        <w:rPr>
          <w:rFonts w:hint="eastAsia" w:ascii="仿宋_GB2312" w:hAnsi="仿宋_GB2312" w:eastAsia="仿宋_GB2312" w:cs="仿宋_GB2312"/>
          <w:b w:val="0"/>
          <w:bCs w:val="0"/>
          <w:color w:val="000000"/>
          <w:sz w:val="32"/>
          <w:szCs w:val="32"/>
          <w:lang w:eastAsia="zh-CN"/>
        </w:rPr>
        <w:t>项目资金计划由申请政府债券资金和财政拨款解决，其中申请政府债券为49,976.00万元，剩余的12,511.00万元由当地财政资金统筹解决。</w:t>
      </w:r>
    </w:p>
    <w:p>
      <w:pPr>
        <w:widowControl/>
        <w:numPr>
          <w:ilvl w:val="0"/>
          <w:numId w:val="0"/>
        </w:numPr>
        <w:adjustRightInd w:val="0"/>
        <w:snapToGrid w:val="0"/>
        <w:spacing w:beforeLines="0" w:afterLines="0" w:line="360" w:lineRule="auto"/>
        <w:ind w:left="0" w:leftChars="0" w:firstLine="643" w:firstLineChars="200"/>
        <w:textAlignment w:val="auto"/>
        <w:outlineLvl w:val="1"/>
        <w:rPr>
          <w:rFonts w:hint="eastAsia" w:ascii="仿宋_GB2312" w:hAnsi="仿宋_GB2312" w:eastAsia="仿宋_GB2312" w:cs="仿宋_GB2312"/>
          <w:b/>
          <w:bCs/>
          <w:color w:val="000000"/>
          <w:kern w:val="0"/>
          <w:sz w:val="32"/>
          <w:szCs w:val="32"/>
        </w:rPr>
      </w:pPr>
      <w:bookmarkStart w:id="112" w:name="_Toc7445"/>
      <w:bookmarkStart w:id="113" w:name="_Toc19038"/>
      <w:r>
        <w:rPr>
          <w:rFonts w:hint="eastAsia" w:ascii="仿宋_GB2312" w:hAnsi="仿宋_GB2312" w:eastAsia="仿宋_GB2312" w:cs="仿宋_GB2312"/>
          <w:b/>
          <w:bCs/>
          <w:color w:val="000000"/>
          <w:kern w:val="0"/>
          <w:sz w:val="32"/>
          <w:szCs w:val="32"/>
        </w:rPr>
        <w:t>（一）项目</w:t>
      </w:r>
      <w:r>
        <w:rPr>
          <w:rFonts w:hint="eastAsia" w:ascii="仿宋_GB2312" w:hAnsi="仿宋_GB2312" w:eastAsia="仿宋_GB2312" w:cs="仿宋_GB2312"/>
          <w:b/>
          <w:bCs/>
          <w:color w:val="000000"/>
          <w:kern w:val="0"/>
          <w:sz w:val="32"/>
          <w:szCs w:val="32"/>
          <w:lang w:eastAsia="zh-CN"/>
        </w:rPr>
        <w:t>预期成本</w:t>
      </w:r>
      <w:r>
        <w:rPr>
          <w:rFonts w:hint="eastAsia" w:ascii="仿宋_GB2312" w:hAnsi="仿宋_GB2312" w:eastAsia="仿宋_GB2312" w:cs="仿宋_GB2312"/>
          <w:b/>
          <w:bCs/>
          <w:color w:val="000000"/>
          <w:kern w:val="0"/>
          <w:sz w:val="32"/>
          <w:szCs w:val="32"/>
        </w:rPr>
        <w:t>收益</w:t>
      </w:r>
      <w:bookmarkEnd w:id="108"/>
      <w:bookmarkEnd w:id="109"/>
      <w:bookmarkEnd w:id="110"/>
      <w:bookmarkEnd w:id="111"/>
      <w:bookmarkEnd w:id="112"/>
      <w:bookmarkEnd w:id="113"/>
    </w:p>
    <w:p>
      <w:pPr>
        <w:adjustRightInd w:val="0"/>
        <w:snapToGrid w:val="0"/>
        <w:spacing w:beforeLines="0" w:afterLines="0" w:line="360" w:lineRule="auto"/>
        <w:outlineLvl w:val="2"/>
        <w:rPr>
          <w:rFonts w:hint="eastAsia" w:ascii="仿宋_GB2312" w:hAnsi="仿宋_GB2312" w:eastAsia="仿宋_GB2312" w:cs="仿宋_GB2312"/>
          <w:b/>
          <w:bCs/>
          <w:kern w:val="0"/>
          <w:sz w:val="32"/>
          <w:szCs w:val="32"/>
          <w:lang w:val="en-US" w:eastAsia="zh-CN"/>
        </w:rPr>
      </w:pPr>
      <w:bookmarkStart w:id="114" w:name="_Toc23628"/>
      <w:r>
        <w:rPr>
          <w:rFonts w:hint="eastAsia" w:ascii="仿宋_GB2312" w:hAnsi="仿宋_GB2312" w:eastAsia="仿宋_GB2312" w:cs="仿宋_GB2312"/>
          <w:b/>
          <w:bCs/>
          <w:kern w:val="0"/>
          <w:sz w:val="32"/>
          <w:szCs w:val="32"/>
          <w:lang w:val="en-US" w:eastAsia="zh-CN"/>
        </w:rPr>
        <w:t>1.项目收入测算</w:t>
      </w:r>
      <w:bookmarkEnd w:id="114"/>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eastAsia="zh-CN"/>
        </w:rPr>
      </w:pPr>
      <w:r>
        <w:rPr>
          <w:rFonts w:hint="eastAsia" w:ascii="仿宋_GB2312" w:hAnsi="仿宋_GB2312" w:eastAsia="仿宋_GB2312" w:cs="仿宋_GB2312"/>
          <w:b w:val="0"/>
          <w:bCs w:val="0"/>
          <w:color w:val="000000"/>
          <w:sz w:val="32"/>
          <w:szCs w:val="32"/>
          <w:lang w:val="en-US" w:eastAsia="zh-CN"/>
        </w:rPr>
        <w:t>本项目收入主要来源于广告租赁收入、三面翻租赁收入及土地出让收入。</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（1）土地出让收入</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项目根据河源市源城区工业园管理委员会提供的数据，本工程项目包含了土地征收和房屋征收，完成后有一块土地可以出让，出让收入用于偿还专项债券本息。土地信息如下：</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7</w:t>
      </w:r>
      <w:r>
        <w:rPr>
          <w:rFonts w:hint="eastAsia" w:ascii="仿宋_GB2312" w:hAnsi="仿宋_GB2312" w:eastAsia="仿宋_GB2312" w:cs="仿宋_GB2312"/>
          <w:sz w:val="32"/>
          <w:szCs w:val="32"/>
          <w:highlight w:val="none"/>
        </w:rPr>
        <w:t>：项目土地信息情况表</w:t>
      </w:r>
    </w:p>
    <w:tbl>
      <w:tblPr>
        <w:tblStyle w:val="13"/>
        <w:tblW w:w="0" w:type="auto"/>
        <w:jc w:val="center"/>
        <w:tblLayout w:type="fixed"/>
        <w:tblCellMar>
          <w:top w:w="0" w:type="dxa"/>
          <w:left w:w="108" w:type="dxa"/>
          <w:bottom w:w="0" w:type="dxa"/>
          <w:right w:w="108" w:type="dxa"/>
        </w:tblCellMar>
      </w:tblPr>
      <w:tblGrid>
        <w:gridCol w:w="1312"/>
        <w:gridCol w:w="1098"/>
        <w:gridCol w:w="2011"/>
        <w:gridCol w:w="1356"/>
        <w:gridCol w:w="1270"/>
        <w:gridCol w:w="1234"/>
        <w:gridCol w:w="1180"/>
      </w:tblGrid>
      <w:tr>
        <w:tblPrEx>
          <w:tblCellMar>
            <w:top w:w="0" w:type="dxa"/>
            <w:left w:w="108" w:type="dxa"/>
            <w:bottom w:w="0" w:type="dxa"/>
            <w:right w:w="108" w:type="dxa"/>
          </w:tblCellMar>
        </w:tblPrEx>
        <w:trPr>
          <w:trHeight w:val="463" w:hRule="atLeast"/>
          <w:jc w:val="center"/>
        </w:trPr>
        <w:tc>
          <w:tcPr>
            <w:tcW w:w="1312"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项目名称</w:t>
            </w:r>
          </w:p>
        </w:tc>
        <w:tc>
          <w:tcPr>
            <w:tcW w:w="1098"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项目位置</w:t>
            </w:r>
          </w:p>
        </w:tc>
        <w:tc>
          <w:tcPr>
            <w:tcW w:w="2011" w:type="dxa"/>
            <w:vMerge w:val="restart"/>
            <w:tcBorders>
              <w:top w:val="single" w:color="auto" w:sz="4" w:space="0"/>
              <w:left w:val="single" w:color="auto" w:sz="4" w:space="0"/>
              <w:bottom w:val="single" w:color="auto" w:sz="4" w:space="0"/>
              <w:right w:val="single" w:color="auto" w:sz="4" w:space="0"/>
            </w:tcBorders>
            <w:noWrap w:val="0"/>
            <w:vAlign w:val="center"/>
          </w:tcPr>
          <w:p>
            <w:pPr>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四至范围</w:t>
            </w:r>
          </w:p>
        </w:tc>
        <w:tc>
          <w:tcPr>
            <w:tcW w:w="1356"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项目实施方</w:t>
            </w:r>
          </w:p>
        </w:tc>
        <w:tc>
          <w:tcPr>
            <w:tcW w:w="2504" w:type="dxa"/>
            <w:gridSpan w:val="2"/>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可出让用地面积（㎡）</w:t>
            </w:r>
          </w:p>
        </w:tc>
        <w:tc>
          <w:tcPr>
            <w:tcW w:w="1180" w:type="dxa"/>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黑体" w:hAnsi="黑体" w:eastAsia="黑体" w:cs="黑体"/>
                <w:b/>
                <w:bCs/>
                <w:sz w:val="21"/>
                <w:szCs w:val="21"/>
              </w:rPr>
            </w:pPr>
            <w:r>
              <w:rPr>
                <w:rFonts w:hint="eastAsia" w:ascii="黑体" w:hAnsi="黑体" w:eastAsia="黑体" w:cs="黑体"/>
                <w:b/>
                <w:bCs/>
                <w:sz w:val="21"/>
                <w:szCs w:val="21"/>
              </w:rPr>
              <w:t>计划出让时间</w:t>
            </w:r>
          </w:p>
        </w:tc>
      </w:tr>
      <w:tr>
        <w:tblPrEx>
          <w:tblCellMar>
            <w:top w:w="0" w:type="dxa"/>
            <w:left w:w="108" w:type="dxa"/>
            <w:bottom w:w="0" w:type="dxa"/>
            <w:right w:w="108" w:type="dxa"/>
          </w:tblCellMar>
        </w:tblPrEx>
        <w:trPr>
          <w:trHeight w:val="604" w:hRule="atLeast"/>
          <w:jc w:val="center"/>
        </w:trPr>
        <w:tc>
          <w:tcPr>
            <w:tcW w:w="1312"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textAlignment w:val="center"/>
              <w:rPr>
                <w:rFonts w:hint="eastAsia" w:ascii="仿宋" w:hAnsi="仿宋" w:eastAsia="仿宋" w:cs="仿宋"/>
                <w:sz w:val="21"/>
                <w:szCs w:val="21"/>
              </w:rPr>
            </w:pPr>
          </w:p>
        </w:tc>
        <w:tc>
          <w:tcPr>
            <w:tcW w:w="1098"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textAlignment w:val="center"/>
              <w:rPr>
                <w:rFonts w:hint="eastAsia" w:ascii="仿宋" w:hAnsi="仿宋" w:eastAsia="仿宋" w:cs="仿宋"/>
                <w:sz w:val="21"/>
                <w:szCs w:val="21"/>
              </w:rPr>
            </w:pPr>
          </w:p>
        </w:tc>
        <w:tc>
          <w:tcPr>
            <w:tcW w:w="2011"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textAlignment w:val="center"/>
              <w:rPr>
                <w:rFonts w:hint="eastAsia" w:ascii="仿宋" w:hAnsi="仿宋" w:eastAsia="仿宋" w:cs="仿宋"/>
                <w:sz w:val="21"/>
                <w:szCs w:val="21"/>
              </w:rPr>
            </w:pPr>
          </w:p>
        </w:tc>
        <w:tc>
          <w:tcPr>
            <w:tcW w:w="1356"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textAlignment w:val="center"/>
              <w:rPr>
                <w:rFonts w:hint="eastAsia" w:ascii="仿宋" w:hAnsi="仿宋" w:eastAsia="仿宋" w:cs="仿宋"/>
                <w:sz w:val="21"/>
                <w:szCs w:val="21"/>
              </w:rPr>
            </w:pPr>
          </w:p>
        </w:tc>
        <w:tc>
          <w:tcPr>
            <w:tcW w:w="1270"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仿宋" w:hAnsi="仿宋" w:eastAsia="仿宋" w:cs="仿宋"/>
                <w:b/>
                <w:bCs/>
                <w:sz w:val="21"/>
                <w:szCs w:val="21"/>
              </w:rPr>
            </w:pPr>
            <w:r>
              <w:rPr>
                <w:rFonts w:hint="eastAsia" w:ascii="仿宋" w:hAnsi="仿宋" w:eastAsia="仿宋" w:cs="仿宋"/>
                <w:b/>
                <w:bCs/>
                <w:sz w:val="21"/>
                <w:szCs w:val="21"/>
              </w:rPr>
              <w:t>商住面积（㎡）</w:t>
            </w:r>
          </w:p>
        </w:tc>
        <w:tc>
          <w:tcPr>
            <w:tcW w:w="1234" w:type="dxa"/>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textAlignment w:val="center"/>
              <w:rPr>
                <w:rFonts w:hint="eastAsia" w:ascii="仿宋" w:hAnsi="仿宋" w:eastAsia="仿宋" w:cs="仿宋"/>
                <w:b/>
                <w:bCs/>
                <w:sz w:val="21"/>
                <w:szCs w:val="21"/>
              </w:rPr>
            </w:pPr>
            <w:r>
              <w:rPr>
                <w:rFonts w:hint="eastAsia" w:ascii="仿宋" w:hAnsi="仿宋" w:eastAsia="仿宋" w:cs="仿宋"/>
                <w:b/>
                <w:bCs/>
                <w:sz w:val="21"/>
                <w:szCs w:val="21"/>
                <w:lang w:eastAsia="zh-CN"/>
              </w:rPr>
              <w:t>工业</w:t>
            </w:r>
            <w:r>
              <w:rPr>
                <w:rFonts w:hint="eastAsia" w:ascii="仿宋" w:hAnsi="仿宋" w:eastAsia="仿宋" w:cs="仿宋"/>
                <w:b/>
                <w:bCs/>
                <w:sz w:val="21"/>
                <w:szCs w:val="21"/>
              </w:rPr>
              <w:t>面积（㎡）</w:t>
            </w:r>
          </w:p>
        </w:tc>
        <w:tc>
          <w:tcPr>
            <w:tcW w:w="118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textAlignment w:val="center"/>
              <w:rPr>
                <w:rFonts w:hint="eastAsia" w:ascii="仿宋" w:hAnsi="仿宋" w:eastAsia="仿宋" w:cs="仿宋"/>
                <w:sz w:val="21"/>
                <w:szCs w:val="21"/>
              </w:rPr>
            </w:pPr>
          </w:p>
        </w:tc>
      </w:tr>
      <w:tr>
        <w:tblPrEx>
          <w:tblCellMar>
            <w:top w:w="0" w:type="dxa"/>
            <w:left w:w="108" w:type="dxa"/>
            <w:bottom w:w="0" w:type="dxa"/>
            <w:right w:w="108" w:type="dxa"/>
          </w:tblCellMar>
        </w:tblPrEx>
        <w:trPr>
          <w:trHeight w:val="888" w:hRule="atLeast"/>
          <w:jc w:val="center"/>
        </w:trPr>
        <w:tc>
          <w:tcPr>
            <w:tcW w:w="1312"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eastAsia="zh-CN" w:bidi="ar-SA"/>
              </w:rPr>
            </w:pPr>
            <w:r>
              <w:rPr>
                <w:rFonts w:hint="eastAsia" w:ascii="仿宋_GB2312" w:hAnsi="仿宋_GB2312" w:eastAsia="仿宋_GB2312" w:cs="仿宋_GB2312"/>
                <w:sz w:val="20"/>
                <w:szCs w:val="20"/>
                <w:lang w:eastAsia="zh-CN" w:bidi="ar-SA"/>
              </w:rPr>
              <w:t>源城区工业园第三期扩园项目</w:t>
            </w:r>
          </w:p>
        </w:tc>
        <w:tc>
          <w:tcPr>
            <w:tcW w:w="1098"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bidi="ar-SA"/>
              </w:rPr>
            </w:pPr>
            <w:r>
              <w:rPr>
                <w:rFonts w:hint="eastAsia" w:ascii="仿宋_GB2312" w:hAnsi="仿宋_GB2312" w:eastAsia="仿宋_GB2312" w:cs="仿宋_GB2312"/>
                <w:sz w:val="20"/>
                <w:szCs w:val="20"/>
                <w:lang w:bidi="ar-SA"/>
              </w:rPr>
              <w:t>河源市源城区</w:t>
            </w:r>
          </w:p>
        </w:tc>
        <w:tc>
          <w:tcPr>
            <w:tcW w:w="2011"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bidi="ar-SA"/>
              </w:rPr>
            </w:pPr>
            <w:r>
              <w:rPr>
                <w:rFonts w:hint="eastAsia" w:ascii="仿宋_GB2312" w:hAnsi="仿宋_GB2312" w:eastAsia="仿宋_GB2312" w:cs="仿宋_GB2312"/>
                <w:sz w:val="20"/>
                <w:szCs w:val="20"/>
                <w:lang w:bidi="ar-SA"/>
              </w:rPr>
              <w:t>埔前河以东、龙岭大道以南、粤赣高速以西、埔前大道以北</w:t>
            </w:r>
          </w:p>
        </w:tc>
        <w:tc>
          <w:tcPr>
            <w:tcW w:w="1356"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bidi="ar-SA"/>
              </w:rPr>
            </w:pPr>
            <w:r>
              <w:rPr>
                <w:rFonts w:hint="eastAsia" w:ascii="仿宋_GB2312" w:hAnsi="仿宋_GB2312" w:eastAsia="仿宋_GB2312" w:cs="仿宋_GB2312"/>
                <w:sz w:val="20"/>
                <w:szCs w:val="20"/>
                <w:lang w:bidi="ar-SA"/>
              </w:rPr>
              <w:t>河源市源城区工业园管理委员会</w:t>
            </w:r>
          </w:p>
        </w:tc>
        <w:tc>
          <w:tcPr>
            <w:tcW w:w="1270"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eastAsia="zh-CN" w:bidi="ar-SA"/>
              </w:rPr>
            </w:pPr>
            <w:r>
              <w:rPr>
                <w:rFonts w:hint="eastAsia" w:ascii="仿宋_GB2312" w:hAnsi="仿宋_GB2312" w:eastAsia="仿宋_GB2312" w:cs="仿宋_GB2312"/>
                <w:sz w:val="20"/>
                <w:szCs w:val="20"/>
                <w:lang w:bidi="ar-SA"/>
              </w:rPr>
              <w:t>450,241.03</w:t>
            </w:r>
          </w:p>
        </w:tc>
        <w:tc>
          <w:tcPr>
            <w:tcW w:w="1234"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bidi="ar-SA"/>
              </w:rPr>
            </w:pPr>
            <w:r>
              <w:rPr>
                <w:rFonts w:hint="eastAsia" w:ascii="仿宋_GB2312" w:hAnsi="仿宋_GB2312" w:eastAsia="仿宋_GB2312" w:cs="仿宋_GB2312"/>
                <w:sz w:val="20"/>
                <w:szCs w:val="20"/>
                <w:lang w:val="en-US" w:eastAsia="zh-CN" w:bidi="ar-SA"/>
              </w:rPr>
              <w:t>178,897.50</w:t>
            </w:r>
          </w:p>
        </w:tc>
        <w:tc>
          <w:tcPr>
            <w:tcW w:w="1180" w:type="dxa"/>
            <w:tcBorders>
              <w:top w:val="single" w:color="auto" w:sz="4" w:space="0"/>
              <w:left w:val="single" w:color="auto" w:sz="4" w:space="0"/>
              <w:bottom w:val="single" w:color="auto" w:sz="4" w:space="0"/>
              <w:right w:val="single" w:color="auto"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0"/>
                <w:szCs w:val="20"/>
                <w:lang w:bidi="ar-SA"/>
              </w:rPr>
            </w:pPr>
            <w:r>
              <w:rPr>
                <w:rFonts w:hint="eastAsia" w:ascii="仿宋_GB2312" w:hAnsi="仿宋_GB2312" w:eastAsia="仿宋_GB2312" w:cs="仿宋_GB2312"/>
                <w:sz w:val="20"/>
                <w:szCs w:val="20"/>
                <w:lang w:bidi="ar-SA"/>
              </w:rPr>
              <w:t>202</w:t>
            </w:r>
            <w:r>
              <w:rPr>
                <w:rFonts w:hint="eastAsia" w:ascii="仿宋_GB2312" w:hAnsi="仿宋_GB2312" w:eastAsia="仿宋_GB2312" w:cs="仿宋_GB2312"/>
                <w:sz w:val="20"/>
                <w:szCs w:val="20"/>
                <w:lang w:val="en-US" w:eastAsia="zh-CN" w:bidi="ar-SA"/>
              </w:rPr>
              <w:t>4</w:t>
            </w:r>
            <w:r>
              <w:rPr>
                <w:rFonts w:hint="eastAsia" w:ascii="仿宋_GB2312" w:hAnsi="仿宋_GB2312" w:eastAsia="仿宋_GB2312" w:cs="仿宋_GB2312"/>
                <w:sz w:val="20"/>
                <w:szCs w:val="20"/>
                <w:lang w:bidi="ar-SA"/>
              </w:rPr>
              <w:t>年-2036年</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1）土地市场情况</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根据河源市公共资源网上交易平台提供的土地出让信息，自2018年至今，选取河源市源城区综合开发商住用地地块3宗。本次评价参考河源市源城区3宗商住用地地块土地出让情况进行预测。具体如下表所示：</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8</w:t>
      </w:r>
      <w:r>
        <w:rPr>
          <w:rFonts w:hint="eastAsia" w:ascii="仿宋_GB2312" w:hAnsi="仿宋_GB2312" w:eastAsia="仿宋_GB2312" w:cs="仿宋_GB2312"/>
          <w:sz w:val="32"/>
          <w:szCs w:val="32"/>
          <w:highlight w:val="none"/>
        </w:rPr>
        <w:t>：项目周边土地出让情况表（商住）</w:t>
      </w:r>
    </w:p>
    <w:tbl>
      <w:tblPr>
        <w:tblStyle w:val="13"/>
        <w:tblW w:w="0" w:type="auto"/>
        <w:jc w:val="center"/>
        <w:tblLayout w:type="fixed"/>
        <w:tblCellMar>
          <w:top w:w="0" w:type="dxa"/>
          <w:left w:w="108" w:type="dxa"/>
          <w:bottom w:w="0" w:type="dxa"/>
          <w:right w:w="108" w:type="dxa"/>
        </w:tblCellMar>
      </w:tblPr>
      <w:tblGrid>
        <w:gridCol w:w="502"/>
        <w:gridCol w:w="1373"/>
        <w:gridCol w:w="1680"/>
        <w:gridCol w:w="1405"/>
        <w:gridCol w:w="1137"/>
        <w:gridCol w:w="1259"/>
        <w:gridCol w:w="1187"/>
        <w:gridCol w:w="693"/>
      </w:tblGrid>
      <w:tr>
        <w:tblPrEx>
          <w:tblCellMar>
            <w:top w:w="0" w:type="dxa"/>
            <w:left w:w="108" w:type="dxa"/>
            <w:bottom w:w="0" w:type="dxa"/>
            <w:right w:w="108" w:type="dxa"/>
          </w:tblCellMar>
        </w:tblPrEx>
        <w:trPr>
          <w:trHeight w:val="751" w:hRule="atLeast"/>
          <w:tblHeader/>
          <w:jc w:val="center"/>
        </w:trPr>
        <w:tc>
          <w:tcPr>
            <w:tcW w:w="502"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序号</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成交时间</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土地坐落</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土地面积（㎡）</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土地用途</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成交总价（万元）</w:t>
            </w:r>
          </w:p>
        </w:tc>
        <w:tc>
          <w:tcPr>
            <w:tcW w:w="1187"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地面地价（元/㎡）</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容积率</w:t>
            </w:r>
          </w:p>
        </w:tc>
      </w:tr>
      <w:tr>
        <w:tblPrEx>
          <w:tblCellMar>
            <w:top w:w="0" w:type="dxa"/>
            <w:left w:w="108" w:type="dxa"/>
            <w:bottom w:w="0" w:type="dxa"/>
            <w:right w:w="108" w:type="dxa"/>
          </w:tblCellMar>
        </w:tblPrEx>
        <w:trPr>
          <w:trHeight w:val="900" w:hRule="atLeast"/>
          <w:jc w:val="center"/>
        </w:trPr>
        <w:tc>
          <w:tcPr>
            <w:tcW w:w="502"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2020/12/24</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河源市源城区百子园大道西边、严子松路北边</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63,809.11</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住宅兼容商业</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22,333.19</w:t>
            </w:r>
          </w:p>
        </w:tc>
        <w:tc>
          <w:tcPr>
            <w:tcW w:w="118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3,500.00</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2.00</w:t>
            </w:r>
          </w:p>
        </w:tc>
      </w:tr>
      <w:tr>
        <w:tblPrEx>
          <w:tblCellMar>
            <w:top w:w="0" w:type="dxa"/>
            <w:left w:w="108" w:type="dxa"/>
            <w:bottom w:w="0" w:type="dxa"/>
            <w:right w:w="108" w:type="dxa"/>
          </w:tblCellMar>
        </w:tblPrEx>
        <w:trPr>
          <w:trHeight w:val="866" w:hRule="atLeast"/>
          <w:jc w:val="center"/>
        </w:trPr>
        <w:tc>
          <w:tcPr>
            <w:tcW w:w="502"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2020/11/4</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河源市源城区铁路东路（货场路）东面、迎客大道南边</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46,400.90</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住宅兼容商业</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17,632.34</w:t>
            </w:r>
          </w:p>
        </w:tc>
        <w:tc>
          <w:tcPr>
            <w:tcW w:w="118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3,800.00</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2.50</w:t>
            </w:r>
          </w:p>
        </w:tc>
      </w:tr>
      <w:tr>
        <w:tblPrEx>
          <w:tblCellMar>
            <w:top w:w="0" w:type="dxa"/>
            <w:left w:w="108" w:type="dxa"/>
            <w:bottom w:w="0" w:type="dxa"/>
            <w:right w:w="108" w:type="dxa"/>
          </w:tblCellMar>
        </w:tblPrEx>
        <w:trPr>
          <w:trHeight w:val="866" w:hRule="atLeast"/>
          <w:jc w:val="center"/>
        </w:trPr>
        <w:tc>
          <w:tcPr>
            <w:tcW w:w="502"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w:t>
            </w:r>
          </w:p>
        </w:tc>
        <w:tc>
          <w:tcPr>
            <w:tcW w:w="137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2018/6/8</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河源市粤赣高速公路西面、万绿湖大道南面</w:t>
            </w:r>
          </w:p>
        </w:tc>
        <w:tc>
          <w:tcPr>
            <w:tcW w:w="1405"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38,113.18</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住宅用地</w:t>
            </w:r>
          </w:p>
        </w:tc>
        <w:tc>
          <w:tcPr>
            <w:tcW w:w="1259"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16,229.80</w:t>
            </w:r>
          </w:p>
        </w:tc>
        <w:tc>
          <w:tcPr>
            <w:tcW w:w="1187"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4,258.31</w:t>
            </w:r>
          </w:p>
        </w:tc>
        <w:tc>
          <w:tcPr>
            <w:tcW w:w="693" w:type="dxa"/>
            <w:tcBorders>
              <w:top w:val="single" w:color="000000" w:sz="4" w:space="0"/>
              <w:left w:val="single" w:color="000000" w:sz="4" w:space="0"/>
              <w:bottom w:val="single" w:color="000000" w:sz="4" w:space="0"/>
              <w:right w:val="single" w:color="000000" w:sz="4" w:space="0"/>
            </w:tcBorders>
            <w:noWrap w:val="0"/>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1.80</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根据河源市公共资源网上交易平台提供的土地出让信息，自2019年至今，选取河源市源城区工业用地地块3宗。本次评价参考河源市源城区3宗工业用地地块土地出让情况进行预测。具体如下表所示：</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9</w:t>
      </w:r>
      <w:r>
        <w:rPr>
          <w:rFonts w:hint="eastAsia" w:ascii="仿宋_GB2312" w:hAnsi="仿宋_GB2312" w:eastAsia="仿宋_GB2312" w:cs="仿宋_GB2312"/>
          <w:sz w:val="32"/>
          <w:szCs w:val="32"/>
          <w:highlight w:val="none"/>
        </w:rPr>
        <w:t>：项目周边土地出让情况表（</w:t>
      </w:r>
      <w:r>
        <w:rPr>
          <w:rFonts w:hint="eastAsia" w:ascii="仿宋_GB2312" w:hAnsi="仿宋_GB2312" w:eastAsia="仿宋_GB2312" w:cs="仿宋_GB2312"/>
          <w:sz w:val="32"/>
          <w:szCs w:val="32"/>
          <w:highlight w:val="none"/>
          <w:lang w:eastAsia="zh-CN"/>
        </w:rPr>
        <w:t>工业</w:t>
      </w:r>
      <w:r>
        <w:rPr>
          <w:rFonts w:hint="eastAsia" w:ascii="仿宋_GB2312" w:hAnsi="仿宋_GB2312" w:eastAsia="仿宋_GB2312" w:cs="仿宋_GB2312"/>
          <w:sz w:val="32"/>
          <w:szCs w:val="32"/>
          <w:highlight w:val="none"/>
        </w:rPr>
        <w:t>）</w:t>
      </w:r>
    </w:p>
    <w:tbl>
      <w:tblPr>
        <w:tblStyle w:val="13"/>
        <w:tblW w:w="0" w:type="auto"/>
        <w:tblInd w:w="0" w:type="dxa"/>
        <w:tblLayout w:type="fixed"/>
        <w:tblCellMar>
          <w:top w:w="0" w:type="dxa"/>
          <w:left w:w="0" w:type="dxa"/>
          <w:bottom w:w="0" w:type="dxa"/>
          <w:right w:w="0" w:type="dxa"/>
        </w:tblCellMar>
      </w:tblPr>
      <w:tblGrid>
        <w:gridCol w:w="511"/>
        <w:gridCol w:w="1433"/>
        <w:gridCol w:w="1867"/>
        <w:gridCol w:w="1167"/>
        <w:gridCol w:w="933"/>
        <w:gridCol w:w="1123"/>
        <w:gridCol w:w="989"/>
        <w:gridCol w:w="1033"/>
      </w:tblGrid>
      <w:tr>
        <w:tblPrEx>
          <w:tblCellMar>
            <w:top w:w="0" w:type="dxa"/>
            <w:left w:w="0" w:type="dxa"/>
            <w:bottom w:w="0" w:type="dxa"/>
            <w:right w:w="0" w:type="dxa"/>
          </w:tblCellMar>
        </w:tblPrEx>
        <w:trPr>
          <w:trHeight w:val="450" w:hRule="atLeast"/>
          <w:tblHeader/>
        </w:trPr>
        <w:tc>
          <w:tcPr>
            <w:tcW w:w="5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bookmarkStart w:id="153" w:name="_GoBack" w:colFirst="0" w:colLast="7"/>
            <w:r>
              <w:rPr>
                <w:rFonts w:hint="eastAsia" w:ascii="黑体" w:hAnsi="黑体" w:eastAsia="黑体" w:cs="黑体"/>
                <w:b/>
                <w:bCs/>
                <w:sz w:val="21"/>
                <w:szCs w:val="21"/>
                <w:lang w:val="en-US" w:eastAsia="zh-CN"/>
              </w:rPr>
              <w:t>序号</w:t>
            </w:r>
          </w:p>
        </w:tc>
        <w:tc>
          <w:tcPr>
            <w:tcW w:w="1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成交时间</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土地坐落</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土地面积（㎡）</w:t>
            </w:r>
          </w:p>
        </w:tc>
        <w:tc>
          <w:tcPr>
            <w:tcW w:w="9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土地用途</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成交总价（万元）</w:t>
            </w:r>
          </w:p>
        </w:tc>
        <w:tc>
          <w:tcPr>
            <w:tcW w:w="9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地面价格（元/㎡）</w:t>
            </w:r>
          </w:p>
        </w:tc>
        <w:tc>
          <w:tcPr>
            <w:tcW w:w="10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容积率</w:t>
            </w:r>
          </w:p>
        </w:tc>
      </w:tr>
      <w:bookmarkEnd w:id="153"/>
      <w:tr>
        <w:tblPrEx>
          <w:tblCellMar>
            <w:top w:w="0" w:type="dxa"/>
            <w:left w:w="0" w:type="dxa"/>
            <w:bottom w:w="0" w:type="dxa"/>
            <w:right w:w="0" w:type="dxa"/>
          </w:tblCellMar>
        </w:tblPrEx>
        <w:trPr>
          <w:trHeight w:val="450" w:hRule="atLeast"/>
        </w:trPr>
        <w:tc>
          <w:tcPr>
            <w:tcW w:w="5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w:t>
            </w:r>
          </w:p>
        </w:tc>
        <w:tc>
          <w:tcPr>
            <w:tcW w:w="1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2020/7/23</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市高新区兴工大道东边、高新五路南边</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22,000.47</w:t>
            </w:r>
          </w:p>
        </w:tc>
        <w:tc>
          <w:tcPr>
            <w:tcW w:w="9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工业</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561.01</w:t>
            </w:r>
          </w:p>
        </w:tc>
        <w:tc>
          <w:tcPr>
            <w:tcW w:w="9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0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4.00</w:t>
            </w:r>
          </w:p>
        </w:tc>
      </w:tr>
      <w:tr>
        <w:tblPrEx>
          <w:tblCellMar>
            <w:top w:w="0" w:type="dxa"/>
            <w:left w:w="0" w:type="dxa"/>
            <w:bottom w:w="0" w:type="dxa"/>
            <w:right w:w="0" w:type="dxa"/>
          </w:tblCellMar>
        </w:tblPrEx>
        <w:trPr>
          <w:trHeight w:val="450" w:hRule="atLeast"/>
        </w:trPr>
        <w:tc>
          <w:tcPr>
            <w:tcW w:w="5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w:t>
            </w:r>
          </w:p>
        </w:tc>
        <w:tc>
          <w:tcPr>
            <w:tcW w:w="1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2020/1/21</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河源市源城区高埔岗纵二路以西</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15,000.00</w:t>
            </w:r>
          </w:p>
        </w:tc>
        <w:tc>
          <w:tcPr>
            <w:tcW w:w="9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工业</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382.50</w:t>
            </w:r>
          </w:p>
        </w:tc>
        <w:tc>
          <w:tcPr>
            <w:tcW w:w="9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0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1.80</w:t>
            </w:r>
          </w:p>
        </w:tc>
      </w:tr>
      <w:tr>
        <w:tblPrEx>
          <w:tblCellMar>
            <w:top w:w="0" w:type="dxa"/>
            <w:left w:w="0" w:type="dxa"/>
            <w:bottom w:w="0" w:type="dxa"/>
            <w:right w:w="0" w:type="dxa"/>
          </w:tblCellMar>
        </w:tblPrEx>
        <w:trPr>
          <w:trHeight w:val="450" w:hRule="atLeast"/>
        </w:trPr>
        <w:tc>
          <w:tcPr>
            <w:tcW w:w="5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w:t>
            </w:r>
          </w:p>
        </w:tc>
        <w:tc>
          <w:tcPr>
            <w:tcW w:w="14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2019/11/29</w:t>
            </w:r>
          </w:p>
        </w:tc>
        <w:tc>
          <w:tcPr>
            <w:tcW w:w="18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河源市源城区高埔岗七路以南,高埔岗纵二路以西</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15,082.00</w:t>
            </w:r>
          </w:p>
        </w:tc>
        <w:tc>
          <w:tcPr>
            <w:tcW w:w="9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工业</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384.59</w:t>
            </w:r>
          </w:p>
        </w:tc>
        <w:tc>
          <w:tcPr>
            <w:tcW w:w="98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0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1.80</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2）项目区土地出让价格及出让收入</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本项目土地出让价格参照上述3宗商住用地及3宗工业用地出让情况、当地基准地价和项目用地的实际情况进行预测，但由于中国土地交易网成交地价信息和实际情况偏低，所以在确定最终项目地块价格时按实际情况、土地储备地块所在地理位置及土地出让时间取不同权重计算确定。</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具体计算如下表：</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w:t>
      </w:r>
      <w:r>
        <w:rPr>
          <w:rFonts w:hint="eastAsia" w:cs="仿宋_GB2312"/>
          <w:sz w:val="32"/>
          <w:szCs w:val="32"/>
          <w:highlight w:val="none"/>
          <w:lang w:val="en-US" w:eastAsia="zh-CN"/>
        </w:rPr>
        <w:t>10</w:t>
      </w:r>
      <w:r>
        <w:rPr>
          <w:rFonts w:hint="eastAsia" w:ascii="仿宋_GB2312" w:hAnsi="仿宋_GB2312" w:eastAsia="仿宋_GB2312" w:cs="仿宋_GB2312"/>
          <w:sz w:val="32"/>
          <w:szCs w:val="32"/>
          <w:highlight w:val="none"/>
        </w:rPr>
        <w:t>：项目区域土地价格预测表（商住）</w:t>
      </w:r>
    </w:p>
    <w:tbl>
      <w:tblPr>
        <w:tblStyle w:val="13"/>
        <w:tblW w:w="0" w:type="auto"/>
        <w:tblInd w:w="0" w:type="dxa"/>
        <w:tblLayout w:type="fixed"/>
        <w:tblCellMar>
          <w:top w:w="0" w:type="dxa"/>
          <w:left w:w="0" w:type="dxa"/>
          <w:bottom w:w="0" w:type="dxa"/>
          <w:right w:w="0" w:type="dxa"/>
        </w:tblCellMar>
      </w:tblPr>
      <w:tblGrid>
        <w:gridCol w:w="583"/>
        <w:gridCol w:w="2205"/>
        <w:gridCol w:w="1510"/>
        <w:gridCol w:w="1154"/>
        <w:gridCol w:w="1216"/>
        <w:gridCol w:w="1266"/>
        <w:gridCol w:w="1117"/>
      </w:tblGrid>
      <w:tr>
        <w:tblPrEx>
          <w:tblCellMar>
            <w:top w:w="0" w:type="dxa"/>
            <w:left w:w="0" w:type="dxa"/>
            <w:bottom w:w="0" w:type="dxa"/>
            <w:right w:w="0" w:type="dxa"/>
          </w:tblCellMar>
        </w:tblPrEx>
        <w:trPr>
          <w:trHeight w:val="540" w:hRule="atLeast"/>
        </w:trPr>
        <w:tc>
          <w:tcPr>
            <w:tcW w:w="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项目</w:t>
            </w:r>
          </w:p>
        </w:tc>
        <w:tc>
          <w:tcPr>
            <w:tcW w:w="22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地块</w:t>
            </w:r>
          </w:p>
        </w:tc>
        <w:tc>
          <w:tcPr>
            <w:tcW w:w="1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占地面积（㎡）</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中标总地价（万元）</w:t>
            </w:r>
          </w:p>
        </w:tc>
        <w:tc>
          <w:tcPr>
            <w:tcW w:w="12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地面价格（元/㎡）</w:t>
            </w:r>
          </w:p>
        </w:tc>
        <w:tc>
          <w:tcPr>
            <w:tcW w:w="12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权重</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both"/>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eastAsia="zh-CN"/>
              </w:rPr>
              <w:t>金额</w:t>
            </w:r>
          </w:p>
        </w:tc>
      </w:tr>
      <w:tr>
        <w:tblPrEx>
          <w:tblCellMar>
            <w:top w:w="0" w:type="dxa"/>
            <w:left w:w="0" w:type="dxa"/>
            <w:bottom w:w="0" w:type="dxa"/>
            <w:right w:w="0" w:type="dxa"/>
          </w:tblCellMar>
        </w:tblPrEx>
        <w:trPr>
          <w:trHeight w:val="720" w:hRule="atLeast"/>
        </w:trPr>
        <w:tc>
          <w:tcPr>
            <w:tcW w:w="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w:t>
            </w:r>
          </w:p>
        </w:tc>
        <w:tc>
          <w:tcPr>
            <w:tcW w:w="22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河源市源城区百子园大道西边、严子松路北边</w:t>
            </w:r>
          </w:p>
        </w:tc>
        <w:tc>
          <w:tcPr>
            <w:tcW w:w="1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22,000.47</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22,333.19</w:t>
            </w:r>
          </w:p>
        </w:tc>
        <w:tc>
          <w:tcPr>
            <w:tcW w:w="12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3,500.00</w:t>
            </w:r>
          </w:p>
        </w:tc>
        <w:tc>
          <w:tcPr>
            <w:tcW w:w="12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0.40</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1,400.00</w:t>
            </w:r>
          </w:p>
        </w:tc>
      </w:tr>
      <w:tr>
        <w:tblPrEx>
          <w:tblCellMar>
            <w:top w:w="0" w:type="dxa"/>
            <w:left w:w="0" w:type="dxa"/>
            <w:bottom w:w="0" w:type="dxa"/>
            <w:right w:w="0" w:type="dxa"/>
          </w:tblCellMar>
        </w:tblPrEx>
        <w:trPr>
          <w:trHeight w:val="720" w:hRule="atLeast"/>
        </w:trPr>
        <w:tc>
          <w:tcPr>
            <w:tcW w:w="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2</w:t>
            </w:r>
          </w:p>
        </w:tc>
        <w:tc>
          <w:tcPr>
            <w:tcW w:w="22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河源市源城区铁路东路（货场路）东面、迎客大道南边</w:t>
            </w:r>
          </w:p>
        </w:tc>
        <w:tc>
          <w:tcPr>
            <w:tcW w:w="1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15,000.00</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17,632.34</w:t>
            </w:r>
          </w:p>
        </w:tc>
        <w:tc>
          <w:tcPr>
            <w:tcW w:w="12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3,800.00</w:t>
            </w:r>
          </w:p>
        </w:tc>
        <w:tc>
          <w:tcPr>
            <w:tcW w:w="12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0.30</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1,140.00</w:t>
            </w:r>
          </w:p>
        </w:tc>
      </w:tr>
      <w:tr>
        <w:tblPrEx>
          <w:tblCellMar>
            <w:top w:w="0" w:type="dxa"/>
            <w:left w:w="0" w:type="dxa"/>
            <w:bottom w:w="0" w:type="dxa"/>
            <w:right w:w="0" w:type="dxa"/>
          </w:tblCellMar>
        </w:tblPrEx>
        <w:trPr>
          <w:trHeight w:val="720" w:hRule="atLeast"/>
        </w:trPr>
        <w:tc>
          <w:tcPr>
            <w:tcW w:w="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w:t>
            </w:r>
          </w:p>
        </w:tc>
        <w:tc>
          <w:tcPr>
            <w:tcW w:w="22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河源市粤赣高速公路西面、万绿湖大道南面</w:t>
            </w:r>
          </w:p>
        </w:tc>
        <w:tc>
          <w:tcPr>
            <w:tcW w:w="1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15,082.00</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16,229.80</w:t>
            </w:r>
          </w:p>
        </w:tc>
        <w:tc>
          <w:tcPr>
            <w:tcW w:w="12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4,258.31</w:t>
            </w:r>
          </w:p>
        </w:tc>
        <w:tc>
          <w:tcPr>
            <w:tcW w:w="12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0.30</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1,277.49</w:t>
            </w:r>
          </w:p>
        </w:tc>
      </w:tr>
      <w:tr>
        <w:tblPrEx>
          <w:tblCellMar>
            <w:top w:w="0" w:type="dxa"/>
            <w:left w:w="0" w:type="dxa"/>
            <w:bottom w:w="0" w:type="dxa"/>
            <w:right w:w="0" w:type="dxa"/>
          </w:tblCellMar>
        </w:tblPrEx>
        <w:trPr>
          <w:trHeight w:val="270" w:hRule="atLeast"/>
        </w:trPr>
        <w:tc>
          <w:tcPr>
            <w:tcW w:w="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2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综合地面价格</w:t>
            </w:r>
          </w:p>
        </w:tc>
        <w:tc>
          <w:tcPr>
            <w:tcW w:w="15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52,082.47</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2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26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1.00</w:t>
            </w:r>
          </w:p>
        </w:tc>
        <w:tc>
          <w:tcPr>
            <w:tcW w:w="11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3,817.49</w:t>
            </w:r>
          </w:p>
        </w:tc>
      </w:tr>
    </w:tbl>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表</w:t>
      </w:r>
      <w:r>
        <w:rPr>
          <w:rFonts w:hint="eastAsia" w:ascii="仿宋_GB2312" w:hAnsi="仿宋_GB2312" w:eastAsia="仿宋_GB2312" w:cs="仿宋_GB2312"/>
          <w:sz w:val="32"/>
          <w:szCs w:val="32"/>
          <w:highlight w:val="none"/>
          <w:lang w:val="en-US" w:eastAsia="zh-CN"/>
        </w:rPr>
        <w:t>1</w:t>
      </w:r>
      <w:r>
        <w:rPr>
          <w:rFonts w:hint="eastAsia" w:cs="仿宋_GB2312"/>
          <w:sz w:val="32"/>
          <w:szCs w:val="32"/>
          <w:highlight w:val="none"/>
          <w:lang w:val="en-US" w:eastAsia="zh-CN"/>
        </w:rPr>
        <w:t>1</w:t>
      </w:r>
      <w:r>
        <w:rPr>
          <w:rFonts w:hint="eastAsia" w:ascii="仿宋_GB2312" w:hAnsi="仿宋_GB2312" w:eastAsia="仿宋_GB2312" w:cs="仿宋_GB2312"/>
          <w:sz w:val="32"/>
          <w:szCs w:val="32"/>
          <w:highlight w:val="none"/>
        </w:rPr>
        <w:t>：项目区域土地价格预测表（</w:t>
      </w:r>
      <w:r>
        <w:rPr>
          <w:rFonts w:hint="eastAsia" w:ascii="仿宋_GB2312" w:hAnsi="仿宋_GB2312" w:eastAsia="仿宋_GB2312" w:cs="仿宋_GB2312"/>
          <w:sz w:val="32"/>
          <w:szCs w:val="32"/>
          <w:highlight w:val="none"/>
          <w:lang w:eastAsia="zh-CN"/>
        </w:rPr>
        <w:t>工业</w:t>
      </w:r>
      <w:r>
        <w:rPr>
          <w:rFonts w:hint="eastAsia" w:ascii="仿宋_GB2312" w:hAnsi="仿宋_GB2312" w:eastAsia="仿宋_GB2312" w:cs="仿宋_GB2312"/>
          <w:sz w:val="32"/>
          <w:szCs w:val="32"/>
          <w:highlight w:val="none"/>
        </w:rPr>
        <w:t>）</w:t>
      </w:r>
    </w:p>
    <w:tbl>
      <w:tblPr>
        <w:tblStyle w:val="13"/>
        <w:tblW w:w="0" w:type="auto"/>
        <w:tblInd w:w="0" w:type="dxa"/>
        <w:tblLayout w:type="fixed"/>
        <w:tblCellMar>
          <w:top w:w="0" w:type="dxa"/>
          <w:left w:w="0" w:type="dxa"/>
          <w:bottom w:w="0" w:type="dxa"/>
          <w:right w:w="0" w:type="dxa"/>
        </w:tblCellMar>
      </w:tblPr>
      <w:tblGrid>
        <w:gridCol w:w="561"/>
        <w:gridCol w:w="2401"/>
        <w:gridCol w:w="1340"/>
        <w:gridCol w:w="1154"/>
        <w:gridCol w:w="1217"/>
        <w:gridCol w:w="1267"/>
        <w:gridCol w:w="1116"/>
      </w:tblGrid>
      <w:tr>
        <w:tblPrEx>
          <w:tblCellMar>
            <w:top w:w="0" w:type="dxa"/>
            <w:left w:w="0" w:type="dxa"/>
            <w:bottom w:w="0" w:type="dxa"/>
            <w:right w:w="0" w:type="dxa"/>
          </w:tblCellMar>
        </w:tblPrEx>
        <w:trPr>
          <w:trHeight w:val="450" w:hRule="atLeast"/>
          <w:tblHeader/>
        </w:trPr>
        <w:tc>
          <w:tcPr>
            <w:tcW w:w="5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项目</w:t>
            </w:r>
          </w:p>
        </w:tc>
        <w:tc>
          <w:tcPr>
            <w:tcW w:w="24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地块</w:t>
            </w:r>
          </w:p>
        </w:tc>
        <w:tc>
          <w:tcPr>
            <w:tcW w:w="13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占地面积（㎡）</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中标总地价（万元）</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地面价格（元/㎡）</w:t>
            </w:r>
          </w:p>
        </w:tc>
        <w:tc>
          <w:tcPr>
            <w:tcW w:w="12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权重</w:t>
            </w:r>
          </w:p>
        </w:tc>
        <w:tc>
          <w:tcPr>
            <w:tcW w:w="11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eastAsia="zh-CN"/>
              </w:rPr>
            </w:pPr>
            <w:r>
              <w:rPr>
                <w:rFonts w:hint="eastAsia" w:ascii="黑体" w:hAnsi="黑体" w:eastAsia="黑体" w:cs="黑体"/>
                <w:b/>
                <w:bCs/>
                <w:sz w:val="21"/>
                <w:szCs w:val="21"/>
                <w:lang w:val="en-US" w:eastAsia="zh-CN"/>
              </w:rPr>
              <w:t>金额</w:t>
            </w:r>
          </w:p>
        </w:tc>
      </w:tr>
      <w:tr>
        <w:tblPrEx>
          <w:tblCellMar>
            <w:top w:w="0" w:type="dxa"/>
            <w:left w:w="0" w:type="dxa"/>
            <w:bottom w:w="0" w:type="dxa"/>
            <w:right w:w="0" w:type="dxa"/>
          </w:tblCellMar>
        </w:tblPrEx>
        <w:trPr>
          <w:trHeight w:val="600" w:hRule="atLeast"/>
        </w:trPr>
        <w:tc>
          <w:tcPr>
            <w:tcW w:w="5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w:t>
            </w:r>
          </w:p>
        </w:tc>
        <w:tc>
          <w:tcPr>
            <w:tcW w:w="24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市高新区兴工大道东边、高新五路南边</w:t>
            </w:r>
          </w:p>
        </w:tc>
        <w:tc>
          <w:tcPr>
            <w:tcW w:w="13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22,000.47</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561.012</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2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0.3</w:t>
            </w:r>
          </w:p>
        </w:tc>
        <w:tc>
          <w:tcPr>
            <w:tcW w:w="11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76.50</w:t>
            </w:r>
          </w:p>
        </w:tc>
      </w:tr>
      <w:tr>
        <w:tblPrEx>
          <w:tblCellMar>
            <w:top w:w="0" w:type="dxa"/>
            <w:left w:w="0" w:type="dxa"/>
            <w:bottom w:w="0" w:type="dxa"/>
            <w:right w:w="0" w:type="dxa"/>
          </w:tblCellMar>
        </w:tblPrEx>
        <w:trPr>
          <w:trHeight w:val="600" w:hRule="atLeast"/>
        </w:trPr>
        <w:tc>
          <w:tcPr>
            <w:tcW w:w="5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w:t>
            </w:r>
          </w:p>
        </w:tc>
        <w:tc>
          <w:tcPr>
            <w:tcW w:w="24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河源市源城区高埔岗纵二路以西</w:t>
            </w:r>
          </w:p>
        </w:tc>
        <w:tc>
          <w:tcPr>
            <w:tcW w:w="13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15,000.00</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382.5</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2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0.3</w:t>
            </w:r>
          </w:p>
        </w:tc>
        <w:tc>
          <w:tcPr>
            <w:tcW w:w="11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76.50</w:t>
            </w:r>
          </w:p>
        </w:tc>
      </w:tr>
      <w:tr>
        <w:tblPrEx>
          <w:tblCellMar>
            <w:top w:w="0" w:type="dxa"/>
            <w:left w:w="0" w:type="dxa"/>
            <w:bottom w:w="0" w:type="dxa"/>
            <w:right w:w="0" w:type="dxa"/>
          </w:tblCellMar>
        </w:tblPrEx>
        <w:trPr>
          <w:trHeight w:val="780" w:hRule="atLeast"/>
        </w:trPr>
        <w:tc>
          <w:tcPr>
            <w:tcW w:w="5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w:t>
            </w:r>
          </w:p>
        </w:tc>
        <w:tc>
          <w:tcPr>
            <w:tcW w:w="24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河源市源城区高埔岗七路以南,高埔岗纵二路以西</w:t>
            </w:r>
          </w:p>
        </w:tc>
        <w:tc>
          <w:tcPr>
            <w:tcW w:w="13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15,082.00</w:t>
            </w:r>
          </w:p>
        </w:tc>
        <w:tc>
          <w:tcPr>
            <w:tcW w:w="11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384.591</w:t>
            </w:r>
          </w:p>
        </w:tc>
        <w:tc>
          <w:tcPr>
            <w:tcW w:w="121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2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0.4</w:t>
            </w:r>
          </w:p>
        </w:tc>
        <w:tc>
          <w:tcPr>
            <w:tcW w:w="11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102.00</w:t>
            </w:r>
          </w:p>
        </w:tc>
      </w:tr>
      <w:tr>
        <w:tblPrEx>
          <w:tblCellMar>
            <w:top w:w="0" w:type="dxa"/>
            <w:left w:w="0" w:type="dxa"/>
            <w:bottom w:w="0" w:type="dxa"/>
            <w:right w:w="0" w:type="dxa"/>
          </w:tblCellMar>
        </w:tblPrEx>
        <w:trPr>
          <w:trHeight w:val="270" w:hRule="atLeast"/>
        </w:trPr>
        <w:tc>
          <w:tcPr>
            <w:tcW w:w="5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4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地价</w:t>
            </w:r>
          </w:p>
        </w:tc>
        <w:tc>
          <w:tcPr>
            <w:tcW w:w="13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52,082.47</w:t>
            </w:r>
          </w:p>
        </w:tc>
        <w:tc>
          <w:tcPr>
            <w:tcW w:w="115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21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2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w:t>
            </w:r>
          </w:p>
        </w:tc>
        <w:tc>
          <w:tcPr>
            <w:tcW w:w="11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源城区工业园第三期扩园项目可出让土地主要为商住用地及工业用地，可出让土地面积为629,138.53㎡，其中商住用地面积为178,897.50㎡、工业用地面积为450,241.03㎡。</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按以上成交实例，河源市人民政府文件《河源市人民政府关于公布实施河源市城镇基准地价的通知》结合项目当地实际情况，预测该项目2022年商住出让土地地面价格为3,817.49元/平方米，工业用地出让单价为255.00元/平方米。</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根据上述近期土地市场情况、公布的基准地价及项目出让区周边土地价格结合土地价格增长率按5.00%测算（河源市近五年GDP平均增速5.20%，按谨慎性原则，按5.00%逐年增长进行测算），现预测项目出让区土地价格如下：</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w:t>
      </w:r>
      <w:r>
        <w:rPr>
          <w:rFonts w:hint="eastAsia" w:ascii="仿宋_GB2312" w:hAnsi="仿宋_GB2312" w:eastAsia="仿宋_GB2312" w:cs="仿宋_GB2312"/>
          <w:sz w:val="32"/>
          <w:szCs w:val="32"/>
          <w:highlight w:val="none"/>
          <w:lang w:val="en-US" w:eastAsia="zh-CN"/>
        </w:rPr>
        <w:t>1</w:t>
      </w:r>
      <w:r>
        <w:rPr>
          <w:rFonts w:hint="eastAsia" w:cs="仿宋_GB2312"/>
          <w:sz w:val="32"/>
          <w:szCs w:val="32"/>
          <w:highlight w:val="none"/>
          <w:lang w:val="en-US" w:eastAsia="zh-CN"/>
        </w:rPr>
        <w:t>2</w:t>
      </w:r>
      <w:r>
        <w:rPr>
          <w:rFonts w:hint="eastAsia" w:ascii="仿宋_GB2312" w:hAnsi="仿宋_GB2312" w:eastAsia="仿宋_GB2312" w:cs="仿宋_GB2312"/>
          <w:sz w:val="32"/>
          <w:szCs w:val="32"/>
          <w:highlight w:val="none"/>
        </w:rPr>
        <w:t>：项目区域出让土地价格预测表</w:t>
      </w:r>
    </w:p>
    <w:tbl>
      <w:tblPr>
        <w:tblStyle w:val="13"/>
        <w:tblW w:w="0" w:type="auto"/>
        <w:tblInd w:w="0" w:type="dxa"/>
        <w:tblLayout w:type="fixed"/>
        <w:tblCellMar>
          <w:top w:w="0" w:type="dxa"/>
          <w:left w:w="0" w:type="dxa"/>
          <w:bottom w:w="0" w:type="dxa"/>
          <w:right w:w="0" w:type="dxa"/>
        </w:tblCellMar>
      </w:tblPr>
      <w:tblGrid>
        <w:gridCol w:w="803"/>
        <w:gridCol w:w="926"/>
        <w:gridCol w:w="2107"/>
        <w:gridCol w:w="1029"/>
        <w:gridCol w:w="1085"/>
        <w:gridCol w:w="1131"/>
        <w:gridCol w:w="929"/>
        <w:gridCol w:w="1041"/>
      </w:tblGrid>
      <w:tr>
        <w:tblPrEx>
          <w:tblCellMar>
            <w:top w:w="0" w:type="dxa"/>
            <w:left w:w="0" w:type="dxa"/>
            <w:bottom w:w="0" w:type="dxa"/>
            <w:right w:w="0" w:type="dxa"/>
          </w:tblCellMar>
        </w:tblPrEx>
        <w:trPr>
          <w:trHeight w:val="270" w:hRule="atLeast"/>
        </w:trPr>
        <w:tc>
          <w:tcPr>
            <w:tcW w:w="80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地区</w:t>
            </w:r>
          </w:p>
        </w:tc>
        <w:tc>
          <w:tcPr>
            <w:tcW w:w="92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性质</w:t>
            </w:r>
          </w:p>
        </w:tc>
        <w:tc>
          <w:tcPr>
            <w:tcW w:w="210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0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2024年</w:t>
            </w:r>
          </w:p>
        </w:tc>
        <w:tc>
          <w:tcPr>
            <w:tcW w:w="108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2025年</w:t>
            </w:r>
          </w:p>
        </w:tc>
        <w:tc>
          <w:tcPr>
            <w:tcW w:w="113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2026年</w:t>
            </w:r>
          </w:p>
        </w:tc>
        <w:tc>
          <w:tcPr>
            <w:tcW w:w="9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2027年</w:t>
            </w:r>
          </w:p>
        </w:tc>
        <w:tc>
          <w:tcPr>
            <w:tcW w:w="104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2028年</w:t>
            </w:r>
          </w:p>
        </w:tc>
      </w:tr>
      <w:tr>
        <w:tblPrEx>
          <w:tblCellMar>
            <w:top w:w="0" w:type="dxa"/>
            <w:left w:w="0" w:type="dxa"/>
            <w:bottom w:w="0" w:type="dxa"/>
            <w:right w:w="0" w:type="dxa"/>
          </w:tblCellMar>
        </w:tblPrEx>
        <w:trPr>
          <w:trHeight w:val="285" w:hRule="atLeast"/>
        </w:trPr>
        <w:tc>
          <w:tcPr>
            <w:tcW w:w="80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2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210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地面价格（元/㎡）</w:t>
            </w:r>
          </w:p>
        </w:tc>
        <w:tc>
          <w:tcPr>
            <w:tcW w:w="10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3,817.49</w:t>
            </w:r>
          </w:p>
        </w:tc>
        <w:tc>
          <w:tcPr>
            <w:tcW w:w="108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4,008.37</w:t>
            </w:r>
          </w:p>
        </w:tc>
        <w:tc>
          <w:tcPr>
            <w:tcW w:w="113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4,208.79</w:t>
            </w:r>
          </w:p>
        </w:tc>
        <w:tc>
          <w:tcPr>
            <w:tcW w:w="9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4,419.23</w:t>
            </w:r>
          </w:p>
        </w:tc>
        <w:tc>
          <w:tcPr>
            <w:tcW w:w="104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4,640.19</w:t>
            </w:r>
          </w:p>
        </w:tc>
      </w:tr>
      <w:tr>
        <w:tblPrEx>
          <w:tblCellMar>
            <w:top w:w="0" w:type="dxa"/>
            <w:left w:w="0" w:type="dxa"/>
            <w:bottom w:w="0" w:type="dxa"/>
            <w:right w:w="0" w:type="dxa"/>
          </w:tblCellMar>
        </w:tblPrEx>
        <w:trPr>
          <w:trHeight w:val="285" w:hRule="atLeast"/>
        </w:trPr>
        <w:tc>
          <w:tcPr>
            <w:tcW w:w="803"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2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210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价格（元/㎡）</w:t>
            </w:r>
          </w:p>
        </w:tc>
        <w:tc>
          <w:tcPr>
            <w:tcW w:w="10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255.00</w:t>
            </w:r>
          </w:p>
        </w:tc>
        <w:tc>
          <w:tcPr>
            <w:tcW w:w="108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267.75</w:t>
            </w:r>
          </w:p>
        </w:tc>
        <w:tc>
          <w:tcPr>
            <w:tcW w:w="113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281.14</w:t>
            </w:r>
          </w:p>
        </w:tc>
        <w:tc>
          <w:tcPr>
            <w:tcW w:w="929"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295.19</w:t>
            </w:r>
          </w:p>
        </w:tc>
        <w:tc>
          <w:tcPr>
            <w:tcW w:w="104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309.95</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926"/>
        <w:gridCol w:w="2107"/>
        <w:gridCol w:w="1029"/>
        <w:gridCol w:w="1085"/>
        <w:gridCol w:w="1131"/>
        <w:gridCol w:w="929"/>
        <w:gridCol w:w="1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blHeader/>
        </w:trPr>
        <w:tc>
          <w:tcPr>
            <w:tcW w:w="80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地区</w:t>
            </w:r>
          </w:p>
        </w:tc>
        <w:tc>
          <w:tcPr>
            <w:tcW w:w="926"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性质</w:t>
            </w:r>
          </w:p>
        </w:tc>
        <w:tc>
          <w:tcPr>
            <w:tcW w:w="2107"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029"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2029年</w:t>
            </w:r>
          </w:p>
        </w:tc>
        <w:tc>
          <w:tcPr>
            <w:tcW w:w="1085"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2030年</w:t>
            </w:r>
          </w:p>
        </w:tc>
        <w:tc>
          <w:tcPr>
            <w:tcW w:w="1131"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2031年</w:t>
            </w:r>
          </w:p>
        </w:tc>
        <w:tc>
          <w:tcPr>
            <w:tcW w:w="929"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2032年</w:t>
            </w:r>
          </w:p>
        </w:tc>
        <w:tc>
          <w:tcPr>
            <w:tcW w:w="1041"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26"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2107"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地面价格（元/㎡）</w:t>
            </w:r>
          </w:p>
        </w:tc>
        <w:tc>
          <w:tcPr>
            <w:tcW w:w="1029"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4,872.20</w:t>
            </w:r>
          </w:p>
        </w:tc>
        <w:tc>
          <w:tcPr>
            <w:tcW w:w="1085"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5,115.81</w:t>
            </w:r>
          </w:p>
        </w:tc>
        <w:tc>
          <w:tcPr>
            <w:tcW w:w="1131"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5,371.60</w:t>
            </w:r>
          </w:p>
        </w:tc>
        <w:tc>
          <w:tcPr>
            <w:tcW w:w="929"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5,640.18</w:t>
            </w:r>
          </w:p>
        </w:tc>
        <w:tc>
          <w:tcPr>
            <w:tcW w:w="1041"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5,922.18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26"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2107"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价格（元/㎡）</w:t>
            </w:r>
          </w:p>
        </w:tc>
        <w:tc>
          <w:tcPr>
            <w:tcW w:w="1029"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325.45</w:t>
            </w:r>
          </w:p>
        </w:tc>
        <w:tc>
          <w:tcPr>
            <w:tcW w:w="1085"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341.72</w:t>
            </w:r>
          </w:p>
        </w:tc>
        <w:tc>
          <w:tcPr>
            <w:tcW w:w="1131"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358.81</w:t>
            </w:r>
          </w:p>
        </w:tc>
        <w:tc>
          <w:tcPr>
            <w:tcW w:w="929"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376.75</w:t>
            </w:r>
          </w:p>
        </w:tc>
        <w:tc>
          <w:tcPr>
            <w:tcW w:w="1041"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395.59</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0" w:type="auto"/>
        <w:tblInd w:w="0" w:type="dxa"/>
        <w:tblLayout w:type="fixed"/>
        <w:tblCellMar>
          <w:top w:w="0" w:type="dxa"/>
          <w:left w:w="0" w:type="dxa"/>
          <w:bottom w:w="0" w:type="dxa"/>
          <w:right w:w="0" w:type="dxa"/>
        </w:tblCellMar>
      </w:tblPr>
      <w:tblGrid>
        <w:gridCol w:w="806"/>
        <w:gridCol w:w="930"/>
        <w:gridCol w:w="1932"/>
        <w:gridCol w:w="1077"/>
        <w:gridCol w:w="1078"/>
        <w:gridCol w:w="1078"/>
        <w:gridCol w:w="1078"/>
        <w:gridCol w:w="1077"/>
      </w:tblGrid>
      <w:tr>
        <w:tblPrEx>
          <w:tblCellMar>
            <w:top w:w="0" w:type="dxa"/>
            <w:left w:w="0" w:type="dxa"/>
            <w:bottom w:w="0" w:type="dxa"/>
            <w:right w:w="0" w:type="dxa"/>
          </w:tblCellMar>
        </w:tblPrEx>
        <w:trPr>
          <w:trHeight w:val="270" w:hRule="atLeast"/>
        </w:trPr>
        <w:tc>
          <w:tcPr>
            <w:tcW w:w="806" w:type="dxa"/>
            <w:tcBorders>
              <w:top w:val="single" w:color="000000" w:sz="8" w:space="0"/>
              <w:left w:val="single" w:color="000000" w:sz="8" w:space="0"/>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地区</w:t>
            </w:r>
          </w:p>
        </w:tc>
        <w:tc>
          <w:tcPr>
            <w:tcW w:w="930"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性质</w:t>
            </w:r>
          </w:p>
        </w:tc>
        <w:tc>
          <w:tcPr>
            <w:tcW w:w="1932"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077"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2034年</w:t>
            </w:r>
          </w:p>
        </w:tc>
        <w:tc>
          <w:tcPr>
            <w:tcW w:w="1078"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2035年</w:t>
            </w:r>
          </w:p>
        </w:tc>
        <w:tc>
          <w:tcPr>
            <w:tcW w:w="1078"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2036年</w:t>
            </w:r>
          </w:p>
        </w:tc>
        <w:tc>
          <w:tcPr>
            <w:tcW w:w="1078"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2037年</w:t>
            </w:r>
          </w:p>
        </w:tc>
        <w:tc>
          <w:tcPr>
            <w:tcW w:w="1077" w:type="dxa"/>
            <w:tcBorders>
              <w:top w:val="single" w:color="000000" w:sz="8" w:space="0"/>
              <w:left w:val="nil"/>
              <w:bottom w:val="single" w:color="auto" w:sz="4" w:space="0"/>
              <w:right w:val="single" w:color="000000" w:sz="8"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2038年</w:t>
            </w:r>
          </w:p>
        </w:tc>
      </w:tr>
      <w:tr>
        <w:tblPrEx>
          <w:tblCellMar>
            <w:top w:w="0" w:type="dxa"/>
            <w:left w:w="0" w:type="dxa"/>
            <w:bottom w:w="0" w:type="dxa"/>
            <w:right w:w="0" w:type="dxa"/>
          </w:tblCellMar>
        </w:tblPrEx>
        <w:trPr>
          <w:trHeight w:val="285" w:hRule="atLeast"/>
        </w:trPr>
        <w:tc>
          <w:tcPr>
            <w:tcW w:w="80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3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193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地面价格（元/㎡）</w:t>
            </w:r>
          </w:p>
        </w:tc>
        <w:tc>
          <w:tcPr>
            <w:tcW w:w="107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6,218.29</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6,529.21</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6,855.67</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7,198.45</w:t>
            </w:r>
          </w:p>
        </w:tc>
        <w:tc>
          <w:tcPr>
            <w:tcW w:w="107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7,558.38</w:t>
            </w:r>
          </w:p>
        </w:tc>
      </w:tr>
      <w:tr>
        <w:tblPrEx>
          <w:tblCellMar>
            <w:top w:w="0" w:type="dxa"/>
            <w:left w:w="0" w:type="dxa"/>
            <w:bottom w:w="0" w:type="dxa"/>
            <w:right w:w="0" w:type="dxa"/>
          </w:tblCellMar>
        </w:tblPrEx>
        <w:trPr>
          <w:trHeight w:val="285" w:hRule="atLeast"/>
        </w:trPr>
        <w:tc>
          <w:tcPr>
            <w:tcW w:w="806"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源城</w:t>
            </w:r>
          </w:p>
        </w:tc>
        <w:tc>
          <w:tcPr>
            <w:tcW w:w="93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193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价格（元/㎡）</w:t>
            </w:r>
          </w:p>
        </w:tc>
        <w:tc>
          <w:tcPr>
            <w:tcW w:w="107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415.37</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436.14</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457.94</w:t>
            </w:r>
          </w:p>
        </w:tc>
        <w:tc>
          <w:tcPr>
            <w:tcW w:w="1078"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480.84</w:t>
            </w:r>
          </w:p>
        </w:tc>
        <w:tc>
          <w:tcPr>
            <w:tcW w:w="107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504.88</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3）土地出让收入预测</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2024年至2038年计划出让土地情况如下：</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w:t>
      </w:r>
      <w:r>
        <w:rPr>
          <w:rFonts w:hint="eastAsia" w:cs="仿宋_GB2312"/>
          <w:sz w:val="32"/>
          <w:szCs w:val="32"/>
          <w:highlight w:val="none"/>
          <w:lang w:val="en-US" w:eastAsia="zh-CN"/>
        </w:rPr>
        <w:t>3</w:t>
      </w:r>
      <w:r>
        <w:rPr>
          <w:rFonts w:hint="eastAsia" w:ascii="仿宋_GB2312" w:hAnsi="仿宋_GB2312" w:eastAsia="仿宋_GB2312" w:cs="仿宋_GB2312"/>
          <w:sz w:val="32"/>
          <w:szCs w:val="32"/>
          <w:highlight w:val="none"/>
        </w:rPr>
        <w:t>：土地出让情况表（单位：㎡）</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3"/>
        <w:gridCol w:w="1718"/>
        <w:gridCol w:w="1122"/>
        <w:gridCol w:w="1182"/>
        <w:gridCol w:w="1230"/>
        <w:gridCol w:w="1084"/>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1718"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土地类型</w:t>
            </w:r>
          </w:p>
        </w:tc>
        <w:tc>
          <w:tcPr>
            <w:tcW w:w="112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2024年</w:t>
            </w:r>
          </w:p>
        </w:tc>
        <w:tc>
          <w:tcPr>
            <w:tcW w:w="118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2025年</w:t>
            </w:r>
          </w:p>
        </w:tc>
        <w:tc>
          <w:tcPr>
            <w:tcW w:w="1230"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2026年</w:t>
            </w:r>
          </w:p>
        </w:tc>
        <w:tc>
          <w:tcPr>
            <w:tcW w:w="1084"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2027年</w:t>
            </w:r>
          </w:p>
        </w:tc>
        <w:tc>
          <w:tcPr>
            <w:tcW w:w="113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2</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3"/>
        <w:gridCol w:w="1718"/>
        <w:gridCol w:w="1122"/>
        <w:gridCol w:w="1182"/>
        <w:gridCol w:w="1230"/>
        <w:gridCol w:w="1084"/>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1718"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土地类型</w:t>
            </w:r>
          </w:p>
        </w:tc>
        <w:tc>
          <w:tcPr>
            <w:tcW w:w="112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2029年</w:t>
            </w:r>
          </w:p>
        </w:tc>
        <w:tc>
          <w:tcPr>
            <w:tcW w:w="118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2030年</w:t>
            </w:r>
          </w:p>
        </w:tc>
        <w:tc>
          <w:tcPr>
            <w:tcW w:w="1230"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2031年</w:t>
            </w:r>
          </w:p>
        </w:tc>
        <w:tc>
          <w:tcPr>
            <w:tcW w:w="1084"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2032年</w:t>
            </w:r>
          </w:p>
        </w:tc>
        <w:tc>
          <w:tcPr>
            <w:tcW w:w="113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2</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83"/>
        <w:gridCol w:w="1718"/>
        <w:gridCol w:w="1122"/>
        <w:gridCol w:w="1182"/>
        <w:gridCol w:w="1230"/>
        <w:gridCol w:w="1084"/>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58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1718"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土地类型</w:t>
            </w:r>
          </w:p>
        </w:tc>
        <w:tc>
          <w:tcPr>
            <w:tcW w:w="112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2034年</w:t>
            </w:r>
          </w:p>
        </w:tc>
        <w:tc>
          <w:tcPr>
            <w:tcW w:w="1182"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2035年</w:t>
            </w:r>
          </w:p>
        </w:tc>
        <w:tc>
          <w:tcPr>
            <w:tcW w:w="1230"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2036年</w:t>
            </w:r>
          </w:p>
        </w:tc>
        <w:tc>
          <w:tcPr>
            <w:tcW w:w="1084"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2037年</w:t>
            </w:r>
          </w:p>
        </w:tc>
        <w:tc>
          <w:tcPr>
            <w:tcW w:w="1133" w:type="dxa"/>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2038年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1</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商住</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13,761.35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58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2</w:t>
            </w:r>
          </w:p>
        </w:tc>
        <w:tc>
          <w:tcPr>
            <w:tcW w:w="1718"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eastAsia="zh-CN" w:bidi="ar-SA"/>
              </w:rPr>
              <w:t>工业</w:t>
            </w:r>
          </w:p>
        </w:tc>
        <w:tc>
          <w:tcPr>
            <w:tcW w:w="112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182"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230"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084"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c>
          <w:tcPr>
            <w:tcW w:w="1133" w:type="dxa"/>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34,633.93</w:t>
            </w:r>
          </w:p>
        </w:tc>
      </w:tr>
    </w:tbl>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w:t>
      </w:r>
      <w:r>
        <w:rPr>
          <w:rFonts w:hint="eastAsia" w:cs="仿宋_GB2312"/>
          <w:sz w:val="32"/>
          <w:szCs w:val="32"/>
          <w:highlight w:val="none"/>
          <w:lang w:val="en-US" w:eastAsia="zh-CN"/>
        </w:rPr>
        <w:t>4</w:t>
      </w:r>
      <w:r>
        <w:rPr>
          <w:rFonts w:hint="eastAsia" w:ascii="仿宋_GB2312" w:hAnsi="仿宋_GB2312" w:eastAsia="仿宋_GB2312" w:cs="仿宋_GB2312"/>
          <w:sz w:val="32"/>
          <w:szCs w:val="32"/>
          <w:highlight w:val="none"/>
        </w:rPr>
        <w:t>：项目土地出让收入预测表（单位：万元）</w:t>
      </w:r>
    </w:p>
    <w:tbl>
      <w:tblPr>
        <w:tblStyle w:val="13"/>
        <w:tblW w:w="9056" w:type="dxa"/>
        <w:tblInd w:w="0" w:type="dxa"/>
        <w:tblLayout w:type="fixed"/>
        <w:tblCellMar>
          <w:top w:w="0" w:type="dxa"/>
          <w:left w:w="0" w:type="dxa"/>
          <w:bottom w:w="0" w:type="dxa"/>
          <w:right w:w="0" w:type="dxa"/>
        </w:tblCellMar>
      </w:tblPr>
      <w:tblGrid>
        <w:gridCol w:w="598"/>
        <w:gridCol w:w="1836"/>
        <w:gridCol w:w="985"/>
        <w:gridCol w:w="1212"/>
        <w:gridCol w:w="1124"/>
        <w:gridCol w:w="1124"/>
        <w:gridCol w:w="1123"/>
        <w:gridCol w:w="1054"/>
      </w:tblGrid>
      <w:tr>
        <w:tblPrEx>
          <w:tblCellMar>
            <w:top w:w="0" w:type="dxa"/>
            <w:left w:w="0" w:type="dxa"/>
            <w:bottom w:w="0" w:type="dxa"/>
            <w:right w:w="0" w:type="dxa"/>
          </w:tblCellMar>
        </w:tblPrEx>
        <w:trPr>
          <w:trHeight w:val="340" w:hRule="atLeast"/>
          <w:tblHeader/>
        </w:trPr>
        <w:tc>
          <w:tcPr>
            <w:tcW w:w="5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项目</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合计</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第一年</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第二年</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第三年</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第四年</w:t>
            </w:r>
          </w:p>
        </w:tc>
      </w:tr>
      <w:tr>
        <w:tblPrEx>
          <w:tblCellMar>
            <w:top w:w="0" w:type="dxa"/>
            <w:left w:w="0" w:type="dxa"/>
            <w:bottom w:w="0" w:type="dxa"/>
            <w:right w:w="0" w:type="dxa"/>
          </w:tblCellMar>
        </w:tblPrEx>
        <w:trPr>
          <w:trHeight w:val="340" w:hRule="atLeast"/>
        </w:trPr>
        <w:tc>
          <w:tcPr>
            <w:tcW w:w="59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w:t>
            </w: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工业用地出让收入</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17,246.90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973.70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1,022.36</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1,073.48</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1,127.16</w:t>
            </w:r>
          </w:p>
        </w:tc>
      </w:tr>
      <w:tr>
        <w:tblPrEx>
          <w:tblCellMar>
            <w:top w:w="0" w:type="dxa"/>
            <w:left w:w="0" w:type="dxa"/>
            <w:bottom w:w="0" w:type="dxa"/>
            <w:right w:w="0" w:type="dxa"/>
          </w:tblCellMar>
        </w:tblPrEx>
        <w:trPr>
          <w:trHeight w:val="340" w:hRule="atLeast"/>
        </w:trPr>
        <w:tc>
          <w:tcPr>
            <w:tcW w:w="598"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工业用地面积</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450,241.03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34,633.93</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34,633.93</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34,633.93</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34,633.93</w:t>
            </w:r>
          </w:p>
        </w:tc>
      </w:tr>
      <w:tr>
        <w:tblPrEx>
          <w:tblCellMar>
            <w:top w:w="0" w:type="dxa"/>
            <w:left w:w="0" w:type="dxa"/>
            <w:bottom w:w="0" w:type="dxa"/>
            <w:right w:w="0" w:type="dxa"/>
          </w:tblCellMar>
        </w:tblPrEx>
        <w:trPr>
          <w:trHeight w:val="340" w:hRule="atLeast"/>
        </w:trPr>
        <w:tc>
          <w:tcPr>
            <w:tcW w:w="59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地面单价</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元/㎡</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281.14</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295.19</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309.95</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325.45</w:t>
            </w:r>
          </w:p>
        </w:tc>
      </w:tr>
      <w:tr>
        <w:tblPrEx>
          <w:tblCellMar>
            <w:top w:w="0" w:type="dxa"/>
            <w:left w:w="0" w:type="dxa"/>
            <w:bottom w:w="0" w:type="dxa"/>
            <w:right w:w="0" w:type="dxa"/>
          </w:tblCellMar>
        </w:tblPrEx>
        <w:trPr>
          <w:trHeight w:val="340" w:hRule="atLeast"/>
        </w:trPr>
        <w:tc>
          <w:tcPr>
            <w:tcW w:w="59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2</w:t>
            </w: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商业用地出让收入</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102,591.11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5,791.86</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6,081.46</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6,385.53</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6,704.80</w:t>
            </w:r>
          </w:p>
        </w:tc>
      </w:tr>
      <w:tr>
        <w:tblPrEx>
          <w:tblCellMar>
            <w:top w:w="0" w:type="dxa"/>
            <w:left w:w="0" w:type="dxa"/>
            <w:bottom w:w="0" w:type="dxa"/>
            <w:right w:w="0" w:type="dxa"/>
          </w:tblCellMar>
        </w:tblPrEx>
        <w:trPr>
          <w:trHeight w:val="340" w:hRule="atLeast"/>
        </w:trPr>
        <w:tc>
          <w:tcPr>
            <w:tcW w:w="598"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商业用地面积</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178,897.50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13,761.35</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13,761.35</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13,761.35</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13,761.35</w:t>
            </w:r>
          </w:p>
        </w:tc>
      </w:tr>
      <w:tr>
        <w:tblPrEx>
          <w:tblCellMar>
            <w:top w:w="0" w:type="dxa"/>
            <w:left w:w="0" w:type="dxa"/>
            <w:bottom w:w="0" w:type="dxa"/>
            <w:right w:w="0" w:type="dxa"/>
          </w:tblCellMar>
        </w:tblPrEx>
        <w:trPr>
          <w:trHeight w:val="340" w:hRule="atLeast"/>
        </w:trPr>
        <w:tc>
          <w:tcPr>
            <w:tcW w:w="598"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土地单价</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元/㎡</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4,208.79</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4,419.23</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4,640.19</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sz w:val="21"/>
                <w:szCs w:val="21"/>
                <w:lang w:val="en-US" w:eastAsia="zh-CN" w:bidi="ar-SA"/>
              </w:rPr>
            </w:pPr>
            <w:r>
              <w:rPr>
                <w:rFonts w:hint="eastAsia" w:ascii="仿宋_GB2312" w:hAnsi="仿宋_GB2312" w:eastAsia="仿宋_GB2312" w:cs="仿宋_GB2312"/>
                <w:sz w:val="21"/>
                <w:szCs w:val="21"/>
                <w:lang w:val="en-US" w:eastAsia="zh-CN" w:bidi="ar-SA"/>
              </w:rPr>
              <w:t>4,872.20</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3</w:t>
            </w:r>
          </w:p>
        </w:tc>
        <w:tc>
          <w:tcPr>
            <w:tcW w:w="183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合计</w:t>
            </w:r>
          </w:p>
        </w:tc>
        <w:tc>
          <w:tcPr>
            <w:tcW w:w="9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2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119,838.01</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6,765.56</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7,103.82</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7,459.01</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7,831.97</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9056" w:type="dxa"/>
        <w:tblInd w:w="0" w:type="dxa"/>
        <w:tblLayout w:type="fixed"/>
        <w:tblCellMar>
          <w:top w:w="0" w:type="dxa"/>
          <w:left w:w="0" w:type="dxa"/>
          <w:bottom w:w="0" w:type="dxa"/>
          <w:right w:w="0" w:type="dxa"/>
        </w:tblCellMar>
      </w:tblPr>
      <w:tblGrid>
        <w:gridCol w:w="590"/>
        <w:gridCol w:w="1760"/>
        <w:gridCol w:w="811"/>
        <w:gridCol w:w="1227"/>
        <w:gridCol w:w="1167"/>
        <w:gridCol w:w="1167"/>
        <w:gridCol w:w="1167"/>
        <w:gridCol w:w="1167"/>
      </w:tblGrid>
      <w:tr>
        <w:tblPrEx>
          <w:tblCellMar>
            <w:top w:w="0" w:type="dxa"/>
            <w:left w:w="0" w:type="dxa"/>
            <w:bottom w:w="0" w:type="dxa"/>
            <w:right w:w="0" w:type="dxa"/>
          </w:tblCellMar>
        </w:tblPrEx>
        <w:trPr>
          <w:trHeight w:val="340" w:hRule="atLeast"/>
          <w:tblHeader/>
        </w:trPr>
        <w:tc>
          <w:tcPr>
            <w:tcW w:w="5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项目</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第五年</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第六年</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第七年</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第八年</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第九年</w:t>
            </w:r>
          </w:p>
        </w:tc>
      </w:tr>
      <w:tr>
        <w:tblPrEx>
          <w:tblCellMar>
            <w:top w:w="0" w:type="dxa"/>
            <w:left w:w="0" w:type="dxa"/>
            <w:bottom w:w="0" w:type="dxa"/>
            <w:right w:w="0" w:type="dxa"/>
          </w:tblCellMar>
        </w:tblPrEx>
        <w:trPr>
          <w:trHeight w:val="340" w:hRule="atLeast"/>
        </w:trPr>
        <w:tc>
          <w:tcPr>
            <w:tcW w:w="5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1</w:t>
            </w: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工业用地出让收入</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1,183.51</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1,242.70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1,304.83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1,370.08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1,438.59</w:t>
            </w:r>
          </w:p>
        </w:tc>
      </w:tr>
      <w:tr>
        <w:tblPrEx>
          <w:tblCellMar>
            <w:top w:w="0" w:type="dxa"/>
            <w:left w:w="0" w:type="dxa"/>
            <w:bottom w:w="0" w:type="dxa"/>
            <w:right w:w="0" w:type="dxa"/>
          </w:tblCellMar>
        </w:tblPrEx>
        <w:trPr>
          <w:trHeight w:val="340" w:hRule="atLeast"/>
        </w:trPr>
        <w:tc>
          <w:tcPr>
            <w:tcW w:w="590"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工业用地面积</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r>
      <w:tr>
        <w:tblPrEx>
          <w:tblCellMar>
            <w:top w:w="0" w:type="dxa"/>
            <w:left w:w="0" w:type="dxa"/>
            <w:bottom w:w="0" w:type="dxa"/>
            <w:right w:w="0" w:type="dxa"/>
          </w:tblCellMar>
        </w:tblPrEx>
        <w:trPr>
          <w:trHeight w:val="340" w:hRule="atLeast"/>
        </w:trPr>
        <w:tc>
          <w:tcPr>
            <w:tcW w:w="59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地面单价</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元/㎡</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341.72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358.81</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376.75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395.59</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415.37</w:t>
            </w:r>
          </w:p>
        </w:tc>
      </w:tr>
      <w:tr>
        <w:tblPrEx>
          <w:tblCellMar>
            <w:top w:w="0" w:type="dxa"/>
            <w:left w:w="0" w:type="dxa"/>
            <w:bottom w:w="0" w:type="dxa"/>
            <w:right w:w="0" w:type="dxa"/>
          </w:tblCellMar>
        </w:tblPrEx>
        <w:trPr>
          <w:trHeight w:val="340" w:hRule="atLeast"/>
        </w:trPr>
        <w:tc>
          <w:tcPr>
            <w:tcW w:w="590"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2</w:t>
            </w: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商业用地出让收入</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7,040.05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7,392.05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7,761.65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8,149.72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8,557.21</w:t>
            </w:r>
          </w:p>
        </w:tc>
      </w:tr>
      <w:tr>
        <w:tblPrEx>
          <w:tblCellMar>
            <w:top w:w="0" w:type="dxa"/>
            <w:left w:w="0" w:type="dxa"/>
            <w:bottom w:w="0" w:type="dxa"/>
            <w:right w:w="0" w:type="dxa"/>
          </w:tblCellMar>
        </w:tblPrEx>
        <w:trPr>
          <w:trHeight w:val="340" w:hRule="atLeast"/>
        </w:trPr>
        <w:tc>
          <w:tcPr>
            <w:tcW w:w="590"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商业用地面积</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r>
      <w:tr>
        <w:tblPrEx>
          <w:tblCellMar>
            <w:top w:w="0" w:type="dxa"/>
            <w:left w:w="0" w:type="dxa"/>
            <w:bottom w:w="0" w:type="dxa"/>
            <w:right w:w="0" w:type="dxa"/>
          </w:tblCellMar>
        </w:tblPrEx>
        <w:trPr>
          <w:trHeight w:val="340" w:hRule="atLeast"/>
        </w:trPr>
        <w:tc>
          <w:tcPr>
            <w:tcW w:w="590"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土地单价</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元/㎡</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5,115.81</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5,371.60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5,640.18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5,922.18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6,218.29</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3</w:t>
            </w:r>
          </w:p>
        </w:tc>
        <w:tc>
          <w:tcPr>
            <w:tcW w:w="1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合计</w:t>
            </w:r>
          </w:p>
        </w:tc>
        <w:tc>
          <w:tcPr>
            <w:tcW w:w="81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8,223.56</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8,634.75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9,066.48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9,519.80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9,995.80</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eastAsia="zh-CN"/>
        </w:rPr>
        <w:t>（续表）</w:t>
      </w:r>
    </w:p>
    <w:tbl>
      <w:tblPr>
        <w:tblStyle w:val="13"/>
        <w:tblW w:w="9056" w:type="dxa"/>
        <w:tblInd w:w="0" w:type="dxa"/>
        <w:tblLayout w:type="fixed"/>
        <w:tblCellMar>
          <w:top w:w="0" w:type="dxa"/>
          <w:left w:w="0" w:type="dxa"/>
          <w:bottom w:w="0" w:type="dxa"/>
          <w:right w:w="0" w:type="dxa"/>
        </w:tblCellMar>
      </w:tblPr>
      <w:tblGrid>
        <w:gridCol w:w="664"/>
        <w:gridCol w:w="2064"/>
        <w:gridCol w:w="1070"/>
        <w:gridCol w:w="1314"/>
        <w:gridCol w:w="1315"/>
        <w:gridCol w:w="1314"/>
        <w:gridCol w:w="1315"/>
      </w:tblGrid>
      <w:tr>
        <w:tblPrEx>
          <w:tblCellMar>
            <w:top w:w="0" w:type="dxa"/>
            <w:left w:w="0" w:type="dxa"/>
            <w:bottom w:w="0" w:type="dxa"/>
            <w:right w:w="0" w:type="dxa"/>
          </w:tblCellMar>
        </w:tblPrEx>
        <w:trPr>
          <w:trHeight w:val="340" w:hRule="atLeast"/>
        </w:trPr>
        <w:tc>
          <w:tcPr>
            <w:tcW w:w="6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序号</w:t>
            </w: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项目</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单位</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第十年</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第十一年</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第十二年</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ind w:left="0" w:leftChars="0" w:firstLine="0" w:firstLineChars="0"/>
              <w:jc w:val="center"/>
              <w:textAlignment w:val="center"/>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第十三年</w:t>
            </w:r>
          </w:p>
        </w:tc>
      </w:tr>
      <w:tr>
        <w:tblPrEx>
          <w:tblCellMar>
            <w:top w:w="0" w:type="dxa"/>
            <w:left w:w="0" w:type="dxa"/>
            <w:bottom w:w="0" w:type="dxa"/>
            <w:right w:w="0" w:type="dxa"/>
          </w:tblCellMar>
        </w:tblPrEx>
        <w:trPr>
          <w:trHeight w:val="340" w:hRule="atLeast"/>
        </w:trPr>
        <w:tc>
          <w:tcPr>
            <w:tcW w:w="66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1</w:t>
            </w: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工业用地出让收入</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1,510.52</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1,586.03</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1,665.34</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1,748.60</w:t>
            </w:r>
          </w:p>
        </w:tc>
      </w:tr>
      <w:tr>
        <w:tblPrEx>
          <w:tblCellMar>
            <w:top w:w="0" w:type="dxa"/>
            <w:left w:w="0" w:type="dxa"/>
            <w:bottom w:w="0" w:type="dxa"/>
            <w:right w:w="0" w:type="dxa"/>
          </w:tblCellMar>
        </w:tblPrEx>
        <w:trPr>
          <w:trHeight w:val="340" w:hRule="atLeast"/>
        </w:trPr>
        <w:tc>
          <w:tcPr>
            <w:tcW w:w="664"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工业用地面积</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34,633.93</w:t>
            </w:r>
          </w:p>
        </w:tc>
      </w:tr>
      <w:tr>
        <w:tblPrEx>
          <w:tblCellMar>
            <w:top w:w="0" w:type="dxa"/>
            <w:left w:w="0" w:type="dxa"/>
            <w:bottom w:w="0" w:type="dxa"/>
            <w:right w:w="0" w:type="dxa"/>
          </w:tblCellMar>
        </w:tblPrEx>
        <w:trPr>
          <w:trHeight w:val="340" w:hRule="atLeast"/>
        </w:trPr>
        <w:tc>
          <w:tcPr>
            <w:tcW w:w="66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地面单价</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元/㎡</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436.14</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457.94</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480.84</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504.88</w:t>
            </w:r>
          </w:p>
        </w:tc>
      </w:tr>
      <w:tr>
        <w:tblPrEx>
          <w:tblCellMar>
            <w:top w:w="0" w:type="dxa"/>
            <w:left w:w="0" w:type="dxa"/>
            <w:bottom w:w="0" w:type="dxa"/>
            <w:right w:w="0" w:type="dxa"/>
          </w:tblCellMar>
        </w:tblPrEx>
        <w:trPr>
          <w:trHeight w:val="340" w:hRule="atLeast"/>
        </w:trPr>
        <w:tc>
          <w:tcPr>
            <w:tcW w:w="66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2</w:t>
            </w: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商业用地出让收入</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8,985.07</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9,434.33</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9,906.04</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10,401.35</w:t>
            </w:r>
          </w:p>
        </w:tc>
      </w:tr>
      <w:tr>
        <w:tblPrEx>
          <w:tblCellMar>
            <w:top w:w="0" w:type="dxa"/>
            <w:left w:w="0" w:type="dxa"/>
            <w:bottom w:w="0" w:type="dxa"/>
            <w:right w:w="0" w:type="dxa"/>
          </w:tblCellMar>
        </w:tblPrEx>
        <w:trPr>
          <w:trHeight w:val="340" w:hRule="atLeast"/>
        </w:trPr>
        <w:tc>
          <w:tcPr>
            <w:tcW w:w="664" w:type="dxa"/>
            <w:vMerge w:val="continue"/>
            <w:tcBorders>
              <w:left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商业用地面积</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13,761.35</w:t>
            </w:r>
          </w:p>
        </w:tc>
      </w:tr>
      <w:tr>
        <w:tblPrEx>
          <w:tblCellMar>
            <w:top w:w="0" w:type="dxa"/>
            <w:left w:w="0" w:type="dxa"/>
            <w:bottom w:w="0" w:type="dxa"/>
            <w:right w:w="0" w:type="dxa"/>
          </w:tblCellMar>
        </w:tblPrEx>
        <w:trPr>
          <w:trHeight w:val="340" w:hRule="atLeast"/>
        </w:trPr>
        <w:tc>
          <w:tcPr>
            <w:tcW w:w="664"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土地单价</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1"/>
                <w:szCs w:val="21"/>
                <w:lang w:eastAsia="zh-CN" w:bidi="ar-SA"/>
              </w:rPr>
            </w:pPr>
            <w:r>
              <w:rPr>
                <w:rFonts w:hint="eastAsia" w:ascii="仿宋_GB2312" w:hAnsi="仿宋_GB2312" w:eastAsia="仿宋_GB2312" w:cs="仿宋_GB2312"/>
                <w:sz w:val="21"/>
                <w:szCs w:val="21"/>
                <w:lang w:val="en-US" w:eastAsia="zh-CN" w:bidi="ar-SA"/>
              </w:rPr>
              <w:t>元/㎡</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6,529.21</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6,855.67</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7,198.45</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7,558.38</w:t>
            </w:r>
          </w:p>
        </w:tc>
      </w:tr>
      <w:tr>
        <w:tblPrEx>
          <w:tblCellMar>
            <w:top w:w="0" w:type="dxa"/>
            <w:left w:w="0" w:type="dxa"/>
            <w:bottom w:w="0" w:type="dxa"/>
            <w:right w:w="0" w:type="dxa"/>
          </w:tblCellMar>
        </w:tblPrEx>
        <w:trPr>
          <w:trHeight w:val="340" w:hRule="atLeast"/>
        </w:trPr>
        <w:tc>
          <w:tcPr>
            <w:tcW w:w="6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3</w:t>
            </w:r>
          </w:p>
        </w:tc>
        <w:tc>
          <w:tcPr>
            <w:tcW w:w="206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合计</w:t>
            </w:r>
          </w:p>
        </w:tc>
        <w:tc>
          <w:tcPr>
            <w:tcW w:w="10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eastAsia="zh-CN" w:bidi="ar-SA"/>
              </w:rPr>
            </w:pPr>
            <w:r>
              <w:rPr>
                <w:rFonts w:hint="eastAsia" w:ascii="仿宋_GB2312" w:hAnsi="仿宋_GB2312" w:eastAsia="仿宋_GB2312" w:cs="仿宋_GB2312"/>
                <w:b/>
                <w:bCs/>
                <w:sz w:val="21"/>
                <w:szCs w:val="21"/>
                <w:lang w:val="en-US" w:eastAsia="zh-CN" w:bidi="ar-SA"/>
              </w:rPr>
              <w:t>万元</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10,495.60</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11,020.35</w:t>
            </w:r>
          </w:p>
        </w:tc>
        <w:tc>
          <w:tcPr>
            <w:tcW w:w="131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11,571.38</w:t>
            </w:r>
          </w:p>
        </w:tc>
        <w:tc>
          <w:tcPr>
            <w:tcW w:w="131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right"/>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12,149.95</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4）土地出让收益预测</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用于平衡的土地，计算时都扣除了自身的成本部分，所以本报告中未计算成本，计划出让时间2024-2038年进行土地挂牌交易出让。</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财政根据相关文件规定从缴入本级国库的招标、拍卖、挂牌和协议方式出让国有土地使用权所取得的总成交价款中按5.00%比例安排，用于建立政府国有土地收益基金，实行分账核算。国有土地收益基金主要用于县区土地收购储备。据此，以上地块出让收益剔除政策性基金后形成的基金性收入将按照《关于试点发展项目收益与融资自求平衡的地方政府专项债券品种的通知》（财预[2017]89号）等文件要求，专项用于偿还本期债券本息之后，剩余部分用于偿还对应地块前期融资本息。</w:t>
      </w:r>
    </w:p>
    <w:p>
      <w:pPr>
        <w:pStyle w:val="16"/>
        <w:jc w:val="center"/>
        <w:rPr>
          <w:rFonts w:ascii="仿宋" w:hAnsi="仿宋" w:eastAsia="仿宋" w:cs="仿宋"/>
          <w:bCs/>
          <w:color w:val="auto"/>
          <w:szCs w:val="24"/>
        </w:rPr>
      </w:pPr>
      <w:r>
        <w:rPr>
          <w:rFonts w:hint="eastAsia" w:ascii="仿宋_GB2312" w:hAnsi="仿宋_GB2312" w:eastAsia="仿宋_GB2312" w:cs="仿宋_GB2312"/>
          <w:sz w:val="32"/>
          <w:szCs w:val="32"/>
          <w:highlight w:val="none"/>
        </w:rPr>
        <w:t>表1</w:t>
      </w:r>
      <w:r>
        <w:rPr>
          <w:rFonts w:hint="eastAsia" w:cs="仿宋_GB2312"/>
          <w:sz w:val="32"/>
          <w:szCs w:val="32"/>
          <w:highlight w:val="none"/>
          <w:lang w:val="en-US" w:eastAsia="zh-CN"/>
        </w:rPr>
        <w:t>5</w:t>
      </w:r>
      <w:r>
        <w:rPr>
          <w:rFonts w:hint="eastAsia" w:ascii="仿宋_GB2312" w:hAnsi="仿宋_GB2312" w:eastAsia="仿宋_GB2312" w:cs="仿宋_GB2312"/>
          <w:sz w:val="32"/>
          <w:szCs w:val="32"/>
          <w:highlight w:val="none"/>
        </w:rPr>
        <w:t>：土地出让收益</w:t>
      </w:r>
      <w:r>
        <w:rPr>
          <w:rFonts w:hint="eastAsia" w:cs="仿宋_GB2312"/>
          <w:sz w:val="32"/>
          <w:szCs w:val="32"/>
          <w:highlight w:val="none"/>
          <w:lang w:val="en-US" w:eastAsia="zh-CN"/>
        </w:rPr>
        <w:t>明细</w:t>
      </w:r>
      <w:r>
        <w:rPr>
          <w:rFonts w:hint="eastAsia" w:ascii="仿宋_GB2312" w:hAnsi="仿宋_GB2312" w:eastAsia="仿宋_GB2312" w:cs="仿宋_GB2312"/>
          <w:sz w:val="32"/>
          <w:szCs w:val="32"/>
          <w:highlight w:val="none"/>
        </w:rPr>
        <w:t>表（单位：万元）</w:t>
      </w:r>
    </w:p>
    <w:tbl>
      <w:tblPr>
        <w:tblStyle w:val="13"/>
        <w:tblW w:w="0" w:type="auto"/>
        <w:tblInd w:w="0" w:type="dxa"/>
        <w:tblLayout w:type="fixed"/>
        <w:tblCellMar>
          <w:top w:w="0" w:type="dxa"/>
          <w:left w:w="108" w:type="dxa"/>
          <w:bottom w:w="0" w:type="dxa"/>
          <w:right w:w="108" w:type="dxa"/>
        </w:tblCellMar>
      </w:tblPr>
      <w:tblGrid>
        <w:gridCol w:w="965"/>
        <w:gridCol w:w="5835"/>
        <w:gridCol w:w="2440"/>
      </w:tblGrid>
      <w:tr>
        <w:tblPrEx>
          <w:tblCellMar>
            <w:top w:w="0" w:type="dxa"/>
            <w:left w:w="108" w:type="dxa"/>
            <w:bottom w:w="0" w:type="dxa"/>
            <w:right w:w="108" w:type="dxa"/>
          </w:tblCellMar>
        </w:tblPrEx>
        <w:trPr>
          <w:trHeight w:val="540"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both"/>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序号</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项目</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黑体" w:hAnsi="黑体" w:eastAsia="黑体" w:cs="黑体"/>
                <w:kern w:val="0"/>
                <w:sz w:val="21"/>
                <w:szCs w:val="21"/>
                <w:lang w:val="en-US" w:eastAsia="zh-CN" w:bidi="ar-SA"/>
              </w:rPr>
            </w:pPr>
            <w:r>
              <w:rPr>
                <w:rFonts w:hint="eastAsia" w:ascii="黑体" w:hAnsi="黑体" w:eastAsia="黑体" w:cs="黑体"/>
                <w:kern w:val="0"/>
                <w:sz w:val="21"/>
                <w:szCs w:val="21"/>
                <w:lang w:val="en-US" w:eastAsia="zh-CN" w:bidi="ar-SA"/>
              </w:rPr>
              <w:t>收益</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一</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出让土地回款</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119,838.01</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二</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用于资金平衡土地相关收益</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113,846.11</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土地出让收入</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119,838.01</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2</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政府收益（1*5%）</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5,991.90</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3</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政策性基金（1*5%）</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5,991.90</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4</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可返还土地成本（1-2）</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113,846.11</w:t>
            </w:r>
          </w:p>
        </w:tc>
      </w:tr>
      <w:tr>
        <w:tblPrEx>
          <w:tblCellMar>
            <w:top w:w="0" w:type="dxa"/>
            <w:left w:w="108" w:type="dxa"/>
            <w:bottom w:w="0" w:type="dxa"/>
            <w:right w:w="108" w:type="dxa"/>
          </w:tblCellMar>
        </w:tblPrEx>
        <w:trPr>
          <w:trHeight w:val="46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5</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可返还政府收益（2-3）</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default"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0.00</w:t>
            </w:r>
          </w:p>
        </w:tc>
      </w:tr>
      <w:tr>
        <w:tblPrEx>
          <w:tblCellMar>
            <w:top w:w="0" w:type="dxa"/>
            <w:left w:w="108" w:type="dxa"/>
            <w:bottom w:w="0" w:type="dxa"/>
            <w:right w:w="108" w:type="dxa"/>
          </w:tblCellMar>
        </w:tblPrEx>
        <w:trPr>
          <w:trHeight w:val="475" w:hRule="atLeast"/>
        </w:trPr>
        <w:tc>
          <w:tcPr>
            <w:tcW w:w="965" w:type="dxa"/>
            <w:tcBorders>
              <w:top w:val="single" w:color="000000" w:sz="4" w:space="0"/>
              <w:left w:val="single" w:color="000000" w:sz="4" w:space="0"/>
              <w:bottom w:val="single" w:color="000000" w:sz="4" w:space="0"/>
              <w:right w:val="single" w:color="000000" w:sz="4" w:space="0"/>
            </w:tcBorders>
            <w:noWrap w:val="0"/>
            <w:vAlign w:val="center"/>
          </w:tcPr>
          <w:p>
            <w:pPr>
              <w:ind w:left="0" w:leftChars="0" w:firstLine="0" w:firstLineChars="0"/>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6</w:t>
            </w:r>
          </w:p>
        </w:tc>
        <w:tc>
          <w:tcPr>
            <w:tcW w:w="58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用于资金平衡土地相关收益</w:t>
            </w:r>
          </w:p>
        </w:tc>
        <w:tc>
          <w:tcPr>
            <w:tcW w:w="24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480" w:firstLineChars="200"/>
              <w:jc w:val="center"/>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113,846.11</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根据上述测算，本项目可用于资金平衡土地相关收益113,846.11万元。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（2）营业收入测算</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1）路边广告牌租赁收入测算</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广告牌设置：根据《源城区工业园第三期扩园项目可行性研究报告》，项目新建道路2,886.00m，预计道路两侧可设置的路边广告牌共231.00个，根据类似项目市场收费价格，2025年按300.00元/个/月计,单价按5.00%递增率每年递增。</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项目2025年开始有路边广告牌收入，路边广告牌出租率2025年为50.00%，2026年为60.00%，2027年为70.00%，2028年及以后年度为80%，则计算期内广告牌租赁收入合计1,982.54万元。</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2）三面翻广告租赁收入测算</w:t>
      </w:r>
    </w:p>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设置三面翻广告有2个。第2025年开始有三面翻广告出租收入，根据类似项目市场收费价格，2025年按12.00万元/面/年计。按照每年5.00%增长率进行预测未来年度收费单价（过去五年河源市GDP平均增长率为5.20%，为保守估计，本报告单价增长率取5.00%）。则计算期内三面翻广告租赁收入合计2,198.81万元。</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w:t>
      </w:r>
      <w:r>
        <w:rPr>
          <w:rFonts w:hint="eastAsia" w:cs="仿宋_GB2312"/>
          <w:sz w:val="32"/>
          <w:szCs w:val="32"/>
          <w:highlight w:val="none"/>
          <w:lang w:val="en-US" w:eastAsia="zh-CN"/>
        </w:rPr>
        <w:t>6</w:t>
      </w:r>
      <w:r>
        <w:rPr>
          <w:rFonts w:hint="eastAsia" w:ascii="仿宋_GB2312" w:hAnsi="仿宋_GB2312" w:eastAsia="仿宋_GB2312" w:cs="仿宋_GB2312"/>
          <w:sz w:val="32"/>
          <w:szCs w:val="32"/>
          <w:highlight w:val="none"/>
        </w:rPr>
        <w:t>：项目经营收入测算明细表（单位：万元）</w:t>
      </w:r>
    </w:p>
    <w:tbl>
      <w:tblPr>
        <w:tblStyle w:val="13"/>
        <w:tblW w:w="9056" w:type="dxa"/>
        <w:tblInd w:w="0" w:type="dxa"/>
        <w:tblLayout w:type="fixed"/>
        <w:tblCellMar>
          <w:top w:w="0" w:type="dxa"/>
          <w:left w:w="0" w:type="dxa"/>
          <w:bottom w:w="0" w:type="dxa"/>
          <w:right w:w="0" w:type="dxa"/>
        </w:tblCellMar>
      </w:tblPr>
      <w:tblGrid>
        <w:gridCol w:w="598"/>
        <w:gridCol w:w="1663"/>
        <w:gridCol w:w="1158"/>
        <w:gridCol w:w="1275"/>
        <w:gridCol w:w="1061"/>
        <w:gridCol w:w="1124"/>
        <w:gridCol w:w="1123"/>
        <w:gridCol w:w="1054"/>
      </w:tblGrid>
      <w:tr>
        <w:tblPrEx>
          <w:tblCellMar>
            <w:top w:w="0" w:type="dxa"/>
            <w:left w:w="0" w:type="dxa"/>
            <w:bottom w:w="0" w:type="dxa"/>
            <w:right w:w="0" w:type="dxa"/>
          </w:tblCellMar>
        </w:tblPrEx>
        <w:trPr>
          <w:trHeight w:val="340" w:hRule="atLeast"/>
          <w:tblHeader/>
        </w:trPr>
        <w:tc>
          <w:tcPr>
            <w:tcW w:w="598"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序号</w:t>
            </w:r>
          </w:p>
        </w:tc>
        <w:tc>
          <w:tcPr>
            <w:tcW w:w="1663"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项目</w:t>
            </w:r>
          </w:p>
        </w:tc>
        <w:tc>
          <w:tcPr>
            <w:tcW w:w="115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单位</w:t>
            </w:r>
          </w:p>
        </w:tc>
        <w:tc>
          <w:tcPr>
            <w:tcW w:w="1275"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合计</w:t>
            </w:r>
          </w:p>
        </w:tc>
        <w:tc>
          <w:tcPr>
            <w:tcW w:w="1061"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第一年</w:t>
            </w:r>
          </w:p>
        </w:tc>
        <w:tc>
          <w:tcPr>
            <w:tcW w:w="1124"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第二年</w:t>
            </w:r>
          </w:p>
        </w:tc>
        <w:tc>
          <w:tcPr>
            <w:tcW w:w="1123"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第三年</w:t>
            </w:r>
          </w:p>
        </w:tc>
        <w:tc>
          <w:tcPr>
            <w:tcW w:w="1054"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b w:val="0"/>
                <w:bCs w:val="0"/>
                <w:sz w:val="21"/>
                <w:szCs w:val="21"/>
                <w:lang w:val="en-US" w:eastAsia="zh-CN" w:bidi="ar-SA"/>
              </w:rPr>
            </w:pPr>
            <w:r>
              <w:rPr>
                <w:rFonts w:hint="eastAsia" w:ascii="黑体" w:hAnsi="黑体" w:eastAsia="黑体" w:cs="黑体"/>
                <w:b w:val="0"/>
                <w:bCs w:val="0"/>
                <w:sz w:val="21"/>
                <w:szCs w:val="21"/>
                <w:lang w:val="en-US" w:eastAsia="zh-CN" w:bidi="ar-SA"/>
              </w:rPr>
              <w:t>第四年</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1</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路边广告牌收入</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1,982.54</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41.76</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52.54</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64.30</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77.10</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1.1</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路边广告牌</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116</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139</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1.2</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元/个/月</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default"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300.00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315.00</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330.75</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347.29</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出租比例</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50.00%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60.00%</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70.00%</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2</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三面翻租赁收入</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2,198.81</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72.00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75.60</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79.38</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83.35</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2.2</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出租个数</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r>
      <w:tr>
        <w:tblPrEx>
          <w:tblCellMar>
            <w:top w:w="0" w:type="dxa"/>
            <w:left w:w="0" w:type="dxa"/>
            <w:bottom w:w="0" w:type="dxa"/>
            <w:right w:w="0" w:type="dxa"/>
          </w:tblCellMar>
        </w:tblPrEx>
        <w:trPr>
          <w:trHeight w:val="340" w:hRule="atLeast"/>
        </w:trPr>
        <w:tc>
          <w:tcPr>
            <w:tcW w:w="598"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2.3</w:t>
            </w:r>
          </w:p>
        </w:tc>
        <w:tc>
          <w:tcPr>
            <w:tcW w:w="16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1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val="0"/>
                <w:bCs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万元/翻/年</w:t>
            </w:r>
          </w:p>
        </w:tc>
        <w:tc>
          <w:tcPr>
            <w:tcW w:w="12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w:t>
            </w:r>
          </w:p>
        </w:tc>
        <w:tc>
          <w:tcPr>
            <w:tcW w:w="106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12.00</w:t>
            </w:r>
          </w:p>
        </w:tc>
        <w:tc>
          <w:tcPr>
            <w:tcW w:w="112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12.60</w:t>
            </w:r>
          </w:p>
        </w:tc>
        <w:tc>
          <w:tcPr>
            <w:tcW w:w="11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13.23</w:t>
            </w:r>
          </w:p>
        </w:tc>
        <w:tc>
          <w:tcPr>
            <w:tcW w:w="105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13.89</w:t>
            </w:r>
          </w:p>
        </w:tc>
      </w:tr>
      <w:tr>
        <w:tblPrEx>
          <w:tblCellMar>
            <w:top w:w="0" w:type="dxa"/>
            <w:left w:w="0" w:type="dxa"/>
            <w:bottom w:w="0" w:type="dxa"/>
            <w:right w:w="0" w:type="dxa"/>
          </w:tblCellMar>
        </w:tblPrEx>
        <w:trPr>
          <w:trHeight w:val="340" w:hRule="atLeast"/>
        </w:trPr>
        <w:tc>
          <w:tcPr>
            <w:tcW w:w="3419" w:type="dxa"/>
            <w:gridSpan w:val="3"/>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b/>
                <w:bCs/>
                <w:sz w:val="21"/>
                <w:szCs w:val="21"/>
                <w:lang w:val="en-US" w:eastAsia="zh-CN" w:bidi="ar-SA"/>
              </w:rPr>
            </w:pPr>
            <w:r>
              <w:rPr>
                <w:rFonts w:hint="eastAsia" w:ascii="仿宋_GB2312" w:hAnsi="仿宋_GB2312" w:eastAsia="仿宋_GB2312" w:cs="仿宋_GB2312"/>
                <w:b/>
                <w:bCs/>
                <w:sz w:val="21"/>
                <w:szCs w:val="21"/>
                <w:lang w:val="en-US" w:eastAsia="zh-CN" w:bidi="ar-SA"/>
              </w:rPr>
              <w:t>经营收入</w:t>
            </w:r>
          </w:p>
        </w:tc>
        <w:tc>
          <w:tcPr>
            <w:tcW w:w="1275"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4,181.35</w:t>
            </w:r>
          </w:p>
        </w:tc>
        <w:tc>
          <w:tcPr>
            <w:tcW w:w="106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113.76</w:t>
            </w:r>
          </w:p>
        </w:tc>
        <w:tc>
          <w:tcPr>
            <w:tcW w:w="1124"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128.14</w:t>
            </w:r>
          </w:p>
        </w:tc>
        <w:tc>
          <w:tcPr>
            <w:tcW w:w="1123"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2" w:firstLineChars="20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143.68</w:t>
            </w:r>
          </w:p>
        </w:tc>
        <w:tc>
          <w:tcPr>
            <w:tcW w:w="1054"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160.45</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（续表）</w:t>
      </w:r>
    </w:p>
    <w:tbl>
      <w:tblPr>
        <w:tblStyle w:val="13"/>
        <w:tblW w:w="0" w:type="auto"/>
        <w:tblInd w:w="0" w:type="dxa"/>
        <w:tblLayout w:type="fixed"/>
        <w:tblCellMar>
          <w:top w:w="0" w:type="dxa"/>
          <w:left w:w="0" w:type="dxa"/>
          <w:bottom w:w="0" w:type="dxa"/>
          <w:right w:w="0" w:type="dxa"/>
        </w:tblCellMar>
      </w:tblPr>
      <w:tblGrid>
        <w:gridCol w:w="590"/>
        <w:gridCol w:w="1588"/>
        <w:gridCol w:w="1194"/>
        <w:gridCol w:w="1016"/>
        <w:gridCol w:w="1167"/>
        <w:gridCol w:w="1167"/>
        <w:gridCol w:w="1167"/>
        <w:gridCol w:w="1167"/>
      </w:tblGrid>
      <w:tr>
        <w:tblPrEx>
          <w:tblCellMar>
            <w:top w:w="0" w:type="dxa"/>
            <w:left w:w="0" w:type="dxa"/>
            <w:bottom w:w="0" w:type="dxa"/>
            <w:right w:w="0" w:type="dxa"/>
          </w:tblCellMar>
        </w:tblPrEx>
        <w:trPr>
          <w:trHeight w:val="428" w:hRule="atLeast"/>
        </w:trPr>
        <w:tc>
          <w:tcPr>
            <w:tcW w:w="590"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158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项目</w:t>
            </w:r>
          </w:p>
        </w:tc>
        <w:tc>
          <w:tcPr>
            <w:tcW w:w="1194"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单位</w:t>
            </w:r>
          </w:p>
        </w:tc>
        <w:tc>
          <w:tcPr>
            <w:tcW w:w="1016"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第五年</w:t>
            </w:r>
          </w:p>
        </w:tc>
        <w:tc>
          <w:tcPr>
            <w:tcW w:w="116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第六年</w:t>
            </w:r>
          </w:p>
        </w:tc>
        <w:tc>
          <w:tcPr>
            <w:tcW w:w="116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第七年</w:t>
            </w:r>
          </w:p>
        </w:tc>
        <w:tc>
          <w:tcPr>
            <w:tcW w:w="116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第八年</w:t>
            </w:r>
          </w:p>
        </w:tc>
        <w:tc>
          <w:tcPr>
            <w:tcW w:w="116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第九年</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1</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路边广告牌收入</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firstLine="402" w:firstLineChars="20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80.95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85.00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89.25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93.71</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98.40</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1.1</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路边广告牌</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firstLine="402" w:firstLineChars="20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1.2</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单价</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元/个/月</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364.65</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382.88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402.03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422.13</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443.24</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1.3</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出租比例</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firstLine="400" w:firstLineChars="20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2</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三面翻租赁收入</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firstLine="402" w:firstLineChars="20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万元</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87.52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91.89</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96.49</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101.31</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106.38</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2.2</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出租个数</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firstLine="402" w:firstLineChars="20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个</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r>
      <w:tr>
        <w:tblPrEx>
          <w:tblCellMar>
            <w:top w:w="0" w:type="dxa"/>
            <w:left w:w="0" w:type="dxa"/>
            <w:bottom w:w="0" w:type="dxa"/>
            <w:right w:w="0" w:type="dxa"/>
          </w:tblCellMar>
        </w:tblPrEx>
        <w:trPr>
          <w:trHeight w:val="340" w:hRule="atLeast"/>
        </w:trPr>
        <w:tc>
          <w:tcPr>
            <w:tcW w:w="59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2.3</w:t>
            </w:r>
          </w:p>
        </w:tc>
        <w:tc>
          <w:tcPr>
            <w:tcW w:w="15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单价</w:t>
            </w:r>
          </w:p>
        </w:tc>
        <w:tc>
          <w:tcPr>
            <w:tcW w:w="119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both"/>
              <w:textAlignment w:val="center"/>
              <w:rPr>
                <w:rFonts w:hint="eastAsia"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bidi="ar"/>
              </w:rPr>
              <w:t>万元/翻/年</w:t>
            </w:r>
          </w:p>
        </w:tc>
        <w:tc>
          <w:tcPr>
            <w:tcW w:w="10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14.59</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15.32</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16.08</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16.89</w:t>
            </w:r>
          </w:p>
        </w:tc>
        <w:tc>
          <w:tcPr>
            <w:tcW w:w="11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17.73</w:t>
            </w:r>
          </w:p>
        </w:tc>
      </w:tr>
      <w:tr>
        <w:tblPrEx>
          <w:tblCellMar>
            <w:top w:w="0" w:type="dxa"/>
            <w:left w:w="0" w:type="dxa"/>
            <w:bottom w:w="0" w:type="dxa"/>
            <w:right w:w="0" w:type="dxa"/>
          </w:tblCellMar>
        </w:tblPrEx>
        <w:trPr>
          <w:trHeight w:val="340" w:hRule="atLeast"/>
        </w:trPr>
        <w:tc>
          <w:tcPr>
            <w:tcW w:w="3372" w:type="dxa"/>
            <w:gridSpan w:val="3"/>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经营收入</w:t>
            </w:r>
          </w:p>
        </w:tc>
        <w:tc>
          <w:tcPr>
            <w:tcW w:w="101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168.47</w:t>
            </w:r>
          </w:p>
        </w:tc>
        <w:tc>
          <w:tcPr>
            <w:tcW w:w="116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176.89</w:t>
            </w:r>
          </w:p>
        </w:tc>
        <w:tc>
          <w:tcPr>
            <w:tcW w:w="116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185.74</w:t>
            </w:r>
          </w:p>
        </w:tc>
        <w:tc>
          <w:tcPr>
            <w:tcW w:w="116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195.02</w:t>
            </w:r>
          </w:p>
        </w:tc>
        <w:tc>
          <w:tcPr>
            <w:tcW w:w="116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204.78</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（续表）</w:t>
      </w:r>
    </w:p>
    <w:tbl>
      <w:tblPr>
        <w:tblStyle w:val="13"/>
        <w:tblW w:w="9056" w:type="dxa"/>
        <w:tblInd w:w="0" w:type="dxa"/>
        <w:tblLayout w:type="fixed"/>
        <w:tblCellMar>
          <w:top w:w="0" w:type="dxa"/>
          <w:left w:w="0" w:type="dxa"/>
          <w:bottom w:w="0" w:type="dxa"/>
          <w:right w:w="0" w:type="dxa"/>
        </w:tblCellMar>
      </w:tblPr>
      <w:tblGrid>
        <w:gridCol w:w="580"/>
        <w:gridCol w:w="1681"/>
        <w:gridCol w:w="1227"/>
        <w:gridCol w:w="977"/>
        <w:gridCol w:w="1148"/>
        <w:gridCol w:w="1148"/>
        <w:gridCol w:w="1147"/>
        <w:gridCol w:w="1148"/>
      </w:tblGrid>
      <w:tr>
        <w:tblPrEx>
          <w:tblCellMar>
            <w:top w:w="0" w:type="dxa"/>
            <w:left w:w="0" w:type="dxa"/>
            <w:bottom w:w="0" w:type="dxa"/>
            <w:right w:w="0" w:type="dxa"/>
          </w:tblCellMar>
        </w:tblPrEx>
        <w:trPr>
          <w:trHeight w:val="340" w:hRule="atLeast"/>
          <w:tblHeader/>
        </w:trPr>
        <w:tc>
          <w:tcPr>
            <w:tcW w:w="580"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1681"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项目</w:t>
            </w:r>
          </w:p>
        </w:tc>
        <w:tc>
          <w:tcPr>
            <w:tcW w:w="122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单位</w:t>
            </w:r>
          </w:p>
        </w:tc>
        <w:tc>
          <w:tcPr>
            <w:tcW w:w="97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第十年</w:t>
            </w:r>
          </w:p>
        </w:tc>
        <w:tc>
          <w:tcPr>
            <w:tcW w:w="114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第十一年</w:t>
            </w:r>
          </w:p>
        </w:tc>
        <w:tc>
          <w:tcPr>
            <w:tcW w:w="114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第十二年</w:t>
            </w:r>
          </w:p>
        </w:tc>
        <w:tc>
          <w:tcPr>
            <w:tcW w:w="1147"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0"/>
                <w:szCs w:val="20"/>
                <w:u w:val="none"/>
              </w:rPr>
            </w:pPr>
            <w:r>
              <w:rPr>
                <w:rFonts w:hint="eastAsia" w:ascii="仿宋" w:hAnsi="仿宋" w:eastAsia="仿宋" w:cs="仿宋"/>
                <w:b/>
                <w:bCs/>
                <w:i w:val="0"/>
                <w:color w:val="000000"/>
                <w:kern w:val="0"/>
                <w:sz w:val="21"/>
                <w:szCs w:val="21"/>
                <w:u w:val="none"/>
                <w:lang w:val="en-US" w:eastAsia="zh-CN" w:bidi="ar"/>
              </w:rPr>
              <w:t>第十三年</w:t>
            </w:r>
          </w:p>
        </w:tc>
        <w:tc>
          <w:tcPr>
            <w:tcW w:w="114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kern w:val="0"/>
                <w:sz w:val="21"/>
                <w:szCs w:val="21"/>
                <w:u w:val="none"/>
                <w:lang w:val="en-US" w:eastAsia="zh-CN" w:bidi="ar"/>
              </w:rPr>
            </w:pPr>
            <w:r>
              <w:rPr>
                <w:rFonts w:hint="eastAsia" w:ascii="仿宋" w:hAnsi="仿宋" w:eastAsia="仿宋" w:cs="仿宋"/>
                <w:b/>
                <w:bCs/>
                <w:i w:val="0"/>
                <w:color w:val="000000"/>
                <w:kern w:val="0"/>
                <w:sz w:val="21"/>
                <w:szCs w:val="21"/>
                <w:u w:val="none"/>
                <w:lang w:val="en-US" w:eastAsia="zh-CN" w:bidi="ar"/>
              </w:rPr>
              <w:t>第十四年</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1</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sz w:val="21"/>
                <w:szCs w:val="21"/>
                <w:lang w:val="en-US" w:eastAsia="zh-CN" w:bidi="ar-SA"/>
              </w:rPr>
              <w:t>路边广告牌收入</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103.32</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108.48</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113.91</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119.60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125.58</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1.1</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路边广告牌</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1.2</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元/个/月</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465.40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488.67</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513.10</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538.76</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565.69</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出租比例</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2</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三面翻租赁收入</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111.70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117.28</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123.14</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129.30</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135.77</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2.2</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出租个数</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r>
      <w:tr>
        <w:tblPrEx>
          <w:tblCellMar>
            <w:top w:w="0" w:type="dxa"/>
            <w:left w:w="0" w:type="dxa"/>
            <w:bottom w:w="0" w:type="dxa"/>
            <w:right w:w="0" w:type="dxa"/>
          </w:tblCellMar>
        </w:tblPrEx>
        <w:trPr>
          <w:trHeight w:val="340" w:hRule="atLeast"/>
        </w:trPr>
        <w:tc>
          <w:tcPr>
            <w:tcW w:w="580"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2.3</w:t>
            </w:r>
          </w:p>
        </w:tc>
        <w:tc>
          <w:tcPr>
            <w:tcW w:w="16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万元/翻/年</w:t>
            </w:r>
          </w:p>
        </w:tc>
        <w:tc>
          <w:tcPr>
            <w:tcW w:w="9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18.62</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19.55</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20.52</w:t>
            </w:r>
          </w:p>
        </w:tc>
        <w:tc>
          <w:tcPr>
            <w:tcW w:w="11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21.55</w:t>
            </w:r>
          </w:p>
        </w:tc>
        <w:tc>
          <w:tcPr>
            <w:tcW w:w="11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22.63</w:t>
            </w:r>
          </w:p>
        </w:tc>
      </w:tr>
      <w:tr>
        <w:tblPrEx>
          <w:tblCellMar>
            <w:top w:w="0" w:type="dxa"/>
            <w:left w:w="0" w:type="dxa"/>
            <w:bottom w:w="0" w:type="dxa"/>
            <w:right w:w="0" w:type="dxa"/>
          </w:tblCellMar>
        </w:tblPrEx>
        <w:trPr>
          <w:trHeight w:val="340" w:hRule="atLeast"/>
        </w:trPr>
        <w:tc>
          <w:tcPr>
            <w:tcW w:w="3488" w:type="dxa"/>
            <w:gridSpan w:val="3"/>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经营收入</w:t>
            </w:r>
          </w:p>
        </w:tc>
        <w:tc>
          <w:tcPr>
            <w:tcW w:w="97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103.32</w:t>
            </w:r>
          </w:p>
        </w:tc>
        <w:tc>
          <w:tcPr>
            <w:tcW w:w="1148"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108.48</w:t>
            </w:r>
          </w:p>
        </w:tc>
        <w:tc>
          <w:tcPr>
            <w:tcW w:w="1148"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113.91</w:t>
            </w:r>
          </w:p>
        </w:tc>
        <w:tc>
          <w:tcPr>
            <w:tcW w:w="114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119.60</w:t>
            </w:r>
          </w:p>
        </w:tc>
        <w:tc>
          <w:tcPr>
            <w:tcW w:w="1148"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bCs/>
                <w:kern w:val="0"/>
                <w:sz w:val="21"/>
                <w:szCs w:val="21"/>
                <w:lang w:val="en-US" w:eastAsia="zh-CN" w:bidi="ar-SA"/>
              </w:rPr>
            </w:pPr>
            <w:r>
              <w:rPr>
                <w:rFonts w:hint="eastAsia" w:ascii="仿宋_GB2312" w:hAnsi="仿宋_GB2312" w:eastAsia="仿宋_GB2312" w:cs="仿宋_GB2312"/>
                <w:b/>
                <w:bCs/>
                <w:kern w:val="0"/>
                <w:sz w:val="21"/>
                <w:szCs w:val="21"/>
                <w:lang w:val="en-US" w:eastAsia="zh-CN" w:bidi="ar-SA"/>
              </w:rPr>
              <w:t>125.58</w:t>
            </w:r>
          </w:p>
        </w:tc>
      </w:tr>
    </w:tbl>
    <w:p>
      <w:pPr>
        <w:pStyle w:val="16"/>
        <w:snapToGrid w:val="0"/>
        <w:spacing w:line="240" w:lineRule="auto"/>
        <w:ind w:firstLine="0" w:firstLineChars="0"/>
        <w:jc w:val="lef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（续表）</w:t>
      </w:r>
    </w:p>
    <w:tbl>
      <w:tblPr>
        <w:tblStyle w:val="13"/>
        <w:tblW w:w="9056" w:type="dxa"/>
        <w:tblInd w:w="0" w:type="dxa"/>
        <w:tblLayout w:type="fixed"/>
        <w:tblCellMar>
          <w:top w:w="0" w:type="dxa"/>
          <w:left w:w="0" w:type="dxa"/>
          <w:bottom w:w="0" w:type="dxa"/>
          <w:right w:w="0" w:type="dxa"/>
        </w:tblCellMar>
      </w:tblPr>
      <w:tblGrid>
        <w:gridCol w:w="544"/>
        <w:gridCol w:w="1579"/>
        <w:gridCol w:w="1140"/>
        <w:gridCol w:w="1155"/>
        <w:gridCol w:w="1191"/>
        <w:gridCol w:w="1149"/>
        <w:gridCol w:w="1149"/>
        <w:gridCol w:w="1149"/>
      </w:tblGrid>
      <w:tr>
        <w:tblPrEx>
          <w:tblCellMar>
            <w:top w:w="0" w:type="dxa"/>
            <w:left w:w="0" w:type="dxa"/>
            <w:bottom w:w="0" w:type="dxa"/>
            <w:right w:w="0" w:type="dxa"/>
          </w:tblCellMar>
        </w:tblPrEx>
        <w:trPr>
          <w:trHeight w:val="340" w:hRule="atLeast"/>
          <w:tblHeader/>
        </w:trPr>
        <w:tc>
          <w:tcPr>
            <w:tcW w:w="544"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序号</w:t>
            </w:r>
          </w:p>
        </w:tc>
        <w:tc>
          <w:tcPr>
            <w:tcW w:w="1579"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项目</w:t>
            </w:r>
          </w:p>
        </w:tc>
        <w:tc>
          <w:tcPr>
            <w:tcW w:w="1140"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0"/>
                <w:szCs w:val="20"/>
                <w:u w:val="none"/>
                <w:lang w:val="en-US" w:eastAsia="zh-CN" w:bidi="ar"/>
              </w:rPr>
              <w:t>单位</w:t>
            </w:r>
          </w:p>
        </w:tc>
        <w:tc>
          <w:tcPr>
            <w:tcW w:w="1155"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1"/>
                <w:szCs w:val="21"/>
                <w:u w:val="none"/>
                <w:lang w:val="en-US" w:eastAsia="zh-CN" w:bidi="ar"/>
              </w:rPr>
              <w:t>第十五年</w:t>
            </w:r>
          </w:p>
        </w:tc>
        <w:tc>
          <w:tcPr>
            <w:tcW w:w="1191"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1"/>
                <w:szCs w:val="21"/>
                <w:u w:val="none"/>
                <w:lang w:val="en-US" w:eastAsia="zh-CN" w:bidi="ar"/>
              </w:rPr>
              <w:t>第十六年</w:t>
            </w:r>
          </w:p>
        </w:tc>
        <w:tc>
          <w:tcPr>
            <w:tcW w:w="1149"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1"/>
                <w:szCs w:val="21"/>
                <w:u w:val="none"/>
                <w:lang w:val="en-US" w:eastAsia="zh-CN" w:bidi="ar"/>
              </w:rPr>
              <w:t>第十七年</w:t>
            </w:r>
          </w:p>
        </w:tc>
        <w:tc>
          <w:tcPr>
            <w:tcW w:w="1149"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1"/>
                <w:szCs w:val="21"/>
                <w:u w:val="none"/>
                <w:lang w:val="en-US" w:eastAsia="zh-CN" w:bidi="ar"/>
              </w:rPr>
              <w:t>第十八年</w:t>
            </w:r>
          </w:p>
        </w:tc>
        <w:tc>
          <w:tcPr>
            <w:tcW w:w="1149"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0"/>
                <w:szCs w:val="20"/>
                <w:u w:val="none"/>
              </w:rPr>
            </w:pPr>
            <w:r>
              <w:rPr>
                <w:rFonts w:hint="eastAsia" w:ascii="仿宋" w:hAnsi="仿宋" w:eastAsia="仿宋" w:cs="仿宋"/>
                <w:b/>
                <w:i w:val="0"/>
                <w:color w:val="000000"/>
                <w:kern w:val="0"/>
                <w:sz w:val="21"/>
                <w:szCs w:val="21"/>
                <w:u w:val="none"/>
                <w:lang w:val="en-US" w:eastAsia="zh-CN" w:bidi="ar"/>
              </w:rPr>
              <w:t>第十九年</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1</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路边广告牌收入</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131.86</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138.46</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145.38</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152.65</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160.28</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1.1</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路边广告牌</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185.00</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185.00</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1.2</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元/个/月</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593.98</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623.68</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654.86</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687.61</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721.99</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1.3</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出租比例</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2</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三面翻租赁收入</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万元</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142.56</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149.68</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157.17</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165.03</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173.28</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2.2</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出租个数</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个</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w:t>
            </w:r>
          </w:p>
        </w:tc>
      </w:tr>
      <w:tr>
        <w:tblPrEx>
          <w:tblCellMar>
            <w:top w:w="0" w:type="dxa"/>
            <w:left w:w="0" w:type="dxa"/>
            <w:bottom w:w="0" w:type="dxa"/>
            <w:right w:w="0" w:type="dxa"/>
          </w:tblCellMar>
        </w:tblPrEx>
        <w:trPr>
          <w:trHeight w:val="340" w:hRule="atLeast"/>
        </w:trPr>
        <w:tc>
          <w:tcPr>
            <w:tcW w:w="544"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2.3</w:t>
            </w:r>
          </w:p>
        </w:tc>
        <w:tc>
          <w:tcPr>
            <w:tcW w:w="157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单价</w:t>
            </w:r>
          </w:p>
        </w:tc>
        <w:tc>
          <w:tcPr>
            <w:tcW w:w="11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sz w:val="21"/>
                <w:szCs w:val="21"/>
                <w:lang w:val="en-US" w:eastAsia="zh-CN" w:bidi="ar-SA"/>
              </w:rPr>
              <w:t>万元/翻/年</w:t>
            </w:r>
          </w:p>
        </w:tc>
        <w:tc>
          <w:tcPr>
            <w:tcW w:w="11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23.76</w:t>
            </w:r>
          </w:p>
        </w:tc>
        <w:tc>
          <w:tcPr>
            <w:tcW w:w="119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24.95</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26.19</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27.50</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28.88</w:t>
            </w:r>
          </w:p>
        </w:tc>
      </w:tr>
      <w:tr>
        <w:tblPrEx>
          <w:tblCellMar>
            <w:top w:w="0" w:type="dxa"/>
            <w:left w:w="0" w:type="dxa"/>
            <w:bottom w:w="0" w:type="dxa"/>
            <w:right w:w="0" w:type="dxa"/>
          </w:tblCellMar>
        </w:tblPrEx>
        <w:trPr>
          <w:trHeight w:val="340" w:hRule="atLeast"/>
        </w:trPr>
        <w:tc>
          <w:tcPr>
            <w:tcW w:w="3263" w:type="dxa"/>
            <w:gridSpan w:val="3"/>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pStyle w:val="12"/>
              <w:keepNext w:val="0"/>
              <w:keepLines w:val="0"/>
              <w:pageBreakBefore w:val="0"/>
              <w:suppressLineNumbers w:val="0"/>
              <w:kinsoku/>
              <w:wordWrap/>
              <w:overflowPunct/>
              <w:topLinePunct w:val="0"/>
              <w:bidi w:val="0"/>
              <w:spacing w:before="0" w:beforeAutospacing="0" w:after="0" w:afterAutospacing="0" w:line="360" w:lineRule="auto"/>
              <w:ind w:left="0" w:leftChars="0" w:right="0" w:rightChars="0" w:firstLine="0" w:firstLineChars="0"/>
              <w:jc w:val="center"/>
              <w:outlineLvl w:val="9"/>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bCs/>
                <w:sz w:val="21"/>
                <w:szCs w:val="21"/>
                <w:lang w:val="en-US" w:eastAsia="zh-CN" w:bidi="ar-SA"/>
              </w:rPr>
              <w:t>经营收入</w:t>
            </w:r>
          </w:p>
        </w:tc>
        <w:tc>
          <w:tcPr>
            <w:tcW w:w="1155"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274.42</w:t>
            </w:r>
          </w:p>
        </w:tc>
        <w:tc>
          <w:tcPr>
            <w:tcW w:w="119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288.14</w:t>
            </w:r>
          </w:p>
        </w:tc>
        <w:tc>
          <w:tcPr>
            <w:tcW w:w="11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302.55</w:t>
            </w:r>
          </w:p>
        </w:tc>
        <w:tc>
          <w:tcPr>
            <w:tcW w:w="11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317.67</w:t>
            </w:r>
          </w:p>
        </w:tc>
        <w:tc>
          <w:tcPr>
            <w:tcW w:w="11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333.56</w:t>
            </w:r>
          </w:p>
        </w:tc>
      </w:tr>
    </w:tbl>
    <w:p>
      <w:pPr>
        <w:widowControl/>
        <w:numPr>
          <w:ilvl w:val="0"/>
          <w:numId w:val="0"/>
        </w:numPr>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综上，本项目未来产生的收入合计为118,027.46万元，其中广告牌租赁收入为1,982.54万元，三面翻广告租赁收入为2,198.81万元，项目区域地块土地出让收益113,846.11万元。</w:t>
      </w:r>
    </w:p>
    <w:p>
      <w:pPr>
        <w:adjustRightInd w:val="0"/>
        <w:snapToGrid w:val="0"/>
        <w:spacing w:line="360" w:lineRule="auto"/>
        <w:ind w:firstLine="643"/>
        <w:outlineLvl w:val="2"/>
        <w:rPr>
          <w:rFonts w:hint="eastAsia" w:ascii="仿宋_GB2312" w:hAnsi="仿宋_GB2312" w:eastAsia="仿宋_GB2312" w:cs="仿宋_GB2312"/>
          <w:b/>
          <w:bCs/>
          <w:sz w:val="32"/>
          <w:szCs w:val="32"/>
        </w:rPr>
      </w:pPr>
      <w:bookmarkStart w:id="115" w:name="_Toc20558"/>
      <w:r>
        <w:rPr>
          <w:rFonts w:hint="eastAsia" w:ascii="仿宋_GB2312" w:hAnsi="仿宋_GB2312" w:eastAsia="仿宋_GB2312" w:cs="仿宋_GB2312"/>
          <w:b/>
          <w:bCs/>
          <w:kern w:val="0"/>
          <w:sz w:val="32"/>
          <w:szCs w:val="32"/>
          <w:lang w:val="en-US" w:eastAsia="zh-CN"/>
        </w:rPr>
        <w:t>2.</w:t>
      </w:r>
      <w:r>
        <w:rPr>
          <w:rFonts w:hint="eastAsia" w:ascii="仿宋_GB2312" w:hAnsi="仿宋_GB2312" w:eastAsia="仿宋_GB2312" w:cs="仿宋_GB2312"/>
          <w:b/>
          <w:bCs/>
          <w:sz w:val="32"/>
          <w:szCs w:val="32"/>
        </w:rPr>
        <w:t>项目成本及相关税费</w:t>
      </w:r>
      <w:bookmarkEnd w:id="115"/>
    </w:p>
    <w:p>
      <w:pPr>
        <w:adjustRightInd w:val="0"/>
        <w:snapToGrid w:val="0"/>
        <w:spacing w:line="36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）日常养护费用</w:t>
      </w:r>
    </w:p>
    <w:p>
      <w:pPr>
        <w:adjustRightInd w:val="0"/>
        <w:snapToGrid w:val="0"/>
        <w:spacing w:line="36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按项目经营收入的15.00%进行测算。</w:t>
      </w:r>
    </w:p>
    <w:p>
      <w:pPr>
        <w:adjustRightInd w:val="0"/>
        <w:snapToGrid w:val="0"/>
        <w:spacing w:line="36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（2）管理费用</w:t>
      </w:r>
    </w:p>
    <w:p>
      <w:pPr>
        <w:adjustRightInd w:val="0"/>
        <w:snapToGrid w:val="0"/>
        <w:spacing w:line="36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管理费用包括人员差旅费、办公费等，按项目经营收入的10.00%进行测算。</w:t>
      </w:r>
    </w:p>
    <w:p>
      <w:pPr>
        <w:adjustRightInd w:val="0"/>
        <w:snapToGrid w:val="0"/>
        <w:spacing w:line="360" w:lineRule="auto"/>
        <w:ind w:firstLine="64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经测算，本项目在债券存续期内运营总成本为1,045.34万元，详细项目成本预测如下表：</w:t>
      </w:r>
      <w:bookmarkStart w:id="116" w:name="_Toc2094"/>
      <w:bookmarkStart w:id="117" w:name="_Toc5981"/>
      <w:bookmarkStart w:id="118" w:name="_Toc468"/>
      <w:bookmarkStart w:id="119" w:name="_Toc19118"/>
    </w:p>
    <w:p>
      <w:pPr>
        <w:pStyle w:val="16"/>
        <w:snapToGrid w:val="0"/>
        <w:spacing w:line="240" w:lineRule="auto"/>
        <w:ind w:firstLine="0" w:firstLineChars="0"/>
        <w:jc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表1</w:t>
      </w:r>
      <w:r>
        <w:rPr>
          <w:rFonts w:hint="eastAsia" w:cs="仿宋_GB2312"/>
          <w:sz w:val="32"/>
          <w:szCs w:val="32"/>
          <w:highlight w:val="none"/>
          <w:lang w:val="en-US" w:eastAsia="zh-CN"/>
        </w:rPr>
        <w:t>7</w:t>
      </w:r>
      <w:r>
        <w:rPr>
          <w:rFonts w:hint="eastAsia" w:ascii="仿宋_GB2312" w:hAnsi="仿宋_GB2312" w:eastAsia="仿宋_GB2312" w:cs="仿宋_GB2312"/>
          <w:sz w:val="32"/>
          <w:szCs w:val="32"/>
          <w:highlight w:val="none"/>
        </w:rPr>
        <w:t>：项目成本预测表（单位：万元）</w:t>
      </w:r>
    </w:p>
    <w:tbl>
      <w:tblPr>
        <w:tblStyle w:val="13"/>
        <w:tblW w:w="0" w:type="auto"/>
        <w:tblInd w:w="0" w:type="dxa"/>
        <w:tblLayout w:type="fixed"/>
        <w:tblCellMar>
          <w:top w:w="0" w:type="dxa"/>
          <w:left w:w="0" w:type="dxa"/>
          <w:bottom w:w="0" w:type="dxa"/>
          <w:right w:w="0" w:type="dxa"/>
        </w:tblCellMar>
      </w:tblPr>
      <w:tblGrid>
        <w:gridCol w:w="861"/>
        <w:gridCol w:w="1700"/>
        <w:gridCol w:w="1758"/>
        <w:gridCol w:w="1203"/>
        <w:gridCol w:w="1204"/>
        <w:gridCol w:w="1203"/>
        <w:gridCol w:w="1127"/>
      </w:tblGrid>
      <w:tr>
        <w:tblPrEx>
          <w:tblCellMar>
            <w:top w:w="0" w:type="dxa"/>
            <w:left w:w="0" w:type="dxa"/>
            <w:bottom w:w="0" w:type="dxa"/>
            <w:right w:w="0" w:type="dxa"/>
          </w:tblCellMar>
        </w:tblPrEx>
        <w:trPr>
          <w:trHeight w:val="374" w:hRule="atLeast"/>
          <w:tblHeader/>
        </w:trPr>
        <w:tc>
          <w:tcPr>
            <w:tcW w:w="8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序号</w:t>
            </w:r>
          </w:p>
        </w:tc>
        <w:tc>
          <w:tcPr>
            <w:tcW w:w="17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w:t>
            </w:r>
          </w:p>
        </w:tc>
        <w:tc>
          <w:tcPr>
            <w:tcW w:w="175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合计</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第一年</w:t>
            </w:r>
          </w:p>
        </w:tc>
        <w:tc>
          <w:tcPr>
            <w:tcW w:w="12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第二年</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第三年</w:t>
            </w:r>
          </w:p>
        </w:tc>
        <w:tc>
          <w:tcPr>
            <w:tcW w:w="11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第四年</w:t>
            </w:r>
          </w:p>
        </w:tc>
      </w:tr>
      <w:tr>
        <w:tblPrEx>
          <w:tblCellMar>
            <w:top w:w="0" w:type="dxa"/>
            <w:left w:w="0" w:type="dxa"/>
            <w:bottom w:w="0" w:type="dxa"/>
            <w:right w:w="0" w:type="dxa"/>
          </w:tblCellMar>
        </w:tblPrEx>
        <w:trPr>
          <w:trHeight w:val="374" w:hRule="atLeast"/>
        </w:trPr>
        <w:tc>
          <w:tcPr>
            <w:tcW w:w="8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w:t>
            </w:r>
          </w:p>
        </w:tc>
        <w:tc>
          <w:tcPr>
            <w:tcW w:w="17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日常养护费</w:t>
            </w:r>
          </w:p>
        </w:tc>
        <w:tc>
          <w:tcPr>
            <w:tcW w:w="17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627.20</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17.06</w:t>
            </w:r>
          </w:p>
        </w:tc>
        <w:tc>
          <w:tcPr>
            <w:tcW w:w="12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19.22</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21.55</w:t>
            </w:r>
          </w:p>
        </w:tc>
        <w:tc>
          <w:tcPr>
            <w:tcW w:w="11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24.07</w:t>
            </w:r>
          </w:p>
        </w:tc>
      </w:tr>
      <w:tr>
        <w:tblPrEx>
          <w:tblCellMar>
            <w:top w:w="0" w:type="dxa"/>
            <w:left w:w="0" w:type="dxa"/>
            <w:bottom w:w="0" w:type="dxa"/>
            <w:right w:w="0" w:type="dxa"/>
          </w:tblCellMar>
        </w:tblPrEx>
        <w:trPr>
          <w:trHeight w:val="374" w:hRule="atLeast"/>
        </w:trPr>
        <w:tc>
          <w:tcPr>
            <w:tcW w:w="8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7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管理费用</w:t>
            </w:r>
          </w:p>
        </w:tc>
        <w:tc>
          <w:tcPr>
            <w:tcW w:w="175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418.13</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11.38</w:t>
            </w:r>
          </w:p>
        </w:tc>
        <w:tc>
          <w:tcPr>
            <w:tcW w:w="12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12.81</w:t>
            </w:r>
          </w:p>
        </w:tc>
        <w:tc>
          <w:tcPr>
            <w:tcW w:w="12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14.37</w:t>
            </w:r>
          </w:p>
        </w:tc>
        <w:tc>
          <w:tcPr>
            <w:tcW w:w="11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16.04</w:t>
            </w:r>
          </w:p>
        </w:tc>
      </w:tr>
      <w:tr>
        <w:tblPrEx>
          <w:tblCellMar>
            <w:top w:w="0" w:type="dxa"/>
            <w:left w:w="0" w:type="dxa"/>
            <w:bottom w:w="0" w:type="dxa"/>
            <w:right w:w="0" w:type="dxa"/>
          </w:tblCellMar>
        </w:tblPrEx>
        <w:trPr>
          <w:trHeight w:val="374" w:hRule="atLeast"/>
        </w:trPr>
        <w:tc>
          <w:tcPr>
            <w:tcW w:w="8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w:t>
            </w:r>
          </w:p>
        </w:tc>
        <w:tc>
          <w:tcPr>
            <w:tcW w:w="17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合计</w:t>
            </w:r>
          </w:p>
        </w:tc>
        <w:tc>
          <w:tcPr>
            <w:tcW w:w="175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1,045.34</w:t>
            </w:r>
          </w:p>
        </w:tc>
        <w:tc>
          <w:tcPr>
            <w:tcW w:w="12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28.44</w:t>
            </w:r>
          </w:p>
        </w:tc>
        <w:tc>
          <w:tcPr>
            <w:tcW w:w="120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32.04</w:t>
            </w:r>
          </w:p>
        </w:tc>
        <w:tc>
          <w:tcPr>
            <w:tcW w:w="12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35.92</w:t>
            </w:r>
          </w:p>
        </w:tc>
        <w:tc>
          <w:tcPr>
            <w:tcW w:w="11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40.11</w:t>
            </w:r>
          </w:p>
        </w:tc>
      </w:tr>
    </w:tbl>
    <w:p>
      <w:pPr>
        <w:keepNext w:val="0"/>
        <w:keepLines w:val="0"/>
        <w:widowControl/>
        <w:suppressLineNumbers w:val="0"/>
        <w:ind w:firstLine="420" w:firstLineChars="200"/>
        <w:jc w:val="left"/>
        <w:textAlignment w:val="center"/>
        <w:rPr>
          <w:rFonts w:hint="eastAsia" w:ascii="仿宋_GB2312" w:hAnsi="仿宋_GB2312" w:eastAsia="仿宋_GB2312" w:cs="仿宋_GB2312"/>
          <w:b w:val="0"/>
          <w:bCs w:val="0"/>
          <w:kern w:val="0"/>
          <w:sz w:val="24"/>
          <w:szCs w:val="24"/>
          <w:lang w:val="en-US" w:eastAsia="zh-CN" w:bidi="ar-SA"/>
        </w:rPr>
      </w:pPr>
      <w:r>
        <w:rPr>
          <w:rFonts w:hint="eastAsia" w:ascii="仿宋_GB2312" w:hAnsi="仿宋_GB2312" w:eastAsia="仿宋_GB2312" w:cs="仿宋_GB2312"/>
          <w:b w:val="0"/>
          <w:bCs w:val="0"/>
          <w:kern w:val="0"/>
          <w:sz w:val="21"/>
          <w:szCs w:val="21"/>
          <w:lang w:val="en-US" w:eastAsia="zh-CN" w:bidi="ar-SA"/>
        </w:rPr>
        <w:t>（续表）</w:t>
      </w:r>
    </w:p>
    <w:tbl>
      <w:tblPr>
        <w:tblStyle w:val="13"/>
        <w:tblW w:w="0" w:type="auto"/>
        <w:tblInd w:w="0" w:type="dxa"/>
        <w:tblLayout w:type="fixed"/>
        <w:tblCellMar>
          <w:top w:w="0" w:type="dxa"/>
          <w:left w:w="0" w:type="dxa"/>
          <w:bottom w:w="0" w:type="dxa"/>
          <w:right w:w="0" w:type="dxa"/>
        </w:tblCellMar>
      </w:tblPr>
      <w:tblGrid>
        <w:gridCol w:w="894"/>
        <w:gridCol w:w="1667"/>
        <w:gridCol w:w="1504"/>
        <w:gridCol w:w="1248"/>
        <w:gridCol w:w="1247"/>
        <w:gridCol w:w="1248"/>
        <w:gridCol w:w="1248"/>
      </w:tblGrid>
      <w:tr>
        <w:tblPrEx>
          <w:tblCellMar>
            <w:top w:w="0" w:type="dxa"/>
            <w:left w:w="0" w:type="dxa"/>
            <w:bottom w:w="0" w:type="dxa"/>
            <w:right w:w="0" w:type="dxa"/>
          </w:tblCellMar>
        </w:tblPrEx>
        <w:trPr>
          <w:trHeight w:val="340" w:hRule="atLeast"/>
        </w:trPr>
        <w:tc>
          <w:tcPr>
            <w:tcW w:w="8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序号</w:t>
            </w:r>
          </w:p>
        </w:tc>
        <w:tc>
          <w:tcPr>
            <w:tcW w:w="16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w:t>
            </w:r>
          </w:p>
        </w:tc>
        <w:tc>
          <w:tcPr>
            <w:tcW w:w="15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第五年</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第六年</w:t>
            </w:r>
          </w:p>
        </w:tc>
        <w:tc>
          <w:tcPr>
            <w:tcW w:w="12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第七年</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第八年</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第九年</w:t>
            </w:r>
          </w:p>
        </w:tc>
      </w:tr>
      <w:tr>
        <w:tblPrEx>
          <w:tblCellMar>
            <w:top w:w="0" w:type="dxa"/>
            <w:left w:w="0" w:type="dxa"/>
            <w:bottom w:w="0" w:type="dxa"/>
            <w:right w:w="0" w:type="dxa"/>
          </w:tblCellMar>
        </w:tblPrEx>
        <w:trPr>
          <w:trHeight w:val="340" w:hRule="atLeast"/>
        </w:trPr>
        <w:tc>
          <w:tcPr>
            <w:tcW w:w="8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w:t>
            </w:r>
          </w:p>
        </w:tc>
        <w:tc>
          <w:tcPr>
            <w:tcW w:w="1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日常养护费</w:t>
            </w:r>
          </w:p>
        </w:tc>
        <w:tc>
          <w:tcPr>
            <w:tcW w:w="15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25.27</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26.53</w:t>
            </w:r>
          </w:p>
        </w:tc>
        <w:tc>
          <w:tcPr>
            <w:tcW w:w="12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27.86</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29.25</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30.72</w:t>
            </w:r>
          </w:p>
        </w:tc>
      </w:tr>
      <w:tr>
        <w:tblPrEx>
          <w:tblCellMar>
            <w:top w:w="0" w:type="dxa"/>
            <w:left w:w="0" w:type="dxa"/>
            <w:bottom w:w="0" w:type="dxa"/>
            <w:right w:w="0" w:type="dxa"/>
          </w:tblCellMar>
        </w:tblPrEx>
        <w:trPr>
          <w:trHeight w:val="340" w:hRule="atLeast"/>
        </w:trPr>
        <w:tc>
          <w:tcPr>
            <w:tcW w:w="8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管理费用</w:t>
            </w:r>
          </w:p>
        </w:tc>
        <w:tc>
          <w:tcPr>
            <w:tcW w:w="150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16.85</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17.69</w:t>
            </w:r>
          </w:p>
        </w:tc>
        <w:tc>
          <w:tcPr>
            <w:tcW w:w="124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18.57</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19.50</w:t>
            </w:r>
          </w:p>
        </w:tc>
        <w:tc>
          <w:tcPr>
            <w:tcW w:w="12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20.48</w:t>
            </w:r>
          </w:p>
        </w:tc>
      </w:tr>
      <w:tr>
        <w:tblPrEx>
          <w:tblCellMar>
            <w:top w:w="0" w:type="dxa"/>
            <w:left w:w="0" w:type="dxa"/>
            <w:bottom w:w="0" w:type="dxa"/>
            <w:right w:w="0" w:type="dxa"/>
          </w:tblCellMar>
        </w:tblPrEx>
        <w:trPr>
          <w:trHeight w:val="340" w:hRule="atLeast"/>
        </w:trPr>
        <w:tc>
          <w:tcPr>
            <w:tcW w:w="8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w:t>
            </w:r>
          </w:p>
        </w:tc>
        <w:tc>
          <w:tcPr>
            <w:tcW w:w="16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合计</w:t>
            </w:r>
          </w:p>
        </w:tc>
        <w:tc>
          <w:tcPr>
            <w:tcW w:w="150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42.12</w:t>
            </w:r>
          </w:p>
        </w:tc>
        <w:tc>
          <w:tcPr>
            <w:tcW w:w="12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44.22</w:t>
            </w:r>
          </w:p>
        </w:tc>
        <w:tc>
          <w:tcPr>
            <w:tcW w:w="124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46.43</w:t>
            </w:r>
          </w:p>
        </w:tc>
        <w:tc>
          <w:tcPr>
            <w:tcW w:w="12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48.76</w:t>
            </w:r>
          </w:p>
        </w:tc>
        <w:tc>
          <w:tcPr>
            <w:tcW w:w="124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51.19</w:t>
            </w:r>
          </w:p>
        </w:tc>
      </w:tr>
    </w:tbl>
    <w:p>
      <w:pPr>
        <w:keepNext w:val="0"/>
        <w:keepLines w:val="0"/>
        <w:widowControl/>
        <w:suppressLineNumbers w:val="0"/>
        <w:ind w:firstLine="480" w:firstLineChars="200"/>
        <w:jc w:val="left"/>
        <w:textAlignment w:val="center"/>
        <w:rPr>
          <w:rFonts w:hint="eastAsia" w:ascii="仿宋_GB2312" w:hAnsi="仿宋_GB2312" w:eastAsia="仿宋_GB2312" w:cs="仿宋_GB2312"/>
          <w:b w:val="0"/>
          <w:bCs w:val="0"/>
          <w:kern w:val="0"/>
          <w:sz w:val="24"/>
          <w:szCs w:val="24"/>
          <w:lang w:val="en-US" w:eastAsia="zh-CN" w:bidi="ar-SA"/>
        </w:rPr>
      </w:pPr>
      <w:r>
        <w:rPr>
          <w:rFonts w:hint="eastAsia" w:ascii="仿宋_GB2312" w:hAnsi="仿宋_GB2312" w:eastAsia="仿宋_GB2312" w:cs="仿宋_GB2312"/>
          <w:b w:val="0"/>
          <w:bCs w:val="0"/>
          <w:kern w:val="0"/>
          <w:sz w:val="24"/>
          <w:szCs w:val="24"/>
          <w:lang w:val="en-US" w:eastAsia="zh-CN" w:bidi="ar-SA"/>
        </w:rPr>
        <w:t>（续表）</w:t>
      </w:r>
    </w:p>
    <w:tbl>
      <w:tblPr>
        <w:tblStyle w:val="13"/>
        <w:tblW w:w="0" w:type="auto"/>
        <w:tblInd w:w="0" w:type="dxa"/>
        <w:tblLayout w:type="fixed"/>
        <w:tblCellMar>
          <w:top w:w="0" w:type="dxa"/>
          <w:left w:w="0" w:type="dxa"/>
          <w:bottom w:w="0" w:type="dxa"/>
          <w:right w:w="0" w:type="dxa"/>
        </w:tblCellMar>
      </w:tblPr>
      <w:tblGrid>
        <w:gridCol w:w="911"/>
        <w:gridCol w:w="1583"/>
        <w:gridCol w:w="1659"/>
        <w:gridCol w:w="1225"/>
        <w:gridCol w:w="1225"/>
        <w:gridCol w:w="1227"/>
        <w:gridCol w:w="1226"/>
      </w:tblGrid>
      <w:tr>
        <w:tblPrEx>
          <w:tblCellMar>
            <w:top w:w="0" w:type="dxa"/>
            <w:left w:w="0" w:type="dxa"/>
            <w:bottom w:w="0" w:type="dxa"/>
            <w:right w:w="0" w:type="dxa"/>
          </w:tblCellMar>
        </w:tblPrEx>
        <w:trPr>
          <w:trHeight w:val="340" w:hRule="atLeast"/>
        </w:trPr>
        <w:tc>
          <w:tcPr>
            <w:tcW w:w="9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序号</w:t>
            </w:r>
          </w:p>
        </w:tc>
        <w:tc>
          <w:tcPr>
            <w:tcW w:w="1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第十年</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第十一年</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第十二年</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第十三年</w:t>
            </w:r>
          </w:p>
        </w:tc>
        <w:tc>
          <w:tcPr>
            <w:tcW w:w="12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第十四年</w:t>
            </w:r>
          </w:p>
        </w:tc>
      </w:tr>
      <w:tr>
        <w:tblPrEx>
          <w:tblCellMar>
            <w:top w:w="0" w:type="dxa"/>
            <w:left w:w="0" w:type="dxa"/>
            <w:bottom w:w="0" w:type="dxa"/>
            <w:right w:w="0" w:type="dxa"/>
          </w:tblCellMar>
        </w:tblPrEx>
        <w:trPr>
          <w:trHeight w:val="340" w:hRule="atLeast"/>
        </w:trPr>
        <w:tc>
          <w:tcPr>
            <w:tcW w:w="9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日常养护费</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32.25</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33.86</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35.56</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37.34</w:t>
            </w:r>
          </w:p>
        </w:tc>
        <w:tc>
          <w:tcPr>
            <w:tcW w:w="12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39.20</w:t>
            </w:r>
          </w:p>
        </w:tc>
      </w:tr>
      <w:tr>
        <w:tblPrEx>
          <w:tblCellMar>
            <w:top w:w="0" w:type="dxa"/>
            <w:left w:w="0" w:type="dxa"/>
            <w:bottom w:w="0" w:type="dxa"/>
            <w:right w:w="0" w:type="dxa"/>
          </w:tblCellMar>
        </w:tblPrEx>
        <w:trPr>
          <w:trHeight w:val="340" w:hRule="atLeast"/>
        </w:trPr>
        <w:tc>
          <w:tcPr>
            <w:tcW w:w="9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管理费用</w:t>
            </w:r>
          </w:p>
        </w:tc>
        <w:tc>
          <w:tcPr>
            <w:tcW w:w="16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21.50</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22.58</w:t>
            </w:r>
          </w:p>
        </w:tc>
        <w:tc>
          <w:tcPr>
            <w:tcW w:w="12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23.71</w:t>
            </w:r>
          </w:p>
        </w:tc>
        <w:tc>
          <w:tcPr>
            <w:tcW w:w="12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24.89</w:t>
            </w:r>
          </w:p>
        </w:tc>
        <w:tc>
          <w:tcPr>
            <w:tcW w:w="12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26.14</w:t>
            </w:r>
          </w:p>
        </w:tc>
      </w:tr>
      <w:tr>
        <w:tblPrEx>
          <w:tblCellMar>
            <w:top w:w="0" w:type="dxa"/>
            <w:left w:w="0" w:type="dxa"/>
            <w:bottom w:w="0" w:type="dxa"/>
            <w:right w:w="0" w:type="dxa"/>
          </w:tblCellMar>
        </w:tblPrEx>
        <w:trPr>
          <w:trHeight w:val="340" w:hRule="atLeast"/>
        </w:trPr>
        <w:tc>
          <w:tcPr>
            <w:tcW w:w="91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合计</w:t>
            </w:r>
          </w:p>
        </w:tc>
        <w:tc>
          <w:tcPr>
            <w:tcW w:w="165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53.75</w:t>
            </w:r>
          </w:p>
        </w:tc>
        <w:tc>
          <w:tcPr>
            <w:tcW w:w="12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56.44</w:t>
            </w:r>
          </w:p>
        </w:tc>
        <w:tc>
          <w:tcPr>
            <w:tcW w:w="12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59.26</w:t>
            </w:r>
          </w:p>
        </w:tc>
        <w:tc>
          <w:tcPr>
            <w:tcW w:w="122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62.23</w:t>
            </w:r>
          </w:p>
        </w:tc>
        <w:tc>
          <w:tcPr>
            <w:tcW w:w="122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65.34</w:t>
            </w:r>
          </w:p>
        </w:tc>
      </w:tr>
    </w:tbl>
    <w:p>
      <w:pPr>
        <w:keepNext w:val="0"/>
        <w:keepLines w:val="0"/>
        <w:widowControl/>
        <w:suppressLineNumbers w:val="0"/>
        <w:ind w:firstLine="480" w:firstLineChars="200"/>
        <w:jc w:val="left"/>
        <w:textAlignment w:val="center"/>
        <w:rPr>
          <w:rFonts w:hint="eastAsia" w:ascii="仿宋_GB2312" w:hAnsi="仿宋_GB2312" w:eastAsia="仿宋_GB2312" w:cs="仿宋_GB2312"/>
          <w:b w:val="0"/>
          <w:bCs w:val="0"/>
          <w:kern w:val="0"/>
          <w:sz w:val="24"/>
          <w:szCs w:val="24"/>
          <w:lang w:val="en-US" w:eastAsia="zh-CN" w:bidi="ar-SA"/>
        </w:rPr>
      </w:pPr>
      <w:r>
        <w:rPr>
          <w:rFonts w:hint="eastAsia" w:ascii="仿宋_GB2312" w:hAnsi="仿宋_GB2312" w:eastAsia="仿宋_GB2312" w:cs="仿宋_GB2312"/>
          <w:b w:val="0"/>
          <w:bCs w:val="0"/>
          <w:kern w:val="0"/>
          <w:sz w:val="24"/>
          <w:szCs w:val="24"/>
          <w:lang w:val="en-US" w:eastAsia="zh-CN" w:bidi="ar-SA"/>
        </w:rPr>
        <w:t>（续表）</w:t>
      </w:r>
    </w:p>
    <w:tbl>
      <w:tblPr>
        <w:tblStyle w:val="13"/>
        <w:tblW w:w="0" w:type="auto"/>
        <w:tblInd w:w="0" w:type="dxa"/>
        <w:tblLayout w:type="fixed"/>
        <w:tblCellMar>
          <w:top w:w="0" w:type="dxa"/>
          <w:left w:w="0" w:type="dxa"/>
          <w:bottom w:w="0" w:type="dxa"/>
          <w:right w:w="0" w:type="dxa"/>
        </w:tblCellMar>
      </w:tblPr>
      <w:tblGrid>
        <w:gridCol w:w="928"/>
        <w:gridCol w:w="1583"/>
        <w:gridCol w:w="1309"/>
        <w:gridCol w:w="1309"/>
        <w:gridCol w:w="1309"/>
        <w:gridCol w:w="1309"/>
        <w:gridCol w:w="1309"/>
      </w:tblGrid>
      <w:tr>
        <w:tblPrEx>
          <w:tblCellMar>
            <w:top w:w="0" w:type="dxa"/>
            <w:left w:w="0" w:type="dxa"/>
            <w:bottom w:w="0" w:type="dxa"/>
            <w:right w:w="0" w:type="dxa"/>
          </w:tblCellMar>
        </w:tblPrEx>
        <w:trPr>
          <w:trHeight w:val="340" w:hRule="atLeast"/>
        </w:trPr>
        <w:tc>
          <w:tcPr>
            <w:tcW w:w="9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序号</w:t>
            </w:r>
          </w:p>
        </w:tc>
        <w:tc>
          <w:tcPr>
            <w:tcW w:w="158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第十五年</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第十六年</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第十七年</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第十八年</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第十九年</w:t>
            </w:r>
          </w:p>
        </w:tc>
      </w:tr>
      <w:tr>
        <w:tblPrEx>
          <w:tblCellMar>
            <w:top w:w="0" w:type="dxa"/>
            <w:left w:w="0" w:type="dxa"/>
            <w:bottom w:w="0" w:type="dxa"/>
            <w:right w:w="0" w:type="dxa"/>
          </w:tblCellMar>
        </w:tblPrEx>
        <w:trPr>
          <w:trHeight w:val="340" w:hRule="atLeast"/>
        </w:trPr>
        <w:tc>
          <w:tcPr>
            <w:tcW w:w="9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日常养护费</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41.16</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43.22</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45.38</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47.65</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50.03</w:t>
            </w:r>
          </w:p>
        </w:tc>
      </w:tr>
      <w:tr>
        <w:tblPrEx>
          <w:tblCellMar>
            <w:top w:w="0" w:type="dxa"/>
            <w:left w:w="0" w:type="dxa"/>
            <w:bottom w:w="0" w:type="dxa"/>
            <w:right w:w="0" w:type="dxa"/>
          </w:tblCellMar>
        </w:tblPrEx>
        <w:trPr>
          <w:trHeight w:val="340" w:hRule="atLeast"/>
        </w:trPr>
        <w:tc>
          <w:tcPr>
            <w:tcW w:w="9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管理费用</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27.44</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28.81</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30.25</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31.77</w:t>
            </w:r>
          </w:p>
        </w:tc>
        <w:tc>
          <w:tcPr>
            <w:tcW w:w="13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33.36</w:t>
            </w:r>
          </w:p>
        </w:tc>
      </w:tr>
      <w:tr>
        <w:tblPrEx>
          <w:tblCellMar>
            <w:top w:w="0" w:type="dxa"/>
            <w:left w:w="0" w:type="dxa"/>
            <w:bottom w:w="0" w:type="dxa"/>
            <w:right w:w="0" w:type="dxa"/>
          </w:tblCellMar>
        </w:tblPrEx>
        <w:trPr>
          <w:trHeight w:val="340" w:hRule="atLeast"/>
        </w:trPr>
        <w:tc>
          <w:tcPr>
            <w:tcW w:w="9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w:t>
            </w:r>
          </w:p>
        </w:tc>
        <w:tc>
          <w:tcPr>
            <w:tcW w:w="158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合计</w:t>
            </w:r>
          </w:p>
        </w:tc>
        <w:tc>
          <w:tcPr>
            <w:tcW w:w="13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68.60</w:t>
            </w:r>
          </w:p>
        </w:tc>
        <w:tc>
          <w:tcPr>
            <w:tcW w:w="13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72.03</w:t>
            </w:r>
          </w:p>
        </w:tc>
        <w:tc>
          <w:tcPr>
            <w:tcW w:w="13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75.64</w:t>
            </w:r>
          </w:p>
        </w:tc>
        <w:tc>
          <w:tcPr>
            <w:tcW w:w="13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79.42</w:t>
            </w:r>
          </w:p>
        </w:tc>
        <w:tc>
          <w:tcPr>
            <w:tcW w:w="13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ind w:firstLine="420" w:firstLineChars="20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83.39</w:t>
            </w:r>
          </w:p>
        </w:tc>
      </w:tr>
    </w:tbl>
    <w:p>
      <w:pPr>
        <w:numPr>
          <w:ilvl w:val="0"/>
          <w:numId w:val="0"/>
        </w:numPr>
        <w:adjustRightInd w:val="0"/>
        <w:snapToGrid w:val="0"/>
        <w:spacing w:beforeLines="0" w:afterLines="0" w:line="360" w:lineRule="auto"/>
        <w:ind w:firstLine="643" w:firstLineChars="200"/>
        <w:outlineLvl w:val="2"/>
        <w:rPr>
          <w:rFonts w:hint="eastAsia" w:ascii="仿宋_GB2312" w:hAnsi="仿宋_GB2312" w:eastAsia="仿宋_GB2312" w:cs="仿宋_GB2312"/>
          <w:b/>
          <w:bCs/>
          <w:sz w:val="32"/>
          <w:szCs w:val="32"/>
          <w:lang w:val="en-US" w:eastAsia="zh-CN"/>
        </w:rPr>
      </w:pPr>
      <w:bookmarkStart w:id="120" w:name="_Toc32663"/>
      <w:r>
        <w:rPr>
          <w:rFonts w:hint="eastAsia" w:ascii="仿宋_GB2312" w:hAnsi="仿宋_GB2312" w:eastAsia="仿宋_GB2312" w:cs="仿宋_GB2312"/>
          <w:b/>
          <w:bCs/>
          <w:sz w:val="32"/>
          <w:szCs w:val="32"/>
          <w:lang w:val="en-US" w:eastAsia="zh-CN"/>
        </w:rPr>
        <w:t>3.项目损益情况</w:t>
      </w:r>
      <w:bookmarkEnd w:id="120"/>
    </w:p>
    <w:p>
      <w:pPr>
        <w:numPr>
          <w:ilvl w:val="0"/>
          <w:numId w:val="0"/>
        </w:numPr>
        <w:adjustRightInd w:val="0"/>
        <w:snapToGrid w:val="0"/>
        <w:spacing w:beforeLines="0" w:afterLines="0" w:line="360" w:lineRule="auto"/>
        <w:ind w:firstLine="640" w:firstLineChars="200"/>
        <w:rPr>
          <w:rFonts w:hint="eastAsia"/>
          <w:lang w:val="en-US" w:eastAsia="zh-CN"/>
        </w:rPr>
      </w:pPr>
      <w:r>
        <w:rPr>
          <w:rFonts w:hint="eastAsia" w:ascii="仿宋_GB2312" w:hAnsi="仿宋_GB2312" w:eastAsia="仿宋_GB2312" w:cs="仿宋_GB2312"/>
          <w:sz w:val="32"/>
          <w:szCs w:val="32"/>
          <w:lang w:eastAsia="zh-CN"/>
        </w:rPr>
        <w:t>根据上述预测计算，本项目运营期累计可实现广告租赁收入、三面翻租赁收入及土地出让收益共计118,027.46万元，扣除支出成本部分1,045.34万元，净收益为116,982.13万元。</w:t>
      </w:r>
    </w:p>
    <w:p>
      <w:pPr>
        <w:adjustRightInd w:val="0"/>
        <w:snapToGrid w:val="0"/>
        <w:spacing w:beforeLines="0" w:afterLines="0" w:line="360" w:lineRule="auto"/>
        <w:ind w:firstLine="560"/>
        <w:outlineLvl w:val="1"/>
        <w:rPr>
          <w:rFonts w:hint="eastAsia" w:ascii="仿宋_GB2312" w:hAnsi="仿宋_GB2312" w:eastAsia="仿宋_GB2312" w:cs="仿宋_GB2312"/>
          <w:b/>
          <w:bCs/>
          <w:color w:val="000000"/>
          <w:sz w:val="32"/>
          <w:szCs w:val="32"/>
        </w:rPr>
      </w:pPr>
      <w:bookmarkStart w:id="121" w:name="_Toc30280"/>
      <w:bookmarkStart w:id="122" w:name="_Toc30139"/>
      <w:r>
        <w:rPr>
          <w:rFonts w:hint="eastAsia" w:ascii="仿宋_GB2312" w:hAnsi="仿宋_GB2312" w:eastAsia="仿宋_GB2312" w:cs="仿宋_GB2312"/>
          <w:b/>
          <w:bCs/>
          <w:color w:val="000000"/>
          <w:sz w:val="32"/>
          <w:szCs w:val="32"/>
          <w:lang w:eastAsia="zh-CN"/>
        </w:rPr>
        <w:t>（二）</w:t>
      </w:r>
      <w:r>
        <w:rPr>
          <w:rFonts w:hint="eastAsia" w:ascii="仿宋_GB2312" w:hAnsi="仿宋_GB2312" w:eastAsia="仿宋_GB2312" w:cs="仿宋_GB2312"/>
          <w:b/>
          <w:bCs/>
          <w:color w:val="000000"/>
          <w:sz w:val="32"/>
          <w:szCs w:val="32"/>
        </w:rPr>
        <w:t>融资收益平衡情况</w:t>
      </w:r>
      <w:bookmarkEnd w:id="116"/>
      <w:bookmarkEnd w:id="117"/>
      <w:bookmarkEnd w:id="118"/>
      <w:bookmarkEnd w:id="119"/>
      <w:bookmarkEnd w:id="121"/>
      <w:bookmarkEnd w:id="122"/>
    </w:p>
    <w:p>
      <w:pPr>
        <w:pageBreakBefore w:val="0"/>
        <w:widowControl/>
        <w:kinsoku/>
        <w:wordWrap/>
        <w:overflowPunct/>
        <w:topLinePunct w:val="0"/>
        <w:bidi w:val="0"/>
        <w:adjustRightInd w:val="0"/>
        <w:snapToGrid w:val="0"/>
        <w:spacing w:line="360" w:lineRule="auto"/>
        <w:ind w:firstLine="643" w:firstLineChars="200"/>
        <w:outlineLvl w:val="9"/>
        <w:rPr>
          <w:rFonts w:ascii="仿宋_GB2312" w:hAnsi="仿宋_GB2312" w:eastAsia="仿宋_GB2312" w:cs="仿宋_GB2312"/>
          <w:b/>
          <w:bCs/>
          <w:sz w:val="32"/>
          <w:szCs w:val="32"/>
          <w:lang w:eastAsia="zh-CN" w:bidi="ar-SA"/>
        </w:rPr>
      </w:pPr>
      <w:r>
        <w:rPr>
          <w:rFonts w:hint="eastAsia" w:ascii="仿宋_GB2312" w:hAnsi="仿宋_GB2312" w:eastAsia="仿宋_GB2312" w:cs="仿宋_GB2312"/>
          <w:b/>
          <w:bCs/>
          <w:sz w:val="32"/>
          <w:szCs w:val="32"/>
          <w:lang w:eastAsia="zh-CN" w:bidi="ar-SA"/>
        </w:rPr>
        <w:t>1.项目融资情况</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z w:val="32"/>
          <w:szCs w:val="32"/>
          <w:lang w:val="en-US" w:eastAsia="zh-CN" w:bidi="ar-SA"/>
        </w:rPr>
      </w:pPr>
      <w:r>
        <w:rPr>
          <w:rFonts w:hint="eastAsia" w:ascii="仿宋_GB2312" w:hAnsi="Calibri" w:eastAsia="仿宋_GB2312"/>
          <w:kern w:val="2"/>
          <w:sz w:val="32"/>
          <w:szCs w:val="32"/>
          <w:highlight w:val="none"/>
          <w:lang w:val="en-US"/>
        </w:rPr>
        <w:t>本项目总投资62,487</w:t>
      </w:r>
      <w:r>
        <w:rPr>
          <w:rFonts w:hint="eastAsia" w:ascii="仿宋_GB2312" w:hAnsi="Calibri" w:eastAsia="仿宋_GB2312"/>
          <w:kern w:val="2"/>
          <w:sz w:val="32"/>
          <w:szCs w:val="32"/>
          <w:highlight w:val="none"/>
          <w:lang w:val="en-US" w:eastAsia="zh-CN"/>
        </w:rPr>
        <w:t>.00</w:t>
      </w:r>
      <w:r>
        <w:rPr>
          <w:rFonts w:hint="eastAsia" w:ascii="仿宋_GB2312" w:hAnsi="Calibri" w:eastAsia="仿宋_GB2312"/>
          <w:kern w:val="2"/>
          <w:sz w:val="32"/>
          <w:szCs w:val="32"/>
          <w:highlight w:val="none"/>
          <w:lang w:val="en-US"/>
        </w:rPr>
        <w:t>万元，本项目计划发行专项债券资金</w:t>
      </w:r>
      <w:r>
        <w:rPr>
          <w:rFonts w:hint="eastAsia" w:ascii="仿宋_GB2312" w:eastAsia="仿宋_GB2312"/>
          <w:kern w:val="2"/>
          <w:sz w:val="32"/>
          <w:szCs w:val="32"/>
          <w:highlight w:val="none"/>
          <w:lang w:val="en-US" w:eastAsia="zh-CN"/>
        </w:rPr>
        <w:t>49,976.00</w:t>
      </w:r>
      <w:r>
        <w:rPr>
          <w:rFonts w:hint="eastAsia" w:ascii="仿宋_GB2312" w:hAnsi="Calibri" w:eastAsia="仿宋_GB2312"/>
          <w:kern w:val="2"/>
          <w:sz w:val="32"/>
          <w:szCs w:val="32"/>
          <w:highlight w:val="none"/>
          <w:lang w:val="en-US"/>
        </w:rPr>
        <w:t>万元，占项目总投资的</w:t>
      </w:r>
      <w:r>
        <w:rPr>
          <w:rFonts w:hint="eastAsia" w:ascii="仿宋_GB2312" w:eastAsia="仿宋_GB2312"/>
          <w:kern w:val="2"/>
          <w:sz w:val="32"/>
          <w:szCs w:val="32"/>
          <w:highlight w:val="none"/>
          <w:lang w:val="en-US" w:eastAsia="zh-CN"/>
        </w:rPr>
        <w:t>79.98</w:t>
      </w:r>
      <w:r>
        <w:rPr>
          <w:rFonts w:hint="eastAsia" w:ascii="仿宋_GB2312" w:hAnsi="Calibri" w:eastAsia="仿宋_GB2312"/>
          <w:kern w:val="2"/>
          <w:sz w:val="32"/>
          <w:szCs w:val="32"/>
          <w:highlight w:val="none"/>
          <w:lang w:val="en-US"/>
        </w:rPr>
        <w:t>%。</w:t>
      </w:r>
      <w:r>
        <w:rPr>
          <w:rFonts w:hint="eastAsia" w:ascii="仿宋_GB2312" w:hAnsi="仿宋_GB2312" w:eastAsia="仿宋_GB2312" w:cs="仿宋_GB2312"/>
          <w:sz w:val="32"/>
          <w:szCs w:val="32"/>
          <w:lang w:val="en-US" w:eastAsia="zh-CN" w:bidi="ar-SA"/>
        </w:rPr>
        <w:t>2022年已发行2022年广东省政府专项债券（六期）20,000.00万元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3.28%</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。2023年已发行专项债券金额14,876.00万元，其中：2023年广东省政府专项债券（一期）11,000.00万元（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2.98%），2023年广东省政府专项债券（二十一期）800.00万元（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2.76%），2023年广东省政府专项债券（十一期）1,576.00万元（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2.94%），2023年广东省政府专项债券（三期）1,500.00万元（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15</w:t>
      </w:r>
      <w:r>
        <w:rPr>
          <w:rFonts w:hint="eastAsia" w:ascii="仿宋_GB2312" w:hAnsi="仿宋_GB2312" w:eastAsia="仿宋_GB2312" w:cs="仿宋_GB2312"/>
          <w:sz w:val="32"/>
          <w:szCs w:val="32"/>
          <w:lang w:eastAsia="zh-CN" w:bidi="ar-SA"/>
        </w:rPr>
        <w:t>年，债券年利率为</w:t>
      </w:r>
      <w:r>
        <w:rPr>
          <w:rFonts w:hint="eastAsia" w:ascii="仿宋_GB2312" w:hAnsi="仿宋_GB2312" w:eastAsia="仿宋_GB2312" w:cs="仿宋_GB2312"/>
          <w:sz w:val="32"/>
          <w:szCs w:val="32"/>
          <w:lang w:val="en-US" w:eastAsia="zh-CN" w:bidi="ar-SA"/>
        </w:rPr>
        <w:t>3.12%）。</w:t>
      </w:r>
    </w:p>
    <w:p>
      <w:pPr>
        <w:pageBreakBefore w:val="0"/>
        <w:widowControl/>
        <w:kinsoku/>
        <w:wordWrap/>
        <w:overflowPunct/>
        <w:topLinePunct w:val="0"/>
        <w:bidi w:val="0"/>
        <w:adjustRightInd w:val="0"/>
        <w:snapToGrid w:val="0"/>
        <w:spacing w:line="360" w:lineRule="auto"/>
        <w:ind w:firstLine="640" w:firstLineChars="200"/>
        <w:jc w:val="both"/>
        <w:outlineLvl w:val="9"/>
        <w:rPr>
          <w:rFonts w:hint="eastAsia"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202</w:t>
      </w:r>
      <w:r>
        <w:rPr>
          <w:rFonts w:hint="eastAsia" w:ascii="仿宋_GB2312" w:hAnsi="仿宋_GB2312" w:eastAsia="仿宋_GB2312" w:cs="仿宋_GB2312"/>
          <w:sz w:val="32"/>
          <w:szCs w:val="32"/>
          <w:lang w:val="en-US" w:eastAsia="zh-CN" w:bidi="ar-SA"/>
        </w:rPr>
        <w:t>4</w:t>
      </w:r>
      <w:r>
        <w:rPr>
          <w:rFonts w:hint="eastAsia" w:ascii="仿宋_GB2312" w:hAnsi="仿宋_GB2312" w:eastAsia="仿宋_GB2312" w:cs="仿宋_GB2312"/>
          <w:sz w:val="32"/>
          <w:szCs w:val="32"/>
          <w:lang w:eastAsia="zh-CN" w:bidi="ar-SA"/>
        </w:rPr>
        <w:t>年计划发行债券15,100.00万元，其中</w:t>
      </w:r>
      <w:r>
        <w:rPr>
          <w:rFonts w:hint="eastAsia" w:ascii="仿宋_GB2312" w:hAnsi="仿宋_GB2312" w:eastAsia="仿宋_GB2312" w:cs="仿宋_GB2312"/>
          <w:sz w:val="32"/>
          <w:szCs w:val="32"/>
          <w:lang w:val="en-US" w:eastAsia="zh-CN" w:bidi="ar-SA"/>
        </w:rPr>
        <w:t>:本次</w:t>
      </w:r>
      <w:r>
        <w:rPr>
          <w:rFonts w:hint="eastAsia" w:ascii="仿宋_GB2312" w:hAnsi="仿宋_GB2312" w:eastAsia="仿宋_GB2312" w:cs="仿宋_GB2312"/>
          <w:sz w:val="32"/>
          <w:szCs w:val="32"/>
          <w:lang w:eastAsia="zh-CN" w:bidi="ar-SA"/>
        </w:rPr>
        <w:t>计划发行</w:t>
      </w:r>
      <w:r>
        <w:rPr>
          <w:rFonts w:hint="eastAsia" w:ascii="仿宋_GB2312" w:hAnsi="仿宋_GB2312" w:eastAsia="仿宋_GB2312" w:cs="仿宋_GB2312"/>
          <w:sz w:val="32"/>
          <w:szCs w:val="32"/>
          <w:lang w:val="en-US" w:eastAsia="zh-CN" w:bidi="ar-SA"/>
        </w:rPr>
        <w:t>5</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0</w:t>
      </w:r>
      <w:r>
        <w:rPr>
          <w:rFonts w:hint="eastAsia" w:ascii="仿宋_GB2312" w:hAnsi="仿宋_GB2312" w:eastAsia="仿宋_GB2312" w:cs="仿宋_GB2312"/>
          <w:sz w:val="32"/>
          <w:szCs w:val="32"/>
          <w:lang w:eastAsia="zh-CN" w:bidi="ar-SA"/>
        </w:rPr>
        <w:t>00.00万元。本次计划发行债券期限为10年，债券年利率为3.30%，每半年支付一次利息，本金分年还本（第6-10年每年还本20%）。</w:t>
      </w:r>
      <w:r>
        <w:rPr>
          <w:rFonts w:hint="eastAsia" w:ascii="仿宋_GB2312" w:hAnsi="仿宋_GB2312" w:eastAsia="仿宋_GB2312" w:cs="仿宋_GB2312"/>
          <w:sz w:val="32"/>
          <w:szCs w:val="32"/>
          <w:lang w:val="en-US" w:eastAsia="zh-CN" w:bidi="ar-SA"/>
        </w:rPr>
        <w:t>2024年后续计划发行10,100.00万元，</w:t>
      </w:r>
      <w:r>
        <w:rPr>
          <w:rFonts w:hint="eastAsia" w:ascii="仿宋_GB2312" w:hAnsi="Calibri" w:eastAsia="仿宋_GB2312"/>
          <w:kern w:val="2"/>
          <w:sz w:val="32"/>
          <w:szCs w:val="32"/>
          <w:highlight w:val="none"/>
          <w:lang w:val="en-US"/>
        </w:rPr>
        <w:t>假设债券期限为20年，债券年利率为</w:t>
      </w:r>
      <w:r>
        <w:rPr>
          <w:rFonts w:hint="eastAsia" w:ascii="仿宋_GB2312" w:eastAsia="仿宋_GB2312"/>
          <w:kern w:val="2"/>
          <w:sz w:val="32"/>
          <w:szCs w:val="32"/>
          <w:highlight w:val="none"/>
          <w:lang w:val="en-US" w:eastAsia="zh-CN"/>
        </w:rPr>
        <w:t>3.60</w:t>
      </w:r>
      <w:r>
        <w:rPr>
          <w:rFonts w:hint="eastAsia" w:ascii="仿宋_GB2312" w:hAnsi="Calibri" w:eastAsia="仿宋_GB2312"/>
          <w:kern w:val="2"/>
          <w:sz w:val="32"/>
          <w:szCs w:val="32"/>
          <w:highlight w:val="none"/>
          <w:lang w:val="en-US"/>
        </w:rPr>
        <w:t>%，利息每</w:t>
      </w:r>
      <w:r>
        <w:rPr>
          <w:rFonts w:hint="eastAsia" w:ascii="仿宋_GB2312" w:eastAsia="仿宋_GB2312"/>
          <w:kern w:val="2"/>
          <w:sz w:val="32"/>
          <w:szCs w:val="32"/>
          <w:highlight w:val="none"/>
          <w:lang w:val="en-US" w:eastAsia="zh-CN"/>
        </w:rPr>
        <w:t>半</w:t>
      </w:r>
      <w:r>
        <w:rPr>
          <w:rFonts w:hint="eastAsia" w:ascii="仿宋_GB2312" w:hAnsi="Calibri" w:eastAsia="仿宋_GB2312"/>
          <w:kern w:val="2"/>
          <w:sz w:val="32"/>
          <w:szCs w:val="32"/>
          <w:highlight w:val="none"/>
          <w:lang w:val="en-US"/>
        </w:rPr>
        <w:t>年支付，本金到期一次性支付。</w:t>
      </w:r>
      <w:r>
        <w:rPr>
          <w:rFonts w:hint="eastAsia" w:ascii="仿宋_GB2312" w:hAnsi="仿宋_GB2312" w:eastAsia="仿宋_GB2312" w:cs="仿宋_GB2312"/>
          <w:sz w:val="32"/>
          <w:szCs w:val="32"/>
          <w:lang w:eastAsia="zh-CN" w:bidi="ar-SA"/>
        </w:rPr>
        <w:t>本项目专项债券应还本付息情况如下：</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表1</w:t>
      </w:r>
      <w:r>
        <w:rPr>
          <w:rFonts w:hint="eastAsia" w:cs="仿宋_GB2312"/>
          <w:sz w:val="32"/>
          <w:szCs w:val="32"/>
          <w:highlight w:val="none"/>
          <w:lang w:val="en-US" w:eastAsia="zh-CN"/>
        </w:rPr>
        <w:t>8</w:t>
      </w:r>
      <w:r>
        <w:rPr>
          <w:rFonts w:hint="eastAsia" w:ascii="仿宋_GB2312" w:hAnsi="仿宋_GB2312" w:eastAsia="仿宋_GB2312" w:cs="仿宋_GB2312"/>
          <w:sz w:val="32"/>
          <w:szCs w:val="32"/>
          <w:highlight w:val="none"/>
          <w:lang w:val="en-US" w:eastAsia="zh-CN"/>
        </w:rPr>
        <w:t>：已发行专项债券还本付息情况表（单位：万元）</w:t>
      </w:r>
    </w:p>
    <w:tbl>
      <w:tblPr>
        <w:tblStyle w:val="13"/>
        <w:tblW w:w="101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4"/>
        <w:gridCol w:w="1100"/>
        <w:gridCol w:w="1100"/>
        <w:gridCol w:w="1080"/>
        <w:gridCol w:w="732"/>
        <w:gridCol w:w="708"/>
        <w:gridCol w:w="700"/>
        <w:gridCol w:w="737"/>
        <w:gridCol w:w="705"/>
        <w:gridCol w:w="1080"/>
        <w:gridCol w:w="11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年度</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期初本金金额</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本期偿还本金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期末本金余额</w:t>
            </w:r>
          </w:p>
        </w:tc>
        <w:tc>
          <w:tcPr>
            <w:tcW w:w="3582" w:type="dxa"/>
            <w:gridSpan w:val="5"/>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ind w:firstLine="360" w:firstLineChars="20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融资利率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应付利息</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还本付息合计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第一年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第二年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firstLine="360" w:firstLineChars="20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第三年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第四年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第五年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第六年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第七年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第八年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第九年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第十一年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13,376.00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14,475.01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第十二年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第十三年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第十四年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第十五年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第十六年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21,500.00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702.80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2,202.80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第十七年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第十八年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第十九年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第二十年</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0.00</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合计</w:t>
            </w: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17,784.14</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52,660.14</w:t>
            </w:r>
          </w:p>
        </w:tc>
      </w:tr>
    </w:tbl>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表</w:t>
      </w:r>
      <w:r>
        <w:rPr>
          <w:rFonts w:hint="eastAsia" w:cs="仿宋_GB2312"/>
          <w:sz w:val="32"/>
          <w:szCs w:val="32"/>
          <w:highlight w:val="none"/>
          <w:lang w:val="en-US" w:eastAsia="zh-CN"/>
        </w:rPr>
        <w:t>19</w:t>
      </w:r>
      <w:r>
        <w:rPr>
          <w:rFonts w:hint="eastAsia" w:ascii="仿宋_GB2312" w:hAnsi="仿宋_GB2312" w:eastAsia="仿宋_GB2312" w:cs="仿宋_GB2312"/>
          <w:sz w:val="32"/>
          <w:szCs w:val="32"/>
          <w:highlight w:val="none"/>
          <w:lang w:val="en-US" w:eastAsia="zh-CN"/>
        </w:rPr>
        <w:t>：本次发行专项债券融资还本付息情况表（单位：万元）</w:t>
      </w:r>
    </w:p>
    <w:tbl>
      <w:tblPr>
        <w:tblStyle w:val="13"/>
        <w:tblW w:w="90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8"/>
        <w:gridCol w:w="1367"/>
        <w:gridCol w:w="1365"/>
        <w:gridCol w:w="1395"/>
        <w:gridCol w:w="1065"/>
        <w:gridCol w:w="1215"/>
        <w:gridCol w:w="13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年度</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期初本金金额</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本期偿还本金</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期末本金余额</w:t>
            </w:r>
          </w:p>
        </w:tc>
        <w:tc>
          <w:tcPr>
            <w:tcW w:w="1065"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融资利率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应付利息</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还本付息合计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第一年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default"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第二年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第三年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第四年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第五年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第六年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165.00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1,165.00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第七年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132.00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1,132.00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第八年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99.00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第九年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66.00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第十年</w:t>
            </w: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0.00</w:t>
            </w: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1,033.00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right"/>
              <w:textAlignment w:val="center"/>
              <w:rPr>
                <w:rFonts w:hint="default" w:ascii="仿宋_GB2312" w:hAnsi="仿宋_GB2312" w:eastAsia="仿宋_GB2312" w:cs="仿宋_GB2312"/>
                <w:b w:val="0"/>
                <w:bCs w:val="0"/>
                <w:kern w:val="0"/>
                <w:sz w:val="18"/>
                <w:szCs w:val="18"/>
                <w:lang w:val="en-US" w:eastAsia="zh-CN" w:bidi="ar-SA"/>
              </w:rPr>
            </w:pPr>
            <w:r>
              <w:rPr>
                <w:rFonts w:hint="default" w:ascii="仿宋_GB2312" w:hAnsi="仿宋_GB2312" w:eastAsia="仿宋_GB2312" w:cs="仿宋_GB2312"/>
                <w:b w:val="0"/>
                <w:bCs w:val="0"/>
                <w:kern w:val="0"/>
                <w:sz w:val="18"/>
                <w:szCs w:val="18"/>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5,000.00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1,320.00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6,320.00</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本次申请的债券，还本付息总金额为6,320.00万元。</w:t>
      </w:r>
    </w:p>
    <w:p>
      <w:pPr>
        <w:pStyle w:val="6"/>
        <w:spacing w:before="156" w:beforeLines="50" w:after="156" w:afterLines="50" w:line="580" w:lineRule="exact"/>
        <w:ind w:firstLine="640" w:firstLineChars="200"/>
        <w:jc w:val="both"/>
        <w:rPr>
          <w:rFonts w:hint="eastAsia" w:ascii="仿宋_GB2312" w:hAnsi="Calibri" w:eastAsia="仿宋_GB2312"/>
          <w:kern w:val="2"/>
          <w:sz w:val="32"/>
          <w:szCs w:val="32"/>
          <w:highlight w:val="none"/>
          <w:lang w:val="en-US"/>
        </w:rPr>
        <w:sectPr>
          <w:footerReference r:id="rId6" w:type="default"/>
          <w:pgSz w:w="11850" w:h="16783"/>
          <w:pgMar w:top="1134" w:right="1134" w:bottom="1077" w:left="1304"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表</w:t>
      </w:r>
      <w:r>
        <w:rPr>
          <w:rFonts w:hint="eastAsia"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：计划发行专项债券融资还本付息情况表（单位：万元）</w:t>
      </w:r>
    </w:p>
    <w:tbl>
      <w:tblPr>
        <w:tblStyle w:val="1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1296"/>
        <w:gridCol w:w="1296"/>
        <w:gridCol w:w="1296"/>
        <w:gridCol w:w="666"/>
        <w:gridCol w:w="666"/>
        <w:gridCol w:w="666"/>
        <w:gridCol w:w="666"/>
        <w:gridCol w:w="666"/>
        <w:gridCol w:w="666"/>
        <w:gridCol w:w="666"/>
        <w:gridCol w:w="1026"/>
        <w:gridCol w:w="12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tblHeader/>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年度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期初本金金额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本期偿还本金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期末本金余额</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融资利率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应付利息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18"/>
                <w:szCs w:val="18"/>
                <w:lang w:val="en-US" w:eastAsia="zh-CN" w:bidi="ar-SA"/>
              </w:rPr>
            </w:pPr>
            <w:r>
              <w:rPr>
                <w:rFonts w:hint="eastAsia" w:ascii="黑体" w:hAnsi="黑体" w:eastAsia="黑体" w:cs="黑体"/>
                <w:b w:val="0"/>
                <w:bCs w:val="0"/>
                <w:kern w:val="0"/>
                <w:sz w:val="18"/>
                <w:szCs w:val="18"/>
                <w:lang w:val="en-US" w:eastAsia="zh-CN" w:bidi="ar-SA"/>
              </w:rPr>
              <w:t>还本付息合计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第一年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656.00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第二年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34,876.00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第三年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第四年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第五年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第六年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第七年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第八年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48,976.00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1,627.61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2,627.61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第九年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48,976.00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47,976.00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1,594.61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2,594.61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47,976.00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46,976.00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1,561.61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2,561.61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第十一年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46,976.00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14,376.00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1,528.61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15,904.61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第十二年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1,099.40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2,099.40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第十三年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第十四年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第十五年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第十六年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1,500.00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1,066.40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2,566.40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第十七年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第十八年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第十九年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第二十年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20,000.00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1,019.60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21,019.60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第二十一年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363.60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第二十二年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10,100.00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3.60%</w:t>
            </w: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363.60</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10,463.60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241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49,976.00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p>
        </w:tc>
        <w:tc>
          <w:tcPr>
            <w:tcW w:w="10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26,376.14</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18"/>
                <w:szCs w:val="18"/>
                <w:lang w:val="en-US" w:eastAsia="zh-CN" w:bidi="ar-SA"/>
              </w:rPr>
            </w:pPr>
            <w:r>
              <w:rPr>
                <w:rFonts w:hint="eastAsia" w:ascii="仿宋_GB2312" w:hAnsi="仿宋_GB2312" w:eastAsia="仿宋_GB2312" w:cs="仿宋_GB2312"/>
                <w:b w:val="0"/>
                <w:bCs w:val="0"/>
                <w:kern w:val="0"/>
                <w:sz w:val="18"/>
                <w:szCs w:val="18"/>
                <w:lang w:val="en-US" w:eastAsia="zh-CN" w:bidi="ar-SA"/>
              </w:rPr>
              <w:t>76,352.14</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9"/>
        <w:rPr>
          <w:rFonts w:hint="eastAsia"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整体发行专项债还本付息金额为76,352.14万元。</w:t>
      </w:r>
    </w:p>
    <w:p>
      <w:pPr>
        <w:pStyle w:val="16"/>
        <w:snapToGrid w:val="0"/>
        <w:spacing w:line="240" w:lineRule="auto"/>
        <w:ind w:firstLine="0" w:firstLineChars="0"/>
        <w:jc w:val="center"/>
        <w:rPr>
          <w:rFonts w:hint="eastAsia" w:ascii="仿宋_GB2312" w:hAnsi="仿宋_GB2312" w:eastAsia="仿宋_GB2312" w:cs="仿宋_GB2312"/>
          <w:sz w:val="32"/>
          <w:szCs w:val="32"/>
          <w:highlight w:val="none"/>
          <w:lang w:val="en-US" w:eastAsia="zh-CN"/>
        </w:rPr>
        <w:sectPr>
          <w:pgSz w:w="16783" w:h="11850" w:orient="landscape"/>
          <w:pgMar w:top="1531" w:right="2041" w:bottom="1417" w:left="1417" w:header="851" w:footer="992" w:gutter="0"/>
          <w:pgBorders>
            <w:top w:val="none" w:sz="0" w:space="0"/>
            <w:left w:val="none" w:sz="0" w:space="0"/>
            <w:bottom w:val="none" w:sz="0" w:space="0"/>
            <w:right w:val="none" w:sz="0" w:space="0"/>
          </w:pgBorders>
          <w:pgNumType w:fmt="decimal" w:start="8"/>
          <w:cols w:space="720" w:num="1"/>
          <w:docGrid w:type="lines" w:linePitch="312" w:charSpace="0"/>
        </w:sectPr>
      </w:pPr>
    </w:p>
    <w:p>
      <w:pPr>
        <w:pStyle w:val="16"/>
        <w:snapToGrid w:val="0"/>
        <w:spacing w:line="240" w:lineRule="auto"/>
        <w:ind w:firstLine="0" w:firstLineChars="0"/>
        <w:jc w:val="center"/>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表</w:t>
      </w:r>
      <w:r>
        <w:rPr>
          <w:rFonts w:hint="eastAsia" w:cs="仿宋_GB2312"/>
          <w:sz w:val="32"/>
          <w:szCs w:val="32"/>
          <w:highlight w:val="none"/>
          <w:lang w:val="en-US" w:eastAsia="zh-CN"/>
        </w:rPr>
        <w:t>21</w:t>
      </w:r>
      <w:r>
        <w:rPr>
          <w:rFonts w:hint="eastAsia" w:ascii="仿宋_GB2312" w:hAnsi="仿宋_GB2312" w:eastAsia="仿宋_GB2312" w:cs="仿宋_GB2312"/>
          <w:sz w:val="32"/>
          <w:szCs w:val="32"/>
          <w:highlight w:val="none"/>
          <w:lang w:val="en-US" w:eastAsia="zh-CN"/>
        </w:rPr>
        <w:t>：</w:t>
      </w:r>
      <w:r>
        <w:rPr>
          <w:rFonts w:hint="eastAsia" w:cs="仿宋_GB2312"/>
          <w:sz w:val="32"/>
          <w:szCs w:val="32"/>
          <w:highlight w:val="none"/>
          <w:lang w:val="en-US" w:eastAsia="zh-CN"/>
        </w:rPr>
        <w:t>项目</w:t>
      </w:r>
      <w:r>
        <w:rPr>
          <w:rFonts w:hint="eastAsia" w:ascii="仿宋_GB2312" w:hAnsi="仿宋_GB2312" w:eastAsia="仿宋_GB2312" w:cs="仿宋_GB2312"/>
          <w:sz w:val="32"/>
          <w:szCs w:val="32"/>
          <w:highlight w:val="none"/>
          <w:lang w:val="en-US" w:eastAsia="zh-CN"/>
        </w:rPr>
        <w:t>现金流测算表</w:t>
      </w:r>
    </w:p>
    <w:tbl>
      <w:tblPr>
        <w:tblStyle w:val="13"/>
        <w:tblW w:w="10134" w:type="dxa"/>
        <w:tblInd w:w="-54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94"/>
        <w:gridCol w:w="1414"/>
        <w:gridCol w:w="1226"/>
        <w:gridCol w:w="1200"/>
        <w:gridCol w:w="1306"/>
        <w:gridCol w:w="1347"/>
        <w:gridCol w:w="1293"/>
        <w:gridCol w:w="8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blHeader/>
        </w:trPr>
        <w:tc>
          <w:tcPr>
            <w:tcW w:w="14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年度</w:t>
            </w:r>
          </w:p>
        </w:tc>
        <w:tc>
          <w:tcPr>
            <w:tcW w:w="141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项目现金流入</w:t>
            </w:r>
          </w:p>
        </w:tc>
        <w:tc>
          <w:tcPr>
            <w:tcW w:w="373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项目现金流出</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净现金流量</w:t>
            </w:r>
          </w:p>
        </w:tc>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累计现金流量</w:t>
            </w:r>
          </w:p>
        </w:tc>
        <w:tc>
          <w:tcPr>
            <w:tcW w:w="85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blHeader/>
        </w:trPr>
        <w:tc>
          <w:tcPr>
            <w:tcW w:w="14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1"/>
                <w:szCs w:val="21"/>
                <w:u w:val="none"/>
              </w:rPr>
            </w:pPr>
          </w:p>
        </w:tc>
        <w:tc>
          <w:tcPr>
            <w:tcW w:w="141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1"/>
                <w:szCs w:val="21"/>
                <w:u w:val="none"/>
              </w:rPr>
            </w:pP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成本费用</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利息</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r>
              <w:rPr>
                <w:rFonts w:hint="eastAsia" w:ascii="黑体" w:hAnsi="黑体" w:eastAsia="黑体" w:cs="黑体"/>
                <w:b w:val="0"/>
                <w:bCs w:val="0"/>
                <w:kern w:val="0"/>
                <w:sz w:val="21"/>
                <w:szCs w:val="21"/>
                <w:lang w:val="en-US" w:eastAsia="zh-CN" w:bidi="ar-SA"/>
              </w:rPr>
              <w:t>本金</w:t>
            </w: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黑体" w:hAnsi="黑体" w:eastAsia="黑体" w:cs="黑体"/>
                <w:b w:val="0"/>
                <w:bCs w:val="0"/>
                <w:kern w:val="0"/>
                <w:sz w:val="21"/>
                <w:szCs w:val="21"/>
                <w:lang w:val="en-US" w:eastAsia="zh-CN" w:bidi="ar-SA"/>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1"/>
                <w:szCs w:val="21"/>
                <w:u w:val="none"/>
              </w:rPr>
            </w:pPr>
          </w:p>
        </w:tc>
        <w:tc>
          <w:tcPr>
            <w:tcW w:w="85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黑体" w:hAnsi="宋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第一年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656.00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-656.00</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-656.00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建设期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第二年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1,099.01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-1,099.01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-1,755.01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建设期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第三年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-3,382.63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建设期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第四年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113.76</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28.44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-1,542.29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-4,924.92</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第五年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6,555.43</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32.04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4,895.78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-29.15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第六年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6,892.30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35.92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5,228.77</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5,199.62</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第七年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7,246.50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40.11</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5,578.78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10,778.40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第八年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7,608.84</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42.12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1,627.61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5,939.11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16,717.50</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第九年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7,989.27</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44.22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1,594.61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6,350.43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23,067.94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8,388.75</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46.43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1,561.61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6,780.70</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29,848.63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第十一年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8,808.18</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48.76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1,528.61</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14,376.00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7,230.81</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37,079.45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第十二年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9,248.59</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51.19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1,099.40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8,097.99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45,177.44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第十三年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9,711.02</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53.75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1,066.40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8,590.87</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53,768.31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第十四年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10,196.58</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56.44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1,066.40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9,073.74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62,842.05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第十五年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10,706.39</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59.26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1,066.40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9,580.73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72,422.78</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第十六年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11,241.71</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62.23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1,066.40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1,500.00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10,113.09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82,535.86</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第十七年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11,803.80</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65.34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1,019.60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10,718.86</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93,254.73</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第十八年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274.42</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68.60</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1,019.60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-813.79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92,440.94</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第十九年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288.14</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72.03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1,019.60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-803.50</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91,637.45</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第二十年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302.55</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75.64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1,019.60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20,000.00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-792.69</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90,844.76</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第二十一年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317.67</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79.42</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363.60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-125.34</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90,719.41</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第二十二年</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333.56</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83.39</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363.60</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10,100.00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-113.43</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90,605.98</w:t>
            </w: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1" w:hRule="atLeast"/>
        </w:trPr>
        <w:tc>
          <w:tcPr>
            <w:tcW w:w="14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center"/>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合计</w:t>
            </w:r>
          </w:p>
        </w:tc>
        <w:tc>
          <w:tcPr>
            <w:tcW w:w="1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118,027.46</w:t>
            </w:r>
          </w:p>
        </w:tc>
        <w:tc>
          <w:tcPr>
            <w:tcW w:w="12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1,045.34</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26,376.14</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49,976.00</w:t>
            </w:r>
          </w:p>
        </w:tc>
        <w:tc>
          <w:tcPr>
            <w:tcW w:w="13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r>
              <w:rPr>
                <w:rFonts w:hint="eastAsia" w:ascii="仿宋_GB2312" w:hAnsi="仿宋_GB2312" w:eastAsia="仿宋_GB2312" w:cs="仿宋_GB2312"/>
                <w:b w:val="0"/>
                <w:bCs w:val="0"/>
                <w:kern w:val="0"/>
                <w:sz w:val="21"/>
                <w:szCs w:val="21"/>
                <w:lang w:val="en-US" w:eastAsia="zh-CN" w:bidi="ar-SA"/>
              </w:rPr>
              <w:t>90,605.98</w:t>
            </w:r>
          </w:p>
        </w:tc>
        <w:tc>
          <w:tcPr>
            <w:tcW w:w="1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c>
          <w:tcPr>
            <w:tcW w:w="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right"/>
              <w:textAlignment w:val="center"/>
              <w:rPr>
                <w:rFonts w:hint="eastAsia" w:ascii="仿宋_GB2312" w:hAnsi="仿宋_GB2312" w:eastAsia="仿宋_GB2312" w:cs="仿宋_GB2312"/>
                <w:b w:val="0"/>
                <w:bCs w:val="0"/>
                <w:kern w:val="0"/>
                <w:sz w:val="21"/>
                <w:szCs w:val="21"/>
                <w:lang w:val="en-US" w:eastAsia="zh-CN" w:bidi="ar-SA"/>
              </w:rPr>
            </w:pPr>
          </w:p>
        </w:tc>
      </w:tr>
    </w:tbl>
    <w:p>
      <w:pPr>
        <w:pageBreakBefore w:val="0"/>
        <w:widowControl/>
        <w:kinsoku/>
        <w:wordWrap/>
        <w:overflowPunct/>
        <w:topLinePunct w:val="0"/>
        <w:bidi w:val="0"/>
        <w:adjustRightInd w:val="0"/>
        <w:snapToGrid w:val="0"/>
        <w:spacing w:line="360" w:lineRule="auto"/>
        <w:ind w:firstLine="643" w:firstLineChars="200"/>
        <w:outlineLvl w:val="9"/>
        <w:rPr>
          <w:rFonts w:ascii="仿宋_GB2312" w:hAnsi="仿宋_GB2312" w:eastAsia="仿宋_GB2312" w:cs="仿宋_GB2312"/>
          <w:b/>
          <w:bCs/>
          <w:sz w:val="32"/>
          <w:szCs w:val="32"/>
          <w:lang w:eastAsia="zh-CN" w:bidi="ar-SA"/>
        </w:rPr>
      </w:pPr>
      <w:r>
        <w:rPr>
          <w:rFonts w:hint="eastAsia" w:ascii="仿宋_GB2312" w:hAnsi="仿宋_GB2312" w:eastAsia="仿宋_GB2312" w:cs="仿宋_GB2312"/>
          <w:b/>
          <w:bCs/>
          <w:sz w:val="32"/>
          <w:szCs w:val="32"/>
          <w:lang w:eastAsia="zh-CN" w:bidi="ar-SA"/>
        </w:rPr>
        <w:t>2.项目本息覆盖情况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zh-TW" w:eastAsia="zh-TW"/>
        </w:rPr>
      </w:pPr>
      <w:r>
        <w:rPr>
          <w:rFonts w:hint="eastAsia" w:ascii="仿宋_GB2312" w:hAnsi="仿宋_GB2312" w:eastAsia="仿宋_GB2312" w:cs="仿宋_GB2312"/>
          <w:b w:val="0"/>
          <w:bCs w:val="0"/>
          <w:color w:val="000000"/>
          <w:sz w:val="32"/>
          <w:szCs w:val="32"/>
          <w:lang w:val="zh-TW" w:eastAsia="zh-TW"/>
        </w:rPr>
        <w:t>（1）</w:t>
      </w:r>
      <w:r>
        <w:rPr>
          <w:rFonts w:hint="eastAsia" w:ascii="仿宋_GB2312" w:hAnsi="仿宋_GB2312" w:eastAsia="仿宋_GB2312" w:cs="仿宋_GB2312"/>
          <w:b w:val="0"/>
          <w:bCs w:val="0"/>
          <w:color w:val="000000"/>
          <w:sz w:val="32"/>
          <w:szCs w:val="32"/>
          <w:lang w:val="en-US" w:eastAsia="zh-CN"/>
        </w:rPr>
        <w:t>已发行及</w:t>
      </w:r>
      <w:r>
        <w:rPr>
          <w:rFonts w:hint="eastAsia" w:ascii="仿宋_GB2312" w:hAnsi="仿宋_GB2312" w:eastAsia="仿宋_GB2312" w:cs="仿宋_GB2312"/>
          <w:b w:val="0"/>
          <w:bCs w:val="0"/>
          <w:color w:val="000000"/>
          <w:sz w:val="32"/>
          <w:szCs w:val="32"/>
          <w:lang w:val="zh-TW" w:eastAsia="zh-TW"/>
        </w:rPr>
        <w:t>本次债券融资还本付息保障倍数</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zh-TW" w:eastAsia="zh-TW"/>
        </w:rPr>
        <w:t>根据前述对项目未来数据的合理预测，在债券存续期间内共产生可用于还本付息金额的净现金流入</w:t>
      </w:r>
      <w:r>
        <w:rPr>
          <w:rFonts w:hint="eastAsia" w:ascii="仿宋_GB2312" w:hAnsi="仿宋_GB2312" w:eastAsia="仿宋_GB2312" w:cs="仿宋_GB2312"/>
          <w:b w:val="0"/>
          <w:bCs w:val="0"/>
          <w:color w:val="000000"/>
          <w:sz w:val="32"/>
          <w:szCs w:val="32"/>
          <w:lang w:val="en-US" w:eastAsia="zh-CN"/>
        </w:rPr>
        <w:t>116,493.70</w:t>
      </w:r>
      <w:r>
        <w:rPr>
          <w:rFonts w:hint="eastAsia" w:ascii="仿宋_GB2312" w:hAnsi="仿宋_GB2312" w:eastAsia="仿宋_GB2312" w:cs="仿宋_GB2312"/>
          <w:b w:val="0"/>
          <w:bCs w:val="0"/>
          <w:color w:val="000000"/>
          <w:sz w:val="32"/>
          <w:szCs w:val="32"/>
          <w:lang w:val="zh-TW" w:eastAsia="zh-TW"/>
        </w:rPr>
        <w:t>万元，能够覆盖债券本息金额58,980.14万元，债务本息偿付保障倍数</w:t>
      </w:r>
      <w:r>
        <w:rPr>
          <w:rFonts w:hint="eastAsia" w:ascii="仿宋_GB2312" w:hAnsi="仿宋_GB2312" w:eastAsia="仿宋_GB2312" w:cs="仿宋_GB2312"/>
          <w:b w:val="0"/>
          <w:bCs w:val="0"/>
          <w:color w:val="000000"/>
          <w:sz w:val="32"/>
          <w:szCs w:val="32"/>
          <w:lang w:val="en-US" w:eastAsia="zh-CN"/>
        </w:rPr>
        <w:t>1.98</w:t>
      </w:r>
      <w:r>
        <w:rPr>
          <w:rFonts w:hint="eastAsia" w:ascii="仿宋_GB2312" w:hAnsi="仿宋_GB2312" w:eastAsia="仿宋_GB2312" w:cs="仿宋_GB2312"/>
          <w:b w:val="0"/>
          <w:bCs w:val="0"/>
          <w:color w:val="000000"/>
          <w:sz w:val="32"/>
          <w:szCs w:val="32"/>
          <w:lang w:val="zh-TW" w:eastAsia="zh-TW"/>
        </w:rPr>
        <w:t>倍。同时，本地区经济及财政收支增长稳健，项目不能偿还对应融资本息的风险较低，用于还本付息资金的充足性得到保障。</w:t>
      </w:r>
    </w:p>
    <w:p>
      <w:pPr>
        <w:pStyle w:val="16"/>
        <w:snapToGrid w:val="0"/>
        <w:spacing w:line="240" w:lineRule="auto"/>
        <w:ind w:firstLine="0" w:firstLineChars="0"/>
        <w:jc w:val="center"/>
        <w:rPr>
          <w:rFonts w:hint="eastAsia" w:cs="仿宋_GB2312"/>
          <w:sz w:val="32"/>
          <w:szCs w:val="32"/>
          <w:highlight w:val="none"/>
          <w:lang w:val="en-US" w:eastAsia="zh-CN"/>
        </w:rPr>
      </w:pPr>
      <w:r>
        <w:rPr>
          <w:rFonts w:hint="eastAsia" w:cs="仿宋_GB2312"/>
          <w:sz w:val="32"/>
          <w:szCs w:val="32"/>
          <w:highlight w:val="none"/>
          <w:lang w:val="en-US" w:eastAsia="zh-CN"/>
        </w:rPr>
        <w:t>表22：已发行+本次计划发行专项债券还本付息保障倍数测算表</w:t>
      </w:r>
    </w:p>
    <w:p>
      <w:pPr>
        <w:pStyle w:val="20"/>
        <w:pageBreakBefore w:val="0"/>
        <w:kinsoku/>
        <w:wordWrap/>
        <w:overflowPunct/>
        <w:topLinePunct w:val="0"/>
        <w:bidi w:val="0"/>
        <w:spacing w:after="0" w:line="360" w:lineRule="auto"/>
        <w:ind w:firstLine="560" w:firstLineChars="200"/>
        <w:jc w:val="right"/>
        <w:outlineLvl w:val="9"/>
        <w:rPr>
          <w:rFonts w:ascii="仿宋_GB2312" w:hAnsi="仿宋_GB2312" w:eastAsia="仿宋_GB2312" w:cs="仿宋_GB2312"/>
          <w:sz w:val="28"/>
          <w:szCs w:val="28"/>
          <w:lang w:val="en-US" w:eastAsia="zh-CN" w:bidi="ar-SA"/>
        </w:rPr>
      </w:pPr>
      <w:r>
        <w:rPr>
          <w:rFonts w:hint="eastAsia" w:ascii="仿宋_GB2312" w:hAnsi="仿宋_GB2312" w:eastAsia="仿宋_GB2312" w:cs="仿宋_GB2312"/>
          <w:sz w:val="28"/>
          <w:szCs w:val="28"/>
          <w:lang w:val="en-US" w:eastAsia="zh-CN" w:bidi="ar-SA"/>
        </w:rPr>
        <w:t>单位：万元</w:t>
      </w:r>
    </w:p>
    <w:tbl>
      <w:tblPr>
        <w:tblStyle w:val="13"/>
        <w:tblW w:w="90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jc w:val="cent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blHeader/>
          <w:jc w:val="cent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116,493.70</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both"/>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1,231.01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2,231.01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1,198.01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2,198.01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1,165.01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15,541.01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735.80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1,735.80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39,876.00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19,104.14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58,980.14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1.98</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（2）项目债券融资还本付息保障倍数</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根据前述对项目未来数据的合理预测，在债券存续期间内共产生可用于还本付息金额的净现金流入116,982.13万元，能够覆盖债券本息金额76,352.14万元，债务本息偿付保障倍数1.53倍。同时，本地区经济及财政收支增长稳健，项目不能偿还对应融资本息的风险较低，用于还本付息资金的充足性得到保障。</w:t>
      </w:r>
    </w:p>
    <w:p>
      <w:pPr>
        <w:pStyle w:val="16"/>
        <w:snapToGrid w:val="0"/>
        <w:spacing w:line="240" w:lineRule="auto"/>
        <w:ind w:firstLine="0" w:firstLineChars="0"/>
        <w:jc w:val="center"/>
        <w:rPr>
          <w:rFonts w:hint="eastAsia" w:cs="仿宋_GB2312"/>
          <w:sz w:val="32"/>
          <w:szCs w:val="32"/>
          <w:highlight w:val="none"/>
          <w:lang w:val="en-US" w:eastAsia="zh-CN"/>
        </w:rPr>
      </w:pPr>
      <w:r>
        <w:rPr>
          <w:rFonts w:hint="eastAsia" w:cs="仿宋_GB2312"/>
          <w:sz w:val="32"/>
          <w:szCs w:val="32"/>
          <w:highlight w:val="none"/>
          <w:lang w:val="en-US" w:eastAsia="zh-CN"/>
        </w:rPr>
        <w:t>表23：项目计划还本付息保障倍数测算表（单位：万元）</w:t>
      </w:r>
    </w:p>
    <w:tbl>
      <w:tblPr>
        <w:tblStyle w:val="13"/>
        <w:tblW w:w="90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blHead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116,982.13</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1,594.61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2,594.61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1,561.61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2,561.61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1,528.61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15,904.61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2,099.40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10,463.60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49,976.00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26,376.14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76,352.14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1.53</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pageBreakBefore w:val="0"/>
        <w:widowControl/>
        <w:kinsoku/>
        <w:wordWrap/>
        <w:overflowPunct/>
        <w:topLinePunct w:val="0"/>
        <w:bidi w:val="0"/>
        <w:adjustRightInd w:val="0"/>
        <w:snapToGrid w:val="0"/>
        <w:spacing w:line="360" w:lineRule="auto"/>
        <w:ind w:firstLine="643" w:firstLineChars="200"/>
        <w:outlineLvl w:val="9"/>
        <w:rPr>
          <w:rFonts w:ascii="仿宋_GB2312" w:hAnsi="仿宋_GB2312" w:eastAsia="仿宋_GB2312" w:cs="仿宋_GB2312"/>
          <w:b/>
          <w:bCs/>
          <w:sz w:val="32"/>
          <w:szCs w:val="32"/>
          <w:lang w:eastAsia="zh-CN" w:bidi="ar-SA"/>
        </w:rPr>
      </w:pPr>
      <w:r>
        <w:rPr>
          <w:rFonts w:hint="eastAsia" w:ascii="仿宋_GB2312" w:hAnsi="仿宋_GB2312" w:eastAsia="仿宋_GB2312" w:cs="仿宋_GB2312"/>
          <w:b/>
          <w:bCs/>
          <w:sz w:val="32"/>
          <w:szCs w:val="32"/>
          <w:lang w:eastAsia="zh-CN" w:bidi="ar-SA"/>
        </w:rPr>
        <w:t>3.风险分析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（1）已发行及本次债券融资风险分析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本着谨慎性原则，对项目收入的向下波动情况下对本次发行债券进行敏感分析。经测算，在收入预测下降10.00%计算收益的情况下，本息覆盖倍数约为1.78倍；当收入预测下降20.02%计算收益的情况下，本息覆盖倍数约为1.58倍。同时，项目存续期间不存在任何资金缺口，完全可实现正常本息偿付的自求平衡。因此，本项目具有较强的抗风险能力。收入预测下降时本息覆盖倍数详见下表：</w:t>
      </w:r>
    </w:p>
    <w:p>
      <w:pPr>
        <w:pStyle w:val="16"/>
        <w:snapToGrid w:val="0"/>
        <w:spacing w:line="240" w:lineRule="auto"/>
        <w:ind w:firstLine="0" w:firstLineChars="0"/>
        <w:jc w:val="center"/>
        <w:rPr>
          <w:rFonts w:hint="eastAsia" w:cs="仿宋_GB2312"/>
          <w:sz w:val="32"/>
          <w:szCs w:val="32"/>
          <w:highlight w:val="none"/>
          <w:lang w:val="en-US" w:eastAsia="zh-CN"/>
        </w:rPr>
      </w:pPr>
      <w:bookmarkStart w:id="123" w:name="_Toc1817"/>
      <w:bookmarkStart w:id="124" w:name="_Toc17905"/>
      <w:r>
        <w:rPr>
          <w:rFonts w:hint="eastAsia" w:cs="仿宋_GB2312"/>
          <w:sz w:val="32"/>
          <w:szCs w:val="32"/>
          <w:highlight w:val="none"/>
          <w:lang w:val="en-US" w:eastAsia="zh-CN"/>
        </w:rPr>
        <w:t>表24：已发行+本次债券本息覆盖倍数表(收入预测下降10.00%)</w:t>
      </w:r>
      <w:bookmarkEnd w:id="123"/>
      <w:bookmarkEnd w:id="124"/>
    </w:p>
    <w:p>
      <w:pPr>
        <w:pStyle w:val="30"/>
        <w:keepNext w:val="0"/>
        <w:keepLines w:val="0"/>
        <w:pageBreakBefore w:val="0"/>
        <w:widowControl w:val="0"/>
        <w:kinsoku/>
        <w:wordWrap/>
        <w:overflowPunct/>
        <w:topLinePunct w:val="0"/>
        <w:autoSpaceDE/>
        <w:autoSpaceDN/>
        <w:bidi w:val="0"/>
        <w:adjustRightInd/>
        <w:snapToGrid/>
        <w:spacing w:line="360" w:lineRule="auto"/>
        <w:ind w:firstLine="0" w:firstLineChars="0"/>
        <w:jc w:val="right"/>
        <w:textAlignment w:val="auto"/>
        <w:outlineLvl w:val="9"/>
        <w:rPr>
          <w:rFonts w:hint="eastAsia" w:ascii="仿宋_GB2312" w:hAnsi="仿宋_GB2312" w:eastAsia="仿宋_GB2312" w:cs="仿宋_GB2312"/>
          <w:b w:val="0"/>
          <w:bCs w:val="0"/>
          <w:sz w:val="28"/>
          <w:szCs w:val="28"/>
          <w:lang w:val="en-US" w:eastAsia="zh-CN" w:bidi="ar-SA"/>
        </w:rPr>
      </w:pPr>
      <w:bookmarkStart w:id="125" w:name="_Toc1917"/>
      <w:bookmarkStart w:id="126" w:name="_Toc1714"/>
      <w:r>
        <w:rPr>
          <w:rFonts w:hint="eastAsia" w:ascii="仿宋_GB2312" w:hAnsi="仿宋_GB2312" w:eastAsia="仿宋_GB2312" w:cs="仿宋_GB2312"/>
          <w:b w:val="0"/>
          <w:bCs w:val="0"/>
          <w:sz w:val="28"/>
          <w:szCs w:val="28"/>
          <w:lang w:val="en-US" w:eastAsia="zh-CN" w:bidi="ar-SA"/>
        </w:rPr>
        <w:t>单位：万元</w:t>
      </w:r>
      <w:bookmarkEnd w:id="125"/>
      <w:bookmarkEnd w:id="126"/>
    </w:p>
    <w:tbl>
      <w:tblPr>
        <w:tblStyle w:val="13"/>
        <w:tblW w:w="90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blHeader/>
          <w:jc w:val="cent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blHeader/>
          <w:jc w:val="cent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104,844.33</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both"/>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1,231.01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2,231.01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1,198.01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2,198.01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1,165.01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15,541.01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735.80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1,735.80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39,876.00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19,104.14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58,980.14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1.78</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pStyle w:val="30"/>
        <w:pageBreakBefore w:val="0"/>
        <w:kinsoku/>
        <w:wordWrap/>
        <w:overflowPunct/>
        <w:topLinePunct w:val="0"/>
        <w:bidi w:val="0"/>
        <w:spacing w:line="360" w:lineRule="auto"/>
        <w:ind w:firstLine="0" w:firstLineChars="0"/>
        <w:jc w:val="right"/>
        <w:outlineLvl w:val="9"/>
        <w:rPr>
          <w:rFonts w:hint="eastAsia" w:ascii="仿宋_GB2312" w:hAnsi="仿宋_GB2312" w:eastAsia="仿宋_GB2312" w:cs="仿宋_GB2312"/>
          <w:b w:val="0"/>
          <w:bCs w:val="0"/>
          <w:sz w:val="28"/>
          <w:szCs w:val="28"/>
          <w:lang w:val="en-US" w:eastAsia="zh-CN" w:bidi="ar-SA"/>
        </w:rPr>
      </w:pPr>
    </w:p>
    <w:p>
      <w:pPr>
        <w:pStyle w:val="16"/>
        <w:snapToGrid w:val="0"/>
        <w:spacing w:line="240" w:lineRule="auto"/>
        <w:ind w:firstLine="0" w:firstLineChars="0"/>
        <w:jc w:val="center"/>
        <w:rPr>
          <w:rFonts w:hint="eastAsia" w:cs="仿宋_GB2312"/>
          <w:sz w:val="32"/>
          <w:szCs w:val="32"/>
          <w:highlight w:val="none"/>
          <w:lang w:val="en-US" w:eastAsia="zh-CN"/>
        </w:rPr>
      </w:pPr>
      <w:bookmarkStart w:id="127" w:name="_Toc15924"/>
      <w:bookmarkStart w:id="128" w:name="_Toc21953"/>
      <w:r>
        <w:rPr>
          <w:rFonts w:hint="eastAsia" w:cs="仿宋_GB2312"/>
          <w:sz w:val="32"/>
          <w:szCs w:val="32"/>
          <w:highlight w:val="none"/>
          <w:lang w:val="en-US" w:eastAsia="zh-CN"/>
        </w:rPr>
        <w:t>表25：已发行+本次债券本息覆盖倍数表（收入预测下降20.02%）</w:t>
      </w:r>
      <w:bookmarkEnd w:id="127"/>
      <w:bookmarkEnd w:id="128"/>
    </w:p>
    <w:p>
      <w:pPr>
        <w:pStyle w:val="30"/>
        <w:pageBreakBefore w:val="0"/>
        <w:kinsoku/>
        <w:wordWrap/>
        <w:overflowPunct/>
        <w:topLinePunct w:val="0"/>
        <w:bidi w:val="0"/>
        <w:spacing w:line="360" w:lineRule="auto"/>
        <w:ind w:firstLine="0" w:firstLineChars="0"/>
        <w:jc w:val="right"/>
        <w:outlineLvl w:val="9"/>
        <w:rPr>
          <w:rFonts w:ascii="仿宋_GB2312" w:hAnsi="仿宋_GB2312" w:eastAsia="仿宋_GB2312" w:cs="仿宋_GB2312"/>
          <w:b w:val="0"/>
          <w:bCs w:val="0"/>
          <w:sz w:val="28"/>
          <w:szCs w:val="28"/>
          <w:lang w:val="en-US" w:eastAsia="zh-CN" w:bidi="ar-SA"/>
        </w:rPr>
      </w:pPr>
      <w:bookmarkStart w:id="129" w:name="_Toc9704"/>
      <w:bookmarkStart w:id="130" w:name="_Toc32627"/>
      <w:r>
        <w:rPr>
          <w:rFonts w:hint="eastAsia" w:ascii="仿宋_GB2312" w:hAnsi="仿宋_GB2312" w:eastAsia="仿宋_GB2312" w:cs="仿宋_GB2312"/>
          <w:b w:val="0"/>
          <w:bCs w:val="0"/>
          <w:sz w:val="28"/>
          <w:szCs w:val="28"/>
          <w:lang w:val="en-US" w:eastAsia="zh-CN" w:bidi="ar-SA"/>
        </w:rPr>
        <w:t>单位：万元</w:t>
      </w:r>
      <w:bookmarkEnd w:id="129"/>
      <w:bookmarkEnd w:id="130"/>
    </w:p>
    <w:tbl>
      <w:tblPr>
        <w:tblStyle w:val="13"/>
        <w:tblW w:w="90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blHeader/>
          <w:jc w:val="cent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blHeader/>
          <w:jc w:val="cent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93,194.96</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both"/>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1,264.01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2,264.01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1,231.01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2,231.01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1,198.01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2,198.01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1,165.01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15,541.01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735.80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1,735.80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702.80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2,202.80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20,656.00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39,876.00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19,104.14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58,980.14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1.58</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（2）项目债券融资风险分析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本着谨慎性原则，对广告租赁收入、三面翻租赁收入及土地出让收入的向下波动情况下对本项目发行债券进行敏感分析。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left="0" w:leftChars="0" w:firstLine="640" w:firstLineChars="200"/>
        <w:textAlignment w:val="auto"/>
        <w:rPr>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b w:val="0"/>
          <w:bCs w:val="0"/>
          <w:color w:val="000000"/>
          <w:sz w:val="32"/>
          <w:szCs w:val="32"/>
          <w:lang w:val="en-US" w:eastAsia="zh-CN"/>
        </w:rPr>
        <w:t>经测算，在广告租赁收入、三面翻租赁收入及土地出让收入预测下降10.00%计算收益的情况下，本息覆盖倍数约为1.38倍；当广告租赁收入、三面翻租赁收入及土地出让收入预测下降20.02%计算收益情况下，本息覆盖倍数为1.23倍。同时，项目存续期间不存在任何资金缺口，完全可实现正常本息偿付的自求平衡。因此，本项目具有较强的抗风险能力。广告租赁收入、三面翻租赁收入及土地出让收入预测下降时本息覆盖倍数详见下表。</w:t>
      </w:r>
    </w:p>
    <w:p>
      <w:pPr>
        <w:pStyle w:val="16"/>
        <w:snapToGrid w:val="0"/>
        <w:spacing w:line="240" w:lineRule="auto"/>
        <w:ind w:firstLine="0" w:firstLineChars="0"/>
        <w:jc w:val="center"/>
        <w:rPr>
          <w:rFonts w:hint="eastAsia" w:cs="仿宋_GB2312"/>
          <w:sz w:val="32"/>
          <w:szCs w:val="32"/>
          <w:highlight w:val="none"/>
          <w:lang w:val="en-US" w:eastAsia="zh-CN"/>
        </w:rPr>
      </w:pPr>
      <w:bookmarkStart w:id="131" w:name="_Toc12937"/>
      <w:bookmarkStart w:id="132" w:name="_Toc27104"/>
      <w:r>
        <w:rPr>
          <w:rFonts w:hint="eastAsia" w:cs="仿宋_GB2312"/>
          <w:sz w:val="32"/>
          <w:szCs w:val="32"/>
          <w:highlight w:val="none"/>
          <w:lang w:val="en-US" w:eastAsia="zh-CN"/>
        </w:rPr>
        <w:t>表26：本项目债券本息覆盖倍数表（收入预测下降10.00%）（单位：万元）</w:t>
      </w:r>
      <w:bookmarkEnd w:id="131"/>
      <w:bookmarkEnd w:id="132"/>
    </w:p>
    <w:tbl>
      <w:tblPr>
        <w:tblStyle w:val="13"/>
        <w:tblW w:w="902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blHead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105,283.91</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1,594.61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2,594.61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1,561.61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2,561.61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1,528.61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15,904.61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2,099.40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10,463.60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49,976.00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26,376.14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76,352.14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1.38</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pStyle w:val="16"/>
        <w:snapToGrid w:val="0"/>
        <w:spacing w:line="240" w:lineRule="auto"/>
        <w:ind w:firstLine="0" w:firstLineChars="0"/>
        <w:jc w:val="center"/>
        <w:rPr>
          <w:rFonts w:hint="eastAsia" w:cs="仿宋_GB2312"/>
          <w:sz w:val="32"/>
          <w:szCs w:val="32"/>
          <w:highlight w:val="none"/>
          <w:lang w:val="en-US" w:eastAsia="zh-CN"/>
        </w:rPr>
      </w:pPr>
      <w:bookmarkStart w:id="133" w:name="_Toc26932"/>
      <w:bookmarkStart w:id="134" w:name="_Toc29956"/>
      <w:r>
        <w:rPr>
          <w:rFonts w:hint="eastAsia" w:cs="仿宋_GB2312"/>
          <w:sz w:val="32"/>
          <w:szCs w:val="32"/>
          <w:highlight w:val="none"/>
          <w:lang w:val="en-US" w:eastAsia="zh-CN"/>
        </w:rPr>
        <w:t>表27：本项目债券本息覆盖倍数表（收入预测下降20.02%）（单位：万元）</w:t>
      </w:r>
      <w:bookmarkEnd w:id="133"/>
      <w:bookmarkEnd w:id="134"/>
    </w:p>
    <w:tbl>
      <w:tblPr>
        <w:tblStyle w:val="13"/>
        <w:tblW w:w="902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30"/>
        <w:gridCol w:w="1365"/>
        <w:gridCol w:w="1417"/>
        <w:gridCol w:w="1693"/>
        <w:gridCol w:w="1801"/>
        <w:gridCol w:w="1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blHeader/>
        </w:trPr>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年度</w:t>
            </w:r>
          </w:p>
        </w:tc>
        <w:tc>
          <w:tcPr>
            <w:tcW w:w="44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项目融资本息偿付金额</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项目相关收益</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blHeader/>
        </w:trPr>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本金</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right="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利息</w:t>
            </w:r>
          </w:p>
        </w:tc>
        <w:tc>
          <w:tcPr>
            <w:tcW w:w="1693" w:type="dxa"/>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黑体" w:hAnsi="黑体" w:eastAsia="黑体" w:cs="黑体"/>
                <w:sz w:val="24"/>
                <w:szCs w:val="24"/>
                <w:lang w:val="en-US" w:eastAsia="zh-CN" w:bidi="ar-SA"/>
              </w:rPr>
            </w:pPr>
            <w:r>
              <w:rPr>
                <w:rFonts w:hint="eastAsia" w:ascii="黑体" w:hAnsi="黑体" w:eastAsia="黑体" w:cs="黑体"/>
                <w:sz w:val="24"/>
                <w:szCs w:val="24"/>
                <w:lang w:val="en-US" w:eastAsia="zh-CN" w:bidi="ar-SA"/>
              </w:rPr>
              <w:t>本息合计</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黑体" w:hAnsi="黑体" w:eastAsia="黑体" w:cs="黑体"/>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656.00</w:t>
            </w:r>
          </w:p>
        </w:tc>
        <w:tc>
          <w:tcPr>
            <w:tcW w:w="180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93,585.70</w:t>
            </w:r>
          </w:p>
        </w:tc>
        <w:tc>
          <w:tcPr>
            <w:tcW w:w="13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建设期利息资本化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1,099.01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1,627.61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2,627.61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1,594.61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2,594.61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1,561.61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2,561.61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14,376.00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1,528.61</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15,904.61</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1,099.40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2,099.40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第十三年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第十四年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第十五年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第十六年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1,500.00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1,066.40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2,566.40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第十七年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第十八年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第十九年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第二十年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20,000.00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1,019.60</w:t>
            </w:r>
          </w:p>
        </w:tc>
        <w:tc>
          <w:tcPr>
            <w:tcW w:w="1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21,019.60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第二十一年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第二十二年</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10,100.00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363.60</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10,463.60</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43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leftChars="0" w:right="0" w:firstLine="0" w:firstLineChars="0"/>
              <w:jc w:val="both"/>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合计</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49,976.00</w:t>
            </w:r>
          </w:p>
        </w:tc>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26,376.14</w:t>
            </w: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bidi w:val="0"/>
              <w:spacing w:before="0" w:beforeAutospacing="0" w:after="0" w:afterAutospacing="0" w:line="360" w:lineRule="auto"/>
              <w:ind w:left="0" w:leftChars="0" w:right="0" w:rightChars="0" w:firstLine="0" w:firstLineChars="0"/>
              <w:jc w:val="right"/>
              <w:textAlignment w:val="center"/>
              <w:outlineLvl w:val="9"/>
              <w:rPr>
                <w:rFonts w:hint="default" w:ascii="仿宋_GB2312" w:hAnsi="仿宋_GB2312" w:eastAsia="仿宋_GB2312" w:cs="仿宋_GB2312"/>
                <w:sz w:val="24"/>
                <w:szCs w:val="24"/>
                <w:lang w:val="en-US" w:eastAsia="zh-CN" w:bidi="ar-SA"/>
              </w:rPr>
            </w:pPr>
            <w:r>
              <w:rPr>
                <w:rFonts w:hint="default" w:ascii="仿宋_GB2312" w:hAnsi="仿宋_GB2312" w:eastAsia="仿宋_GB2312" w:cs="仿宋_GB2312"/>
                <w:sz w:val="24"/>
                <w:szCs w:val="24"/>
                <w:lang w:val="en-US" w:eastAsia="zh-CN" w:bidi="ar-SA"/>
              </w:rPr>
              <w:t>76,352.14</w:t>
            </w:r>
          </w:p>
        </w:tc>
        <w:tc>
          <w:tcPr>
            <w:tcW w:w="180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本息覆盖倍数</w:t>
            </w:r>
          </w:p>
        </w:tc>
        <w:tc>
          <w:tcPr>
            <w:tcW w:w="3494" w:type="dxa"/>
            <w:gridSpan w:val="2"/>
            <w:tcBorders>
              <w:top w:val="single" w:color="000000" w:sz="4" w:space="0"/>
              <w:left w:val="single" w:color="000000" w:sz="4" w:space="0"/>
              <w:bottom w:val="single" w:color="000000" w:sz="4" w:space="0"/>
              <w:right w:val="nil"/>
            </w:tcBorders>
            <w:shd w:val="clear" w:color="auto" w:fill="auto"/>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default" w:ascii="仿宋_GB2312" w:hAnsi="仿宋_GB2312" w:eastAsia="仿宋_GB2312" w:cs="仿宋_GB2312"/>
                <w:sz w:val="24"/>
                <w:szCs w:val="24"/>
                <w:lang w:val="en-US" w:eastAsia="zh-CN" w:bidi="ar-SA"/>
              </w:rPr>
            </w:pPr>
            <w:r>
              <w:rPr>
                <w:rFonts w:hint="eastAsia" w:ascii="仿宋_GB2312" w:hAnsi="仿宋_GB2312" w:eastAsia="仿宋_GB2312" w:cs="仿宋_GB2312"/>
                <w:sz w:val="24"/>
                <w:szCs w:val="24"/>
                <w:lang w:val="en-US" w:eastAsia="zh-CN" w:bidi="ar-SA"/>
              </w:rPr>
              <w:t>1.23</w:t>
            </w:r>
          </w:p>
        </w:tc>
        <w:tc>
          <w:tcPr>
            <w:tcW w:w="13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0"/>
              <w:keepNext w:val="0"/>
              <w:keepLines w:val="0"/>
              <w:pageBreakBefore w:val="0"/>
              <w:suppressLineNumbers w:val="0"/>
              <w:kinsoku/>
              <w:wordWrap/>
              <w:overflowPunct/>
              <w:topLinePunct w:val="0"/>
              <w:bidi w:val="0"/>
              <w:spacing w:before="0" w:beforeAutospacing="0" w:after="0" w:afterAutospacing="0" w:line="360" w:lineRule="auto"/>
              <w:ind w:left="0" w:right="0" w:firstLine="0"/>
              <w:jc w:val="center"/>
              <w:outlineLvl w:val="9"/>
              <w:rPr>
                <w:rFonts w:hint="eastAsia" w:ascii="仿宋_GB2312" w:hAnsi="仿宋_GB2312" w:eastAsia="仿宋_GB2312" w:cs="仿宋_GB2312"/>
                <w:sz w:val="24"/>
                <w:szCs w:val="24"/>
                <w:lang w:val="en-US" w:eastAsia="zh-CN" w:bidi="ar-SA"/>
              </w:rPr>
            </w:pPr>
          </w:p>
        </w:tc>
      </w:tr>
    </w:tbl>
    <w:p>
      <w:pPr>
        <w:snapToGrid w:val="0"/>
        <w:spacing w:beforeLines="0" w:afterLines="0" w:line="360" w:lineRule="auto"/>
        <w:ind w:firstLine="560"/>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以上分析可见，本项目具有较强的抗风险能力。</w:t>
      </w:r>
    </w:p>
    <w:p>
      <w:pPr>
        <w:numPr>
          <w:ilvl w:val="0"/>
          <w:numId w:val="0"/>
        </w:numPr>
        <w:adjustRightInd w:val="0"/>
        <w:snapToGrid w:val="0"/>
        <w:spacing w:beforeLines="0" w:afterLines="0" w:line="360" w:lineRule="auto"/>
        <w:ind w:firstLine="643" w:firstLineChars="200"/>
        <w:outlineLvl w:val="1"/>
        <w:rPr>
          <w:rFonts w:hint="eastAsia" w:ascii="仿宋_GB2312" w:hAnsi="仿宋_GB2312" w:eastAsia="仿宋_GB2312" w:cs="仿宋_GB2312"/>
          <w:b/>
          <w:bCs/>
          <w:color w:val="000000"/>
          <w:sz w:val="32"/>
          <w:szCs w:val="32"/>
        </w:rPr>
      </w:pPr>
      <w:bookmarkStart w:id="135" w:name="_Toc21892"/>
      <w:bookmarkStart w:id="136" w:name="_Toc30837"/>
      <w:r>
        <w:rPr>
          <w:rFonts w:hint="eastAsia" w:ascii="仿宋_GB2312" w:hAnsi="仿宋_GB2312" w:eastAsia="仿宋_GB2312" w:cs="仿宋_GB2312"/>
          <w:b/>
          <w:bCs/>
          <w:color w:val="000000"/>
          <w:sz w:val="32"/>
          <w:szCs w:val="32"/>
          <w:lang w:val="en-US" w:eastAsia="zh-CN"/>
        </w:rPr>
        <w:t>（三）</w:t>
      </w:r>
      <w:r>
        <w:rPr>
          <w:rFonts w:hint="eastAsia" w:ascii="仿宋_GB2312" w:hAnsi="仿宋_GB2312" w:eastAsia="仿宋_GB2312" w:cs="仿宋_GB2312"/>
          <w:b/>
          <w:bCs/>
          <w:color w:val="000000"/>
          <w:sz w:val="32"/>
          <w:szCs w:val="32"/>
        </w:rPr>
        <w:t>总体评价</w:t>
      </w:r>
      <w:bookmarkEnd w:id="135"/>
      <w:bookmarkEnd w:id="136"/>
    </w:p>
    <w:p>
      <w:pPr>
        <w:snapToGrid w:val="0"/>
        <w:spacing w:beforeLines="0" w:afterLines="0" w:line="360" w:lineRule="auto"/>
        <w:ind w:firstLine="560"/>
        <w:rPr>
          <w:rFonts w:hint="eastAsia"/>
        </w:rPr>
      </w:pPr>
      <w:r>
        <w:rPr>
          <w:rFonts w:hint="eastAsia" w:ascii="仿宋_GB2312" w:hAnsi="仿宋_GB2312" w:eastAsia="仿宋_GB2312" w:cs="仿宋_GB2312"/>
          <w:b w:val="0"/>
          <w:bCs w:val="0"/>
          <w:kern w:val="0"/>
          <w:sz w:val="32"/>
          <w:szCs w:val="32"/>
          <w:lang w:val="en-US" w:eastAsia="zh-CN"/>
        </w:rPr>
        <w:t>综上所述，预计本项目收益对融资成本覆盖倍数为1.53，同时，通过针对项目收入的敏感性分析也能保证债务本息偿付保障倍数大于1，结合本地区经济及财政收支增长稳健，项目不能偿还的风险较低。项目融资平衡情况已经广东大川会计师事务所（普通合伙）审计通过，不能偿还的风险较低。</w:t>
      </w:r>
    </w:p>
    <w:p>
      <w:pPr>
        <w:numPr>
          <w:ilvl w:val="0"/>
          <w:numId w:val="1"/>
        </w:numPr>
        <w:adjustRightInd w:val="0"/>
        <w:snapToGrid w:val="0"/>
        <w:spacing w:beforeLines="0" w:afterLines="0" w:line="360" w:lineRule="auto"/>
        <w:ind w:firstLine="640"/>
        <w:outlineLvl w:val="0"/>
        <w:rPr>
          <w:rFonts w:hint="eastAsia" w:ascii="黑体" w:hAnsi="黑体" w:eastAsia="黑体" w:cs="黑体"/>
          <w:kern w:val="0"/>
          <w:sz w:val="32"/>
          <w:szCs w:val="32"/>
        </w:rPr>
      </w:pPr>
      <w:bookmarkStart w:id="137" w:name="_Toc17654"/>
      <w:bookmarkStart w:id="138" w:name="_Toc8013"/>
      <w:r>
        <w:rPr>
          <w:rFonts w:hint="eastAsia" w:ascii="黑体" w:hAnsi="黑体" w:eastAsia="黑体" w:cs="黑体"/>
          <w:kern w:val="0"/>
          <w:sz w:val="32"/>
          <w:szCs w:val="32"/>
        </w:rPr>
        <w:t>专项债券管理</w:t>
      </w:r>
      <w:bookmarkEnd w:id="137"/>
      <w:bookmarkEnd w:id="138"/>
    </w:p>
    <w:p>
      <w:pPr>
        <w:numPr>
          <w:ilvl w:val="0"/>
          <w:numId w:val="0"/>
        </w:numPr>
        <w:adjustRightInd w:val="0"/>
        <w:snapToGrid w:val="0"/>
        <w:spacing w:beforeLines="0" w:afterLines="0" w:line="360" w:lineRule="auto"/>
        <w:ind w:firstLine="643"/>
        <w:outlineLvl w:val="1"/>
        <w:rPr>
          <w:rFonts w:hint="eastAsia" w:ascii="仿宋_GB2312" w:hAnsi="仿宋_GB2312" w:eastAsia="仿宋_GB2312" w:cs="仿宋_GB2312"/>
          <w:b/>
          <w:bCs/>
          <w:color w:val="000000"/>
          <w:sz w:val="32"/>
          <w:szCs w:val="32"/>
        </w:rPr>
      </w:pPr>
      <w:bookmarkStart w:id="139" w:name="_Toc24220"/>
      <w:bookmarkStart w:id="140" w:name="_Toc2542"/>
      <w:r>
        <w:rPr>
          <w:rFonts w:hint="eastAsia" w:ascii="仿宋_GB2312" w:hAnsi="仿宋_GB2312" w:eastAsia="仿宋_GB2312" w:cs="仿宋_GB2312"/>
          <w:b/>
          <w:bCs/>
          <w:color w:val="000000"/>
          <w:sz w:val="32"/>
          <w:szCs w:val="32"/>
          <w:lang w:eastAsia="zh-CN"/>
        </w:rPr>
        <w:t>（一）</w:t>
      </w:r>
      <w:r>
        <w:rPr>
          <w:rFonts w:hint="eastAsia" w:ascii="仿宋_GB2312" w:hAnsi="仿宋_GB2312" w:eastAsia="仿宋_GB2312" w:cs="仿宋_GB2312"/>
          <w:b/>
          <w:bCs/>
          <w:color w:val="000000"/>
          <w:sz w:val="32"/>
          <w:szCs w:val="32"/>
        </w:rPr>
        <w:t>债券资金</w:t>
      </w:r>
      <w:r>
        <w:rPr>
          <w:rFonts w:hint="eastAsia" w:ascii="仿宋_GB2312" w:hAnsi="仿宋_GB2312" w:eastAsia="仿宋_GB2312" w:cs="仿宋_GB2312"/>
          <w:b/>
          <w:bCs/>
          <w:color w:val="000000"/>
          <w:sz w:val="32"/>
          <w:szCs w:val="32"/>
          <w:lang w:eastAsia="zh-CN"/>
        </w:rPr>
        <w:t>概况</w:t>
      </w:r>
      <w:bookmarkEnd w:id="139"/>
      <w:bookmarkEnd w:id="140"/>
    </w:p>
    <w:p>
      <w:pPr>
        <w:pageBreakBefore w:val="0"/>
        <w:widowControl/>
        <w:kinsoku/>
        <w:wordWrap/>
        <w:overflowPunct/>
        <w:topLinePunct w:val="0"/>
        <w:bidi w:val="0"/>
        <w:adjustRightInd w:val="0"/>
        <w:snapToGrid w:val="0"/>
        <w:spacing w:line="360" w:lineRule="auto"/>
        <w:ind w:firstLine="640" w:firstLineChars="200"/>
        <w:jc w:val="both"/>
        <w:outlineLvl w:val="9"/>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河源市源城区工业园第三期扩园项目拟发行地方政府专项债券金额49,976.00万元。</w:t>
      </w:r>
    </w:p>
    <w:p>
      <w:pPr>
        <w:pageBreakBefore w:val="0"/>
        <w:widowControl/>
        <w:kinsoku/>
        <w:wordWrap/>
        <w:overflowPunct/>
        <w:topLinePunct w:val="0"/>
        <w:bidi w:val="0"/>
        <w:adjustRightInd w:val="0"/>
        <w:snapToGrid w:val="0"/>
        <w:spacing w:line="360" w:lineRule="auto"/>
        <w:ind w:firstLine="640" w:firstLineChars="200"/>
        <w:jc w:val="both"/>
        <w:outlineLvl w:val="9"/>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2022年已发行2022年广东省政府专项债券（六期）20,000.00万元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2</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3.28%</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w:t>
      </w:r>
    </w:p>
    <w:p>
      <w:pPr>
        <w:pageBreakBefore w:val="0"/>
        <w:widowControl/>
        <w:kinsoku/>
        <w:wordWrap/>
        <w:overflowPunct/>
        <w:topLinePunct w:val="0"/>
        <w:bidi w:val="0"/>
        <w:adjustRightInd w:val="0"/>
        <w:snapToGrid w:val="0"/>
        <w:spacing w:line="360" w:lineRule="auto"/>
        <w:ind w:firstLine="640" w:firstLineChars="200"/>
        <w:jc w:val="both"/>
        <w:outlineLvl w:val="9"/>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2023年已发行专项债券金额14,876.00万元，其中：2023年广东省政府专项债券（一期）11,000.00万元（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2.98%），2023年广东省政府专项债券（二十一期）800.00万元（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2.76%），2023年广东省政府专项债券（十一期）1,576.00万元（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w:t>
      </w:r>
      <w:r>
        <w:rPr>
          <w:rFonts w:hint="eastAsia" w:ascii="仿宋_GB2312" w:hAnsi="仿宋_GB2312" w:eastAsia="仿宋_GB2312" w:cs="仿宋_GB2312"/>
          <w:sz w:val="32"/>
          <w:szCs w:val="32"/>
          <w:lang w:eastAsia="zh-CN" w:bidi="ar-SA"/>
        </w:rPr>
        <w:t>0年，债券年利率为</w:t>
      </w:r>
      <w:r>
        <w:rPr>
          <w:rFonts w:hint="eastAsia" w:ascii="仿宋_GB2312" w:hAnsi="仿宋_GB2312" w:eastAsia="仿宋_GB2312" w:cs="仿宋_GB2312"/>
          <w:sz w:val="32"/>
          <w:szCs w:val="32"/>
          <w:lang w:val="en-US" w:eastAsia="zh-CN" w:bidi="ar-SA"/>
        </w:rPr>
        <w:t>2.94%），2023年广东省政府专项债券（三期）1,500.00万元（</w:t>
      </w:r>
      <w:r>
        <w:rPr>
          <w:rFonts w:hint="eastAsia" w:ascii="仿宋_GB2312" w:hAnsi="仿宋_GB2312" w:eastAsia="仿宋_GB2312" w:cs="仿宋_GB2312"/>
          <w:sz w:val="32"/>
          <w:szCs w:val="32"/>
          <w:lang w:eastAsia="zh-CN" w:bidi="ar-SA"/>
        </w:rPr>
        <w:t>发行债券期限为</w:t>
      </w:r>
      <w:r>
        <w:rPr>
          <w:rFonts w:hint="eastAsia" w:ascii="仿宋_GB2312" w:hAnsi="仿宋_GB2312" w:eastAsia="仿宋_GB2312" w:cs="仿宋_GB2312"/>
          <w:sz w:val="32"/>
          <w:szCs w:val="32"/>
          <w:lang w:val="en-US" w:eastAsia="zh-CN" w:bidi="ar-SA"/>
        </w:rPr>
        <w:t>15</w:t>
      </w:r>
      <w:r>
        <w:rPr>
          <w:rFonts w:hint="eastAsia" w:ascii="仿宋_GB2312" w:hAnsi="仿宋_GB2312" w:eastAsia="仿宋_GB2312" w:cs="仿宋_GB2312"/>
          <w:sz w:val="32"/>
          <w:szCs w:val="32"/>
          <w:lang w:eastAsia="zh-CN" w:bidi="ar-SA"/>
        </w:rPr>
        <w:t>年，债券年利率为</w:t>
      </w:r>
      <w:r>
        <w:rPr>
          <w:rFonts w:hint="eastAsia" w:ascii="仿宋_GB2312" w:hAnsi="仿宋_GB2312" w:eastAsia="仿宋_GB2312" w:cs="仿宋_GB2312"/>
          <w:sz w:val="32"/>
          <w:szCs w:val="32"/>
          <w:lang w:val="en-US" w:eastAsia="zh-CN" w:bidi="ar-SA"/>
        </w:rPr>
        <w:t>3.12%）。</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outlineLvl w:val="9"/>
        <w:rPr>
          <w:rFonts w:ascii="仿宋_GB2312" w:hAnsi="仿宋_GB2312" w:eastAsia="仿宋_GB2312" w:cs="仿宋_GB2312"/>
          <w:sz w:val="32"/>
          <w:szCs w:val="32"/>
          <w:lang w:eastAsia="zh-CN" w:bidi="ar-SA"/>
        </w:rPr>
      </w:pPr>
      <w:r>
        <w:rPr>
          <w:rFonts w:hint="eastAsia" w:ascii="仿宋_GB2312" w:hAnsi="仿宋_GB2312" w:eastAsia="仿宋_GB2312" w:cs="仿宋_GB2312"/>
          <w:sz w:val="32"/>
          <w:szCs w:val="32"/>
          <w:lang w:eastAsia="zh-CN" w:bidi="ar-SA"/>
        </w:rPr>
        <w:t>202</w:t>
      </w:r>
      <w:r>
        <w:rPr>
          <w:rFonts w:hint="eastAsia" w:ascii="仿宋_GB2312" w:hAnsi="仿宋_GB2312" w:eastAsia="仿宋_GB2312" w:cs="仿宋_GB2312"/>
          <w:sz w:val="32"/>
          <w:szCs w:val="32"/>
          <w:lang w:val="en-US" w:eastAsia="zh-CN" w:bidi="ar-SA"/>
        </w:rPr>
        <w:t>4</w:t>
      </w:r>
      <w:r>
        <w:rPr>
          <w:rFonts w:hint="eastAsia" w:ascii="仿宋_GB2312" w:hAnsi="仿宋_GB2312" w:eastAsia="仿宋_GB2312" w:cs="仿宋_GB2312"/>
          <w:sz w:val="32"/>
          <w:szCs w:val="32"/>
          <w:lang w:eastAsia="zh-CN" w:bidi="ar-SA"/>
        </w:rPr>
        <w:t>年计划发行债券15,100.00万元，其中</w:t>
      </w:r>
      <w:r>
        <w:rPr>
          <w:rFonts w:hint="eastAsia" w:ascii="仿宋_GB2312" w:hAnsi="仿宋_GB2312" w:eastAsia="仿宋_GB2312" w:cs="仿宋_GB2312"/>
          <w:sz w:val="32"/>
          <w:szCs w:val="32"/>
          <w:lang w:val="en-US" w:eastAsia="zh-CN" w:bidi="ar-SA"/>
        </w:rPr>
        <w:t>:本次</w:t>
      </w:r>
      <w:r>
        <w:rPr>
          <w:rFonts w:hint="eastAsia" w:ascii="仿宋_GB2312" w:hAnsi="仿宋_GB2312" w:eastAsia="仿宋_GB2312" w:cs="仿宋_GB2312"/>
          <w:sz w:val="32"/>
          <w:szCs w:val="32"/>
          <w:lang w:eastAsia="zh-CN" w:bidi="ar-SA"/>
        </w:rPr>
        <w:t>计划发行2024年广东省政府专项债券（六期）</w:t>
      </w:r>
      <w:r>
        <w:rPr>
          <w:rFonts w:hint="eastAsia" w:ascii="仿宋_GB2312" w:hAnsi="仿宋_GB2312" w:eastAsia="仿宋_GB2312" w:cs="仿宋_GB2312"/>
          <w:sz w:val="32"/>
          <w:szCs w:val="32"/>
          <w:lang w:val="en-US" w:eastAsia="zh-CN" w:bidi="ar-SA"/>
        </w:rPr>
        <w:t>5</w:t>
      </w:r>
      <w:r>
        <w:rPr>
          <w:rFonts w:hint="eastAsia" w:ascii="仿宋_GB2312" w:hAnsi="仿宋_GB2312" w:eastAsia="仿宋_GB2312" w:cs="仿宋_GB2312"/>
          <w:sz w:val="32"/>
          <w:szCs w:val="32"/>
          <w:lang w:eastAsia="zh-CN" w:bidi="ar-SA"/>
        </w:rPr>
        <w:t>,</w:t>
      </w:r>
      <w:r>
        <w:rPr>
          <w:rFonts w:hint="eastAsia" w:ascii="仿宋_GB2312" w:hAnsi="仿宋_GB2312" w:eastAsia="仿宋_GB2312" w:cs="仿宋_GB2312"/>
          <w:sz w:val="32"/>
          <w:szCs w:val="32"/>
          <w:lang w:val="en-US" w:eastAsia="zh-CN" w:bidi="ar-SA"/>
        </w:rPr>
        <w:t>0</w:t>
      </w:r>
      <w:r>
        <w:rPr>
          <w:rFonts w:hint="eastAsia" w:ascii="仿宋_GB2312" w:hAnsi="仿宋_GB2312" w:eastAsia="仿宋_GB2312" w:cs="仿宋_GB2312"/>
          <w:sz w:val="32"/>
          <w:szCs w:val="32"/>
          <w:lang w:eastAsia="zh-CN" w:bidi="ar-SA"/>
        </w:rPr>
        <w:t>00.00万元。本次计划发行债券期限为10年，债券年利率为3.30%，每半年支付一次利息，本金分年还本（第6-10年每年还本20%）。</w:t>
      </w:r>
      <w:r>
        <w:rPr>
          <w:rFonts w:hint="eastAsia" w:ascii="仿宋_GB2312" w:hAnsi="仿宋_GB2312" w:eastAsia="仿宋_GB2312" w:cs="仿宋_GB2312"/>
          <w:sz w:val="32"/>
          <w:szCs w:val="32"/>
          <w:lang w:val="en-US" w:eastAsia="zh-CN" w:bidi="ar-SA"/>
        </w:rPr>
        <w:t>2024年后续计划发行10,100.00万元，</w:t>
      </w:r>
      <w:r>
        <w:rPr>
          <w:rFonts w:hint="eastAsia" w:ascii="仿宋_GB2312" w:hAnsi="Calibri" w:eastAsia="仿宋_GB2312"/>
          <w:kern w:val="2"/>
          <w:sz w:val="32"/>
          <w:szCs w:val="32"/>
          <w:highlight w:val="none"/>
          <w:lang w:val="en-US"/>
        </w:rPr>
        <w:t>假设债券期限为20年，债券年利率为</w:t>
      </w:r>
      <w:r>
        <w:rPr>
          <w:rFonts w:hint="eastAsia" w:ascii="仿宋_GB2312" w:eastAsia="仿宋_GB2312"/>
          <w:kern w:val="2"/>
          <w:sz w:val="32"/>
          <w:szCs w:val="32"/>
          <w:highlight w:val="none"/>
          <w:lang w:val="en-US" w:eastAsia="zh-CN"/>
        </w:rPr>
        <w:t>3.60</w:t>
      </w:r>
      <w:r>
        <w:rPr>
          <w:rFonts w:hint="eastAsia" w:ascii="仿宋_GB2312" w:hAnsi="Calibri" w:eastAsia="仿宋_GB2312"/>
          <w:kern w:val="2"/>
          <w:sz w:val="32"/>
          <w:szCs w:val="32"/>
          <w:highlight w:val="none"/>
          <w:lang w:val="en-US"/>
        </w:rPr>
        <w:t>%，利息每</w:t>
      </w:r>
      <w:r>
        <w:rPr>
          <w:rFonts w:hint="eastAsia" w:ascii="仿宋_GB2312" w:eastAsia="仿宋_GB2312"/>
          <w:kern w:val="2"/>
          <w:sz w:val="32"/>
          <w:szCs w:val="32"/>
          <w:highlight w:val="none"/>
          <w:lang w:val="en-US" w:eastAsia="zh-CN"/>
        </w:rPr>
        <w:t>半</w:t>
      </w:r>
      <w:r>
        <w:rPr>
          <w:rFonts w:hint="eastAsia" w:ascii="仿宋_GB2312" w:hAnsi="Calibri" w:eastAsia="仿宋_GB2312"/>
          <w:kern w:val="2"/>
          <w:sz w:val="32"/>
          <w:szCs w:val="32"/>
          <w:highlight w:val="none"/>
          <w:lang w:val="en-US"/>
        </w:rPr>
        <w:t>年支付，本金到期一次性支付。</w:t>
      </w:r>
    </w:p>
    <w:p>
      <w:pPr>
        <w:numPr>
          <w:ilvl w:val="0"/>
          <w:numId w:val="0"/>
        </w:numPr>
        <w:adjustRightInd w:val="0"/>
        <w:snapToGrid w:val="0"/>
        <w:spacing w:beforeLines="0" w:afterLines="0" w:line="360" w:lineRule="auto"/>
        <w:ind w:firstLine="560"/>
        <w:outlineLvl w:val="1"/>
        <w:rPr>
          <w:rFonts w:hint="eastAsia" w:ascii="仿宋_GB2312" w:hAnsi="仿宋_GB2312" w:eastAsia="仿宋_GB2312" w:cs="仿宋_GB2312"/>
          <w:b/>
          <w:bCs/>
          <w:sz w:val="32"/>
          <w:szCs w:val="32"/>
          <w:lang w:val="en-US" w:eastAsia="zh-CN"/>
        </w:rPr>
      </w:pPr>
      <w:bookmarkStart w:id="141" w:name="_Toc530"/>
      <w:bookmarkStart w:id="142" w:name="_Toc4447"/>
      <w:r>
        <w:rPr>
          <w:rFonts w:hint="eastAsia" w:ascii="仿宋_GB2312" w:hAnsi="仿宋_GB2312" w:eastAsia="仿宋_GB2312" w:cs="仿宋_GB2312"/>
          <w:b/>
          <w:bCs/>
          <w:sz w:val="32"/>
          <w:szCs w:val="32"/>
          <w:lang w:val="en-US" w:eastAsia="zh-CN"/>
        </w:rPr>
        <w:t>（二）债券资金管理</w:t>
      </w:r>
      <w:bookmarkEnd w:id="141"/>
      <w:bookmarkEnd w:id="142"/>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无银行融资，不涉及分账管理，资金使用严格按照相关要求管理，项目相关收入均为专项收入，并专门用于归还债券本金和利息，项目收益及还本付息资金纳入政府性基金预算管理。加强项目建设进度管理，充分落实建设所需资金，加强促进现金回流，确保债券发行资金的按时回笼，以增强项目的抗风险能力，定期对估算投资进行审核验证，如发现对估算投资产生影响的情况，应及时采取措施进行解决，确保债券存续期问不会出现收入与还本付息周期错配的情况。若项目主管部门和项目实施单位未按既定方案落实专项债券还本付息资金的，财政部门可以采取扣减相关预算资金等措施偿债。</w:t>
      </w:r>
    </w:p>
    <w:p>
      <w:pPr>
        <w:numPr>
          <w:ilvl w:val="0"/>
          <w:numId w:val="0"/>
        </w:numPr>
        <w:adjustRightInd w:val="0"/>
        <w:snapToGrid w:val="0"/>
        <w:spacing w:beforeLines="0" w:afterLines="0" w:line="360" w:lineRule="auto"/>
        <w:ind w:firstLine="643" w:firstLineChars="200"/>
        <w:outlineLvl w:val="1"/>
        <w:rPr>
          <w:rFonts w:hint="eastAsia" w:ascii="仿宋_GB2312" w:hAnsi="仿宋_GB2312" w:eastAsia="仿宋_GB2312" w:cs="仿宋_GB2312"/>
          <w:b/>
          <w:bCs/>
          <w:color w:val="000000"/>
          <w:sz w:val="32"/>
          <w:szCs w:val="32"/>
        </w:rPr>
      </w:pPr>
      <w:bookmarkStart w:id="143" w:name="_Toc17012"/>
      <w:bookmarkStart w:id="144" w:name="_Toc429"/>
      <w:r>
        <w:rPr>
          <w:rFonts w:hint="eastAsia" w:ascii="仿宋_GB2312" w:hAnsi="仿宋_GB2312" w:eastAsia="仿宋_GB2312" w:cs="仿宋_GB2312"/>
          <w:b/>
          <w:bCs/>
          <w:color w:val="000000"/>
          <w:sz w:val="32"/>
          <w:szCs w:val="32"/>
          <w:lang w:eastAsia="zh-CN"/>
        </w:rPr>
        <w:t>（三）</w:t>
      </w:r>
      <w:r>
        <w:rPr>
          <w:rFonts w:hint="eastAsia" w:ascii="仿宋_GB2312" w:hAnsi="仿宋_GB2312" w:eastAsia="仿宋_GB2312" w:cs="仿宋_GB2312"/>
          <w:b/>
          <w:bCs/>
          <w:color w:val="000000"/>
          <w:sz w:val="32"/>
          <w:szCs w:val="32"/>
        </w:rPr>
        <w:t>职责分工</w:t>
      </w:r>
      <w:bookmarkEnd w:id="143"/>
      <w:bookmarkEnd w:id="144"/>
    </w:p>
    <w:p>
      <w:pPr>
        <w:numPr>
          <w:ilvl w:val="0"/>
          <w:numId w:val="0"/>
        </w:numPr>
        <w:adjustRightInd/>
        <w:snapToGrid w:val="0"/>
        <w:spacing w:beforeLines="0" w:afterLines="0" w:line="360" w:lineRule="auto"/>
        <w:ind w:firstLine="645"/>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lang w:eastAsia="zh-CN"/>
        </w:rPr>
        <w:t>河源市源城区财政局负责按照专项债务管理规定，组织做好信息披露等工</w:t>
      </w:r>
      <w:r>
        <w:rPr>
          <w:rFonts w:hint="eastAsia" w:ascii="仿宋_GB2312" w:hAnsi="仿宋_GB2312" w:eastAsia="仿宋_GB2312" w:cs="仿宋_GB2312"/>
          <w:sz w:val="32"/>
          <w:szCs w:val="32"/>
          <w:highlight w:val="none"/>
          <w:lang w:eastAsia="zh-CN"/>
        </w:rPr>
        <w:t>作。</w:t>
      </w:r>
      <w:r>
        <w:rPr>
          <w:rFonts w:hint="eastAsia" w:ascii="仿宋_GB2312" w:hAnsi="仿宋_GB2312" w:eastAsia="仿宋_GB2312" w:cs="仿宋_GB2312"/>
          <w:color w:val="auto"/>
          <w:sz w:val="32"/>
          <w:szCs w:val="32"/>
          <w:highlight w:val="none"/>
          <w:u w:val="none"/>
          <w:lang w:val="en-US" w:eastAsia="zh-CN"/>
        </w:rPr>
        <w:t>负责组织项目专项债券发行工作。负责组织项目</w:t>
      </w:r>
      <w:r>
        <w:rPr>
          <w:rFonts w:hint="eastAsia" w:ascii="仿宋_GB2312" w:hAnsi="仿宋_GB2312" w:eastAsia="仿宋_GB2312" w:cs="仿宋_GB2312"/>
          <w:b w:val="0"/>
          <w:bCs w:val="0"/>
          <w:color w:val="auto"/>
          <w:sz w:val="32"/>
          <w:szCs w:val="32"/>
          <w:highlight w:val="none"/>
          <w:u w:val="none"/>
          <w:lang w:eastAsia="zh-CN"/>
        </w:rPr>
        <w:t>专项债券</w:t>
      </w:r>
      <w:r>
        <w:rPr>
          <w:rFonts w:hint="eastAsia" w:ascii="仿宋_GB2312" w:hAnsi="仿宋_GB2312" w:eastAsia="仿宋_GB2312" w:cs="仿宋_GB2312"/>
          <w:color w:val="auto"/>
          <w:sz w:val="32"/>
          <w:szCs w:val="32"/>
          <w:highlight w:val="none"/>
          <w:u w:val="none"/>
          <w:lang w:val="en-US" w:eastAsia="zh-CN"/>
        </w:rPr>
        <w:t>还本付息</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河源市源城区财政局</w:t>
      </w:r>
      <w:r>
        <w:rPr>
          <w:rFonts w:hint="eastAsia" w:ascii="仿宋_GB2312" w:hAnsi="仿宋_GB2312" w:eastAsia="仿宋_GB2312" w:cs="仿宋_GB2312"/>
          <w:sz w:val="32"/>
          <w:szCs w:val="32"/>
          <w:highlight w:val="none"/>
          <w:u w:val="none"/>
          <w:lang w:eastAsia="zh-CN"/>
        </w:rPr>
        <w:t>应组织</w:t>
      </w:r>
      <w:r>
        <w:rPr>
          <w:rFonts w:eastAsia="仿宋_GB2312"/>
          <w:sz w:val="32"/>
          <w:szCs w:val="32"/>
          <w:highlight w:val="none"/>
        </w:rPr>
        <w:t>建立相应的资产登记和统计报告制度，会同</w:t>
      </w:r>
      <w:r>
        <w:rPr>
          <w:rFonts w:hint="eastAsia" w:eastAsia="仿宋_GB2312"/>
          <w:sz w:val="32"/>
          <w:szCs w:val="32"/>
          <w:highlight w:val="none"/>
        </w:rPr>
        <w:t>河源市源城区工业园管理委员会</w:t>
      </w:r>
      <w:r>
        <w:rPr>
          <w:rFonts w:eastAsia="仿宋_GB2312"/>
          <w:sz w:val="32"/>
          <w:szCs w:val="32"/>
          <w:highlight w:val="none"/>
        </w:rPr>
        <w:t>加强</w:t>
      </w:r>
      <w:r>
        <w:rPr>
          <w:rFonts w:hint="eastAsia" w:eastAsia="仿宋_GB2312"/>
          <w:sz w:val="32"/>
          <w:szCs w:val="32"/>
          <w:highlight w:val="none"/>
          <w:lang w:eastAsia="zh-CN"/>
        </w:rPr>
        <w:t>专项债券</w:t>
      </w:r>
      <w:r>
        <w:rPr>
          <w:rFonts w:hint="eastAsia" w:eastAsia="仿宋_GB2312"/>
          <w:sz w:val="32"/>
          <w:szCs w:val="32"/>
          <w:highlight w:val="none"/>
          <w:lang w:val="en-US" w:eastAsia="zh-CN"/>
        </w:rPr>
        <w:t>项目对应资产管理</w:t>
      </w:r>
      <w:r>
        <w:rPr>
          <w:rFonts w:eastAsia="仿宋_GB2312"/>
          <w:sz w:val="32"/>
          <w:szCs w:val="32"/>
          <w:highlight w:val="none"/>
        </w:rPr>
        <w:t>。</w:t>
      </w:r>
    </w:p>
    <w:p>
      <w:pPr>
        <w:numPr>
          <w:ilvl w:val="0"/>
          <w:numId w:val="0"/>
        </w:numPr>
        <w:adjustRightInd w:val="0"/>
        <w:snapToGrid w:val="0"/>
        <w:spacing w:beforeLines="0" w:afterLines="0" w:line="360" w:lineRule="auto"/>
        <w:ind w:firstLine="560"/>
        <w:jc w:val="both"/>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河源市源城区工业园管理委员会负责</w:t>
      </w:r>
      <w:r>
        <w:rPr>
          <w:rFonts w:hint="eastAsia" w:ascii="仿宋_GB2312" w:hAnsi="仿宋_GB2312" w:eastAsia="仿宋_GB2312" w:cs="仿宋_GB2312"/>
          <w:sz w:val="32"/>
          <w:szCs w:val="32"/>
          <w:highlight w:val="none"/>
          <w:u w:val="none"/>
          <w:lang w:val="en-US" w:eastAsia="zh-CN"/>
        </w:rPr>
        <w:t>组织制定专项债券</w:t>
      </w:r>
      <w:r>
        <w:rPr>
          <w:rFonts w:hint="eastAsia" w:ascii="仿宋_GB2312" w:hAnsi="仿宋_GB2312" w:eastAsia="仿宋_GB2312" w:cs="仿宋_GB2312"/>
          <w:color w:val="auto"/>
          <w:sz w:val="32"/>
          <w:szCs w:val="32"/>
          <w:highlight w:val="none"/>
          <w:u w:val="none"/>
          <w:lang w:val="en-US" w:eastAsia="zh-CN"/>
        </w:rPr>
        <w:t>项目融资平衡方案，</w:t>
      </w:r>
      <w:r>
        <w:rPr>
          <w:rFonts w:hint="eastAsia" w:ascii="仿宋_GB2312" w:hAnsi="仿宋_GB2312" w:eastAsia="仿宋_GB2312" w:cs="仿宋_GB2312"/>
          <w:sz w:val="32"/>
          <w:szCs w:val="32"/>
          <w:highlight w:val="none"/>
          <w:u w:val="none"/>
          <w:lang w:val="en-US" w:eastAsia="zh-CN"/>
        </w:rPr>
        <w:t>督促指导项目单位</w:t>
      </w:r>
      <w:r>
        <w:rPr>
          <w:rFonts w:hint="eastAsia" w:ascii="仿宋_GB2312" w:hAnsi="仿宋_GB2312" w:eastAsia="仿宋_GB2312" w:cs="仿宋_GB2312"/>
          <w:color w:val="auto"/>
          <w:sz w:val="32"/>
          <w:szCs w:val="32"/>
          <w:highlight w:val="none"/>
          <w:u w:val="none"/>
          <w:lang w:val="en-US" w:eastAsia="zh-CN"/>
        </w:rPr>
        <w:t>做好</w:t>
      </w:r>
      <w:r>
        <w:rPr>
          <w:rFonts w:hint="eastAsia" w:ascii="仿宋_GB2312" w:hAnsi="仿宋_GB2312" w:eastAsia="仿宋_GB2312" w:cs="仿宋_GB2312"/>
          <w:sz w:val="32"/>
          <w:szCs w:val="32"/>
          <w:highlight w:val="none"/>
          <w:lang w:eastAsia="zh-CN"/>
        </w:rPr>
        <w:t>项目专项债券</w:t>
      </w:r>
      <w:r>
        <w:rPr>
          <w:rFonts w:hint="eastAsia" w:ascii="仿宋_GB2312" w:hAnsi="仿宋_GB2312" w:eastAsia="仿宋_GB2312" w:cs="仿宋_GB2312"/>
          <w:color w:val="auto"/>
          <w:sz w:val="32"/>
          <w:szCs w:val="32"/>
          <w:highlight w:val="none"/>
          <w:u w:val="none"/>
          <w:lang w:val="en-US" w:eastAsia="zh-CN"/>
        </w:rPr>
        <w:t>发行准备工作和信息披露</w:t>
      </w:r>
      <w:r>
        <w:rPr>
          <w:rFonts w:hint="eastAsia" w:ascii="仿宋_GB2312" w:hAnsi="仿宋_GB2312" w:eastAsia="仿宋_GB2312" w:cs="仿宋_GB2312"/>
          <w:sz w:val="32"/>
          <w:szCs w:val="32"/>
          <w:highlight w:val="none"/>
          <w:u w:val="none"/>
          <w:lang w:val="en-US" w:eastAsia="zh-CN"/>
        </w:rPr>
        <w:t>有关</w:t>
      </w:r>
      <w:r>
        <w:rPr>
          <w:rFonts w:hint="eastAsia" w:ascii="仿宋_GB2312" w:hAnsi="仿宋_GB2312" w:eastAsia="仿宋_GB2312" w:cs="仿宋_GB2312"/>
          <w:color w:val="auto"/>
          <w:sz w:val="32"/>
          <w:szCs w:val="32"/>
          <w:highlight w:val="none"/>
          <w:u w:val="none"/>
          <w:lang w:val="en-US" w:eastAsia="zh-CN"/>
        </w:rPr>
        <w:t>工作。负责对项目建设、资金</w:t>
      </w:r>
      <w:r>
        <w:rPr>
          <w:rFonts w:hint="eastAsia" w:ascii="仿宋_GB2312" w:hAnsi="仿宋_GB2312" w:eastAsia="仿宋_GB2312" w:cs="仿宋_GB2312"/>
          <w:sz w:val="32"/>
          <w:szCs w:val="32"/>
          <w:highlight w:val="none"/>
          <w:u w:val="none"/>
          <w:lang w:val="en-US" w:eastAsia="zh-CN"/>
        </w:rPr>
        <w:t>使用</w:t>
      </w:r>
      <w:r>
        <w:rPr>
          <w:rFonts w:hint="eastAsia" w:ascii="仿宋_GB2312" w:hAnsi="仿宋_GB2312" w:eastAsia="仿宋_GB2312" w:cs="仿宋_GB2312"/>
          <w:color w:val="auto"/>
          <w:sz w:val="32"/>
          <w:szCs w:val="32"/>
          <w:highlight w:val="none"/>
          <w:u w:val="none"/>
          <w:lang w:val="en-US" w:eastAsia="zh-CN"/>
        </w:rPr>
        <w:t>和还本付息进行监督，指导</w:t>
      </w:r>
      <w:r>
        <w:rPr>
          <w:rFonts w:hint="eastAsia" w:ascii="仿宋_GB2312" w:hAnsi="仿宋_GB2312" w:eastAsia="仿宋_GB2312" w:cs="仿宋_GB2312"/>
          <w:color w:val="auto"/>
          <w:sz w:val="32"/>
          <w:szCs w:val="32"/>
          <w:highlight w:val="none"/>
          <w:u w:val="none"/>
          <w:lang w:eastAsia="zh-CN"/>
        </w:rPr>
        <w:t>项目单位</w:t>
      </w:r>
      <w:r>
        <w:rPr>
          <w:rFonts w:hint="eastAsia" w:ascii="仿宋_GB2312" w:hAnsi="仿宋_GB2312" w:eastAsia="仿宋_GB2312" w:cs="仿宋_GB2312"/>
          <w:b w:val="0"/>
          <w:bCs w:val="0"/>
          <w:sz w:val="32"/>
          <w:szCs w:val="32"/>
          <w:highlight w:val="none"/>
          <w:lang w:val="en-US" w:eastAsia="zh-CN"/>
        </w:rPr>
        <w:t>加快项目建设、规范专项债券资金使用，</w:t>
      </w:r>
      <w:r>
        <w:rPr>
          <w:rFonts w:hint="eastAsia" w:ascii="仿宋_GB2312" w:hAnsi="仿宋_GB2312" w:eastAsia="仿宋_GB2312" w:cs="仿宋_GB2312"/>
          <w:b w:val="0"/>
          <w:bCs w:val="0"/>
          <w:sz w:val="32"/>
          <w:szCs w:val="32"/>
          <w:highlight w:val="none"/>
          <w:u w:val="none"/>
          <w:lang w:val="en-US" w:eastAsia="zh-CN"/>
        </w:rPr>
        <w:t>加快专项债券资金支出进度</w:t>
      </w:r>
      <w:r>
        <w:rPr>
          <w:rFonts w:hint="eastAsia" w:ascii="仿宋_GB2312" w:hAnsi="仿宋_GB2312" w:eastAsia="仿宋_GB2312" w:cs="仿宋_GB2312"/>
          <w:color w:val="auto"/>
          <w:sz w:val="32"/>
          <w:szCs w:val="32"/>
          <w:highlight w:val="none"/>
          <w:u w:val="none"/>
          <w:lang w:val="en-US" w:eastAsia="zh-CN"/>
        </w:rPr>
        <w:t>。合理评估发行</w:t>
      </w:r>
      <w:r>
        <w:rPr>
          <w:rFonts w:hint="eastAsia" w:ascii="仿宋_GB2312" w:hAnsi="仿宋_GB2312" w:eastAsia="仿宋_GB2312" w:cs="仿宋_GB2312"/>
          <w:b w:val="0"/>
          <w:bCs w:val="0"/>
          <w:color w:val="auto"/>
          <w:sz w:val="32"/>
          <w:szCs w:val="32"/>
          <w:highlight w:val="none"/>
          <w:u w:val="none"/>
          <w:lang w:eastAsia="zh-CN"/>
        </w:rPr>
        <w:t>项目专项债券</w:t>
      </w:r>
      <w:r>
        <w:rPr>
          <w:rFonts w:hint="eastAsia" w:ascii="仿宋_GB2312" w:hAnsi="仿宋_GB2312" w:eastAsia="仿宋_GB2312" w:cs="仿宋_GB2312"/>
          <w:color w:val="auto"/>
          <w:sz w:val="32"/>
          <w:szCs w:val="32"/>
          <w:highlight w:val="none"/>
          <w:u w:val="none"/>
          <w:lang w:val="en-US" w:eastAsia="zh-CN"/>
        </w:rPr>
        <w:t>对应项目风险</w:t>
      </w:r>
      <w:r>
        <w:rPr>
          <w:rFonts w:hint="eastAsia" w:ascii="仿宋_GB2312" w:hAnsi="仿宋_GB2312" w:eastAsia="仿宋_GB2312" w:cs="仿宋_GB2312"/>
          <w:sz w:val="32"/>
          <w:szCs w:val="32"/>
          <w:highlight w:val="none"/>
          <w:u w:val="none"/>
          <w:lang w:val="en-US" w:eastAsia="zh-CN"/>
        </w:rPr>
        <w:t>并组织风险应对工作</w:t>
      </w:r>
      <w:r>
        <w:rPr>
          <w:rFonts w:hint="eastAsia" w:ascii="仿宋_GB2312" w:hAnsi="仿宋_GB2312" w:eastAsia="仿宋_GB2312" w:cs="仿宋_GB2312"/>
          <w:color w:val="auto"/>
          <w:sz w:val="32"/>
          <w:szCs w:val="32"/>
          <w:highlight w:val="none"/>
          <w:u w:val="none"/>
          <w:lang w:val="en-US" w:eastAsia="zh-CN"/>
        </w:rPr>
        <w:t>。负责编制项目专项债券还本付息年度预算，组织督促</w:t>
      </w:r>
      <w:r>
        <w:rPr>
          <w:rFonts w:hint="eastAsia" w:ascii="仿宋_GB2312" w:hAnsi="仿宋_GB2312" w:eastAsia="仿宋_GB2312" w:cs="仿宋_GB2312"/>
          <w:color w:val="auto"/>
          <w:sz w:val="32"/>
          <w:szCs w:val="32"/>
          <w:highlight w:val="none"/>
          <w:u w:val="none"/>
          <w:lang w:eastAsia="zh-CN"/>
        </w:rPr>
        <w:t>项目单位及时缴交</w:t>
      </w:r>
      <w:r>
        <w:rPr>
          <w:rFonts w:hint="eastAsia" w:ascii="仿宋_GB2312" w:hAnsi="仿宋_GB2312" w:eastAsia="仿宋_GB2312" w:cs="仿宋_GB2312"/>
          <w:color w:val="auto"/>
          <w:sz w:val="32"/>
          <w:szCs w:val="32"/>
          <w:highlight w:val="none"/>
          <w:u w:val="none"/>
          <w:lang w:val="en-US" w:eastAsia="zh-CN"/>
        </w:rPr>
        <w:t>还本付息资金</w:t>
      </w:r>
      <w:r>
        <w:rPr>
          <w:rFonts w:hint="eastAsia" w:ascii="仿宋_GB2312" w:hAnsi="仿宋_GB2312" w:eastAsia="仿宋_GB2312" w:cs="仿宋_GB2312"/>
          <w:sz w:val="32"/>
          <w:szCs w:val="32"/>
          <w:highlight w:val="none"/>
          <w:u w:val="none"/>
          <w:lang w:val="en-US" w:eastAsia="zh-CN"/>
        </w:rPr>
        <w:t>，确保债券还本付息不出任何风险</w:t>
      </w:r>
      <w:r>
        <w:rPr>
          <w:rFonts w:hint="eastAsia" w:ascii="仿宋_GB2312" w:hAnsi="仿宋_GB2312" w:eastAsia="仿宋_GB2312" w:cs="仿宋_GB2312"/>
          <w:color w:val="auto"/>
          <w:sz w:val="32"/>
          <w:szCs w:val="32"/>
          <w:highlight w:val="none"/>
          <w:u w:val="none"/>
          <w:lang w:val="en-US" w:eastAsia="zh-CN"/>
        </w:rPr>
        <w:t>。</w:t>
      </w:r>
      <w:r>
        <w:rPr>
          <w:rFonts w:eastAsia="仿宋_GB2312"/>
          <w:sz w:val="32"/>
          <w:szCs w:val="32"/>
          <w:highlight w:val="none"/>
        </w:rPr>
        <w:t>项目主管部门、项目单位应当认真履行</w:t>
      </w:r>
      <w:r>
        <w:rPr>
          <w:rFonts w:hint="eastAsia" w:eastAsia="仿宋_GB2312"/>
          <w:sz w:val="32"/>
          <w:szCs w:val="32"/>
          <w:highlight w:val="none"/>
        </w:rPr>
        <w:t>项目建设、</w:t>
      </w:r>
      <w:r>
        <w:rPr>
          <w:rFonts w:eastAsia="仿宋_GB2312"/>
          <w:sz w:val="32"/>
          <w:szCs w:val="32"/>
          <w:highlight w:val="none"/>
        </w:rPr>
        <w:t>运营</w:t>
      </w:r>
      <w:r>
        <w:rPr>
          <w:rFonts w:hint="eastAsia" w:eastAsia="仿宋_GB2312"/>
          <w:sz w:val="32"/>
          <w:szCs w:val="32"/>
          <w:highlight w:val="none"/>
        </w:rPr>
        <w:t>、</w:t>
      </w:r>
      <w:r>
        <w:rPr>
          <w:rFonts w:eastAsia="仿宋_GB2312"/>
          <w:sz w:val="32"/>
          <w:szCs w:val="32"/>
          <w:highlight w:val="none"/>
        </w:rPr>
        <w:t>维护责任，</w:t>
      </w:r>
      <w:r>
        <w:rPr>
          <w:rFonts w:hint="eastAsia" w:eastAsia="仿宋_GB2312"/>
          <w:sz w:val="32"/>
          <w:szCs w:val="32"/>
          <w:highlight w:val="none"/>
        </w:rPr>
        <w:t>保障项目如期实施，确保项目收益与融资平衡。</w:t>
      </w:r>
      <w:r>
        <w:rPr>
          <w:rFonts w:hint="eastAsia" w:eastAsia="仿宋_GB2312"/>
          <w:sz w:val="32"/>
          <w:szCs w:val="32"/>
          <w:highlight w:val="none"/>
          <w:lang w:eastAsia="zh-CN"/>
        </w:rPr>
        <w:t>及时组织项目单位将项目形成的资产进行资产登记管理。</w:t>
      </w:r>
    </w:p>
    <w:p>
      <w:pPr>
        <w:numPr>
          <w:ilvl w:val="0"/>
          <w:numId w:val="0"/>
        </w:numPr>
        <w:adjustRightInd w:val="0"/>
        <w:snapToGrid w:val="0"/>
        <w:spacing w:beforeLines="0" w:afterLines="0" w:line="360" w:lineRule="auto"/>
        <w:ind w:firstLine="640" w:firstLineChars="200"/>
        <w:jc w:val="both"/>
        <w:rPr>
          <w:rFonts w:hint="eastAsia" w:eastAsia="仿宋_GB2312"/>
          <w:sz w:val="32"/>
          <w:szCs w:val="32"/>
          <w:highlight w:val="none"/>
          <w:lang w:eastAsia="zh-CN"/>
        </w:rPr>
      </w:pPr>
      <w:r>
        <w:rPr>
          <w:rFonts w:hint="eastAsia" w:ascii="仿宋_GB2312" w:hAnsi="仿宋_GB2312" w:eastAsia="仿宋_GB2312" w:cs="仿宋_GB2312"/>
          <w:sz w:val="32"/>
          <w:szCs w:val="32"/>
          <w:highlight w:val="none"/>
          <w:lang w:val="en-US" w:eastAsia="zh-CN"/>
        </w:rPr>
        <w:t>河源市源城区工业园管理委员会负责按照债券发行组织等统一安排，研究制定专项债券项目融资平衡方案，及时提供项目专项债券发行和信息披露有关项目信息。负责项目建设、运营管理，规范专项债券资金使用，加快专项债券资金支出进度。负责分析预测发行项目专项债券对应项目风险并提出应对措施。负责落实债券还本付息资金来源，按时足额缴交项目对应的政府性基金预算收入和专项收入。</w:t>
      </w:r>
      <w:r>
        <w:rPr>
          <w:rFonts w:hint="eastAsia" w:eastAsia="仿宋_GB2312"/>
          <w:sz w:val="32"/>
          <w:szCs w:val="32"/>
          <w:highlight w:val="none"/>
          <w:lang w:eastAsia="zh-CN"/>
        </w:rPr>
        <w:t>及时将项目形成的资产</w:t>
      </w:r>
      <w:r>
        <w:rPr>
          <w:rFonts w:hint="eastAsia" w:eastAsia="仿宋_GB2312"/>
          <w:sz w:val="32"/>
          <w:szCs w:val="32"/>
          <w:highlight w:val="none"/>
          <w:u w:val="none"/>
          <w:lang w:eastAsia="zh-CN"/>
        </w:rPr>
        <w:t>按照约定的产权归属</w:t>
      </w:r>
      <w:r>
        <w:rPr>
          <w:rFonts w:hint="eastAsia" w:eastAsia="仿宋_GB2312"/>
          <w:sz w:val="32"/>
          <w:szCs w:val="32"/>
          <w:highlight w:val="none"/>
          <w:lang w:eastAsia="zh-CN"/>
        </w:rPr>
        <w:t>进行资产登记管理。</w:t>
      </w:r>
    </w:p>
    <w:p>
      <w:pPr>
        <w:numPr>
          <w:ilvl w:val="0"/>
          <w:numId w:val="0"/>
        </w:numPr>
        <w:adjustRightInd w:val="0"/>
        <w:snapToGrid w:val="0"/>
        <w:spacing w:beforeLines="0" w:afterLines="0" w:line="360" w:lineRule="auto"/>
        <w:ind w:firstLine="560"/>
        <w:outlineLvl w:val="0"/>
        <w:rPr>
          <w:rFonts w:hint="eastAsia" w:ascii="黑体" w:hAnsi="黑体" w:eastAsia="黑体" w:cs="黑体"/>
          <w:sz w:val="32"/>
          <w:szCs w:val="32"/>
          <w:lang w:val="en-US" w:eastAsia="zh-CN"/>
        </w:rPr>
      </w:pPr>
      <w:bookmarkStart w:id="145" w:name="_Toc16582"/>
      <w:bookmarkStart w:id="146" w:name="_Toc21303"/>
      <w:r>
        <w:rPr>
          <w:rFonts w:hint="eastAsia" w:ascii="黑体" w:hAnsi="黑体" w:eastAsia="黑体" w:cs="黑体"/>
          <w:sz w:val="32"/>
          <w:szCs w:val="32"/>
          <w:lang w:val="en-US" w:eastAsia="zh-CN"/>
        </w:rPr>
        <w:t>六、项目风险控制</w:t>
      </w:r>
      <w:bookmarkEnd w:id="145"/>
      <w:bookmarkEnd w:id="146"/>
    </w:p>
    <w:p>
      <w:pPr>
        <w:numPr>
          <w:ilvl w:val="0"/>
          <w:numId w:val="0"/>
        </w:numPr>
        <w:adjustRightInd w:val="0"/>
        <w:snapToGrid w:val="0"/>
        <w:spacing w:beforeLines="0" w:afterLines="0" w:line="360" w:lineRule="auto"/>
        <w:ind w:firstLine="560"/>
        <w:outlineLvl w:val="1"/>
        <w:rPr>
          <w:rFonts w:hint="eastAsia" w:ascii="楷体_GB2312" w:hAnsi="楷体_GB2312" w:eastAsia="楷体_GB2312" w:cs="楷体_GB2312"/>
          <w:b/>
          <w:bCs/>
          <w:sz w:val="32"/>
          <w:szCs w:val="32"/>
          <w:lang w:val="en-US" w:eastAsia="zh-CN"/>
        </w:rPr>
      </w:pPr>
      <w:bookmarkStart w:id="147" w:name="_Toc5179"/>
      <w:bookmarkStart w:id="148" w:name="_Toc2060"/>
      <w:r>
        <w:rPr>
          <w:rFonts w:hint="eastAsia" w:ascii="楷体_GB2312" w:hAnsi="楷体_GB2312" w:eastAsia="楷体_GB2312" w:cs="楷体_GB2312"/>
          <w:b/>
          <w:bCs/>
          <w:sz w:val="32"/>
          <w:szCs w:val="32"/>
          <w:lang w:val="en-US" w:eastAsia="zh-CN"/>
        </w:rPr>
        <w:t>（一）潜在风险及控制措施</w:t>
      </w:r>
      <w:bookmarkEnd w:id="147"/>
      <w:bookmarkEnd w:id="148"/>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项目可能存在潜在的工程实施风险、组织及管理风险、财务及融资风险、收益实现规模与预期存在差异的风险、收益专项用于偿债的操作风险、利率波动风险。</w:t>
      </w:r>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针对上述风险釆取控制措施如下：</w:t>
      </w:r>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1.落实施工规划明确施工责任，确保工程进度按计划如期实施，强化质量管理，严格按照规范和条例招投标、施工、监理和质量检查，杜绝质量问题影响工程进度；</w:t>
      </w:r>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2.充分考虑项目建设的特点，对项目建设进行周密的安排，保证按期完工，充分落实建设所需资金，定期对估算投资进行审核验证，如发现对估算投资产生影响的情况，应及时釆取措施进行解决；</w:t>
      </w:r>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3.加强资金管理，对债券资金流向做全流程监督，确保债券资金用于项目建设，项目收益及时足额缴入国库并用于偿债本息。</w:t>
      </w:r>
    </w:p>
    <w:p>
      <w:pPr>
        <w:numPr>
          <w:ilvl w:val="0"/>
          <w:numId w:val="0"/>
        </w:numPr>
        <w:adjustRightInd w:val="0"/>
        <w:snapToGrid w:val="0"/>
        <w:spacing w:beforeLines="0" w:afterLines="0" w:line="360" w:lineRule="auto"/>
        <w:ind w:firstLine="560"/>
        <w:outlineLvl w:val="1"/>
        <w:rPr>
          <w:rFonts w:hint="eastAsia" w:ascii="楷体_GB2312" w:hAnsi="楷体_GB2312" w:eastAsia="楷体_GB2312" w:cs="楷体_GB2312"/>
          <w:b/>
          <w:bCs/>
          <w:sz w:val="32"/>
          <w:szCs w:val="32"/>
          <w:lang w:val="en-US" w:eastAsia="zh-CN"/>
        </w:rPr>
      </w:pPr>
      <w:bookmarkStart w:id="149" w:name="_Toc18100"/>
      <w:bookmarkStart w:id="150" w:name="_Toc31801"/>
      <w:r>
        <w:rPr>
          <w:rFonts w:hint="eastAsia" w:ascii="楷体_GB2312" w:hAnsi="楷体_GB2312" w:eastAsia="楷体_GB2312" w:cs="楷体_GB2312"/>
          <w:b/>
          <w:bCs/>
          <w:sz w:val="32"/>
          <w:szCs w:val="32"/>
          <w:lang w:val="en-US" w:eastAsia="zh-CN"/>
        </w:rPr>
        <w:t>（二）还款保障措施</w:t>
      </w:r>
      <w:bookmarkEnd w:id="149"/>
      <w:bookmarkEnd w:id="150"/>
    </w:p>
    <w:p>
      <w:pPr>
        <w:numPr>
          <w:ilvl w:val="0"/>
          <w:numId w:val="0"/>
        </w:numPr>
        <w:adjustRightInd w:val="0"/>
        <w:snapToGrid w:val="0"/>
        <w:spacing w:beforeLines="0" w:afterLines="0" w:line="360" w:lineRule="auto"/>
        <w:ind w:firstLine="5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国务院办公厅关于印发地方政府性债务风险应急处置预案的通知》（国办函〔2016〕88号）规定，本级政府对地方政府债券依法承担全部偿还责任。本级财政将按照《财政部关于印发〈地方政府专项债务预算管理办法〉的通知》（财预〔2016〕155号）规定，及时按照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釆取适当方式扣回。</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afterLines="0" w:line="360" w:lineRule="auto"/>
        <w:ind w:firstLine="561"/>
        <w:textAlignment w:val="auto"/>
        <w:outlineLvl w:val="0"/>
        <w:rPr>
          <w:rFonts w:hint="eastAsia" w:ascii="黑体" w:hAnsi="黑体" w:eastAsia="黑体" w:cs="黑体"/>
          <w:sz w:val="32"/>
          <w:szCs w:val="32"/>
          <w:lang w:val="en-US" w:eastAsia="zh-CN"/>
        </w:rPr>
      </w:pPr>
      <w:bookmarkStart w:id="151" w:name="_Toc8019"/>
      <w:bookmarkStart w:id="152" w:name="_Toc31682"/>
      <w:r>
        <w:rPr>
          <w:rFonts w:hint="eastAsia" w:ascii="黑体" w:hAnsi="黑体" w:eastAsia="黑体" w:cs="黑体"/>
          <w:b w:val="0"/>
          <w:bCs w:val="0"/>
          <w:color w:val="000000"/>
          <w:sz w:val="32"/>
          <w:szCs w:val="32"/>
          <w:lang w:eastAsia="zh-CN"/>
        </w:rPr>
        <w:t>七、</w:t>
      </w:r>
      <w:r>
        <w:rPr>
          <w:rFonts w:hint="eastAsia" w:ascii="黑体" w:hAnsi="黑体" w:eastAsia="黑体" w:cs="黑体"/>
          <w:sz w:val="32"/>
          <w:szCs w:val="32"/>
          <w:lang w:val="en-US" w:eastAsia="zh-CN"/>
        </w:rPr>
        <w:t>其他需要说明事项</w:t>
      </w:r>
      <w:bookmarkEnd w:id="151"/>
      <w:bookmarkEnd w:id="152"/>
    </w:p>
    <w:p>
      <w:pPr>
        <w:pStyle w:val="2"/>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无</w:t>
      </w:r>
    </w:p>
    <w:sectPr>
      <w:footerReference r:id="rId7" w:type="default"/>
      <w:pgSz w:w="11850" w:h="16783"/>
      <w:pgMar w:top="1587" w:right="1417" w:bottom="1417" w:left="1531" w:header="851" w:footer="992" w:gutter="0"/>
      <w:pgBorders>
        <w:top w:val="none" w:sz="0" w:space="0"/>
        <w:left w:val="none" w:sz="0" w:space="0"/>
        <w:bottom w:val="none" w:sz="0" w:space="0"/>
        <w:right w:val="none" w:sz="0" w:space="0"/>
      </w:pgBorders>
      <w:pgNumType w:fmt="decimal" w:start="1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
    <w:altName w:val="仿宋"/>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
    <w:altName w:val="Times New Roman"/>
    <w:panose1 w:val="00000000000000000000"/>
    <w:charset w:val="00"/>
    <w:family w:val="auto"/>
    <w:pitch w:val="default"/>
    <w:sig w:usb0="00000000" w:usb1="00000000" w:usb2="00000000" w:usb3="00000000" w:csb0="0000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Arial Unicode MS"/>
    <w:panose1 w:val="03000502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p>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ind w:left="0" w:leftChars="0" w:firstLine="0" w:firstLineChars="0"/>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8"/>
                      <w:ind w:left="0" w:leftChars="0" w:firstLine="0" w:firstLineChars="0"/>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ind w:firstLine="360"/>
                            <w:jc w:val="right"/>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fill on="f" focussize="0,0"/>
              <v:stroke on="f" weight="0.5pt"/>
              <v:imagedata o:title=""/>
              <o:lock v:ext="edit" aspectratio="f"/>
              <v:textbox inset="0mm,0mm,0mm,0mm" style="mso-fit-shape-to-text:t;">
                <w:txbxContent>
                  <w:p>
                    <w:pPr>
                      <w:pStyle w:val="8"/>
                      <w:ind w:firstLine="360"/>
                      <w:jc w:val="right"/>
                    </w:pPr>
                  </w:p>
                </w:txbxContent>
              </v:textbox>
            </v:shape>
          </w:pict>
        </mc:Fallback>
      </mc:AlternateContent>
    </w:r>
  </w:p>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jc w:val="right"/>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4483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4483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42.9pt;mso-position-horizontal:center;mso-position-horizontal-relative:margin;z-index:251662336;mso-width-relative:page;mso-height-relative:page;" filled="f" stroked="f" coordsize="21600,21600" o:gfxdata="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08l9NMAAAAEAQAADwAAAAAAAAABACAAAAAiAAAAZHJzL2Rvd25yZXYu&#10;eG1sUEsBAhQAFAAAAAgAh07iQEoJ/QU5AgAAYgQAAA4AAAAAAAAAAQAgAAAAIgEAAGRycy9lMm9E&#10;b2MueG1sUEsFBgAAAAAGAAYAWQEAAM0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ind w:firstLine="360"/>
                            <w:jc w:val="right"/>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pPr>
                      <w:pStyle w:val="8"/>
                      <w:ind w:firstLine="360"/>
                      <w:jc w:val="right"/>
                    </w:pPr>
                  </w:p>
                </w:txbxContent>
              </v:textbox>
            </v:shape>
          </w:pict>
        </mc:Fallback>
      </mc:AlternateContent>
    </w:r>
  </w:p>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FD2BC"/>
    <w:multiLevelType w:val="singleLevel"/>
    <w:tmpl w:val="241FD2B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NjFjMTQ2YTg4NWQ1OGVmYjdkYTNiMDk1ZGExY2QifQ=="/>
  </w:docVars>
  <w:rsids>
    <w:rsidRoot w:val="00172A27"/>
    <w:rsid w:val="03DD10A5"/>
    <w:rsid w:val="077758F0"/>
    <w:rsid w:val="085C7564"/>
    <w:rsid w:val="08B05A3C"/>
    <w:rsid w:val="09586D35"/>
    <w:rsid w:val="0BB1473F"/>
    <w:rsid w:val="1227367F"/>
    <w:rsid w:val="150A6BDA"/>
    <w:rsid w:val="160E784F"/>
    <w:rsid w:val="16492D59"/>
    <w:rsid w:val="172A588B"/>
    <w:rsid w:val="18B4248D"/>
    <w:rsid w:val="1A820268"/>
    <w:rsid w:val="1D032B00"/>
    <w:rsid w:val="201611D9"/>
    <w:rsid w:val="21B97D88"/>
    <w:rsid w:val="269255BD"/>
    <w:rsid w:val="27C911B8"/>
    <w:rsid w:val="293F274C"/>
    <w:rsid w:val="2CC862E9"/>
    <w:rsid w:val="2EF41321"/>
    <w:rsid w:val="31A111B3"/>
    <w:rsid w:val="362A21C3"/>
    <w:rsid w:val="3A3759D0"/>
    <w:rsid w:val="3D0F2B90"/>
    <w:rsid w:val="42E3236B"/>
    <w:rsid w:val="48861F68"/>
    <w:rsid w:val="4BAF463B"/>
    <w:rsid w:val="50BC05F4"/>
    <w:rsid w:val="55342CF9"/>
    <w:rsid w:val="60B80D70"/>
    <w:rsid w:val="6CDA2366"/>
    <w:rsid w:val="72483B0C"/>
    <w:rsid w:val="72747399"/>
    <w:rsid w:val="72CD4470"/>
    <w:rsid w:val="7AF40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line="440" w:lineRule="exact"/>
      <w:ind w:firstLine="200" w:firstLineChars="200"/>
    </w:pPr>
    <w:rPr>
      <w:rFonts w:ascii="Calibri" w:hAnsi="Calibri" w:eastAsia="仿宋" w:cs="宋体"/>
      <w:kern w:val="0"/>
      <w:sz w:val="28"/>
      <w:szCs w:val="22"/>
      <w:lang w:val="en-US" w:eastAsia="zh-CN" w:bidi="ar-SA"/>
    </w:rPr>
  </w:style>
  <w:style w:type="paragraph" w:styleId="3">
    <w:name w:val="heading 1"/>
    <w:basedOn w:val="1"/>
    <w:next w:val="1"/>
    <w:autoRedefine/>
    <w:qFormat/>
    <w:uiPriority w:val="9"/>
    <w:pPr>
      <w:keepNext/>
      <w:keepLines/>
      <w:spacing w:line="360" w:lineRule="auto"/>
      <w:outlineLvl w:val="0"/>
    </w:pPr>
    <w:rPr>
      <w:kern w:val="44"/>
      <w:sz w:val="30"/>
      <w:szCs w:val="44"/>
    </w:rPr>
  </w:style>
  <w:style w:type="paragraph" w:styleId="4">
    <w:name w:val="heading 2"/>
    <w:basedOn w:val="1"/>
    <w:next w:val="1"/>
    <w:autoRedefine/>
    <w:unhideWhenUsed/>
    <w:qFormat/>
    <w:uiPriority w:val="9"/>
    <w:pPr>
      <w:keepNext/>
      <w:keepLines/>
      <w:spacing w:line="360" w:lineRule="auto"/>
      <w:outlineLvl w:val="1"/>
    </w:pPr>
    <w:rPr>
      <w:rFonts w:ascii="Calibri Light" w:hAnsi="Calibri Light" w:cs="Times New Roman"/>
      <w:szCs w:val="32"/>
    </w:rPr>
  </w:style>
  <w:style w:type="paragraph" w:styleId="5">
    <w:name w:val="heading 3"/>
    <w:basedOn w:val="1"/>
    <w:next w:val="1"/>
    <w:autoRedefine/>
    <w:qFormat/>
    <w:uiPriority w:val="0"/>
    <w:pPr>
      <w:keepNext/>
      <w:keepLines/>
      <w:adjustRightInd w:val="0"/>
      <w:snapToGrid w:val="0"/>
      <w:outlineLvl w:val="2"/>
    </w:pPr>
    <w:rPr>
      <w:rFonts w:ascii="宋体" w:hAnsi="宋体"/>
      <w:b/>
      <w:bCs/>
      <w:color w:val="000000"/>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6">
    <w:name w:val="Body Text"/>
    <w:basedOn w:val="1"/>
    <w:autoRedefine/>
    <w:qFormat/>
    <w:uiPriority w:val="99"/>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7">
    <w:name w:val="toc 3"/>
    <w:basedOn w:val="1"/>
    <w:next w:val="1"/>
    <w:autoRedefine/>
    <w:qFormat/>
    <w:uiPriority w:val="0"/>
    <w:pPr>
      <w:ind w:left="840" w:leftChars="400"/>
    </w:pPr>
  </w:style>
  <w:style w:type="paragraph" w:styleId="8">
    <w:name w:val="footer"/>
    <w:basedOn w:val="1"/>
    <w:qFormat/>
    <w:uiPriority w:val="0"/>
    <w:pPr>
      <w:tabs>
        <w:tab w:val="center" w:pos="4153"/>
        <w:tab w:val="right" w:pos="8306"/>
      </w:tabs>
      <w:snapToGrid w:val="0"/>
    </w:pPr>
    <w:rPr>
      <w:rFonts w:ascii="Times New Roman" w:hAnsi="Times New Roman" w:cs="Times New Roman"/>
      <w:sz w:val="18"/>
      <w:szCs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Normal (Web)"/>
    <w:basedOn w:val="1"/>
    <w:autoRedefine/>
    <w:unhideWhenUsed/>
    <w:qFormat/>
    <w:uiPriority w:val="99"/>
    <w:pPr>
      <w:spacing w:beforeAutospacing="1" w:afterAutospacing="1"/>
    </w:pPr>
    <w:rPr>
      <w:lang w:eastAsia="zh-CN" w:bidi="ar-SA"/>
    </w:rPr>
  </w:style>
  <w:style w:type="table" w:styleId="14">
    <w:name w:val="Table Grid"/>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Default"/>
    <w:autoRedefine/>
    <w:unhideWhenUsed/>
    <w:qFormat/>
    <w:uiPriority w:val="99"/>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表格"/>
    <w:basedOn w:val="1"/>
    <w:autoRedefine/>
    <w:qFormat/>
    <w:uiPriority w:val="99"/>
    <w:pPr>
      <w:spacing w:line="240" w:lineRule="auto"/>
      <w:ind w:firstLine="0" w:firstLineChars="0"/>
      <w:jc w:val="center"/>
      <w:textAlignment w:val="center"/>
    </w:pPr>
    <w:rPr>
      <w:rFonts w:ascii="方正仿宋" w:hAnsi="Times New Roman"/>
      <w:sz w:val="21"/>
      <w:szCs w:val="21"/>
    </w:rPr>
  </w:style>
  <w:style w:type="paragraph" w:customStyle="1" w:styleId="20">
    <w:name w:val="Body text|1"/>
    <w:basedOn w:val="1"/>
    <w:autoRedefine/>
    <w:qFormat/>
    <w:uiPriority w:val="0"/>
    <w:pPr>
      <w:spacing w:after="140" w:line="442" w:lineRule="auto"/>
      <w:ind w:firstLine="400"/>
    </w:pPr>
    <w:rPr>
      <w:rFonts w:ascii="宋体" w:hAnsi="宋体" w:eastAsia="宋体" w:cs="宋体"/>
      <w:sz w:val="30"/>
      <w:szCs w:val="30"/>
      <w:lang w:val="zh-TW" w:eastAsia="zh-TW" w:bidi="zh-TW"/>
    </w:rPr>
  </w:style>
  <w:style w:type="paragraph" w:customStyle="1" w:styleId="21">
    <w:name w:val="样式 标题 2标题 22 Char Charh2H2UNDERRUBRIK 1-2R2H21H22H211H2..."/>
    <w:basedOn w:val="4"/>
    <w:autoRedefine/>
    <w:qFormat/>
    <w:uiPriority w:val="0"/>
    <w:pPr>
      <w:spacing w:after="240"/>
    </w:pPr>
    <w:rPr>
      <w:rFonts w:ascii="仿宋_GB2312" w:hAnsi="宋体" w:eastAsia="仿宋_GB2312" w:cs="宋体"/>
      <w:color w:val="auto"/>
      <w:sz w:val="28"/>
      <w:szCs w:val="20"/>
    </w:rPr>
  </w:style>
  <w:style w:type="paragraph" w:customStyle="1" w:styleId="22">
    <w:name w:val="样式 标题 3h3H3sect1.2.3Alt+31.1.1.标题 333rd levelUnderrubrik..."/>
    <w:basedOn w:val="5"/>
    <w:autoRedefine/>
    <w:qFormat/>
    <w:uiPriority w:val="0"/>
    <w:rPr>
      <w:rFonts w:ascii="宋体" w:hAnsi="宋体" w:eastAsia="仿宋_GB2312"/>
      <w:color w:val="auto"/>
    </w:rPr>
  </w:style>
  <w:style w:type="paragraph" w:customStyle="1" w:styleId="23">
    <w:name w:val="纯文本1"/>
    <w:autoRedefine/>
    <w:qFormat/>
    <w:uiPriority w:val="99"/>
    <w:pPr>
      <w:widowControl w:val="0"/>
      <w:spacing w:line="500" w:lineRule="exact"/>
      <w:ind w:firstLine="200"/>
      <w:jc w:val="both"/>
    </w:pPr>
    <w:rPr>
      <w:rFonts w:ascii="Arial Unicode MS" w:hAnsi="Arial Unicode MS" w:eastAsia="宋体" w:cs="Arial Unicode MS"/>
      <w:color w:val="000000"/>
      <w:kern w:val="2"/>
      <w:sz w:val="24"/>
      <w:szCs w:val="24"/>
      <w:lang w:val="en-US" w:eastAsia="zh-CN" w:bidi="ar-SA"/>
    </w:rPr>
  </w:style>
  <w:style w:type="character" w:customStyle="1" w:styleId="24">
    <w:name w:val="font21"/>
    <w:basedOn w:val="15"/>
    <w:autoRedefine/>
    <w:qFormat/>
    <w:uiPriority w:val="0"/>
    <w:rPr>
      <w:rFonts w:hint="eastAsia" w:ascii="宋体" w:hAnsi="宋体" w:eastAsia="宋体" w:cs="宋体"/>
      <w:b/>
      <w:bCs/>
      <w:color w:val="000000"/>
      <w:sz w:val="21"/>
      <w:szCs w:val="21"/>
      <w:u w:val="none"/>
    </w:rPr>
  </w:style>
  <w:style w:type="character" w:customStyle="1" w:styleId="25">
    <w:name w:val="font41"/>
    <w:basedOn w:val="15"/>
    <w:autoRedefine/>
    <w:qFormat/>
    <w:uiPriority w:val="0"/>
    <w:rPr>
      <w:rFonts w:hint="eastAsia" w:ascii="宋体" w:hAnsi="宋体" w:eastAsia="宋体" w:cs="宋体"/>
      <w:color w:val="000000"/>
      <w:sz w:val="21"/>
      <w:szCs w:val="21"/>
      <w:u w:val="none"/>
    </w:rPr>
  </w:style>
  <w:style w:type="character" w:customStyle="1" w:styleId="26">
    <w:name w:val="font61"/>
    <w:basedOn w:val="15"/>
    <w:autoRedefine/>
    <w:qFormat/>
    <w:uiPriority w:val="0"/>
    <w:rPr>
      <w:rFonts w:hint="eastAsia" w:ascii="宋体" w:hAnsi="宋体" w:eastAsia="宋体" w:cs="宋体"/>
      <w:color w:val="000000"/>
      <w:sz w:val="24"/>
      <w:szCs w:val="24"/>
      <w:u w:val="none"/>
    </w:rPr>
  </w:style>
  <w:style w:type="character" w:customStyle="1" w:styleId="27">
    <w:name w:val="font11"/>
    <w:basedOn w:val="15"/>
    <w:autoRedefine/>
    <w:qFormat/>
    <w:uiPriority w:val="0"/>
    <w:rPr>
      <w:rFonts w:hint="default" w:ascii="仿宋_GB2312" w:eastAsia="仿宋_GB2312" w:cs="仿宋_GB2312"/>
      <w:color w:val="000000"/>
      <w:sz w:val="18"/>
      <w:szCs w:val="18"/>
      <w:u w:val="none"/>
    </w:rPr>
  </w:style>
  <w:style w:type="character" w:customStyle="1" w:styleId="28">
    <w:name w:val="font31"/>
    <w:basedOn w:val="15"/>
    <w:autoRedefine/>
    <w:uiPriority w:val="0"/>
    <w:rPr>
      <w:rFonts w:hint="eastAsia" w:ascii="仿宋" w:hAnsi="仿宋" w:eastAsia="仿宋" w:cs="仿宋"/>
      <w:color w:val="000000"/>
      <w:sz w:val="20"/>
      <w:szCs w:val="20"/>
      <w:u w:val="none"/>
    </w:rPr>
  </w:style>
  <w:style w:type="paragraph" w:customStyle="1" w:styleId="29">
    <w:name w:val="列出段落1"/>
    <w:basedOn w:val="1"/>
    <w:autoRedefine/>
    <w:qFormat/>
    <w:uiPriority w:val="99"/>
    <w:pPr>
      <w:widowControl w:val="0"/>
      <w:ind w:firstLine="420" w:firstLineChars="200"/>
      <w:jc w:val="both"/>
    </w:pPr>
    <w:rPr>
      <w:rFonts w:ascii="??" w:hAnsi="??"/>
      <w:kern w:val="2"/>
      <w:sz w:val="21"/>
    </w:rPr>
  </w:style>
  <w:style w:type="paragraph" w:customStyle="1" w:styleId="30">
    <w:name w:val="二级标题"/>
    <w:basedOn w:val="20"/>
    <w:autoRedefine/>
    <w:qFormat/>
    <w:uiPriority w:val="0"/>
    <w:pPr>
      <w:spacing w:after="0" w:line="360" w:lineRule="auto"/>
      <w:ind w:firstLine="602" w:firstLineChars="200"/>
      <w:jc w:val="both"/>
    </w:pPr>
    <w:rPr>
      <w:b/>
      <w:bCs/>
    </w:rPr>
  </w:style>
  <w:style w:type="paragraph" w:customStyle="1" w:styleId="31">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2022-04-26T07:58:00Z</dcterms:created>
  <dc:creator>顾娜</dc:creator>
  <cp:lastModifiedBy>zj.</cp:lastModifiedBy>
  <cp:lastPrinted>2022-04-27T01:20:00Z</cp:lastPrinted>
  <dcterms:modified xsi:type="dcterms:W3CDTF">2024-01-17T03:20:04Z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251D9F9CC04342F59CF92B3119F5EEC7_12</vt:lpwstr>
  </property>
</Properties>
</file>