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4935"/>
        </w:tabs>
        <w:autoSpaceDE w:val="0"/>
        <w:autoSpaceDN w:val="0"/>
        <w:adjustRightInd w:val="0"/>
        <w:spacing w:line="360" w:lineRule="auto"/>
        <w:jc w:val="left"/>
        <w:rPr>
          <w:rFonts w:ascii="华文仿宋" w:hAnsi="华文仿宋" w:eastAsia="华文仿宋" w:cs="宋体"/>
          <w:kern w:val="0"/>
        </w:rPr>
      </w:pPr>
      <w:bookmarkStart w:id="29" w:name="_GoBack"/>
      <w:bookmarkEnd w:id="29"/>
      <w:r>
        <w:rPr>
          <w:rFonts w:ascii="华文仿宋" w:hAnsi="华文仿宋" w:eastAsia="华文仿宋"/>
        </w:rPr>
        <w:drawing>
          <wp:anchor distT="57150" distB="57150" distL="57150" distR="57150" simplePos="0" relativeHeight="251660288" behindDoc="0" locked="0" layoutInCell="1" allowOverlap="1">
            <wp:simplePos x="0" y="0"/>
            <wp:positionH relativeFrom="column">
              <wp:posOffset>1189990</wp:posOffset>
            </wp:positionH>
            <wp:positionV relativeFrom="line">
              <wp:posOffset>222250</wp:posOffset>
            </wp:positionV>
            <wp:extent cx="2827655" cy="1664335"/>
            <wp:effectExtent l="0" t="0" r="0" b="0"/>
            <wp:wrapTopAndBottom/>
            <wp:docPr id="1073741825" name="officeArt object" descr="A close u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A close up of a building&#10;&#10;Description automatically generated"/>
                    <pic:cNvPicPr>
                      <a:picLocks noChangeAspect="1"/>
                    </pic:cNvPicPr>
                  </pic:nvPicPr>
                  <pic:blipFill>
                    <a:blip r:embed="rId6"/>
                    <a:stretch>
                      <a:fillRect/>
                    </a:stretch>
                  </pic:blipFill>
                  <pic:spPr>
                    <a:xfrm>
                      <a:off x="0" y="0"/>
                      <a:ext cx="2827655" cy="1664335"/>
                    </a:xfrm>
                    <a:prstGeom prst="rect">
                      <a:avLst/>
                    </a:prstGeom>
                    <a:ln w="12700" cap="flat">
                      <a:noFill/>
                      <a:miter lim="400000"/>
                      <a:headEnd/>
                      <a:tailEnd/>
                    </a:ln>
                    <a:effectLst/>
                  </pic:spPr>
                </pic:pic>
              </a:graphicData>
            </a:graphic>
          </wp:anchor>
        </w:drawing>
      </w: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spacing w:line="360" w:lineRule="auto"/>
        <w:jc w:val="center"/>
        <w:rPr>
          <w:rFonts w:ascii="华文仿宋" w:hAnsi="华文仿宋" w:eastAsia="华文仿宋"/>
          <w:b/>
          <w:sz w:val="36"/>
          <w:szCs w:val="36"/>
          <w:lang w:val="zh-TW"/>
        </w:rPr>
      </w:pPr>
      <w:r>
        <w:rPr>
          <w:rFonts w:hint="eastAsia" w:ascii="华文仿宋" w:hAnsi="华文仿宋" w:eastAsia="华文仿宋"/>
          <w:b/>
          <w:sz w:val="36"/>
          <w:szCs w:val="36"/>
          <w:lang w:val="zh-TW"/>
        </w:rPr>
        <w:t>广东金桥百信律师事务所</w:t>
      </w:r>
    </w:p>
    <w:p>
      <w:pPr>
        <w:spacing w:line="360" w:lineRule="auto"/>
        <w:jc w:val="center"/>
        <w:rPr>
          <w:rFonts w:ascii="华文仿宋" w:hAnsi="华文仿宋" w:eastAsia="华文仿宋"/>
          <w:b/>
          <w:sz w:val="36"/>
          <w:szCs w:val="36"/>
          <w:lang w:val="zh-TW"/>
        </w:rPr>
      </w:pPr>
      <w:r>
        <w:rPr>
          <w:rFonts w:hint="eastAsia" w:ascii="华文仿宋" w:hAnsi="华文仿宋" w:eastAsia="华文仿宋"/>
          <w:b/>
          <w:sz w:val="36"/>
          <w:szCs w:val="36"/>
          <w:lang w:val="zh-TW"/>
        </w:rPr>
        <w:t>关于</w:t>
      </w:r>
    </w:p>
    <w:p>
      <w:pPr>
        <w:spacing w:line="360" w:lineRule="auto"/>
        <w:jc w:val="center"/>
        <w:rPr>
          <w:rFonts w:hint="eastAsia" w:ascii="华文仿宋" w:hAnsi="华文仿宋" w:eastAsia="华文仿宋" w:cs="方正仿宋_GBK"/>
          <w:b/>
          <w:sz w:val="36"/>
          <w:szCs w:val="36"/>
          <w:lang w:eastAsia="zh-CN"/>
        </w:rPr>
      </w:pPr>
      <w:r>
        <w:rPr>
          <w:rFonts w:hint="eastAsia" w:ascii="华文仿宋" w:hAnsi="华文仿宋" w:eastAsia="华文仿宋" w:cs="方正仿宋_GBK"/>
          <w:b/>
          <w:sz w:val="36"/>
          <w:szCs w:val="36"/>
          <w:lang w:eastAsia="zh-CN"/>
        </w:rPr>
        <w:t>云安区省级现代农业产业园基础设施配套项目</w:t>
      </w:r>
    </w:p>
    <w:p>
      <w:pPr>
        <w:spacing w:line="360" w:lineRule="auto"/>
        <w:jc w:val="center"/>
        <w:rPr>
          <w:rFonts w:ascii="华文仿宋" w:hAnsi="华文仿宋" w:eastAsia="华文仿宋" w:cs="方正仿宋_GBK"/>
          <w:b/>
          <w:sz w:val="36"/>
          <w:szCs w:val="36"/>
        </w:rPr>
      </w:pPr>
      <w:r>
        <w:rPr>
          <w:rFonts w:hint="eastAsia" w:ascii="华文仿宋" w:hAnsi="华文仿宋" w:eastAsia="华文仿宋" w:cs="方正仿宋_GBK"/>
          <w:b/>
          <w:sz w:val="36"/>
          <w:szCs w:val="36"/>
        </w:rPr>
        <w:t>之</w:t>
      </w:r>
    </w:p>
    <w:p>
      <w:pPr>
        <w:spacing w:line="360" w:lineRule="auto"/>
        <w:jc w:val="center"/>
        <w:rPr>
          <w:rFonts w:ascii="华文仿宋" w:hAnsi="华文仿宋" w:eastAsia="华文仿宋" w:cs="方正仿宋_GBK"/>
          <w:b/>
          <w:sz w:val="36"/>
          <w:szCs w:val="36"/>
        </w:rPr>
      </w:pPr>
      <w:r>
        <w:rPr>
          <w:rFonts w:hint="eastAsia" w:ascii="华文仿宋" w:hAnsi="华文仿宋" w:eastAsia="华文仿宋" w:cs="方正仿宋_GBK"/>
          <w:b/>
          <w:sz w:val="36"/>
          <w:szCs w:val="36"/>
        </w:rPr>
        <w:t>法律意见书</w:t>
      </w: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left"/>
        <w:rPr>
          <w:rFonts w:ascii="华文仿宋" w:hAnsi="华文仿宋" w:eastAsia="华文仿宋" w:cs="宋体"/>
          <w:kern w:val="0"/>
        </w:rPr>
      </w:pPr>
    </w:p>
    <w:p>
      <w:pPr>
        <w:widowControl/>
        <w:tabs>
          <w:tab w:val="left" w:pos="4935"/>
        </w:tabs>
        <w:autoSpaceDE w:val="0"/>
        <w:autoSpaceDN w:val="0"/>
        <w:adjustRightInd w:val="0"/>
        <w:spacing w:line="360" w:lineRule="auto"/>
        <w:jc w:val="center"/>
        <w:rPr>
          <w:rFonts w:ascii="华文仿宋" w:hAnsi="华文仿宋" w:eastAsia="华文仿宋" w:cs="宋体"/>
          <w:kern w:val="0"/>
        </w:rPr>
      </w:pPr>
      <w:r>
        <w:rPr>
          <w:rFonts w:ascii="华文仿宋" w:hAnsi="华文仿宋" w:eastAsia="华文仿宋"/>
        </w:rPr>
        <w:drawing>
          <wp:inline distT="0" distB="0" distL="0" distR="0">
            <wp:extent cx="5264150" cy="602615"/>
            <wp:effectExtent l="0" t="0" r="0" b="0"/>
            <wp:docPr id="1073741826"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officeArt object"/>
                    <pic:cNvPicPr>
                      <a:picLocks noChangeAspect="1"/>
                    </pic:cNvPicPr>
                  </pic:nvPicPr>
                  <pic:blipFill>
                    <a:blip r:embed="rId7"/>
                    <a:stretch>
                      <a:fillRect/>
                    </a:stretch>
                  </pic:blipFill>
                  <pic:spPr>
                    <a:xfrm>
                      <a:off x="0" y="0"/>
                      <a:ext cx="5264777" cy="602616"/>
                    </a:xfrm>
                    <a:prstGeom prst="rect">
                      <a:avLst/>
                    </a:prstGeom>
                    <a:ln w="12700" cap="flat">
                      <a:noFill/>
                      <a:miter lim="400000"/>
                      <a:headEnd/>
                      <a:tailEnd/>
                    </a:ln>
                    <a:effectLst/>
                  </pic:spPr>
                </pic:pic>
              </a:graphicData>
            </a:graphic>
          </wp:inline>
        </w:drawing>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华文仿宋" w:hAnsi="华文仿宋" w:eastAsia="华文仿宋" w:cs="宋体"/>
          <w:b/>
          <w:bCs/>
          <w:kern w:val="0"/>
          <w:sz w:val="36"/>
          <w:szCs w:val="36"/>
        </w:rPr>
        <w:sectPr>
          <w:footerReference r:id="rId3" w:type="default"/>
          <w:footerReference r:id="rId4" w:type="even"/>
          <w:pgSz w:w="12240" w:h="15840"/>
          <w:pgMar w:top="1440" w:right="1800" w:bottom="1440" w:left="1800" w:header="720" w:footer="720" w:gutter="0"/>
          <w:pgNumType w:start="0"/>
          <w:cols w:space="720" w:num="1"/>
          <w:titlePg/>
        </w:sect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华文仿宋" w:hAnsi="华文仿宋" w:eastAsia="华文仿宋" w:cs="宋体"/>
          <w:b/>
          <w:bCs/>
          <w:kern w:val="0"/>
          <w:sz w:val="36"/>
          <w:szCs w:val="36"/>
        </w:rPr>
      </w:pPr>
      <w:r>
        <w:rPr>
          <w:rFonts w:hint="eastAsia" w:ascii="华文仿宋" w:hAnsi="华文仿宋" w:eastAsia="华文仿宋" w:cs="宋体"/>
          <w:b/>
          <w:bCs/>
          <w:kern w:val="0"/>
          <w:sz w:val="36"/>
          <w:szCs w:val="36"/>
        </w:rPr>
        <w:t>目 录</w:t>
      </w:r>
    </w:p>
    <w:p>
      <w:pPr>
        <w:pStyle w:val="8"/>
        <w:rPr>
          <w:rFonts w:ascii="华文仿宋" w:hAnsi="华文仿宋" w:eastAsia="华文仿宋"/>
          <w:b w:val="0"/>
          <w:sz w:val="28"/>
          <w:szCs w:val="28"/>
          <w:lang w:val="en-US" w:eastAsia="zh-CN"/>
        </w:rPr>
      </w:pPr>
      <w:r>
        <w:rPr>
          <w:rFonts w:ascii="华文仿宋" w:hAnsi="华文仿宋" w:eastAsia="华文仿宋" w:cs="Times New Roman"/>
          <w:kern w:val="0"/>
          <w:sz w:val="28"/>
          <w:szCs w:val="28"/>
        </w:rPr>
        <w:fldChar w:fldCharType="begin"/>
      </w:r>
      <w:r>
        <w:rPr>
          <w:rFonts w:ascii="华文仿宋" w:hAnsi="华文仿宋" w:eastAsia="华文仿宋" w:cs="Times New Roman"/>
          <w:kern w:val="0"/>
          <w:sz w:val="28"/>
          <w:szCs w:val="28"/>
          <w:lang w:eastAsia="zh-CN"/>
        </w:rPr>
        <w:instrText xml:space="preserve"> TOC </w:instrText>
      </w:r>
      <w:r>
        <w:rPr>
          <w:rFonts w:hint="eastAsia" w:ascii="华文仿宋" w:hAnsi="华文仿宋" w:eastAsia="华文仿宋" w:cs="Times New Roman"/>
          <w:kern w:val="0"/>
          <w:sz w:val="28"/>
          <w:szCs w:val="28"/>
          <w:lang w:eastAsia="zh-CN"/>
        </w:rPr>
        <w:instrText xml:space="preserve">\o "1-3"</w:instrText>
      </w:r>
      <w:r>
        <w:rPr>
          <w:rFonts w:ascii="华文仿宋" w:hAnsi="华文仿宋" w:eastAsia="华文仿宋" w:cs="Times New Roman"/>
          <w:kern w:val="0"/>
          <w:sz w:val="28"/>
          <w:szCs w:val="28"/>
          <w:lang w:eastAsia="zh-CN"/>
        </w:rPr>
        <w:instrText xml:space="preserve"> </w:instrText>
      </w:r>
      <w:r>
        <w:rPr>
          <w:rFonts w:ascii="华文仿宋" w:hAnsi="华文仿宋" w:eastAsia="华文仿宋" w:cs="Times New Roman"/>
          <w:kern w:val="0"/>
          <w:sz w:val="28"/>
          <w:szCs w:val="28"/>
        </w:rPr>
        <w:fldChar w:fldCharType="separate"/>
      </w:r>
      <w:r>
        <w:rPr>
          <w:rFonts w:ascii="华文仿宋" w:hAnsi="华文仿宋" w:eastAsia="华文仿宋"/>
          <w:sz w:val="28"/>
          <w:szCs w:val="28"/>
          <w:lang w:eastAsia="zh-CN"/>
        </w:rPr>
        <w:t>第一部分  引言</w:t>
      </w:r>
      <w:r>
        <w:rPr>
          <w:rFonts w:ascii="华文仿宋" w:hAnsi="华文仿宋" w:eastAsia="华文仿宋"/>
          <w:sz w:val="28"/>
          <w:szCs w:val="28"/>
          <w:lang w:eastAsia="zh-CN"/>
        </w:rPr>
        <w:tab/>
      </w:r>
      <w:r>
        <w:rPr>
          <w:rFonts w:ascii="华文仿宋" w:hAnsi="华文仿宋" w:eastAsia="华文仿宋"/>
          <w:sz w:val="28"/>
          <w:szCs w:val="28"/>
        </w:rPr>
        <w:fldChar w:fldCharType="begin"/>
      </w:r>
      <w:r>
        <w:rPr>
          <w:rFonts w:ascii="华文仿宋" w:hAnsi="华文仿宋" w:eastAsia="华文仿宋"/>
          <w:sz w:val="28"/>
          <w:szCs w:val="28"/>
          <w:lang w:eastAsia="zh-CN"/>
        </w:rPr>
        <w:instrText xml:space="preserve"> PAGEREF _Toc47346119 \h </w:instrText>
      </w:r>
      <w:r>
        <w:rPr>
          <w:rFonts w:ascii="华文仿宋" w:hAnsi="华文仿宋" w:eastAsia="华文仿宋"/>
          <w:sz w:val="28"/>
          <w:szCs w:val="28"/>
        </w:rPr>
        <w:fldChar w:fldCharType="separate"/>
      </w:r>
      <w:r>
        <w:rPr>
          <w:rFonts w:ascii="华文仿宋" w:hAnsi="华文仿宋" w:eastAsia="华文仿宋"/>
          <w:sz w:val="28"/>
          <w:szCs w:val="28"/>
          <w:lang w:eastAsia="zh-CN"/>
        </w:rPr>
        <w:t>2</w:t>
      </w:r>
      <w:r>
        <w:rPr>
          <w:rFonts w:ascii="华文仿宋" w:hAnsi="华文仿宋" w:eastAsia="华文仿宋"/>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lang w:val="zh-TW"/>
        </w:rPr>
        <w:t>一、释义</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_Toc47346120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2</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lang w:val="zh-TW"/>
        </w:rPr>
        <w:t>二、律师声明事项</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_Toc47346121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3</w:t>
      </w:r>
      <w:r>
        <w:rPr>
          <w:rFonts w:ascii="华文仿宋" w:hAnsi="华文仿宋" w:eastAsia="华文仿宋"/>
          <w:b w:val="0"/>
          <w:sz w:val="28"/>
          <w:szCs w:val="28"/>
        </w:rPr>
        <w:fldChar w:fldCharType="end"/>
      </w:r>
    </w:p>
    <w:p>
      <w:pPr>
        <w:pStyle w:val="8"/>
        <w:rPr>
          <w:rFonts w:ascii="华文仿宋" w:hAnsi="华文仿宋" w:eastAsia="华文仿宋"/>
          <w:b w:val="0"/>
          <w:sz w:val="28"/>
          <w:szCs w:val="28"/>
          <w:lang w:val="en-US" w:eastAsia="zh-CN"/>
        </w:rPr>
      </w:pPr>
      <w:r>
        <w:rPr>
          <w:rFonts w:ascii="华文仿宋" w:hAnsi="华文仿宋" w:eastAsia="华文仿宋"/>
          <w:sz w:val="28"/>
          <w:szCs w:val="28"/>
          <w:lang w:eastAsia="zh-CN"/>
        </w:rPr>
        <w:t>第二部分  正文</w:t>
      </w:r>
      <w:r>
        <w:rPr>
          <w:rFonts w:ascii="华文仿宋" w:hAnsi="华文仿宋" w:eastAsia="华文仿宋"/>
          <w:sz w:val="28"/>
          <w:szCs w:val="28"/>
          <w:lang w:eastAsia="zh-CN"/>
        </w:rPr>
        <w:tab/>
      </w:r>
      <w:r>
        <w:rPr>
          <w:rFonts w:ascii="华文仿宋" w:hAnsi="华文仿宋" w:eastAsia="华文仿宋"/>
          <w:sz w:val="28"/>
          <w:szCs w:val="28"/>
        </w:rPr>
        <w:fldChar w:fldCharType="begin"/>
      </w:r>
      <w:r>
        <w:rPr>
          <w:rFonts w:ascii="华文仿宋" w:hAnsi="华文仿宋" w:eastAsia="华文仿宋"/>
          <w:sz w:val="28"/>
          <w:szCs w:val="28"/>
          <w:lang w:eastAsia="zh-CN"/>
        </w:rPr>
        <w:instrText xml:space="preserve"> PAGEREF _Toc47346122 \h </w:instrText>
      </w:r>
      <w:r>
        <w:rPr>
          <w:rFonts w:ascii="华文仿宋" w:hAnsi="华文仿宋" w:eastAsia="华文仿宋"/>
          <w:sz w:val="28"/>
          <w:szCs w:val="28"/>
        </w:rPr>
        <w:fldChar w:fldCharType="separate"/>
      </w:r>
      <w:r>
        <w:rPr>
          <w:rFonts w:ascii="华文仿宋" w:hAnsi="华文仿宋" w:eastAsia="华文仿宋"/>
          <w:sz w:val="28"/>
          <w:szCs w:val="28"/>
          <w:lang w:eastAsia="zh-CN"/>
        </w:rPr>
        <w:t>5</w:t>
      </w:r>
      <w:r>
        <w:rPr>
          <w:rFonts w:ascii="华文仿宋" w:hAnsi="华文仿宋" w:eastAsia="华文仿宋"/>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一、本项目组织实施建设机构</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_Toc47346123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5</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二、本期债券发行对应的项目情况</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_Toc47346124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5</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三、本项目收益与融资自求平衡</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_Toc47346125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14</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四、项目风险及风险控制措施</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_Toc47346126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14</w:t>
      </w:r>
      <w:r>
        <w:rPr>
          <w:rFonts w:ascii="华文仿宋" w:hAnsi="华文仿宋" w:eastAsia="华文仿宋"/>
          <w:b w:val="0"/>
          <w:sz w:val="28"/>
          <w:szCs w:val="28"/>
        </w:rPr>
        <w:fldChar w:fldCharType="end"/>
      </w:r>
    </w:p>
    <w:p>
      <w:pPr>
        <w:pStyle w:val="9"/>
        <w:tabs>
          <w:tab w:val="right" w:leader="dot" w:pos="8630"/>
        </w:tabs>
        <w:spacing w:line="360" w:lineRule="auto"/>
        <w:rPr>
          <w:rFonts w:ascii="华文仿宋" w:hAnsi="华文仿宋" w:eastAsia="华文仿宋"/>
          <w:b w:val="0"/>
          <w:sz w:val="28"/>
          <w:szCs w:val="28"/>
        </w:rPr>
      </w:pPr>
      <w:r>
        <w:rPr>
          <w:rFonts w:ascii="华文仿宋" w:hAnsi="华文仿宋" w:eastAsia="华文仿宋"/>
          <w:b w:val="0"/>
          <w:sz w:val="28"/>
          <w:szCs w:val="28"/>
          <w:u w:color="000000"/>
        </w:rPr>
        <w:t>五、结论意见</w:t>
      </w:r>
      <w:r>
        <w:rPr>
          <w:rFonts w:ascii="华文仿宋" w:hAnsi="华文仿宋" w:eastAsia="华文仿宋"/>
          <w:b w:val="0"/>
          <w:sz w:val="28"/>
          <w:szCs w:val="28"/>
        </w:rPr>
        <w:tab/>
      </w:r>
      <w:r>
        <w:rPr>
          <w:rFonts w:ascii="华文仿宋" w:hAnsi="华文仿宋" w:eastAsia="华文仿宋"/>
          <w:b w:val="0"/>
          <w:sz w:val="28"/>
          <w:szCs w:val="28"/>
        </w:rPr>
        <w:fldChar w:fldCharType="begin"/>
      </w:r>
      <w:r>
        <w:rPr>
          <w:rFonts w:ascii="华文仿宋" w:hAnsi="华文仿宋" w:eastAsia="华文仿宋"/>
          <w:b w:val="0"/>
          <w:sz w:val="28"/>
          <w:szCs w:val="28"/>
        </w:rPr>
        <w:instrText xml:space="preserve"> PAGEREF _Toc47346127 \h </w:instrText>
      </w:r>
      <w:r>
        <w:rPr>
          <w:rFonts w:ascii="华文仿宋" w:hAnsi="华文仿宋" w:eastAsia="华文仿宋"/>
          <w:b w:val="0"/>
          <w:sz w:val="28"/>
          <w:szCs w:val="28"/>
        </w:rPr>
        <w:fldChar w:fldCharType="separate"/>
      </w:r>
      <w:r>
        <w:rPr>
          <w:rFonts w:ascii="华文仿宋" w:hAnsi="华文仿宋" w:eastAsia="华文仿宋"/>
          <w:b w:val="0"/>
          <w:sz w:val="28"/>
          <w:szCs w:val="28"/>
        </w:rPr>
        <w:t>15</w:t>
      </w:r>
      <w:r>
        <w:rPr>
          <w:rFonts w:ascii="华文仿宋" w:hAnsi="华文仿宋" w:eastAsia="华文仿宋"/>
          <w:b w:val="0"/>
          <w:sz w:val="28"/>
          <w:szCs w:val="28"/>
        </w:rPr>
        <w:fldChar w:fldCharType="end"/>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Times New Roman" w:asciiTheme="minorEastAsia" w:hAnsiTheme="minorEastAsia"/>
          <w:kern w:val="0"/>
        </w:rPr>
      </w:pPr>
      <w:r>
        <w:rPr>
          <w:rFonts w:ascii="华文仿宋" w:hAnsi="华文仿宋" w:eastAsia="华文仿宋" w:cs="Times New Roman"/>
          <w:kern w:val="0"/>
          <w:sz w:val="28"/>
          <w:szCs w:val="28"/>
        </w:rPr>
        <w:fldChar w:fldCharType="end"/>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华文仿宋" w:hAnsi="华文仿宋" w:eastAsia="华文仿宋" w:cs="Arial Unicode MS"/>
          <w:kern w:val="0"/>
          <w:u w:val="single" w:color="000000"/>
        </w:rPr>
      </w:pPr>
      <w:r>
        <w:rPr>
          <w:rFonts w:ascii="华文仿宋" w:hAnsi="华文仿宋" w:eastAsia="华文仿宋" w:cs="宋体"/>
          <w:kern w:val="0"/>
        </w:rPr>
        <w:br w:type="page"/>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ascii="华文仿宋" w:hAnsi="华文仿宋" w:eastAsia="华文仿宋" w:cs="宋体"/>
          <w:sz w:val="30"/>
          <w:szCs w:val="30"/>
        </w:rPr>
        <w:drawing>
          <wp:anchor distT="57150" distB="57150" distL="57150" distR="57150" simplePos="0" relativeHeight="251659264" behindDoc="0" locked="0" layoutInCell="1" allowOverlap="1">
            <wp:simplePos x="0" y="0"/>
            <wp:positionH relativeFrom="page">
              <wp:posOffset>1235710</wp:posOffset>
            </wp:positionH>
            <wp:positionV relativeFrom="page">
              <wp:posOffset>995680</wp:posOffset>
            </wp:positionV>
            <wp:extent cx="5334000" cy="895350"/>
            <wp:effectExtent l="0" t="0" r="0" b="0"/>
            <wp:wrapThrough wrapText="bothSides">
              <wp:wrapPolygon>
                <wp:start x="0" y="0"/>
                <wp:lineTo x="21600" y="0"/>
                <wp:lineTo x="21600" y="21600"/>
                <wp:lineTo x="0" y="21600"/>
                <wp:lineTo x="0" y="0"/>
              </wp:wrapPolygon>
            </wp:wrapThrough>
            <wp:docPr id="1073741827" name="officeArt object"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7" name="officeArt object" descr="1.png"/>
                    <pic:cNvPicPr>
                      <a:picLocks noChangeAspect="1"/>
                    </pic:cNvPicPr>
                  </pic:nvPicPr>
                  <pic:blipFill>
                    <a:blip r:embed="rId8"/>
                    <a:stretch>
                      <a:fillRect/>
                    </a:stretch>
                  </pic:blipFill>
                  <pic:spPr>
                    <a:xfrm>
                      <a:off x="0" y="0"/>
                      <a:ext cx="5334000" cy="895350"/>
                    </a:xfrm>
                    <a:prstGeom prst="rect">
                      <a:avLst/>
                    </a:prstGeom>
                    <a:ln w="12700" cap="flat">
                      <a:noFill/>
                      <a:miter lim="400000"/>
                      <a:headEnd/>
                      <a:tailEnd/>
                    </a:ln>
                    <a:effectLst/>
                  </pic:spPr>
                </pic:pic>
              </a:graphicData>
            </a:graphic>
          </wp:anchor>
        </w:drawing>
      </w:r>
      <w:r>
        <w:rPr>
          <w:rFonts w:hint="eastAsia" w:ascii="华文仿宋" w:hAnsi="华文仿宋" w:eastAsia="华文仿宋" w:cs="宋体"/>
          <w:kern w:val="0"/>
          <w:sz w:val="30"/>
          <w:szCs w:val="30"/>
          <w:u w:color="000000"/>
        </w:rPr>
        <w:t>广东金桥百信律师事务所</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hint="eastAsia" w:ascii="华文仿宋" w:hAnsi="华文仿宋" w:eastAsia="华文仿宋" w:cs="宋体"/>
          <w:kern w:val="0"/>
          <w:sz w:val="30"/>
          <w:szCs w:val="30"/>
          <w:u w:color="000000"/>
        </w:rPr>
        <w:t>关于</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方正仿宋_GBK"/>
          <w:bCs/>
          <w:sz w:val="30"/>
          <w:szCs w:val="30"/>
          <w:lang w:eastAsia="zh-CN"/>
        </w:rPr>
      </w:pPr>
      <w:r>
        <w:rPr>
          <w:rFonts w:hint="eastAsia" w:ascii="华文仿宋" w:hAnsi="华文仿宋" w:eastAsia="华文仿宋" w:cs="方正仿宋_GBK"/>
          <w:bCs/>
          <w:sz w:val="30"/>
          <w:szCs w:val="30"/>
          <w:lang w:eastAsia="zh-CN"/>
        </w:rPr>
        <w:t>云安区省级现代农业产业园基础设施配套项目</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hint="eastAsia" w:ascii="华文仿宋" w:hAnsi="华文仿宋" w:eastAsia="华文仿宋" w:cs="宋体"/>
          <w:kern w:val="0"/>
          <w:sz w:val="30"/>
          <w:szCs w:val="30"/>
          <w:u w:color="000000"/>
        </w:rPr>
        <w:t>之</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30"/>
          <w:szCs w:val="30"/>
          <w:u w:color="000000"/>
        </w:rPr>
      </w:pPr>
      <w:r>
        <w:rPr>
          <w:rFonts w:hint="eastAsia" w:ascii="华文仿宋" w:hAnsi="华文仿宋" w:eastAsia="华文仿宋" w:cs="宋体"/>
          <w:kern w:val="0"/>
          <w:sz w:val="30"/>
          <w:szCs w:val="30"/>
          <w:u w:color="000000"/>
        </w:rPr>
        <w:t>法律意见书</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right"/>
        <w:rPr>
          <w:rFonts w:ascii="华文仿宋" w:hAnsi="华文仿宋" w:eastAsia="华文仿宋" w:cs="Calibri"/>
          <w:kern w:val="0"/>
          <w:u w:color="000000"/>
        </w:rPr>
      </w:pPr>
      <w:r>
        <w:rPr>
          <w:rFonts w:ascii="华文仿宋" w:hAnsi="华文仿宋" w:eastAsia="华文仿宋" w:cs="宋体"/>
          <w:kern w:val="0"/>
          <w:u w:color="000000"/>
        </w:rPr>
        <w:t xml:space="preserve">                                        </w:t>
      </w:r>
      <w:r>
        <w:rPr>
          <w:rFonts w:hint="eastAsia" w:ascii="华文仿宋" w:hAnsi="华文仿宋" w:eastAsia="华文仿宋" w:cs="Calibri"/>
          <w:kern w:val="0"/>
          <w:u w:color="000000"/>
        </w:rPr>
        <w:t>〔</w:t>
      </w:r>
      <w:r>
        <w:rPr>
          <w:rFonts w:ascii="华文仿宋" w:hAnsi="华文仿宋" w:eastAsia="华文仿宋" w:cs="Calibri"/>
          <w:kern w:val="0"/>
          <w:u w:color="000000"/>
        </w:rPr>
        <w:t>202</w:t>
      </w:r>
      <w:r>
        <w:rPr>
          <w:rFonts w:hint="eastAsia" w:ascii="华文仿宋" w:hAnsi="华文仿宋" w:eastAsia="华文仿宋" w:cs="Calibri"/>
          <w:kern w:val="0"/>
          <w:u w:color="000000"/>
          <w:lang w:val="en-US" w:eastAsia="zh-CN"/>
        </w:rPr>
        <w:t>4</w:t>
      </w:r>
      <w:r>
        <w:rPr>
          <w:rFonts w:hint="eastAsia" w:ascii="华文仿宋" w:hAnsi="华文仿宋" w:eastAsia="华文仿宋" w:cs="Calibri"/>
          <w:kern w:val="0"/>
          <w:u w:color="000000"/>
        </w:rPr>
        <w:t>〕</w:t>
      </w:r>
      <w:r>
        <w:rPr>
          <w:rFonts w:hint="eastAsia" w:ascii="华文仿宋" w:hAnsi="华文仿宋" w:eastAsia="华文仿宋" w:cs="宋体"/>
          <w:kern w:val="0"/>
          <w:u w:color="000000"/>
        </w:rPr>
        <w:t>粤金桥非字第</w:t>
      </w:r>
      <w:r>
        <w:rPr>
          <w:rFonts w:hint="eastAsia" w:ascii="华文仿宋" w:hAnsi="华文仿宋" w:eastAsia="华文仿宋" w:cs="宋体"/>
          <w:kern w:val="0"/>
          <w:u w:color="000000"/>
          <w:lang w:val="en-US" w:eastAsia="zh-CN"/>
        </w:rPr>
        <w:t>0200</w:t>
      </w:r>
      <w:r>
        <w:rPr>
          <w:rFonts w:hint="eastAsia" w:ascii="华文仿宋" w:hAnsi="华文仿宋" w:eastAsia="华文仿宋" w:cs="宋体"/>
          <w:kern w:val="0"/>
          <w:u w:color="000000"/>
        </w:rPr>
        <w:t>号</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华文仿宋" w:hAnsi="华文仿宋" w:eastAsia="华文仿宋" w:cs="宋体"/>
          <w:kern w:val="0"/>
          <w:u w:color="000000"/>
          <w:lang w:eastAsia="zh-CN"/>
        </w:rPr>
      </w:pPr>
      <w:r>
        <w:rPr>
          <w:rFonts w:hint="eastAsia" w:ascii="华文仿宋" w:hAnsi="华文仿宋" w:eastAsia="华文仿宋" w:cs="宋体"/>
          <w:kern w:val="0"/>
          <w:u w:color="000000"/>
        </w:rPr>
        <w:t>致：云浮市</w:t>
      </w:r>
      <w:r>
        <w:rPr>
          <w:rFonts w:hint="eastAsia" w:ascii="华文仿宋" w:hAnsi="华文仿宋" w:eastAsia="华文仿宋" w:cs="宋体"/>
          <w:kern w:val="0"/>
          <w:u w:color="000000"/>
          <w:lang w:eastAsia="zh-CN"/>
        </w:rPr>
        <w:t>云安区财政局</w:t>
      </w:r>
    </w:p>
    <w:p>
      <w:pPr>
        <w:spacing w:line="360" w:lineRule="auto"/>
        <w:ind w:firstLine="480" w:firstLineChars="200"/>
        <w:jc w:val="left"/>
        <w:rPr>
          <w:rFonts w:ascii="华文仿宋" w:hAnsi="华文仿宋" w:eastAsia="华文仿宋" w:cs="方正仿宋_GBK"/>
          <w:bCs/>
          <w:sz w:val="30"/>
          <w:szCs w:val="30"/>
        </w:rPr>
      </w:pPr>
      <w:r>
        <w:rPr>
          <w:rFonts w:hint="eastAsia" w:ascii="华文仿宋" w:hAnsi="华文仿宋" w:eastAsia="华文仿宋" w:cs="宋体"/>
          <w:kern w:val="0"/>
          <w:u w:color="000000"/>
        </w:rPr>
        <w:t>广东金桥百信律师事务所(以下简称“本所”)接受云浮市</w:t>
      </w:r>
      <w:r>
        <w:rPr>
          <w:rFonts w:hint="eastAsia" w:ascii="华文仿宋" w:hAnsi="华文仿宋" w:eastAsia="华文仿宋" w:cs="宋体"/>
          <w:kern w:val="0"/>
          <w:u w:color="000000"/>
          <w:lang w:eastAsia="zh-CN"/>
        </w:rPr>
        <w:t>云安区财政局</w:t>
      </w:r>
      <w:r>
        <w:rPr>
          <w:rFonts w:hint="eastAsia" w:ascii="华文仿宋" w:hAnsi="华文仿宋" w:eastAsia="华文仿宋" w:cs="宋体"/>
          <w:kern w:val="0"/>
          <w:u w:color="000000"/>
        </w:rPr>
        <w:t>的委托，本所指派陈苏律师、张仕琳律师作为“</w:t>
      </w:r>
      <w:r>
        <w:rPr>
          <w:rFonts w:hint="eastAsia" w:ascii="华文仿宋" w:hAnsi="华文仿宋" w:eastAsia="华文仿宋" w:cs="宋体"/>
          <w:kern w:val="0"/>
          <w:u w:color="000000"/>
          <w:lang w:eastAsia="zh-CN"/>
        </w:rPr>
        <w:t>云安区省级现代农业产业园基础设施配套项目</w:t>
      </w:r>
      <w:r>
        <w:rPr>
          <w:rFonts w:hint="eastAsia" w:ascii="华文仿宋" w:hAnsi="华文仿宋" w:eastAsia="华文仿宋" w:cs="宋体"/>
          <w:bCs/>
          <w:kern w:val="0"/>
          <w:u w:color="000000"/>
          <w:lang w:val="zh-TW"/>
        </w:rPr>
        <w:t>”政府专项债券</w:t>
      </w:r>
      <w:r>
        <w:rPr>
          <w:rFonts w:hint="eastAsia" w:ascii="华文仿宋" w:hAnsi="华文仿宋" w:eastAsia="华文仿宋" w:cs="宋体"/>
          <w:kern w:val="0"/>
          <w:u w:color="000000"/>
        </w:rPr>
        <w:t>发行事项的专项法律顾问，对本期债券发行出具本法律意见书。</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本所根据《国务院关于加强地方政府性债务管理的意见》（以下简称“《国发〔2014〕</w:t>
      </w:r>
      <w:r>
        <w:rPr>
          <w:rFonts w:ascii="华文仿宋" w:hAnsi="华文仿宋" w:eastAsia="华文仿宋" w:cs="宋体"/>
          <w:kern w:val="0"/>
          <w:u w:color="000000"/>
        </w:rPr>
        <w:t>43</w:t>
      </w:r>
      <w:r>
        <w:rPr>
          <w:rFonts w:hint="eastAsia" w:ascii="华文仿宋" w:hAnsi="华文仿宋" w:eastAsia="华文仿宋" w:cs="宋体"/>
          <w:kern w:val="0"/>
          <w:u w:color="000000"/>
        </w:rPr>
        <w:t>号文》”）、《关于试点发展项目收益与融资自求平衡的地方政府专项债券品种的通知》（以下简称“《财预〔</w:t>
      </w:r>
      <w:r>
        <w:rPr>
          <w:rFonts w:ascii="华文仿宋" w:hAnsi="华文仿宋" w:eastAsia="华文仿宋" w:cs="宋体"/>
          <w:kern w:val="0"/>
          <w:u w:color="000000"/>
        </w:rPr>
        <w:t>2017</w:t>
      </w:r>
      <w:r>
        <w:rPr>
          <w:rFonts w:hint="eastAsia" w:ascii="华文仿宋" w:hAnsi="华文仿宋" w:eastAsia="华文仿宋" w:cs="宋体"/>
          <w:kern w:val="0"/>
          <w:u w:color="000000"/>
        </w:rPr>
        <w:t>〕</w:t>
      </w:r>
      <w:r>
        <w:rPr>
          <w:rFonts w:ascii="华文仿宋" w:hAnsi="华文仿宋" w:eastAsia="华文仿宋" w:cs="宋体"/>
          <w:kern w:val="0"/>
          <w:u w:color="000000"/>
        </w:rPr>
        <w:t>89</w:t>
      </w:r>
      <w:r>
        <w:rPr>
          <w:rFonts w:hint="eastAsia" w:ascii="华文仿宋" w:hAnsi="华文仿宋" w:eastAsia="华文仿宋" w:cs="宋体"/>
          <w:kern w:val="0"/>
          <w:u w:color="000000"/>
        </w:rPr>
        <w:t>号文》”）、《关于印发&lt;地方政府专项债务预算管理办法&gt;的通知》（以下简称“《财预〔</w:t>
      </w:r>
      <w:r>
        <w:rPr>
          <w:rFonts w:ascii="华文仿宋" w:hAnsi="华文仿宋" w:eastAsia="华文仿宋" w:cs="宋体"/>
          <w:kern w:val="0"/>
          <w:u w:color="000000"/>
        </w:rPr>
        <w:t>2016</w:t>
      </w:r>
      <w:r>
        <w:rPr>
          <w:rFonts w:hint="eastAsia" w:ascii="华文仿宋" w:hAnsi="华文仿宋" w:eastAsia="华文仿宋" w:cs="宋体"/>
          <w:kern w:val="0"/>
          <w:u w:color="000000"/>
        </w:rPr>
        <w:t>〕</w:t>
      </w:r>
      <w:r>
        <w:rPr>
          <w:rFonts w:ascii="华文仿宋" w:hAnsi="华文仿宋" w:eastAsia="华文仿宋" w:cs="宋体"/>
          <w:kern w:val="0"/>
          <w:u w:color="000000"/>
        </w:rPr>
        <w:t>155</w:t>
      </w:r>
      <w:r>
        <w:rPr>
          <w:rFonts w:hint="eastAsia" w:ascii="华文仿宋" w:hAnsi="华文仿宋" w:eastAsia="华文仿宋" w:cs="宋体"/>
          <w:kern w:val="0"/>
          <w:u w:color="000000"/>
        </w:rPr>
        <w:t>号文》”）、《关于对地方政府债务实行限额管理的实施意见》（以下简称“《财预〔</w:t>
      </w:r>
      <w:r>
        <w:rPr>
          <w:rFonts w:ascii="华文仿宋" w:hAnsi="华文仿宋" w:eastAsia="华文仿宋" w:cs="宋体"/>
          <w:kern w:val="0"/>
          <w:u w:color="000000"/>
        </w:rPr>
        <w:t>2015</w:t>
      </w:r>
      <w:r>
        <w:rPr>
          <w:rFonts w:hint="eastAsia" w:ascii="华文仿宋" w:hAnsi="华文仿宋" w:eastAsia="华文仿宋" w:cs="宋体"/>
          <w:kern w:val="0"/>
          <w:u w:color="000000"/>
        </w:rPr>
        <w:t>〕</w:t>
      </w:r>
      <w:r>
        <w:rPr>
          <w:rFonts w:ascii="华文仿宋" w:hAnsi="华文仿宋" w:eastAsia="华文仿宋" w:cs="宋体"/>
          <w:kern w:val="0"/>
          <w:u w:color="000000"/>
        </w:rPr>
        <w:t>225</w:t>
      </w:r>
      <w:r>
        <w:rPr>
          <w:rFonts w:hint="eastAsia" w:ascii="华文仿宋" w:hAnsi="华文仿宋" w:eastAsia="华文仿宋" w:cs="宋体"/>
          <w:kern w:val="0"/>
          <w:u w:color="000000"/>
        </w:rPr>
        <w:t>号文》”）、</w:t>
      </w:r>
      <w:r>
        <w:rPr>
          <w:rFonts w:hint="eastAsia" w:ascii="华文仿宋" w:hAnsi="华文仿宋" w:eastAsia="华文仿宋"/>
        </w:rPr>
        <w:t>《财政部关于做好2018年地方政府债务管理工作的通知》（以下简称“《</w:t>
      </w:r>
      <w:r>
        <w:rPr>
          <w:rFonts w:hint="eastAsia" w:ascii="华文仿宋" w:hAnsi="华文仿宋" w:eastAsia="华文仿宋" w:cs="宋体"/>
          <w:kern w:val="0"/>
          <w:u w:color="000000"/>
        </w:rPr>
        <w:t>财预〔2018〕34号</w:t>
      </w:r>
      <w:r>
        <w:rPr>
          <w:rFonts w:hint="eastAsia" w:ascii="华文仿宋" w:hAnsi="华文仿宋" w:eastAsia="华文仿宋"/>
        </w:rPr>
        <w:t>》</w:t>
      </w:r>
      <w:r>
        <w:rPr>
          <w:rFonts w:hint="eastAsia" w:ascii="华文仿宋" w:hAnsi="华文仿宋" w:eastAsia="华文仿宋" w:cs="宋体"/>
          <w:kern w:val="0"/>
          <w:u w:color="000000"/>
        </w:rPr>
        <w:t>”）、《关于做好地方政府专项债券发行及项目配套融资工作的通知》（以下简称“《厅字〔</w:t>
      </w:r>
      <w:r>
        <w:rPr>
          <w:rFonts w:ascii="华文仿宋" w:hAnsi="华文仿宋" w:eastAsia="华文仿宋" w:cs="宋体"/>
          <w:kern w:val="0"/>
          <w:u w:color="000000"/>
        </w:rPr>
        <w:t>2019</w:t>
      </w:r>
      <w:r>
        <w:rPr>
          <w:rFonts w:hint="eastAsia" w:ascii="华文仿宋" w:hAnsi="华文仿宋" w:eastAsia="华文仿宋" w:cs="宋体"/>
          <w:kern w:val="0"/>
          <w:u w:color="000000"/>
        </w:rPr>
        <w:t>〕</w:t>
      </w:r>
      <w:r>
        <w:rPr>
          <w:rFonts w:ascii="华文仿宋" w:hAnsi="华文仿宋" w:eastAsia="华文仿宋" w:cs="宋体"/>
          <w:kern w:val="0"/>
          <w:u w:color="000000"/>
        </w:rPr>
        <w:t>33</w:t>
      </w:r>
      <w:r>
        <w:rPr>
          <w:rFonts w:hint="eastAsia" w:ascii="华文仿宋" w:hAnsi="华文仿宋" w:eastAsia="华文仿宋" w:cs="宋体"/>
          <w:kern w:val="0"/>
          <w:u w:color="000000"/>
        </w:rPr>
        <w:t>号》”）</w:t>
      </w:r>
      <w:bookmarkStart w:id="0" w:name="_Hlk59721951"/>
      <w:r>
        <w:rPr>
          <w:rFonts w:hint="eastAsia" w:ascii="华文仿宋" w:hAnsi="华文仿宋" w:eastAsia="华文仿宋" w:cs="宋体"/>
          <w:color w:val="000000"/>
          <w:kern w:val="0"/>
          <w:u w:color="000000"/>
        </w:rPr>
        <w:t>、《地方政府债券发行管理办法》（以下简称“《财库〔2020〕43号文》”）</w:t>
      </w:r>
      <w:bookmarkEnd w:id="0"/>
      <w:r>
        <w:rPr>
          <w:rFonts w:hint="eastAsia" w:ascii="华文仿宋" w:hAnsi="华文仿宋" w:eastAsia="华文仿宋" w:cs="宋体"/>
          <w:kern w:val="0"/>
          <w:u w:color="000000"/>
        </w:rPr>
        <w:t>等有关法律、法规、地方政府规章以及政策文件规定出具本法律意见书。</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kern w:val="0"/>
          <w:u w:color="000000"/>
        </w:rPr>
      </w:pPr>
    </w:p>
    <w:p>
      <w:pPr>
        <w:pStyle w:val="3"/>
        <w:spacing w:line="240" w:lineRule="auto"/>
        <w:jc w:val="center"/>
        <w:rPr>
          <w:rFonts w:ascii="华文仿宋" w:hAnsi="华文仿宋" w:eastAsia="华文仿宋"/>
          <w:sz w:val="36"/>
          <w:szCs w:val="36"/>
          <w:lang w:val="zh-TW"/>
        </w:rPr>
      </w:pPr>
      <w:bookmarkStart w:id="1" w:name="_Toc340924798"/>
      <w:bookmarkStart w:id="2" w:name="_Toc340692990"/>
      <w:bookmarkStart w:id="3" w:name="_Toc47346119"/>
      <w:bookmarkStart w:id="4" w:name="_Toc20605497"/>
      <w:r>
        <w:rPr>
          <w:rFonts w:hint="eastAsia" w:ascii="华文仿宋" w:hAnsi="华文仿宋" w:eastAsia="华文仿宋"/>
          <w:sz w:val="36"/>
          <w:szCs w:val="36"/>
          <w:lang w:val="zh-TW"/>
        </w:rPr>
        <w:t>第一部分</w:t>
      </w:r>
      <w:r>
        <w:rPr>
          <w:rFonts w:ascii="华文仿宋" w:hAnsi="华文仿宋" w:eastAsia="华文仿宋"/>
          <w:sz w:val="36"/>
          <w:szCs w:val="36"/>
          <w:lang w:val="zh-TW"/>
        </w:rPr>
        <w:t xml:space="preserve">  </w:t>
      </w:r>
      <w:r>
        <w:rPr>
          <w:rFonts w:hint="eastAsia" w:ascii="华文仿宋" w:hAnsi="华文仿宋" w:eastAsia="华文仿宋"/>
          <w:sz w:val="36"/>
          <w:szCs w:val="36"/>
          <w:lang w:val="zh-TW"/>
        </w:rPr>
        <w:t>引言</w:t>
      </w:r>
      <w:bookmarkEnd w:id="1"/>
      <w:bookmarkEnd w:id="2"/>
      <w:bookmarkEnd w:id="3"/>
      <w:bookmarkEnd w:id="4"/>
    </w:p>
    <w:p>
      <w:pPr>
        <w:pStyle w:val="4"/>
        <w:spacing w:line="240" w:lineRule="auto"/>
        <w:ind w:firstLine="480" w:firstLineChars="200"/>
        <w:rPr>
          <w:rFonts w:ascii="华文仿宋" w:hAnsi="华文仿宋" w:eastAsia="华文仿宋"/>
          <w:sz w:val="24"/>
          <w:szCs w:val="24"/>
          <w:lang w:val="zh-TW"/>
        </w:rPr>
      </w:pPr>
      <w:bookmarkStart w:id="5" w:name="_Toc47346120"/>
      <w:bookmarkStart w:id="6" w:name="_Toc340924799"/>
      <w:bookmarkStart w:id="7" w:name="_Toc20605498"/>
      <w:bookmarkStart w:id="8" w:name="_Toc340692991"/>
      <w:r>
        <w:rPr>
          <w:rFonts w:hint="eastAsia" w:ascii="华文仿宋" w:hAnsi="华文仿宋" w:eastAsia="华文仿宋"/>
          <w:sz w:val="24"/>
          <w:szCs w:val="24"/>
          <w:lang w:val="zh-TW"/>
        </w:rPr>
        <w:t>一、释义</w:t>
      </w:r>
      <w:bookmarkEnd w:id="5"/>
      <w:bookmarkEnd w:id="6"/>
      <w:bookmarkEnd w:id="7"/>
      <w:bookmarkEnd w:id="8"/>
    </w:p>
    <w:p>
      <w:pPr>
        <w:spacing w:line="360" w:lineRule="auto"/>
        <w:ind w:firstLine="480"/>
        <w:rPr>
          <w:rFonts w:ascii="华文仿宋" w:hAnsi="华文仿宋" w:eastAsia="华文仿宋"/>
          <w:lang w:val="zh-TW"/>
        </w:rPr>
      </w:pPr>
      <w:r>
        <w:rPr>
          <w:rFonts w:hint="eastAsia" w:ascii="华文仿宋" w:hAnsi="华文仿宋" w:eastAsia="华文仿宋"/>
          <w:lang w:val="zh-TW"/>
        </w:rPr>
        <w:t>在本法律意见书中，除另有明确表述或上下文另有定义，下列各项用语具有如下特定的含义：</w:t>
      </w:r>
    </w:p>
    <w:tbl>
      <w:tblPr>
        <w:tblStyle w:val="18"/>
        <w:tblW w:w="9004" w:type="dxa"/>
        <w:jc w:val="center"/>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4F81BD"/>
        <w:tblLayout w:type="fixed"/>
        <w:tblCellMar>
          <w:top w:w="0" w:type="dxa"/>
          <w:left w:w="0" w:type="dxa"/>
          <w:bottom w:w="0" w:type="dxa"/>
          <w:right w:w="0" w:type="dxa"/>
        </w:tblCellMar>
      </w:tblPr>
      <w:tblGrid>
        <w:gridCol w:w="3215"/>
        <w:gridCol w:w="5789"/>
      </w:tblGrid>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4F81BD"/>
          <w:tblCellMar>
            <w:top w:w="0" w:type="dxa"/>
            <w:left w:w="0" w:type="dxa"/>
            <w:bottom w:w="0" w:type="dxa"/>
            <w:right w:w="0" w:type="dxa"/>
          </w:tblCellMar>
        </w:tblPrEx>
        <w:trPr>
          <w:trHeight w:val="505" w:hRule="atLeast"/>
          <w:tblHeader/>
          <w:jc w:val="center"/>
        </w:trPr>
        <w:tc>
          <w:tcPr>
            <w:tcW w:w="3215" w:type="dxa"/>
            <w:shd w:val="clear" w:color="auto" w:fill="D8D8D8" w:themeFill="background1" w:themeFillShade="D9"/>
            <w:tcMar>
              <w:top w:w="80" w:type="dxa"/>
              <w:left w:w="80" w:type="dxa"/>
              <w:bottom w:w="80" w:type="dxa"/>
              <w:right w:w="80" w:type="dxa"/>
            </w:tcMar>
            <w:vAlign w:val="center"/>
          </w:tcPr>
          <w:p>
            <w:pPr>
              <w:widowControl/>
              <w:shd w:val="clear" w:color="auto" w:fill="D8D8D8" w:themeFill="background1" w:themeFillShade="D9"/>
              <w:spacing w:line="276" w:lineRule="auto"/>
              <w:jc w:val="center"/>
              <w:rPr>
                <w:rFonts w:ascii="华文仿宋" w:hAnsi="华文仿宋" w:eastAsia="华文仿宋" w:cs="Times New Roman"/>
                <w:b/>
                <w:kern w:val="0"/>
                <w:sz w:val="21"/>
                <w:szCs w:val="21"/>
              </w:rPr>
            </w:pPr>
            <w:r>
              <w:rPr>
                <w:rFonts w:hint="eastAsia" w:ascii="华文仿宋" w:hAnsi="华文仿宋" w:eastAsia="华文仿宋" w:cs="Times New Roman"/>
                <w:b/>
                <w:kern w:val="0"/>
                <w:sz w:val="21"/>
                <w:szCs w:val="21"/>
                <w:lang w:val="zh-TW" w:eastAsia="zh-TW"/>
              </w:rPr>
              <w:t>简称</w:t>
            </w:r>
          </w:p>
        </w:tc>
        <w:tc>
          <w:tcPr>
            <w:tcW w:w="5789" w:type="dxa"/>
            <w:shd w:val="clear" w:color="auto" w:fill="D8D8D8" w:themeFill="background1" w:themeFillShade="D9"/>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b/>
                <w:kern w:val="0"/>
                <w:sz w:val="21"/>
                <w:szCs w:val="21"/>
              </w:rPr>
            </w:pPr>
            <w:r>
              <w:rPr>
                <w:rFonts w:hint="eastAsia" w:ascii="华文仿宋" w:hAnsi="华文仿宋" w:eastAsia="华文仿宋" w:cs="Times New Roman"/>
                <w:b/>
                <w:kern w:val="0"/>
                <w:sz w:val="21"/>
                <w:szCs w:val="21"/>
                <w:lang w:val="zh-TW" w:eastAsia="zh-TW"/>
              </w:rPr>
              <w:t>定义</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594"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2</w:t>
            </w:r>
            <w:r>
              <w:rPr>
                <w:rFonts w:hint="eastAsia" w:ascii="华文仿宋" w:hAnsi="华文仿宋" w:eastAsia="华文仿宋" w:cs="Times New Roman"/>
                <w:kern w:val="0"/>
                <w:sz w:val="21"/>
                <w:szCs w:val="21"/>
                <w:lang w:val="zh-TW" w:eastAsia="zh-TW"/>
              </w:rPr>
              <w:t>02</w:t>
            </w:r>
            <w:r>
              <w:rPr>
                <w:rFonts w:hint="eastAsia" w:ascii="华文仿宋" w:hAnsi="华文仿宋" w:eastAsia="宋体" w:cs="Times New Roman"/>
                <w:kern w:val="0"/>
                <w:sz w:val="21"/>
                <w:szCs w:val="21"/>
                <w:lang w:val="en-US" w:eastAsia="zh-CN"/>
              </w:rPr>
              <w:t>4</w:t>
            </w:r>
            <w:r>
              <w:rPr>
                <w:rFonts w:hint="eastAsia" w:ascii="华文仿宋" w:hAnsi="华文仿宋" w:eastAsia="华文仿宋" w:cs="Times New Roman"/>
                <w:kern w:val="0"/>
                <w:sz w:val="21"/>
                <w:szCs w:val="21"/>
                <w:lang w:val="zh-TW" w:eastAsia="zh-TW"/>
              </w:rPr>
              <w:t>年债券计划发行金额</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人民币</w:t>
            </w:r>
            <w:r>
              <w:rPr>
                <w:rFonts w:hint="eastAsia" w:ascii="华文仿宋" w:hAnsi="华文仿宋" w:eastAsia="华文仿宋" w:cs="Times New Roman"/>
                <w:kern w:val="0"/>
                <w:sz w:val="21"/>
                <w:szCs w:val="21"/>
                <w:lang w:val="en-US" w:eastAsia="zh-CN"/>
              </w:rPr>
              <w:t>20,000.00</w:t>
            </w:r>
            <w:r>
              <w:rPr>
                <w:rFonts w:hint="eastAsia" w:ascii="华文仿宋" w:hAnsi="华文仿宋" w:eastAsia="华文仿宋" w:cs="Times New Roman"/>
                <w:kern w:val="0"/>
                <w:sz w:val="21"/>
                <w:szCs w:val="21"/>
                <w:lang w:val="zh-TW"/>
              </w:rPr>
              <w:t>万元</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专项评价机构</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kern w:val="0"/>
                <w:sz w:val="21"/>
                <w:szCs w:val="21"/>
                <w:lang w:val="zh-TW"/>
              </w:rPr>
              <w:t>深圳市恒昇会计师事务所（普通合伙）</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《公司法》</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《中华人民共和国公司法》</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《预算法》</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《中华人民共和国预算法》</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eastAsia="zh-TW"/>
              </w:rPr>
            </w:pPr>
            <w:r>
              <w:rPr>
                <w:rFonts w:hint="eastAsia" w:ascii="华文仿宋" w:hAnsi="华文仿宋" w:eastAsia="华文仿宋" w:cs="Times New Roman"/>
                <w:kern w:val="0"/>
                <w:sz w:val="21"/>
                <w:szCs w:val="21"/>
                <w:lang w:val="zh-TW" w:eastAsia="zh-TW"/>
              </w:rPr>
              <w:t>《国发</w:t>
            </w:r>
            <w:r>
              <w:rPr>
                <w:rFonts w:hint="eastAsia" w:ascii="华文仿宋" w:hAnsi="华文仿宋" w:eastAsia="华文仿宋" w:cs="Times New Roman"/>
                <w:kern w:val="0"/>
                <w:sz w:val="21"/>
                <w:szCs w:val="21"/>
                <w:lang w:val="zh-TW"/>
              </w:rPr>
              <w:t>〔</w:t>
            </w:r>
            <w:r>
              <w:rPr>
                <w:rFonts w:hint="eastAsia" w:ascii="华文仿宋" w:hAnsi="华文仿宋" w:eastAsia="华文仿宋" w:cs="Times New Roman"/>
                <w:kern w:val="0"/>
                <w:sz w:val="21"/>
                <w:szCs w:val="21"/>
                <w:lang w:val="zh-TW" w:eastAsia="zh-TW"/>
              </w:rPr>
              <w:t>2014</w:t>
            </w:r>
            <w:r>
              <w:rPr>
                <w:rFonts w:hint="eastAsia" w:ascii="华文仿宋" w:hAnsi="华文仿宋" w:eastAsia="华文仿宋" w:cs="Times New Roman"/>
                <w:kern w:val="0"/>
                <w:sz w:val="21"/>
                <w:szCs w:val="21"/>
                <w:lang w:val="zh-TW"/>
              </w:rPr>
              <w:t>〕</w:t>
            </w:r>
            <w:r>
              <w:rPr>
                <w:rFonts w:hint="eastAsia" w:ascii="华文仿宋" w:hAnsi="华文仿宋" w:eastAsia="华文仿宋" w:cs="Times New Roman"/>
                <w:kern w:val="0"/>
                <w:sz w:val="21"/>
                <w:szCs w:val="21"/>
                <w:lang w:val="zh-TW" w:eastAsia="zh-TW"/>
              </w:rPr>
              <w:t>43号文》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rPr>
              <w:t>《国务院关于加强地方政府性债务管理的意见》</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《财预〔2017〕89号文》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rPr>
              <w:t>《关于试点发展项目收益与融资自求平衡的地方政府专项债券品种的通知》</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《财预〔2015〕225号文》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《关于对地方政府债务实行限额管理的实施意见》</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《厅字〔</w:t>
            </w:r>
            <w:r>
              <w:rPr>
                <w:rFonts w:ascii="华文仿宋" w:hAnsi="华文仿宋" w:eastAsia="华文仿宋" w:cs="Times New Roman"/>
                <w:kern w:val="0"/>
                <w:sz w:val="21"/>
                <w:szCs w:val="21"/>
                <w:lang w:val="zh-TW" w:eastAsia="zh-TW"/>
              </w:rPr>
              <w:t>2019</w:t>
            </w:r>
            <w:r>
              <w:rPr>
                <w:rFonts w:hint="eastAsia" w:ascii="华文仿宋" w:hAnsi="华文仿宋" w:eastAsia="华文仿宋" w:cs="Times New Roman"/>
                <w:kern w:val="0"/>
                <w:sz w:val="21"/>
                <w:szCs w:val="21"/>
                <w:lang w:val="zh-TW"/>
              </w:rPr>
              <w:t>〕</w:t>
            </w:r>
            <w:r>
              <w:rPr>
                <w:rFonts w:ascii="华文仿宋" w:hAnsi="华文仿宋" w:eastAsia="华文仿宋" w:cs="Times New Roman"/>
                <w:kern w:val="0"/>
                <w:sz w:val="21"/>
                <w:szCs w:val="21"/>
                <w:lang w:val="zh-TW" w:eastAsia="zh-TW"/>
              </w:rPr>
              <w:t>33</w:t>
            </w:r>
            <w:r>
              <w:rPr>
                <w:rFonts w:hint="eastAsia" w:ascii="华文仿宋" w:hAnsi="华文仿宋" w:eastAsia="华文仿宋" w:cs="Times New Roman"/>
                <w:kern w:val="0"/>
                <w:sz w:val="21"/>
                <w:szCs w:val="21"/>
                <w:lang w:val="zh-TW" w:eastAsia="zh-TW"/>
              </w:rPr>
              <w:t>号文</w:t>
            </w:r>
            <w:r>
              <w:rPr>
                <w:rFonts w:hint="eastAsia" w:ascii="华文仿宋" w:hAnsi="华文仿宋" w:eastAsia="华文仿宋" w:cs="Times New Roman"/>
                <w:kern w:val="0"/>
                <w:sz w:val="21"/>
                <w:szCs w:val="21"/>
                <w:lang w:val="zh-TW"/>
              </w:rPr>
              <w:t>》</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rPr>
              <w:t>《关于做好地方政府专项债券发行及项目配套融资工作的通知》</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kern w:val="0"/>
                <w:sz w:val="21"/>
                <w:szCs w:val="21"/>
                <w:lang w:val="zh-TW"/>
              </w:rPr>
              <w:t>《财库〔</w:t>
            </w:r>
            <w:r>
              <w:rPr>
                <w:rFonts w:ascii="华文仿宋" w:hAnsi="华文仿宋" w:eastAsia="华文仿宋"/>
                <w:kern w:val="0"/>
                <w:sz w:val="21"/>
                <w:szCs w:val="21"/>
                <w:lang w:val="zh-TW" w:eastAsia="zh-TW"/>
              </w:rPr>
              <w:t>20</w:t>
            </w:r>
            <w:r>
              <w:rPr>
                <w:rFonts w:ascii="华文仿宋" w:hAnsi="华文仿宋" w:eastAsia="PMingLiU"/>
                <w:kern w:val="0"/>
                <w:sz w:val="21"/>
                <w:szCs w:val="21"/>
                <w:lang w:val="zh-TW" w:eastAsia="zh-TW"/>
              </w:rPr>
              <w:t>20</w:t>
            </w:r>
            <w:r>
              <w:rPr>
                <w:rFonts w:hint="eastAsia" w:ascii="华文仿宋" w:hAnsi="华文仿宋" w:eastAsia="华文仿宋"/>
                <w:kern w:val="0"/>
                <w:sz w:val="21"/>
                <w:szCs w:val="21"/>
                <w:lang w:val="zh-TW"/>
              </w:rPr>
              <w:t>〕43号文》</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kern w:val="0"/>
                <w:sz w:val="21"/>
                <w:szCs w:val="21"/>
              </w:rPr>
              <w:t>《地方政府债券发行管理办法》</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1084"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《法律意见书》</w:t>
            </w:r>
          </w:p>
        </w:tc>
        <w:tc>
          <w:tcPr>
            <w:tcW w:w="5789" w:type="dxa"/>
            <w:shd w:val="clear" w:color="auto" w:fill="FFFFFF"/>
            <w:tcMar>
              <w:top w:w="80" w:type="dxa"/>
              <w:left w:w="80" w:type="dxa"/>
              <w:bottom w:w="80" w:type="dxa"/>
              <w:right w:w="80" w:type="dxa"/>
            </w:tcMar>
            <w:vAlign w:val="center"/>
          </w:tcPr>
          <w:p>
            <w:pPr>
              <w:widowControl/>
              <w:spacing w:line="276" w:lineRule="auto"/>
              <w:jc w:val="left"/>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广东金桥百信律师事务所出具的《广东金桥百信律师事务所关于</w:t>
            </w:r>
            <w:r>
              <w:rPr>
                <w:rFonts w:hint="eastAsia" w:ascii="华文仿宋" w:hAnsi="华文仿宋" w:eastAsia="华文仿宋" w:cs="宋体"/>
                <w:kern w:val="0"/>
                <w:sz w:val="21"/>
                <w:szCs w:val="21"/>
                <w:u w:color="000000"/>
                <w:lang w:eastAsia="zh-CN"/>
              </w:rPr>
              <w:t>云安区省级现代农业产业园基础设施配套项目</w:t>
            </w:r>
            <w:r>
              <w:rPr>
                <w:rFonts w:hint="eastAsia" w:ascii="华文仿宋" w:hAnsi="华文仿宋" w:eastAsia="华文仿宋" w:cs="Times New Roman"/>
                <w:kern w:val="0"/>
                <w:sz w:val="21"/>
                <w:szCs w:val="21"/>
              </w:rPr>
              <w:t>之</w:t>
            </w:r>
            <w:r>
              <w:rPr>
                <w:rFonts w:hint="eastAsia" w:ascii="华文仿宋" w:hAnsi="华文仿宋" w:eastAsia="华文仿宋" w:cs="Times New Roman"/>
                <w:kern w:val="0"/>
                <w:sz w:val="21"/>
                <w:szCs w:val="21"/>
                <w:lang w:val="zh-TW"/>
              </w:rPr>
              <w:t>法律意见书》</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1084"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lang w:val="zh-TW"/>
              </w:rPr>
            </w:pPr>
            <w:r>
              <w:rPr>
                <w:rFonts w:hint="eastAsia" w:ascii="华文仿宋" w:hAnsi="华文仿宋" w:eastAsia="华文仿宋" w:cs="Times New Roman"/>
                <w:kern w:val="0"/>
                <w:sz w:val="21"/>
                <w:szCs w:val="21"/>
                <w:lang w:val="zh-TW"/>
              </w:rPr>
              <w:t>《专项评价报告》</w:t>
            </w:r>
          </w:p>
        </w:tc>
        <w:tc>
          <w:tcPr>
            <w:tcW w:w="5789" w:type="dxa"/>
            <w:shd w:val="clear" w:color="auto" w:fill="FFFFFF"/>
            <w:tcMar>
              <w:top w:w="80" w:type="dxa"/>
              <w:left w:w="80" w:type="dxa"/>
              <w:bottom w:w="80" w:type="dxa"/>
              <w:right w:w="80" w:type="dxa"/>
            </w:tcMar>
            <w:vAlign w:val="center"/>
          </w:tcPr>
          <w:p>
            <w:pPr>
              <w:widowControl/>
              <w:spacing w:line="276" w:lineRule="auto"/>
              <w:jc w:val="left"/>
              <w:rPr>
                <w:rFonts w:ascii="华文仿宋" w:hAnsi="华文仿宋" w:eastAsia="华文仿宋" w:cs="Times New Roman"/>
                <w:kern w:val="0"/>
                <w:sz w:val="21"/>
                <w:szCs w:val="21"/>
                <w:lang w:val="zh-TW"/>
              </w:rPr>
            </w:pPr>
            <w:r>
              <w:rPr>
                <w:rFonts w:hint="eastAsia" w:ascii="华文仿宋" w:hAnsi="华文仿宋" w:eastAsia="华文仿宋"/>
                <w:kern w:val="0"/>
                <w:sz w:val="21"/>
                <w:szCs w:val="21"/>
                <w:lang w:val="zh-TW"/>
              </w:rPr>
              <w:t>深圳市恒昇会计师事务所（普通合伙）</w:t>
            </w:r>
            <w:r>
              <w:rPr>
                <w:rFonts w:hint="eastAsia" w:ascii="华文仿宋" w:hAnsi="华文仿宋" w:eastAsia="华文仿宋" w:cs="Times New Roman"/>
                <w:kern w:val="0"/>
                <w:sz w:val="21"/>
                <w:szCs w:val="21"/>
                <w:lang w:val="zh-TW"/>
              </w:rPr>
              <w:t>出具的</w:t>
            </w:r>
            <w:r>
              <w:rPr>
                <w:rFonts w:hint="eastAsia" w:ascii="华文仿宋" w:hAnsi="华文仿宋" w:eastAsia="华文仿宋"/>
                <w:kern w:val="0"/>
                <w:sz w:val="21"/>
                <w:szCs w:val="21"/>
                <w:lang w:val="zh-TW"/>
              </w:rPr>
              <w:t>深圳市恒昇会计师事务所（普通合伙）</w:t>
            </w:r>
            <w:r>
              <w:rPr>
                <w:rFonts w:hint="eastAsia" w:ascii="华文仿宋" w:hAnsi="华文仿宋" w:eastAsia="华文仿宋" w:cs="Times New Roman"/>
                <w:kern w:val="0"/>
                <w:sz w:val="21"/>
                <w:szCs w:val="21"/>
                <w:lang w:val="zh-TW"/>
              </w:rPr>
              <w:t>关于</w:t>
            </w:r>
            <w:r>
              <w:rPr>
                <w:rFonts w:hint="eastAsia" w:ascii="华文仿宋" w:hAnsi="华文仿宋" w:eastAsia="华文仿宋" w:cs="宋体"/>
                <w:kern w:val="0"/>
                <w:sz w:val="21"/>
                <w:szCs w:val="21"/>
                <w:u w:color="000000"/>
                <w:lang w:eastAsia="zh-CN"/>
              </w:rPr>
              <w:t>云安区省级现代农业产业园基础设施配套项目</w:t>
            </w:r>
            <w:r>
              <w:rPr>
                <w:rFonts w:hint="eastAsia" w:ascii="华文仿宋" w:hAnsi="华文仿宋" w:eastAsia="华文仿宋" w:cs="Times New Roman"/>
                <w:kern w:val="0"/>
                <w:sz w:val="21"/>
                <w:szCs w:val="21"/>
                <w:lang w:val="zh-TW"/>
              </w:rPr>
              <w:t>收益与融资自求平衡测算评价报告》</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0"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本所</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rPr>
              <w:t>广东金桥百信律师事务所</w:t>
            </w:r>
          </w:p>
        </w:tc>
      </w:tr>
      <w:tr>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shd w:val="clear" w:color="auto" w:fill="CED7E7"/>
          <w:tblCellMar>
            <w:top w:w="0" w:type="dxa"/>
            <w:left w:w="0" w:type="dxa"/>
            <w:bottom w:w="0" w:type="dxa"/>
            <w:right w:w="0" w:type="dxa"/>
          </w:tblCellMar>
        </w:tblPrEx>
        <w:trPr>
          <w:trHeight w:val="445" w:hRule="atLeast"/>
          <w:jc w:val="center"/>
        </w:trPr>
        <w:tc>
          <w:tcPr>
            <w:tcW w:w="3215"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元</w:t>
            </w:r>
          </w:p>
        </w:tc>
        <w:tc>
          <w:tcPr>
            <w:tcW w:w="5789" w:type="dxa"/>
            <w:shd w:val="clear" w:color="auto" w:fill="FFFFFF"/>
            <w:tcMar>
              <w:top w:w="80" w:type="dxa"/>
              <w:left w:w="80" w:type="dxa"/>
              <w:bottom w:w="80" w:type="dxa"/>
              <w:right w:w="80" w:type="dxa"/>
            </w:tcMar>
            <w:vAlign w:val="center"/>
          </w:tcPr>
          <w:p>
            <w:pPr>
              <w:widowControl/>
              <w:spacing w:line="276" w:lineRule="auto"/>
              <w:jc w:val="center"/>
              <w:rPr>
                <w:rFonts w:ascii="华文仿宋" w:hAnsi="华文仿宋" w:eastAsia="华文仿宋" w:cs="Times New Roman"/>
                <w:kern w:val="0"/>
                <w:sz w:val="21"/>
                <w:szCs w:val="21"/>
              </w:rPr>
            </w:pPr>
            <w:r>
              <w:rPr>
                <w:rFonts w:hint="eastAsia" w:ascii="华文仿宋" w:hAnsi="华文仿宋" w:eastAsia="华文仿宋" w:cs="Times New Roman"/>
                <w:kern w:val="0"/>
                <w:sz w:val="21"/>
                <w:szCs w:val="21"/>
                <w:lang w:val="zh-TW" w:eastAsia="zh-TW"/>
              </w:rPr>
              <w:t>人民币元</w:t>
            </w:r>
          </w:p>
        </w:tc>
      </w:tr>
    </w:tbl>
    <w:p>
      <w:pPr>
        <w:spacing w:line="360" w:lineRule="auto"/>
        <w:rPr>
          <w:rFonts w:ascii="华文仿宋" w:hAnsi="华文仿宋" w:eastAsia="华文仿宋"/>
        </w:rPr>
      </w:pPr>
    </w:p>
    <w:p>
      <w:pPr>
        <w:pStyle w:val="3"/>
        <w:rPr>
          <w:rFonts w:ascii="华文仿宋" w:hAnsi="华文仿宋" w:eastAsia="华文仿宋"/>
          <w:sz w:val="24"/>
          <w:szCs w:val="24"/>
          <w:lang w:val="zh-TW"/>
        </w:rPr>
      </w:pPr>
      <w:bookmarkStart w:id="9" w:name="_Toc340692992"/>
      <w:r>
        <w:rPr>
          <w:rFonts w:hint="eastAsia" w:ascii="华文仿宋" w:hAnsi="华文仿宋" w:eastAsia="华文仿宋"/>
          <w:lang w:val="zh-TW"/>
        </w:rPr>
        <w:t xml:space="preserve">   </w:t>
      </w:r>
      <w:r>
        <w:rPr>
          <w:rFonts w:hint="eastAsia" w:ascii="华文仿宋" w:hAnsi="华文仿宋" w:eastAsia="华文仿宋"/>
          <w:sz w:val="24"/>
          <w:szCs w:val="24"/>
          <w:lang w:val="zh-TW"/>
        </w:rPr>
        <w:t xml:space="preserve"> </w:t>
      </w:r>
      <w:bookmarkStart w:id="10" w:name="_Toc20605499"/>
      <w:bookmarkStart w:id="11" w:name="_Toc47346121"/>
      <w:bookmarkStart w:id="12" w:name="_Toc340924800"/>
      <w:r>
        <w:rPr>
          <w:rFonts w:hint="eastAsia" w:ascii="华文仿宋" w:hAnsi="华文仿宋" w:eastAsia="华文仿宋"/>
          <w:sz w:val="24"/>
          <w:szCs w:val="24"/>
          <w:lang w:val="zh-TW"/>
        </w:rPr>
        <w:t>二、律师声明事项</w:t>
      </w:r>
      <w:bookmarkEnd w:id="9"/>
      <w:bookmarkEnd w:id="10"/>
      <w:bookmarkEnd w:id="11"/>
      <w:bookmarkEnd w:id="12"/>
    </w:p>
    <w:p>
      <w:pPr>
        <w:spacing w:line="360" w:lineRule="auto"/>
        <w:ind w:firstLine="720" w:firstLineChars="300"/>
        <w:rPr>
          <w:rFonts w:ascii="华文仿宋" w:hAnsi="华文仿宋" w:eastAsia="华文仿宋"/>
          <w:lang w:val="zh-TW"/>
        </w:rPr>
      </w:pPr>
      <w:r>
        <w:rPr>
          <w:rFonts w:hint="eastAsia" w:ascii="华文仿宋" w:hAnsi="华文仿宋" w:eastAsia="华文仿宋"/>
          <w:lang w:val="zh-TW"/>
        </w:rPr>
        <w:t>本所及经办律师就为“</w:t>
      </w:r>
      <w:r>
        <w:rPr>
          <w:rFonts w:hint="eastAsia" w:ascii="华文仿宋" w:hAnsi="华文仿宋" w:eastAsia="华文仿宋" w:cs="宋体"/>
          <w:kern w:val="0"/>
          <w:u w:color="000000"/>
          <w:lang w:eastAsia="zh-CN"/>
        </w:rPr>
        <w:t>云安区省级现代农业产业园基础设施配套项目</w:t>
      </w:r>
      <w:r>
        <w:rPr>
          <w:rFonts w:hint="eastAsia" w:ascii="华文仿宋" w:hAnsi="华文仿宋" w:eastAsia="华文仿宋"/>
          <w:lang w:val="zh-TW"/>
        </w:rPr>
        <w:t>”</w:t>
      </w:r>
      <w:r>
        <w:rPr>
          <w:rFonts w:hint="eastAsia" w:ascii="华文仿宋" w:hAnsi="华文仿宋" w:eastAsia="华文仿宋" w:cs="宋体"/>
          <w:color w:val="000000"/>
          <w:kern w:val="0"/>
        </w:rPr>
        <w:t xml:space="preserve"> 政府专项债券发行事项</w:t>
      </w:r>
      <w:r>
        <w:rPr>
          <w:rFonts w:hint="eastAsia" w:ascii="华文仿宋" w:hAnsi="华文仿宋" w:eastAsia="华文仿宋"/>
          <w:lang w:val="zh-TW"/>
        </w:rPr>
        <w:t>出具法律意见书的相关事宜声明如下：</w:t>
      </w:r>
    </w:p>
    <w:p>
      <w:pPr>
        <w:spacing w:line="360" w:lineRule="auto"/>
        <w:rPr>
          <w:rFonts w:ascii="华文仿宋" w:hAnsi="华文仿宋" w:eastAsia="华文仿宋" w:cs="宋体"/>
        </w:rPr>
      </w:pPr>
      <w:r>
        <w:rPr>
          <w:rFonts w:hint="eastAsia" w:ascii="华文仿宋" w:hAnsi="华文仿宋" w:eastAsia="华文仿宋"/>
          <w:lang w:val="zh-TW"/>
        </w:rPr>
        <w:t xml:space="preserve">    （一）本所及经办律师根据《预算法》、国发〔</w:t>
      </w:r>
      <w:r>
        <w:rPr>
          <w:rFonts w:ascii="华文仿宋" w:hAnsi="华文仿宋" w:eastAsia="华文仿宋"/>
          <w:lang w:val="zh-TW"/>
        </w:rPr>
        <w:t>2014</w:t>
      </w:r>
      <w:r>
        <w:rPr>
          <w:rFonts w:hint="eastAsia" w:ascii="华文仿宋" w:hAnsi="华文仿宋" w:eastAsia="华文仿宋"/>
          <w:lang w:val="zh-TW"/>
        </w:rPr>
        <w:t>〕</w:t>
      </w:r>
      <w:r>
        <w:rPr>
          <w:rFonts w:ascii="华文仿宋" w:hAnsi="华文仿宋" w:eastAsia="华文仿宋"/>
          <w:lang w:val="zh-TW"/>
        </w:rPr>
        <w:t>43</w:t>
      </w:r>
      <w:r>
        <w:rPr>
          <w:rFonts w:hint="eastAsia" w:ascii="华文仿宋" w:hAnsi="华文仿宋" w:eastAsia="华文仿宋"/>
          <w:lang w:val="zh-TW"/>
        </w:rPr>
        <w:t>号文、财预〔</w:t>
      </w:r>
      <w:r>
        <w:rPr>
          <w:rFonts w:ascii="华文仿宋" w:hAnsi="华文仿宋" w:eastAsia="华文仿宋"/>
          <w:lang w:val="zh-TW"/>
        </w:rPr>
        <w:t>2017</w:t>
      </w:r>
      <w:r>
        <w:rPr>
          <w:rFonts w:hint="eastAsia" w:ascii="华文仿宋" w:hAnsi="华文仿宋" w:eastAsia="华文仿宋"/>
          <w:lang w:val="zh-TW"/>
        </w:rPr>
        <w:t>〕</w:t>
      </w:r>
      <w:r>
        <w:rPr>
          <w:rFonts w:ascii="华文仿宋" w:hAnsi="华文仿宋" w:eastAsia="华文仿宋"/>
          <w:lang w:val="zh-TW"/>
        </w:rPr>
        <w:t>89</w:t>
      </w:r>
      <w:r>
        <w:rPr>
          <w:rFonts w:hint="eastAsia" w:ascii="华文仿宋" w:hAnsi="华文仿宋" w:eastAsia="华文仿宋"/>
          <w:lang w:val="zh-TW"/>
        </w:rPr>
        <w:t>号文、财预〔</w:t>
      </w:r>
      <w:r>
        <w:rPr>
          <w:rFonts w:ascii="华文仿宋" w:hAnsi="华文仿宋" w:eastAsia="华文仿宋"/>
          <w:lang w:val="zh-TW"/>
        </w:rPr>
        <w:t>2015</w:t>
      </w:r>
      <w:r>
        <w:rPr>
          <w:rFonts w:hint="eastAsia" w:ascii="华文仿宋" w:hAnsi="华文仿宋" w:eastAsia="华文仿宋"/>
          <w:lang w:val="zh-TW"/>
        </w:rPr>
        <w:t>〕</w:t>
      </w:r>
      <w:r>
        <w:rPr>
          <w:rFonts w:ascii="华文仿宋" w:hAnsi="华文仿宋" w:eastAsia="华文仿宋"/>
          <w:lang w:val="zh-TW"/>
        </w:rPr>
        <w:t>2</w:t>
      </w:r>
      <w:r>
        <w:rPr>
          <w:rFonts w:hint="eastAsia" w:ascii="华文仿宋" w:hAnsi="华文仿宋" w:eastAsia="华文仿宋"/>
          <w:lang w:val="zh-TW"/>
        </w:rPr>
        <w:t>2</w:t>
      </w:r>
      <w:r>
        <w:rPr>
          <w:rFonts w:ascii="华文仿宋" w:hAnsi="华文仿宋" w:eastAsia="华文仿宋"/>
          <w:lang w:val="zh-TW"/>
        </w:rPr>
        <w:t>5</w:t>
      </w:r>
      <w:r>
        <w:rPr>
          <w:rFonts w:hint="eastAsia" w:ascii="华文仿宋" w:hAnsi="华文仿宋" w:eastAsia="华文仿宋"/>
          <w:lang w:val="zh-TW"/>
        </w:rPr>
        <w:t>号文、厅字〔2019〕33号文、</w:t>
      </w:r>
      <w:bookmarkStart w:id="13" w:name="_Hlk59722088"/>
      <w:r>
        <w:rPr>
          <w:rFonts w:hint="eastAsia" w:ascii="华文仿宋" w:hAnsi="华文仿宋" w:eastAsia="华文仿宋"/>
          <w:lang w:val="zh-TW"/>
        </w:rPr>
        <w:t>财库〔2020〕43号文</w:t>
      </w:r>
      <w:bookmarkEnd w:id="13"/>
      <w:r>
        <w:rPr>
          <w:rFonts w:hint="eastAsia" w:ascii="华文仿宋" w:hAnsi="华文仿宋" w:eastAsia="华文仿宋"/>
          <w:lang w:val="zh-TW"/>
        </w:rPr>
        <w:t>等有关规定及本《法律意见书》出具日以前已经发生或者存在的事实，严格履行了法定职责，遵循了勤勉尽责和诚实信用原则，进行了充分的核查验证，保证本《法律意见书》所认定的事实真实、准确、完整，所发表的结论性意见合法、准确，不存在虚假记载、误导性陈述或者重大遗漏。</w:t>
      </w:r>
    </w:p>
    <w:p>
      <w:pPr>
        <w:spacing w:line="360" w:lineRule="auto"/>
        <w:rPr>
          <w:rFonts w:ascii="华文仿宋" w:hAnsi="华文仿宋" w:eastAsia="华文仿宋" w:cs="宋体"/>
          <w:lang w:val="zh-TW"/>
        </w:rPr>
      </w:pPr>
      <w:r>
        <w:rPr>
          <w:rFonts w:hint="eastAsia" w:ascii="华文仿宋" w:hAnsi="华文仿宋" w:eastAsia="华文仿宋"/>
          <w:lang w:val="zh-TW"/>
        </w:rPr>
        <w:t xml:space="preserve">    （二）本所律师进行上述核查验证，已经得到项目主体及项目中介的以下承诺及声明，并以该等承诺、声明作为出具本法律意见书的前提：保证其向本所提供的为出具本法律意见书必需的原始书面材料、副本材料或陈述均真实、合法、有效，不存在虚假记载、误导性陈述及重大遗漏，保证其向本所提供的有关副本材料或复印件与原件一致，保证对本所提供的文件和材料的真实性、准确性和完整性承担个别和连带的法律责任。</w:t>
      </w:r>
    </w:p>
    <w:p>
      <w:pPr>
        <w:spacing w:line="360" w:lineRule="auto"/>
        <w:rPr>
          <w:rFonts w:ascii="华文仿宋" w:hAnsi="华文仿宋" w:eastAsia="华文仿宋" w:cs="宋体"/>
          <w:lang w:val="zh-TW"/>
        </w:rPr>
      </w:pPr>
      <w:r>
        <w:rPr>
          <w:rFonts w:hint="eastAsia" w:ascii="华文仿宋" w:hAnsi="华文仿宋" w:eastAsia="华文仿宋" w:cs="宋体"/>
          <w:lang w:val="zh-TW"/>
        </w:rPr>
        <w:t xml:space="preserve">    </w:t>
      </w:r>
      <w:r>
        <w:rPr>
          <w:rFonts w:hint="eastAsia" w:ascii="华文仿宋" w:hAnsi="华文仿宋" w:eastAsia="华文仿宋"/>
          <w:lang w:val="zh-TW"/>
        </w:rPr>
        <w:t>（三）对于出具本法律意见书中的至关重要而又无法得到独立证据支持的事实，本所律师依赖于有关政府部门、公司或者其他有关单位的证明文件以及与本次债券有关的其他中介机构出具的书面报告和专业意见就该等事实发表法律意见。</w:t>
      </w:r>
    </w:p>
    <w:p>
      <w:pPr>
        <w:spacing w:line="360" w:lineRule="auto"/>
        <w:rPr>
          <w:rFonts w:ascii="华文仿宋" w:hAnsi="华文仿宋" w:eastAsia="华文仿宋" w:cs="宋体"/>
          <w:lang w:val="zh-TW"/>
        </w:rPr>
      </w:pPr>
      <w:r>
        <w:rPr>
          <w:rFonts w:hint="eastAsia" w:ascii="华文仿宋" w:hAnsi="华文仿宋" w:eastAsia="华文仿宋"/>
          <w:lang w:val="zh-TW"/>
        </w:rPr>
        <w:t xml:space="preserve">    （四）在本法律意见书中，本所律师仅根据本法律意见书出具之日现行有效的法律、法规、规章等相关规范性文件的明确要求，对本次发债的合法性及对本次发债有重大影响的法律问题发表法律意见，但对于实施方案、会计审计、评级、评估、投资决策等专业事项，本法律意见书只作引用且不发表法律意见。本所律师在本法律意见书中对有关实施方案、会计报表、审计、评级报告、评估报告等文件中某些数据和结论的引述，并不意味着本所律师对该等数据和相关结论的合法性、真实性和准确性做出任何明示或默示的担保或保证，对于该等文件及其所涉内容，本所律师依法并不具备进行核查和做出评价的适当资格。</w:t>
      </w:r>
    </w:p>
    <w:p>
      <w:pPr>
        <w:spacing w:line="360" w:lineRule="auto"/>
        <w:ind w:firstLine="360"/>
        <w:rPr>
          <w:rFonts w:ascii="华文仿宋" w:hAnsi="华文仿宋" w:eastAsia="华文仿宋"/>
          <w:lang w:val="zh-TW"/>
        </w:rPr>
      </w:pPr>
      <w:r>
        <w:rPr>
          <w:rFonts w:hint="eastAsia" w:ascii="华文仿宋" w:hAnsi="华文仿宋" w:eastAsia="华文仿宋"/>
          <w:lang w:val="zh-TW"/>
        </w:rPr>
        <w:t xml:space="preserve"> （五）在本法律意见书中，本所律师对与法律相关的业务事项，履行了法律专业人士特别的注意义务；对于其他业务事项，履行了普通人一般的注意义务。</w:t>
      </w:r>
    </w:p>
    <w:p>
      <w:pPr>
        <w:spacing w:line="360" w:lineRule="auto"/>
        <w:rPr>
          <w:rFonts w:ascii="华文仿宋" w:hAnsi="华文仿宋" w:eastAsia="华文仿宋"/>
          <w:lang w:val="zh-TW"/>
        </w:rPr>
      </w:pPr>
      <w:r>
        <w:rPr>
          <w:rFonts w:hint="eastAsia" w:ascii="华文仿宋" w:hAnsi="华文仿宋" w:eastAsia="华文仿宋" w:cs="宋体"/>
        </w:rPr>
        <w:t xml:space="preserve">    （六）</w:t>
      </w:r>
      <w:r>
        <w:rPr>
          <w:rFonts w:hint="eastAsia" w:ascii="华文仿宋" w:hAnsi="华文仿宋" w:eastAsia="华文仿宋"/>
          <w:lang w:val="zh-TW"/>
        </w:rPr>
        <w:t>本法律意见书仅供本次发行债券之目的使用，未经本所及本所律师书面同意，本法律意见书不得用作其他任何用途，或由任何其他人予以引用。</w:t>
      </w:r>
    </w:p>
    <w:p>
      <w:pPr>
        <w:spacing w:line="360" w:lineRule="auto"/>
        <w:rPr>
          <w:rFonts w:ascii="华文仿宋" w:hAnsi="华文仿宋" w:eastAsia="华文仿宋" w:cs="宋体"/>
        </w:rPr>
      </w:pPr>
    </w:p>
    <w:p>
      <w:pPr>
        <w:spacing w:line="360" w:lineRule="auto"/>
        <w:rPr>
          <w:rFonts w:ascii="华文仿宋" w:hAnsi="华文仿宋" w:eastAsia="华文仿宋"/>
          <w:lang w:val="zh-TW"/>
        </w:rPr>
      </w:pPr>
      <w:r>
        <w:rPr>
          <w:rFonts w:hint="eastAsia" w:ascii="华文仿宋" w:hAnsi="华文仿宋" w:eastAsia="华文仿宋" w:cs="宋体"/>
        </w:rPr>
        <w:t xml:space="preserve">       </w:t>
      </w:r>
      <w:r>
        <w:rPr>
          <w:rFonts w:hint="eastAsia" w:ascii="华文仿宋" w:hAnsi="华文仿宋" w:eastAsia="华文仿宋"/>
          <w:lang w:val="zh-TW"/>
        </w:rPr>
        <w:t>本法律意见书经本所经办律师签字并加盖本所印章后生效。本法律意见书正本一式叁份，无副本，各正本具有同等法律效力。</w:t>
      </w:r>
    </w:p>
    <w:p>
      <w:pPr>
        <w:widowControl/>
        <w:jc w:val="left"/>
        <w:rPr>
          <w:rFonts w:ascii="华文仿宋" w:hAnsi="华文仿宋" w:eastAsia="华文仿宋"/>
          <w:lang w:val="zh-TW"/>
        </w:rPr>
      </w:pPr>
      <w:r>
        <w:rPr>
          <w:rFonts w:ascii="华文仿宋" w:hAnsi="华文仿宋" w:eastAsia="华文仿宋"/>
          <w:lang w:val="zh-TW"/>
        </w:rPr>
        <w:br w:type="page"/>
      </w:r>
    </w:p>
    <w:p>
      <w:pPr>
        <w:pStyle w:val="3"/>
        <w:spacing w:line="360" w:lineRule="auto"/>
        <w:jc w:val="center"/>
        <w:rPr>
          <w:rFonts w:ascii="华文仿宋" w:hAnsi="华文仿宋" w:eastAsia="华文仿宋"/>
          <w:sz w:val="36"/>
          <w:szCs w:val="36"/>
          <w:lang w:val="zh-TW"/>
        </w:rPr>
      </w:pPr>
      <w:bookmarkStart w:id="14" w:name="_Toc340692993"/>
      <w:bookmarkStart w:id="15" w:name="_Toc340924801"/>
      <w:bookmarkStart w:id="16" w:name="_Toc47346122"/>
      <w:bookmarkStart w:id="17" w:name="_Toc3"/>
      <w:bookmarkStart w:id="18" w:name="_Toc20605500"/>
      <w:r>
        <w:rPr>
          <w:rFonts w:hint="eastAsia" w:ascii="华文仿宋" w:hAnsi="华文仿宋" w:eastAsia="华文仿宋"/>
          <w:sz w:val="36"/>
          <w:szCs w:val="36"/>
          <w:lang w:val="zh-TW"/>
        </w:rPr>
        <w:t>第二部分</w:t>
      </w:r>
      <w:r>
        <w:rPr>
          <w:rFonts w:ascii="华文仿宋" w:hAnsi="华文仿宋" w:eastAsia="华文仿宋"/>
          <w:sz w:val="36"/>
          <w:szCs w:val="36"/>
        </w:rPr>
        <w:t xml:space="preserve">  </w:t>
      </w:r>
      <w:r>
        <w:rPr>
          <w:rFonts w:hint="eastAsia" w:ascii="华文仿宋" w:hAnsi="华文仿宋" w:eastAsia="华文仿宋"/>
          <w:sz w:val="36"/>
          <w:szCs w:val="36"/>
          <w:lang w:val="zh-TW"/>
        </w:rPr>
        <w:t>正文</w:t>
      </w:r>
      <w:bookmarkEnd w:id="14"/>
      <w:bookmarkEnd w:id="15"/>
      <w:bookmarkEnd w:id="16"/>
      <w:bookmarkEnd w:id="17"/>
      <w:bookmarkEnd w:id="18"/>
    </w:p>
    <w:p>
      <w:pPr>
        <w:pStyle w:val="4"/>
        <w:numPr>
          <w:ilvl w:val="0"/>
          <w:numId w:val="1"/>
        </w:numPr>
        <w:spacing w:line="360" w:lineRule="auto"/>
        <w:rPr>
          <w:rFonts w:ascii="华文仿宋" w:hAnsi="华文仿宋" w:eastAsia="华文仿宋"/>
          <w:sz w:val="24"/>
          <w:szCs w:val="24"/>
          <w:u w:color="000000"/>
        </w:rPr>
      </w:pPr>
      <w:bookmarkStart w:id="19" w:name="_Toc47346123"/>
      <w:bookmarkStart w:id="20" w:name="_Toc20605501"/>
      <w:r>
        <w:rPr>
          <w:rFonts w:hint="eastAsia" w:ascii="华文仿宋" w:hAnsi="华文仿宋" w:eastAsia="华文仿宋"/>
          <w:sz w:val="24"/>
          <w:szCs w:val="24"/>
          <w:u w:color="000000"/>
        </w:rPr>
        <w:t>本项目组织实施建设机构</w:t>
      </w:r>
      <w:bookmarkEnd w:id="19"/>
      <w:bookmarkEnd w:id="20"/>
    </w:p>
    <w:p>
      <w:pPr>
        <w:widowControl/>
        <w:spacing w:line="360" w:lineRule="auto"/>
        <w:ind w:firstLine="555"/>
        <w:rPr>
          <w:rFonts w:hint="eastAsia" w:ascii="华文仿宋" w:hAnsi="华文仿宋" w:eastAsia="华文仿宋" w:cs="Times New Roman"/>
        </w:rPr>
      </w:pPr>
      <w:r>
        <w:rPr>
          <w:rFonts w:hint="eastAsia" w:ascii="华文仿宋" w:hAnsi="华文仿宋" w:eastAsia="华文仿宋" w:cs="Times New Roman"/>
        </w:rPr>
        <w:t>经本所核查，</w:t>
      </w:r>
      <w:r>
        <w:rPr>
          <w:rFonts w:hint="eastAsia" w:ascii="华文仿宋" w:hAnsi="华文仿宋" w:eastAsia="华文仿宋" w:cs="宋体"/>
          <w:kern w:val="0"/>
          <w:u w:color="000000"/>
          <w:lang w:eastAsia="zh-CN"/>
        </w:rPr>
        <w:t>云安区省级现代农业产业园基础设施配套项目</w:t>
      </w:r>
      <w:r>
        <w:rPr>
          <w:rFonts w:hint="eastAsia" w:ascii="华文仿宋" w:hAnsi="华文仿宋" w:eastAsia="华文仿宋" w:cs="Times New Roman"/>
        </w:rPr>
        <w:t>的项目单位为</w:t>
      </w:r>
      <w:r>
        <w:rPr>
          <w:rFonts w:hint="eastAsia" w:ascii="华文仿宋" w:hAnsi="华文仿宋" w:eastAsia="华文仿宋" w:cs="Times New Roman"/>
          <w:lang w:eastAsia="zh-CN"/>
        </w:rPr>
        <w:t>云浮市云安区农业农村和水务局</w:t>
      </w:r>
      <w:r>
        <w:rPr>
          <w:rFonts w:hint="eastAsia" w:ascii="华文仿宋" w:hAnsi="华文仿宋" w:eastAsia="华文仿宋" w:cs="Times New Roman"/>
        </w:rPr>
        <w:t>，根据</w:t>
      </w:r>
      <w:r>
        <w:rPr>
          <w:rFonts w:hint="eastAsia" w:ascii="华文仿宋" w:hAnsi="华文仿宋" w:eastAsia="华文仿宋" w:cs="Times New Roman"/>
          <w:lang w:eastAsia="zh-CN"/>
        </w:rPr>
        <w:t>云浮市云安区农业农村和水务局</w:t>
      </w:r>
      <w:r>
        <w:rPr>
          <w:rFonts w:hint="eastAsia" w:ascii="华文仿宋" w:hAnsi="华文仿宋" w:eastAsia="华文仿宋" w:cs="Times New Roman"/>
        </w:rPr>
        <w:t>持有的《事业单位法人证书》并经本所律师核查</w:t>
      </w:r>
      <w:r>
        <w:rPr>
          <w:rFonts w:hint="eastAsia" w:ascii="华文仿宋" w:hAnsi="华文仿宋" w:eastAsia="华文仿宋" w:cs="仿宋"/>
        </w:rPr>
        <w:t>，该单位</w:t>
      </w:r>
      <w:r>
        <w:rPr>
          <w:rFonts w:hint="eastAsia" w:ascii="华文仿宋" w:hAnsi="华文仿宋" w:eastAsia="华文仿宋" w:cs="Times New Roman"/>
        </w:rPr>
        <w:t>基本信息如下:</w:t>
      </w:r>
    </w:p>
    <w:tbl>
      <w:tblPr>
        <w:tblStyle w:val="24"/>
        <w:tblW w:w="8593" w:type="dxa"/>
        <w:tblInd w:w="80"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shd w:val="clear" w:color="auto" w:fill="CED7E7"/>
        <w:tblLayout w:type="fixed"/>
        <w:tblCellMar>
          <w:top w:w="0" w:type="dxa"/>
          <w:left w:w="0" w:type="dxa"/>
          <w:bottom w:w="0" w:type="dxa"/>
          <w:right w:w="0" w:type="dxa"/>
        </w:tblCellMar>
      </w:tblPr>
      <w:tblGrid>
        <w:gridCol w:w="2552"/>
        <w:gridCol w:w="6041"/>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shd w:val="clear" w:color="auto" w:fill="CED7E7"/>
          <w:tblCellMar>
            <w:top w:w="0" w:type="dxa"/>
            <w:left w:w="0" w:type="dxa"/>
            <w:bottom w:w="0" w:type="dxa"/>
            <w:right w:w="0" w:type="dxa"/>
          </w:tblCellMar>
        </w:tblPrEx>
        <w:trPr>
          <w:trHeight w:val="525"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rPr>
            </w:pPr>
            <w:r>
              <w:rPr>
                <w:rFonts w:ascii="华文仿宋" w:hAnsi="华文仿宋" w:eastAsia="华文仿宋"/>
                <w:b/>
                <w:sz w:val="21"/>
                <w:szCs w:val="21"/>
                <w:lang w:val="zh-TW" w:eastAsia="zh-TW"/>
              </w:rPr>
              <w:t>名称</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default" w:ascii="华文仿宋" w:hAnsi="华文仿宋" w:eastAsia="华文仿宋"/>
                <w:sz w:val="21"/>
                <w:szCs w:val="21"/>
              </w:rPr>
            </w:pPr>
            <w:r>
              <w:rPr>
                <w:rFonts w:hint="eastAsia" w:ascii="华文仿宋" w:hAnsi="华文仿宋" w:eastAsia="华文仿宋"/>
                <w:sz w:val="21"/>
                <w:szCs w:val="21"/>
                <w:lang w:eastAsia="zh-CN"/>
              </w:rPr>
              <w:t>云浮市云安区农业农村和水务局</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533"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rPr>
            </w:pPr>
            <w:r>
              <w:rPr>
                <w:rFonts w:ascii="华文仿宋" w:hAnsi="华文仿宋" w:eastAsia="华文仿宋"/>
                <w:b/>
                <w:sz w:val="21"/>
                <w:szCs w:val="21"/>
                <w:lang w:val="zh-TW" w:eastAsia="zh-TW"/>
              </w:rPr>
              <w:t>统一社会信用代码</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default" w:ascii="华文仿宋" w:hAnsi="华文仿宋" w:eastAsia="华文仿宋"/>
                <w:sz w:val="21"/>
                <w:szCs w:val="21"/>
              </w:rPr>
            </w:pPr>
            <w:r>
              <w:rPr>
                <w:rFonts w:hint="default" w:ascii="华文仿宋" w:hAnsi="华文仿宋" w:eastAsia="华文仿宋"/>
                <w:sz w:val="21"/>
                <w:szCs w:val="21"/>
              </w:rPr>
              <w:t>11445303MB2D27401Y</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rPr>
            </w:pPr>
            <w:r>
              <w:rPr>
                <w:rFonts w:ascii="华文仿宋" w:hAnsi="华文仿宋" w:eastAsia="华文仿宋"/>
                <w:b/>
                <w:sz w:val="21"/>
                <w:szCs w:val="21"/>
                <w:lang w:val="zh-TW" w:eastAsia="zh-TW"/>
              </w:rPr>
              <w:t>机构地址</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default" w:ascii="华文仿宋" w:hAnsi="华文仿宋" w:eastAsia="华文仿宋"/>
                <w:sz w:val="21"/>
                <w:szCs w:val="21"/>
                <w:highlight w:val="yellow"/>
              </w:rPr>
            </w:pPr>
            <w:r>
              <w:rPr>
                <w:rFonts w:hint="default" w:ascii="华文仿宋" w:hAnsi="华文仿宋" w:eastAsia="华文仿宋"/>
                <w:sz w:val="21"/>
                <w:szCs w:val="21"/>
              </w:rPr>
              <w:t>广东省云浮市云安区六都镇白云路</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538"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rPr>
            </w:pPr>
            <w:r>
              <w:rPr>
                <w:rFonts w:ascii="华文仿宋" w:hAnsi="华文仿宋" w:eastAsia="华文仿宋"/>
                <w:b/>
                <w:sz w:val="21"/>
                <w:szCs w:val="21"/>
                <w:lang w:val="zh-TW" w:eastAsia="zh-TW"/>
              </w:rPr>
              <w:t>负责人</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eastAsia" w:ascii="华文仿宋" w:hAnsi="华文仿宋" w:eastAsia="华文仿宋"/>
                <w:sz w:val="21"/>
                <w:szCs w:val="21"/>
                <w:highlight w:val="yellow"/>
                <w:lang w:val="en-US" w:eastAsia="zh-CN"/>
              </w:rPr>
            </w:pPr>
            <w:r>
              <w:rPr>
                <w:rFonts w:hint="eastAsia" w:ascii="华文仿宋" w:hAnsi="华文仿宋" w:eastAsia="华文仿宋"/>
                <w:sz w:val="21"/>
                <w:szCs w:val="21"/>
                <w:highlight w:val="none"/>
                <w:lang w:val="en-US" w:eastAsia="zh-CN"/>
              </w:rPr>
              <w:t>吴国锋</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73"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rPr>
            </w:pPr>
            <w:r>
              <w:rPr>
                <w:rFonts w:ascii="华文仿宋" w:hAnsi="华文仿宋" w:eastAsia="华文仿宋"/>
                <w:b/>
                <w:sz w:val="21"/>
                <w:szCs w:val="21"/>
                <w:lang w:val="zh-TW" w:eastAsia="zh-TW"/>
              </w:rPr>
              <w:t>机构性质</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default" w:ascii="华文仿宋" w:hAnsi="华文仿宋" w:eastAsia="华文仿宋"/>
                <w:sz w:val="21"/>
                <w:szCs w:val="21"/>
                <w:highlight w:val="yellow"/>
              </w:rPr>
            </w:pPr>
            <w:r>
              <w:rPr>
                <w:rFonts w:ascii="华文仿宋" w:hAnsi="华文仿宋" w:eastAsia="华文仿宋"/>
                <w:sz w:val="21"/>
                <w:szCs w:val="21"/>
              </w:rPr>
              <w:t>机关</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lang w:val="zh-TW" w:eastAsia="zh-TW"/>
              </w:rPr>
            </w:pPr>
            <w:r>
              <w:rPr>
                <w:rFonts w:ascii="华文仿宋" w:hAnsi="华文仿宋" w:eastAsia="华文仿宋"/>
                <w:b/>
                <w:sz w:val="21"/>
                <w:szCs w:val="21"/>
                <w:lang w:val="zh-TW" w:eastAsia="zh-TW"/>
              </w:rPr>
              <w:t>赋码机关</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default" w:ascii="华文仿宋" w:hAnsi="华文仿宋" w:eastAsia="华文仿宋"/>
                <w:sz w:val="21"/>
                <w:szCs w:val="21"/>
                <w:highlight w:val="yellow"/>
                <w:lang w:val="en-US" w:eastAsia="zh-CN"/>
              </w:rPr>
            </w:pPr>
            <w:r>
              <w:rPr>
                <w:rFonts w:hint="eastAsia" w:ascii="华文仿宋" w:hAnsi="华文仿宋" w:eastAsia="华文仿宋"/>
                <w:sz w:val="21"/>
                <w:szCs w:val="21"/>
                <w:highlight w:val="none"/>
                <w:lang w:val="en-US" w:eastAsia="zh-CN"/>
              </w:rPr>
              <w:t>中共云浮市云安区委机构编制委员会办公室</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2552" w:type="dxa"/>
            <w:shd w:val="clear" w:color="auto" w:fill="D8D8D8" w:themeFill="background1" w:themeFillShade="D9"/>
            <w:tcMar>
              <w:top w:w="80" w:type="dxa"/>
              <w:left w:w="80" w:type="dxa"/>
              <w:bottom w:w="80" w:type="dxa"/>
              <w:right w:w="80" w:type="dxa"/>
            </w:tcMar>
            <w:vAlign w:val="center"/>
          </w:tcPr>
          <w:p>
            <w:pPr>
              <w:pStyle w:val="19"/>
              <w:spacing w:line="360" w:lineRule="auto"/>
              <w:ind w:firstLine="0"/>
              <w:jc w:val="center"/>
              <w:rPr>
                <w:rFonts w:hint="default" w:ascii="华文仿宋" w:hAnsi="华文仿宋" w:eastAsia="华文仿宋"/>
                <w:b/>
                <w:sz w:val="21"/>
                <w:szCs w:val="21"/>
                <w:lang w:val="zh-TW" w:eastAsia="zh-TW"/>
              </w:rPr>
            </w:pPr>
            <w:r>
              <w:rPr>
                <w:rFonts w:ascii="华文仿宋" w:hAnsi="华文仿宋" w:eastAsia="华文仿宋"/>
                <w:b/>
                <w:sz w:val="21"/>
                <w:szCs w:val="21"/>
                <w:lang w:val="zh-TW" w:eastAsia="zh-TW"/>
              </w:rPr>
              <w:t>颁发日期</w:t>
            </w:r>
          </w:p>
        </w:tc>
        <w:tc>
          <w:tcPr>
            <w:tcW w:w="6041" w:type="dxa"/>
            <w:shd w:val="clear" w:color="auto" w:fill="auto"/>
            <w:tcMar>
              <w:top w:w="80" w:type="dxa"/>
              <w:left w:w="80" w:type="dxa"/>
              <w:bottom w:w="80" w:type="dxa"/>
              <w:right w:w="80" w:type="dxa"/>
            </w:tcMar>
            <w:vAlign w:val="center"/>
          </w:tcPr>
          <w:p>
            <w:pPr>
              <w:pStyle w:val="19"/>
              <w:spacing w:line="360" w:lineRule="auto"/>
              <w:ind w:firstLine="0"/>
              <w:rPr>
                <w:rFonts w:hint="default" w:ascii="华文仿宋" w:hAnsi="华文仿宋" w:eastAsia="华文仿宋" w:cs="宋体"/>
                <w:kern w:val="0"/>
                <w:sz w:val="21"/>
                <w:szCs w:val="21"/>
                <w:highlight w:val="yellow"/>
              </w:rPr>
            </w:pPr>
            <w:r>
              <w:rPr>
                <w:rFonts w:ascii="华文仿宋" w:hAnsi="华文仿宋" w:eastAsia="华文仿宋" w:cs="宋体"/>
                <w:kern w:val="0"/>
                <w:sz w:val="21"/>
                <w:szCs w:val="21"/>
              </w:rPr>
              <w:t>20</w:t>
            </w:r>
            <w:r>
              <w:rPr>
                <w:rFonts w:hint="eastAsia" w:ascii="华文仿宋" w:hAnsi="华文仿宋" w:eastAsia="华文仿宋" w:cs="宋体"/>
                <w:kern w:val="0"/>
                <w:sz w:val="21"/>
                <w:szCs w:val="21"/>
                <w:lang w:val="en-US" w:eastAsia="zh-CN"/>
              </w:rPr>
              <w:t>22</w:t>
            </w:r>
            <w:r>
              <w:rPr>
                <w:rFonts w:ascii="华文仿宋" w:hAnsi="华文仿宋" w:eastAsia="华文仿宋" w:cs="宋体"/>
                <w:kern w:val="0"/>
                <w:sz w:val="21"/>
                <w:szCs w:val="21"/>
              </w:rPr>
              <w:t>年</w:t>
            </w:r>
            <w:r>
              <w:rPr>
                <w:rFonts w:hint="eastAsia" w:ascii="华文仿宋" w:hAnsi="华文仿宋" w:eastAsia="华文仿宋" w:cs="宋体"/>
                <w:kern w:val="0"/>
                <w:sz w:val="21"/>
                <w:szCs w:val="21"/>
                <w:lang w:val="en-US" w:eastAsia="zh-CN"/>
              </w:rPr>
              <w:t>04</w:t>
            </w:r>
            <w:r>
              <w:rPr>
                <w:rFonts w:ascii="华文仿宋" w:hAnsi="华文仿宋" w:eastAsia="华文仿宋" w:cs="宋体"/>
                <w:kern w:val="0"/>
                <w:sz w:val="21"/>
                <w:szCs w:val="21"/>
              </w:rPr>
              <w:t>月</w:t>
            </w:r>
            <w:r>
              <w:rPr>
                <w:rFonts w:hint="eastAsia" w:ascii="华文仿宋" w:hAnsi="华文仿宋" w:eastAsia="华文仿宋" w:cs="宋体"/>
                <w:kern w:val="0"/>
                <w:sz w:val="21"/>
                <w:szCs w:val="21"/>
                <w:lang w:val="en-US" w:eastAsia="zh-CN"/>
              </w:rPr>
              <w:t>24</w:t>
            </w:r>
            <w:r>
              <w:rPr>
                <w:rFonts w:ascii="华文仿宋" w:hAnsi="华文仿宋" w:eastAsia="华文仿宋" w:cs="宋体"/>
                <w:kern w:val="0"/>
                <w:sz w:val="21"/>
                <w:szCs w:val="21"/>
              </w:rPr>
              <w:t>日</w:t>
            </w:r>
          </w:p>
        </w:tc>
      </w:tr>
    </w:tbl>
    <w:p>
      <w:pPr>
        <w:widowControl/>
        <w:spacing w:line="360" w:lineRule="auto"/>
        <w:rPr>
          <w:rFonts w:ascii="华文仿宋" w:hAnsi="华文仿宋" w:eastAsia="华文仿宋" w:cs="Times New Roman"/>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b/>
          <w:kern w:val="0"/>
          <w:u w:color="000000"/>
        </w:rPr>
      </w:pPr>
      <w:r>
        <w:rPr>
          <w:rFonts w:hint="eastAsia" w:ascii="华文仿宋" w:hAnsi="华文仿宋" w:eastAsia="华文仿宋" w:cs="宋体"/>
          <w:b/>
          <w:kern w:val="0"/>
          <w:u w:color="000000"/>
        </w:rPr>
        <w:t>本所认为，</w:t>
      </w:r>
      <w:r>
        <w:rPr>
          <w:rFonts w:hint="eastAsia" w:ascii="华文仿宋" w:hAnsi="华文仿宋" w:eastAsia="华文仿宋" w:cs="宋体"/>
          <w:b/>
          <w:kern w:val="0"/>
          <w:u w:color="000000"/>
          <w:lang w:eastAsia="zh-CN"/>
        </w:rPr>
        <w:t>云浮市云安区农业农村和水务局</w:t>
      </w:r>
      <w:r>
        <w:rPr>
          <w:rFonts w:hint="eastAsia" w:ascii="华文仿宋" w:hAnsi="华文仿宋" w:eastAsia="华文仿宋" w:cs="宋体"/>
          <w:b/>
          <w:kern w:val="0"/>
          <w:u w:color="000000"/>
        </w:rPr>
        <w:t>是依据中华人民共和国法律设立并合法存续的</w:t>
      </w:r>
      <w:r>
        <w:rPr>
          <w:rFonts w:hint="eastAsia" w:ascii="华文仿宋" w:hAnsi="华文仿宋" w:eastAsia="华文仿宋" w:cs="宋体"/>
          <w:b/>
          <w:kern w:val="0"/>
          <w:u w:color="000000"/>
          <w:lang w:val="en-US" w:eastAsia="zh-CN"/>
        </w:rPr>
        <w:t>机关</w:t>
      </w:r>
      <w:r>
        <w:rPr>
          <w:rFonts w:hint="eastAsia" w:ascii="华文仿宋" w:hAnsi="华文仿宋" w:eastAsia="华文仿宋" w:cs="宋体"/>
          <w:b/>
          <w:kern w:val="0"/>
          <w:u w:color="000000"/>
        </w:rPr>
        <w:t>单位，有权作为本项目的组织实施机构。</w:t>
      </w: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1" w:name="_Toc20605502"/>
      <w:bookmarkStart w:id="22" w:name="_Toc47346124"/>
      <w:r>
        <w:rPr>
          <w:rFonts w:hint="eastAsia" w:ascii="华文仿宋" w:hAnsi="华文仿宋" w:eastAsia="华文仿宋"/>
          <w:sz w:val="24"/>
          <w:szCs w:val="24"/>
          <w:u w:color="000000"/>
        </w:rPr>
        <w:t>二、本期债券发行对应的项目情况</w:t>
      </w:r>
      <w:bookmarkEnd w:id="21"/>
      <w:bookmarkEnd w:id="22"/>
    </w:p>
    <w:p>
      <w:pPr>
        <w:widowControl/>
        <w:spacing w:line="360" w:lineRule="auto"/>
        <w:ind w:firstLine="480" w:firstLineChars="200"/>
        <w:rPr>
          <w:rFonts w:ascii="华文仿宋" w:hAnsi="华文仿宋" w:eastAsia="华文仿宋" w:cs="宋体"/>
          <w:kern w:val="0"/>
        </w:rPr>
      </w:pPr>
      <w:r>
        <w:rPr>
          <w:rFonts w:hint="eastAsia" w:ascii="华文仿宋" w:hAnsi="华文仿宋" w:eastAsia="华文仿宋" w:cs="Times New Roman"/>
        </w:rPr>
        <w:t>经本所核查，本项目所涉及的项目情况如下：</w:t>
      </w:r>
    </w:p>
    <w:tbl>
      <w:tblPr>
        <w:tblStyle w:val="11"/>
        <w:tblW w:w="0" w:type="auto"/>
        <w:jc w:val="center"/>
        <w:tblLayout w:type="fixed"/>
        <w:tblCellMar>
          <w:top w:w="0" w:type="dxa"/>
          <w:left w:w="108" w:type="dxa"/>
          <w:bottom w:w="0" w:type="dxa"/>
          <w:right w:w="108" w:type="dxa"/>
        </w:tblCellMar>
      </w:tblPr>
      <w:tblGrid>
        <w:gridCol w:w="2620"/>
        <w:gridCol w:w="5800"/>
      </w:tblGrid>
      <w:tr>
        <w:tblPrEx>
          <w:tblCellMar>
            <w:top w:w="0" w:type="dxa"/>
            <w:left w:w="108" w:type="dxa"/>
            <w:bottom w:w="0" w:type="dxa"/>
            <w:right w:w="108" w:type="dxa"/>
          </w:tblCellMar>
        </w:tblPrEx>
        <w:trPr>
          <w:trHeight w:val="642" w:hRule="atLeast"/>
          <w:jc w:val="center"/>
        </w:trPr>
        <w:tc>
          <w:tcPr>
            <w:tcW w:w="262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cs="宋体"/>
                <w:b/>
                <w:kern w:val="0"/>
                <w:sz w:val="21"/>
                <w:szCs w:val="21"/>
              </w:rPr>
            </w:pPr>
            <w:r>
              <w:rPr>
                <w:rFonts w:hint="eastAsia" w:ascii="华文仿宋" w:hAnsi="华文仿宋" w:eastAsia="华文仿宋" w:cs="宋体"/>
                <w:b/>
                <w:kern w:val="0"/>
                <w:sz w:val="21"/>
                <w:szCs w:val="21"/>
              </w:rPr>
              <w:t>项目名称</w:t>
            </w:r>
          </w:p>
        </w:tc>
        <w:tc>
          <w:tcPr>
            <w:tcW w:w="5800" w:type="dxa"/>
            <w:tcBorders>
              <w:top w:val="single" w:color="auto" w:sz="4" w:space="0"/>
              <w:left w:val="nil"/>
              <w:bottom w:val="single" w:color="auto" w:sz="4" w:space="0"/>
              <w:right w:val="single" w:color="auto" w:sz="4" w:space="0"/>
            </w:tcBorders>
            <w:vAlign w:val="center"/>
          </w:tcPr>
          <w:p>
            <w:pPr>
              <w:widowControl/>
              <w:jc w:val="center"/>
              <w:rPr>
                <w:rFonts w:hint="eastAsia" w:ascii="华文仿宋" w:hAnsi="华文仿宋" w:eastAsia="华文仿宋" w:cs="宋体"/>
                <w:kern w:val="0"/>
                <w:sz w:val="21"/>
                <w:szCs w:val="21"/>
                <w:lang w:eastAsia="zh-CN"/>
              </w:rPr>
            </w:pPr>
            <w:r>
              <w:rPr>
                <w:rFonts w:hint="eastAsia" w:ascii="华文仿宋" w:hAnsi="华文仿宋" w:eastAsia="华文仿宋" w:cs="宋体"/>
                <w:kern w:val="0"/>
                <w:sz w:val="21"/>
                <w:szCs w:val="21"/>
                <w:u w:color="000000"/>
                <w:lang w:eastAsia="zh-CN"/>
              </w:rPr>
              <w:t>云安区省级现代农业产业园基础设施配套项目</w:t>
            </w:r>
          </w:p>
        </w:tc>
      </w:tr>
      <w:tr>
        <w:tblPrEx>
          <w:tblCellMar>
            <w:top w:w="0" w:type="dxa"/>
            <w:left w:w="108" w:type="dxa"/>
            <w:bottom w:w="0" w:type="dxa"/>
            <w:right w:w="108" w:type="dxa"/>
          </w:tblCellMar>
        </w:tblPrEx>
        <w:trPr>
          <w:trHeight w:val="642" w:hRule="atLeast"/>
          <w:jc w:val="center"/>
        </w:trPr>
        <w:tc>
          <w:tcPr>
            <w:tcW w:w="2620" w:type="dxa"/>
            <w:tcBorders>
              <w:top w:val="nil"/>
              <w:left w:val="single" w:color="auto" w:sz="4" w:space="0"/>
              <w:bottom w:val="single" w:color="auto" w:sz="4" w:space="0"/>
              <w:right w:val="single" w:color="auto" w:sz="4" w:space="0"/>
            </w:tcBorders>
            <w:vAlign w:val="center"/>
          </w:tcPr>
          <w:p>
            <w:pPr>
              <w:widowControl/>
              <w:jc w:val="center"/>
              <w:rPr>
                <w:rFonts w:ascii="华文仿宋" w:hAnsi="华文仿宋" w:eastAsia="华文仿宋" w:cs="宋体"/>
                <w:b/>
                <w:kern w:val="0"/>
                <w:sz w:val="21"/>
                <w:szCs w:val="21"/>
              </w:rPr>
            </w:pPr>
            <w:r>
              <w:rPr>
                <w:rFonts w:hint="eastAsia" w:ascii="华文仿宋" w:hAnsi="华文仿宋" w:eastAsia="华文仿宋" w:cs="宋体"/>
                <w:b/>
                <w:kern w:val="0"/>
                <w:sz w:val="21"/>
                <w:szCs w:val="21"/>
              </w:rPr>
              <w:t>项目总投资</w:t>
            </w:r>
          </w:p>
        </w:tc>
        <w:tc>
          <w:tcPr>
            <w:tcW w:w="5800" w:type="dxa"/>
            <w:tcBorders>
              <w:top w:val="single" w:color="auto" w:sz="4" w:space="0"/>
              <w:left w:val="nil"/>
              <w:bottom w:val="single" w:color="auto" w:sz="4" w:space="0"/>
              <w:right w:val="single" w:color="auto" w:sz="4" w:space="0"/>
            </w:tcBorders>
            <w:vAlign w:val="center"/>
          </w:tcPr>
          <w:p>
            <w:pPr>
              <w:widowControl/>
              <w:jc w:val="center"/>
              <w:rPr>
                <w:rFonts w:ascii="华文仿宋" w:hAnsi="华文仿宋" w:eastAsia="华文仿宋" w:cs="Times New Roman"/>
                <w:color w:val="000000" w:themeColor="text1"/>
                <w:sz w:val="21"/>
                <w:szCs w:val="21"/>
                <w14:textFill>
                  <w14:solidFill>
                    <w14:schemeClr w14:val="tx1"/>
                  </w14:solidFill>
                </w14:textFill>
              </w:rPr>
            </w:pPr>
            <w:r>
              <w:rPr>
                <w:rFonts w:hint="eastAsia" w:ascii="华文仿宋" w:hAnsi="华文仿宋" w:eastAsia="华文仿宋" w:cs="Times New Roman"/>
                <w:color w:val="000000" w:themeColor="text1"/>
                <w:sz w:val="21"/>
                <w:szCs w:val="21"/>
                <w:lang w:val="en-US" w:eastAsia="zh-CN"/>
                <w14:textFill>
                  <w14:solidFill>
                    <w14:schemeClr w14:val="tx1"/>
                  </w14:solidFill>
                </w14:textFill>
              </w:rPr>
              <w:t>50194.02</w:t>
            </w:r>
            <w:r>
              <w:rPr>
                <w:rFonts w:hint="eastAsia" w:ascii="华文仿宋" w:hAnsi="华文仿宋" w:eastAsia="华文仿宋" w:cs="Times New Roman"/>
                <w:color w:val="000000" w:themeColor="text1"/>
                <w:sz w:val="21"/>
                <w:szCs w:val="21"/>
                <w14:textFill>
                  <w14:solidFill>
                    <w14:schemeClr w14:val="tx1"/>
                  </w14:solidFill>
                </w14:textFill>
              </w:rPr>
              <w:t>万元</w:t>
            </w:r>
          </w:p>
        </w:tc>
      </w:tr>
      <w:tr>
        <w:tblPrEx>
          <w:tblCellMar>
            <w:top w:w="0" w:type="dxa"/>
            <w:left w:w="108" w:type="dxa"/>
            <w:bottom w:w="0" w:type="dxa"/>
            <w:right w:w="108" w:type="dxa"/>
          </w:tblCellMar>
        </w:tblPrEx>
        <w:trPr>
          <w:trHeight w:val="641" w:hRule="atLeast"/>
          <w:jc w:val="center"/>
        </w:trPr>
        <w:tc>
          <w:tcPr>
            <w:tcW w:w="2620" w:type="dxa"/>
            <w:tcBorders>
              <w:top w:val="nil"/>
              <w:left w:val="single" w:color="auto" w:sz="4" w:space="0"/>
              <w:bottom w:val="single" w:color="auto" w:sz="4" w:space="0"/>
              <w:right w:val="single" w:color="auto" w:sz="4" w:space="0"/>
            </w:tcBorders>
            <w:vAlign w:val="center"/>
          </w:tcPr>
          <w:p>
            <w:pPr>
              <w:widowControl/>
              <w:jc w:val="center"/>
              <w:rPr>
                <w:rFonts w:ascii="华文仿宋" w:hAnsi="华文仿宋" w:eastAsia="华文仿宋" w:cs="宋体"/>
                <w:b/>
                <w:kern w:val="0"/>
                <w:sz w:val="21"/>
                <w:szCs w:val="21"/>
              </w:rPr>
            </w:pPr>
            <w:r>
              <w:rPr>
                <w:rFonts w:hint="eastAsia" w:ascii="华文仿宋" w:hAnsi="华文仿宋" w:eastAsia="华文仿宋" w:cs="宋体"/>
                <w:b/>
                <w:kern w:val="0"/>
                <w:sz w:val="21"/>
                <w:szCs w:val="21"/>
              </w:rPr>
              <w:t>项目情况概述</w:t>
            </w:r>
          </w:p>
        </w:tc>
        <w:tc>
          <w:tcPr>
            <w:tcW w:w="5800" w:type="dxa"/>
            <w:tcBorders>
              <w:top w:val="single" w:color="auto" w:sz="4" w:space="0"/>
              <w:left w:val="nil"/>
              <w:bottom w:val="single" w:color="auto" w:sz="4" w:space="0"/>
              <w:right w:val="single" w:color="auto" w:sz="4" w:space="0"/>
            </w:tcBorders>
            <w:vAlign w:val="center"/>
          </w:tcPr>
          <w:p>
            <w:pPr>
              <w:widowControl/>
              <w:numPr>
                <w:ilvl w:val="0"/>
                <w:numId w:val="2"/>
              </w:numPr>
              <w:ind w:left="0" w:firstLine="420" w:firstLineChars="20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云安区省级现代农业肉牛产业园石城镇基础设施配套建设项目，项目总投资3212.35万元。</w:t>
            </w:r>
          </w:p>
          <w:p>
            <w:pPr>
              <w:widowControl/>
              <w:numPr>
                <w:ilvl w:val="0"/>
                <w:numId w:val="2"/>
              </w:numPr>
              <w:ind w:left="0" w:firstLine="420" w:firstLineChars="20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云安区肉牛产业园区富林镇基础设施配套建设项目，项目总投资</w:t>
            </w:r>
            <w:r>
              <w:rPr>
                <w:rFonts w:hint="eastAsia" w:ascii="华文仿宋" w:hAnsi="华文仿宋" w:eastAsia="华文仿宋" w:cs="宋体"/>
                <w:color w:val="000000"/>
                <w:kern w:val="0"/>
                <w:sz w:val="21"/>
                <w:szCs w:val="21"/>
                <w:lang w:val="en-US" w:eastAsia="zh-CN"/>
              </w:rPr>
              <w:t>2994.96</w:t>
            </w:r>
            <w:r>
              <w:rPr>
                <w:rFonts w:hint="eastAsia" w:ascii="华文仿宋" w:hAnsi="华文仿宋" w:eastAsia="华文仿宋" w:cs="宋体"/>
                <w:color w:val="000000"/>
                <w:kern w:val="0"/>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云安区花卉产业园白石镇基础设施配套建设项目</w:t>
            </w:r>
            <w:r>
              <w:rPr>
                <w:rFonts w:ascii="华文仿宋" w:hAnsi="华文仿宋" w:eastAsia="华文仿宋" w:cs="宋体"/>
                <w:sz w:val="21"/>
                <w:szCs w:val="21"/>
              </w:rPr>
              <w:t>，项目总投资</w:t>
            </w:r>
            <w:r>
              <w:rPr>
                <w:rFonts w:hint="eastAsia" w:ascii="华文仿宋" w:hAnsi="华文仿宋" w:eastAsia="华文仿宋" w:cs="宋体"/>
                <w:sz w:val="21"/>
                <w:szCs w:val="21"/>
                <w:lang w:val="en-US" w:eastAsia="zh-CN"/>
              </w:rPr>
              <w:t>3175.45</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lang w:val="en-US" w:eastAsia="zh-CN"/>
              </w:rPr>
              <w:t>云</w:t>
            </w:r>
            <w:r>
              <w:rPr>
                <w:rFonts w:hint="eastAsia" w:ascii="华文仿宋" w:hAnsi="华文仿宋" w:eastAsia="华文仿宋" w:cs="宋体"/>
                <w:sz w:val="21"/>
                <w:szCs w:val="21"/>
              </w:rPr>
              <w:t>安区生猪产业园镇安镇基础设施建设项目</w:t>
            </w:r>
            <w:r>
              <w:rPr>
                <w:rFonts w:ascii="华文仿宋" w:hAnsi="华文仿宋" w:eastAsia="华文仿宋" w:cs="宋体"/>
                <w:sz w:val="21"/>
                <w:szCs w:val="21"/>
              </w:rPr>
              <w:t>，项目总投资</w:t>
            </w:r>
            <w:r>
              <w:rPr>
                <w:rFonts w:hint="eastAsia" w:ascii="华文仿宋" w:hAnsi="华文仿宋" w:eastAsia="华文仿宋" w:cs="宋体"/>
                <w:sz w:val="21"/>
                <w:szCs w:val="21"/>
                <w:lang w:val="en-US" w:eastAsia="zh-CN"/>
              </w:rPr>
              <w:t>3008.09</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云安区花卉产业园都杨镇基础设施建设项目</w:t>
            </w:r>
            <w:r>
              <w:rPr>
                <w:rFonts w:ascii="华文仿宋" w:hAnsi="华文仿宋" w:eastAsia="华文仿宋" w:cs="宋体"/>
                <w:sz w:val="21"/>
                <w:szCs w:val="21"/>
              </w:rPr>
              <w:t>，项目总投资</w:t>
            </w:r>
            <w:r>
              <w:rPr>
                <w:rFonts w:hint="eastAsia" w:ascii="华文仿宋" w:hAnsi="华文仿宋" w:eastAsia="华文仿宋" w:cs="宋体"/>
                <w:sz w:val="21"/>
                <w:szCs w:val="21"/>
              </w:rPr>
              <w:t>10000.05</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云浮市大涌河水闸重建工程项目</w:t>
            </w:r>
            <w:r>
              <w:rPr>
                <w:rFonts w:ascii="华文仿宋" w:hAnsi="华文仿宋" w:eastAsia="华文仿宋" w:cs="宋体"/>
                <w:sz w:val="21"/>
                <w:szCs w:val="21"/>
              </w:rPr>
              <w:t>，项目总投资</w:t>
            </w:r>
            <w:r>
              <w:rPr>
                <w:rFonts w:hint="eastAsia" w:ascii="华文仿宋" w:hAnsi="华文仿宋" w:eastAsia="华文仿宋" w:cs="宋体"/>
                <w:sz w:val="21"/>
                <w:szCs w:val="21"/>
              </w:rPr>
              <w:t>2196.8</w:t>
            </w:r>
            <w:r>
              <w:rPr>
                <w:rFonts w:hint="eastAsia" w:ascii="华文仿宋" w:hAnsi="华文仿宋" w:eastAsia="华文仿宋" w:cs="宋体"/>
                <w:sz w:val="21"/>
                <w:szCs w:val="21"/>
                <w:lang w:val="en-US" w:eastAsia="zh-CN"/>
              </w:rPr>
              <w:t>0</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云浮市云安区高村镇高村排涝站整治工程</w:t>
            </w:r>
            <w:r>
              <w:rPr>
                <w:rFonts w:ascii="华文仿宋" w:hAnsi="华文仿宋" w:eastAsia="华文仿宋" w:cs="宋体"/>
                <w:sz w:val="21"/>
                <w:szCs w:val="21"/>
              </w:rPr>
              <w:t>，项目总投资</w:t>
            </w:r>
            <w:r>
              <w:rPr>
                <w:rFonts w:hint="eastAsia" w:ascii="华文仿宋" w:hAnsi="华文仿宋" w:eastAsia="华文仿宋" w:cs="宋体"/>
                <w:sz w:val="21"/>
                <w:szCs w:val="21"/>
              </w:rPr>
              <w:t>648.06</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eastAsia" w:ascii="华文仿宋" w:hAnsi="华文仿宋" w:eastAsia="华文仿宋" w:cs="宋体"/>
                <w:sz w:val="21"/>
                <w:szCs w:val="21"/>
              </w:rPr>
              <w:t>云安区六都镇大河村排涝站工程</w:t>
            </w:r>
            <w:r>
              <w:rPr>
                <w:rFonts w:ascii="华文仿宋" w:hAnsi="华文仿宋" w:eastAsia="华文仿宋" w:cs="宋体"/>
                <w:sz w:val="21"/>
                <w:szCs w:val="21"/>
              </w:rPr>
              <w:t>，项目总投资</w:t>
            </w:r>
            <w:r>
              <w:rPr>
                <w:rFonts w:hint="eastAsia" w:ascii="华文仿宋" w:hAnsi="华文仿宋" w:eastAsia="华文仿宋" w:cs="宋体"/>
                <w:sz w:val="21"/>
                <w:szCs w:val="21"/>
              </w:rPr>
              <w:t>1567.57</w:t>
            </w:r>
            <w:r>
              <w:rPr>
                <w:rFonts w:ascii="华文仿宋" w:hAnsi="华文仿宋" w:eastAsia="华文仿宋" w:cs="宋体"/>
                <w:sz w:val="21"/>
                <w:szCs w:val="21"/>
              </w:rPr>
              <w:t>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云浮市云安区六都镇黄湾村白沙塘治理工程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项目总投资1797.50万元。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云浮市云安区六都镇上六村二冲河、下四村东冲河治理工程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项目总投资2095.97万元。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云安区城乡一体化供水提升工程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项目总投资6921.95万元。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云安区白石镇X490线白石至石底段四升三改建工程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项目总投资1719.75万元。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云安区石城镇X808线迳心至南蛇口段四升三改建工程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项目总投资3968.8896万元。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云浮市云安区下赤永河山洪沟治理工程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w:t>
            </w:r>
            <w:r>
              <w:rPr>
                <w:rFonts w:hint="eastAsia" w:ascii="华文仿宋" w:hAnsi="华文仿宋" w:eastAsia="华文仿宋" w:cs="宋体"/>
                <w:sz w:val="21"/>
                <w:szCs w:val="21"/>
                <w:lang w:eastAsia="zh-CN"/>
              </w:rPr>
              <w:t>1200.1</w:t>
            </w:r>
            <w:r>
              <w:rPr>
                <w:rFonts w:hint="eastAsia" w:ascii="华文仿宋" w:hAnsi="华文仿宋" w:eastAsia="华文仿宋" w:cs="宋体"/>
                <w:sz w:val="21"/>
                <w:szCs w:val="21"/>
                <w:lang w:val="en-US" w:eastAsia="zh-CN"/>
              </w:rPr>
              <w:t>0万元。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云安区白石镇 Y712 线马山脚至竹迳单改双改建工程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项目总投资3567.2604万元。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2023年度云浮市云安区富林镇高标准农田建设项目</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项目总投资900.00万元。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2023年度云浮市云安区六都镇高标准农田建设改造提升项目</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项目总投资420.00万元。</w:t>
            </w:r>
          </w:p>
          <w:p>
            <w:pPr>
              <w:pStyle w:val="2"/>
              <w:numPr>
                <w:ilvl w:val="0"/>
                <w:numId w:val="2"/>
              </w:numPr>
              <w:ind w:left="0" w:firstLine="420" w:firstLineChars="200"/>
              <w:rPr>
                <w:rFonts w:hint="default" w:ascii="华文仿宋" w:hAnsi="华文仿宋" w:eastAsia="华文仿宋" w:cs="宋体"/>
                <w:sz w:val="21"/>
                <w:szCs w:val="21"/>
              </w:rPr>
            </w:pPr>
            <w:r>
              <w:rPr>
                <w:rFonts w:hint="default" w:ascii="华文仿宋" w:hAnsi="华文仿宋" w:eastAsia="华文仿宋" w:cs="宋体"/>
                <w:sz w:val="21"/>
                <w:szCs w:val="21"/>
              </w:rPr>
              <w:t>云安区高村镇深步河小流域综合治理工程</w:t>
            </w:r>
            <w:r>
              <w:rPr>
                <w:rFonts w:hint="eastAsia" w:ascii="华文仿宋" w:hAnsi="华文仿宋" w:eastAsia="华文仿宋" w:cs="宋体"/>
                <w:sz w:val="21"/>
                <w:szCs w:val="21"/>
                <w:lang w:eastAsia="zh-CN"/>
              </w:rPr>
              <w:t>，</w:t>
            </w:r>
            <w:r>
              <w:rPr>
                <w:rFonts w:hint="eastAsia" w:ascii="华文仿宋" w:hAnsi="华文仿宋" w:eastAsia="华文仿宋" w:cs="宋体"/>
                <w:sz w:val="21"/>
                <w:szCs w:val="21"/>
                <w:lang w:val="en-US" w:eastAsia="zh-CN"/>
              </w:rPr>
              <w:t>项目总投资799.27万元。</w:t>
            </w:r>
          </w:p>
        </w:tc>
      </w:tr>
    </w:tbl>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华文仿宋" w:hAnsi="华文仿宋" w:eastAsia="华文仿宋" w:cs="宋体"/>
          <w:kern w:val="0"/>
          <w:u w:color="000000"/>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hint="eastAsia" w:ascii="华文仿宋" w:hAnsi="华文仿宋" w:eastAsia="华文仿宋" w:cs="宋体"/>
          <w:kern w:val="0"/>
          <w:u w:color="000000"/>
        </w:rPr>
      </w:pPr>
      <w:r>
        <w:rPr>
          <w:rFonts w:hint="eastAsia" w:ascii="华文仿宋" w:hAnsi="华文仿宋" w:eastAsia="华文仿宋" w:cs="Times New Roman"/>
        </w:rPr>
        <w:t>根据《</w:t>
      </w:r>
      <w:r>
        <w:rPr>
          <w:rFonts w:hint="eastAsia" w:ascii="华文仿宋" w:hAnsi="华文仿宋" w:eastAsia="华文仿宋" w:cs="Times New Roman"/>
          <w:highlight w:val="none"/>
          <w:lang w:eastAsia="zh-CN"/>
        </w:rPr>
        <w:t>云安区省级现代农业产业园基础设施配套项目</w:t>
      </w:r>
      <w:r>
        <w:rPr>
          <w:rFonts w:hint="eastAsia" w:ascii="华文仿宋" w:hAnsi="华文仿宋" w:eastAsia="华文仿宋" w:cs="Times New Roman"/>
          <w:highlight w:val="none"/>
        </w:rPr>
        <w:t>募投报告》</w:t>
      </w:r>
      <w:r>
        <w:rPr>
          <w:rFonts w:hint="eastAsia" w:ascii="华文仿宋" w:hAnsi="华文仿宋" w:eastAsia="华文仿宋" w:cs="宋体"/>
          <w:kern w:val="0"/>
          <w:u w:color="000000"/>
        </w:rPr>
        <w:t>的相关内容，并经本所律师核查，</w:t>
      </w:r>
      <w:r>
        <w:rPr>
          <w:rFonts w:hint="eastAsia" w:ascii="华文仿宋" w:hAnsi="华文仿宋" w:eastAsia="华文仿宋" w:cs="宋体"/>
          <w:kern w:val="0"/>
          <w:u w:color="000000"/>
          <w:lang w:eastAsia="zh-CN"/>
        </w:rPr>
        <w:t>云安区省级现代农业产业园基础设施配套项目</w:t>
      </w:r>
      <w:r>
        <w:rPr>
          <w:rFonts w:hint="eastAsia" w:ascii="华文仿宋" w:hAnsi="华文仿宋" w:eastAsia="华文仿宋" w:cs="宋体"/>
          <w:kern w:val="0"/>
          <w:u w:color="000000"/>
        </w:rPr>
        <w:t>包含了</w:t>
      </w:r>
      <w:r>
        <w:rPr>
          <w:rFonts w:hint="eastAsia" w:ascii="华文仿宋" w:hAnsi="华文仿宋" w:eastAsia="华文仿宋" w:cs="宋体"/>
          <w:kern w:val="0"/>
          <w:u w:color="000000"/>
          <w:lang w:eastAsia="zh-CN"/>
        </w:rPr>
        <w:t>18个子项目</w:t>
      </w:r>
      <w:r>
        <w:rPr>
          <w:rFonts w:hint="eastAsia" w:ascii="华文仿宋" w:hAnsi="华文仿宋" w:eastAsia="华文仿宋" w:cs="宋体"/>
          <w:kern w:val="0"/>
          <w:u w:color="000000"/>
        </w:rPr>
        <w:t>，上述</w:t>
      </w:r>
      <w:r>
        <w:rPr>
          <w:rFonts w:hint="eastAsia" w:ascii="华文仿宋" w:hAnsi="华文仿宋" w:eastAsia="华文仿宋" w:cs="宋体"/>
          <w:kern w:val="0"/>
          <w:u w:color="000000"/>
          <w:lang w:eastAsia="zh-CN"/>
        </w:rPr>
        <w:t>18个子项目</w:t>
      </w:r>
      <w:r>
        <w:rPr>
          <w:rFonts w:hint="eastAsia" w:ascii="华文仿宋" w:hAnsi="华文仿宋" w:eastAsia="华文仿宋" w:cs="宋体"/>
          <w:kern w:val="0"/>
          <w:u w:color="000000"/>
        </w:rPr>
        <w:t>的基本情况如下：</w:t>
      </w:r>
    </w:p>
    <w:p>
      <w:pPr>
        <w:pStyle w:val="2"/>
      </w:pPr>
    </w:p>
    <w:tbl>
      <w:tblPr>
        <w:tblStyle w:val="12"/>
        <w:tblW w:w="11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988"/>
        <w:gridCol w:w="3522"/>
        <w:gridCol w:w="2872"/>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序号</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名称</w:t>
            </w:r>
          </w:p>
        </w:tc>
        <w:tc>
          <w:tcPr>
            <w:tcW w:w="3522"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项目立项情况</w:t>
            </w:r>
          </w:p>
        </w:tc>
        <w:tc>
          <w:tcPr>
            <w:tcW w:w="2872"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项目情况概述</w:t>
            </w:r>
          </w:p>
        </w:tc>
        <w:tc>
          <w:tcPr>
            <w:tcW w:w="2150" w:type="dxa"/>
            <w:vAlign w:val="center"/>
          </w:tcPr>
          <w:p>
            <w:pPr>
              <w:widowControl/>
              <w:tabs>
                <w:tab w:val="left" w:pos="55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b/>
                <w:bCs/>
                <w:kern w:val="0"/>
                <w:sz w:val="21"/>
                <w:szCs w:val="21"/>
                <w:u w:color="000000"/>
              </w:rPr>
              <w:t>项目总投资（万元）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b/>
                <w:bCs/>
                <w:kern w:val="0"/>
                <w:sz w:val="21"/>
                <w:szCs w:val="21"/>
                <w:u w:color="000000"/>
              </w:rPr>
            </w:pPr>
            <w:r>
              <w:rPr>
                <w:rFonts w:hint="eastAsia" w:ascii="华文仿宋" w:hAnsi="华文仿宋" w:eastAsia="华文仿宋" w:cs="宋体"/>
                <w:kern w:val="0"/>
                <w:sz w:val="21"/>
                <w:szCs w:val="21"/>
                <w:u w:color="000000"/>
              </w:rPr>
              <w:t>1</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云安区省级现代农业肉牛产业园石城镇基础设施配套建设项目</w:t>
            </w:r>
          </w:p>
        </w:tc>
        <w:tc>
          <w:tcPr>
            <w:tcW w:w="3522" w:type="dxa"/>
          </w:tcPr>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本项目已取得《关于云安区肉牛产业园石城镇基础设施</w:t>
            </w:r>
            <w:r>
              <w:rPr>
                <w:rFonts w:hint="eastAsia" w:ascii="华文仿宋" w:hAnsi="华文仿宋" w:eastAsia="华文仿宋" w:cs="宋体"/>
                <w:color w:val="000000"/>
                <w:kern w:val="0"/>
                <w:sz w:val="21"/>
                <w:szCs w:val="21"/>
                <w:lang w:val="en-US" w:eastAsia="zh-CN"/>
              </w:rPr>
              <w:t>配套</w:t>
            </w:r>
            <w:r>
              <w:rPr>
                <w:rFonts w:hint="eastAsia" w:ascii="华文仿宋" w:hAnsi="华文仿宋" w:eastAsia="华文仿宋" w:cs="宋体"/>
                <w:color w:val="000000"/>
                <w:kern w:val="0"/>
                <w:sz w:val="21"/>
                <w:szCs w:val="21"/>
              </w:rPr>
              <w:t>建设项目</w:t>
            </w:r>
            <w:r>
              <w:rPr>
                <w:rFonts w:hint="eastAsia" w:ascii="华文仿宋" w:hAnsi="华文仿宋" w:eastAsia="华文仿宋" w:cs="宋体"/>
                <w:color w:val="000000"/>
                <w:kern w:val="0"/>
                <w:sz w:val="21"/>
                <w:szCs w:val="21"/>
                <w:lang w:val="en-US" w:eastAsia="zh-CN"/>
              </w:rPr>
              <w:t>可行性研究报告</w:t>
            </w:r>
            <w:r>
              <w:rPr>
                <w:rFonts w:hint="eastAsia" w:ascii="华文仿宋" w:hAnsi="华文仿宋" w:eastAsia="华文仿宋" w:cs="宋体"/>
                <w:color w:val="000000"/>
                <w:kern w:val="0"/>
                <w:sz w:val="21"/>
                <w:szCs w:val="21"/>
              </w:rPr>
              <w:t>的批复》（</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137</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本项目已取得《关于云安区肉牛产业园石城镇基础设施</w:t>
            </w:r>
            <w:r>
              <w:rPr>
                <w:rFonts w:hint="eastAsia" w:ascii="华文仿宋" w:hAnsi="华文仿宋" w:eastAsia="华文仿宋" w:cs="宋体"/>
                <w:color w:val="000000"/>
                <w:kern w:val="0"/>
                <w:sz w:val="21"/>
                <w:szCs w:val="21"/>
                <w:lang w:val="en-US" w:eastAsia="zh-CN"/>
              </w:rPr>
              <w:t>配套</w:t>
            </w:r>
            <w:r>
              <w:rPr>
                <w:rFonts w:hint="eastAsia" w:ascii="华文仿宋" w:hAnsi="华文仿宋" w:eastAsia="华文仿宋" w:cs="宋体"/>
                <w:color w:val="000000"/>
                <w:kern w:val="0"/>
                <w:sz w:val="21"/>
                <w:szCs w:val="21"/>
              </w:rPr>
              <w:t>建设项目</w:t>
            </w:r>
            <w:r>
              <w:rPr>
                <w:rFonts w:hint="eastAsia" w:ascii="华文仿宋" w:hAnsi="华文仿宋" w:eastAsia="华文仿宋" w:cs="宋体"/>
                <w:color w:val="000000"/>
                <w:kern w:val="0"/>
                <w:sz w:val="21"/>
                <w:szCs w:val="21"/>
                <w:lang w:val="en-US" w:eastAsia="zh-CN"/>
              </w:rPr>
              <w:t>可行性研究报告变更的复函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195</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本项目已取得《关于变更云安区肉牛产业园石城镇基础设施</w:t>
            </w:r>
            <w:r>
              <w:rPr>
                <w:rFonts w:hint="eastAsia" w:ascii="华文仿宋" w:hAnsi="华文仿宋" w:eastAsia="华文仿宋" w:cs="宋体"/>
                <w:color w:val="000000"/>
                <w:kern w:val="0"/>
                <w:sz w:val="21"/>
                <w:szCs w:val="21"/>
                <w:lang w:val="en-US" w:eastAsia="zh-CN"/>
              </w:rPr>
              <w:t>配套</w:t>
            </w:r>
            <w:r>
              <w:rPr>
                <w:rFonts w:hint="eastAsia" w:ascii="华文仿宋" w:hAnsi="华文仿宋" w:eastAsia="华文仿宋" w:cs="宋体"/>
                <w:color w:val="000000"/>
                <w:kern w:val="0"/>
                <w:sz w:val="21"/>
                <w:szCs w:val="21"/>
              </w:rPr>
              <w:t>建设项目</w:t>
            </w:r>
            <w:r>
              <w:rPr>
                <w:rFonts w:hint="eastAsia" w:ascii="华文仿宋" w:hAnsi="华文仿宋" w:eastAsia="华文仿宋" w:cs="宋体"/>
                <w:color w:val="000000"/>
                <w:kern w:val="0"/>
                <w:sz w:val="21"/>
                <w:szCs w:val="21"/>
                <w:lang w:val="en-US" w:eastAsia="zh-CN"/>
              </w:rPr>
              <w:t>名称变更的复函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216</w:t>
            </w:r>
            <w:r>
              <w:rPr>
                <w:rFonts w:hint="eastAsia" w:ascii="华文仿宋" w:hAnsi="华文仿宋" w:eastAsia="华文仿宋" w:cs="宋体"/>
                <w:color w:val="000000"/>
                <w:kern w:val="0"/>
                <w:sz w:val="21"/>
                <w:szCs w:val="21"/>
              </w:rPr>
              <w:t>号）。</w:t>
            </w:r>
          </w:p>
          <w:p>
            <w:pPr>
              <w:pStyle w:val="20"/>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本项目已取得《关于云安区省级现代农业肉牛产业园石城镇基础设施配套建设项目</w:t>
            </w:r>
            <w:r>
              <w:rPr>
                <w:rFonts w:hint="eastAsia" w:ascii="华文仿宋" w:hAnsi="华文仿宋" w:eastAsia="华文仿宋" w:cs="宋体"/>
                <w:color w:val="000000"/>
                <w:kern w:val="0"/>
                <w:sz w:val="21"/>
                <w:szCs w:val="21"/>
                <w:lang w:val="en-US" w:eastAsia="zh-CN"/>
              </w:rPr>
              <w:t>初步设计概算的批复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228</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石城镇各行政村道路硬底化、巷道道路建设69996平方米，新建石城镇环镇路混凝土路面385平方米，改善道路排水设施，各行政村打造1-2条精品特色村和乡村振兴示范带，其中铺设沥青混凝土8335平方米、混凝土路3062平方米、外墙绘画737.35平方米。重要河流一河两岸精品带进行绿化提升，其中河道疏通整治约1000米。对托洞、茶洞两个圩镇、产业园周边村庄村容村貌和国道沿线风貌进行绿化提升，完善道路硬底化、排水、污水等基础设施建设。</w:t>
            </w:r>
          </w:p>
        </w:tc>
        <w:tc>
          <w:tcPr>
            <w:tcW w:w="2150" w:type="dxa"/>
          </w:tcPr>
          <w:p>
            <w:pPr>
              <w:pStyle w:val="2"/>
              <w:jc w:val="center"/>
            </w:pPr>
            <w:r>
              <w:rPr>
                <w:rFonts w:hint="eastAsia" w:ascii="华文仿宋" w:hAnsi="华文仿宋" w:eastAsia="华文仿宋" w:cs="宋体"/>
                <w:color w:val="000000"/>
                <w:kern w:val="0"/>
                <w:sz w:val="21"/>
                <w:szCs w:val="21"/>
              </w:rPr>
              <w:t>3212.35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2</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云安区肉牛产业园区富林镇基础设施配套建设项目</w:t>
            </w:r>
          </w:p>
        </w:tc>
        <w:tc>
          <w:tcPr>
            <w:tcW w:w="3522" w:type="dxa"/>
          </w:tcPr>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本项目已取得《关于云安区肉牛产业园区富林镇基础设施配套建设项目</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153</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w:t>
            </w:r>
          </w:p>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本项目已取得《关于云安区肉牛产业园区富林镇基础设施配套建设项目</w:t>
            </w:r>
            <w:r>
              <w:rPr>
                <w:rFonts w:hint="eastAsia" w:ascii="华文仿宋" w:hAnsi="华文仿宋" w:eastAsia="华文仿宋" w:cs="宋体"/>
                <w:color w:val="000000"/>
                <w:kern w:val="0"/>
                <w:sz w:val="21"/>
                <w:szCs w:val="21"/>
                <w:lang w:val="en-US" w:eastAsia="zh-CN"/>
              </w:rPr>
              <w:t>可行性研究报告变更的复函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180</w:t>
            </w:r>
            <w:r>
              <w:rPr>
                <w:rFonts w:hint="eastAsia" w:ascii="华文仿宋" w:hAnsi="华文仿宋" w:eastAsia="华文仿宋" w:cs="宋体"/>
                <w:color w:val="000000"/>
                <w:kern w:val="0"/>
                <w:sz w:val="21"/>
                <w:szCs w:val="21"/>
              </w:rPr>
              <w:t>号）。</w:t>
            </w:r>
          </w:p>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本项目已取得《关于云安区肉牛产业园区富林镇基础设施配套建设项目</w:t>
            </w:r>
            <w:r>
              <w:rPr>
                <w:rFonts w:hint="eastAsia" w:ascii="华文仿宋" w:hAnsi="华文仿宋" w:eastAsia="华文仿宋" w:cs="宋体"/>
                <w:color w:val="000000"/>
                <w:kern w:val="0"/>
                <w:sz w:val="21"/>
                <w:szCs w:val="21"/>
                <w:lang w:val="en-US" w:eastAsia="zh-CN"/>
              </w:rPr>
              <w:t>初步设计概算的批复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221</w:t>
            </w:r>
            <w:r>
              <w:rPr>
                <w:rFonts w:hint="eastAsia" w:ascii="华文仿宋" w:hAnsi="华文仿宋" w:eastAsia="华文仿宋" w:cs="宋体"/>
                <w:color w:val="000000"/>
                <w:kern w:val="0"/>
                <w:sz w:val="21"/>
                <w:szCs w:val="21"/>
              </w:rPr>
              <w:t>号）。</w:t>
            </w:r>
          </w:p>
          <w:p>
            <w:pPr>
              <w:pStyle w:val="20"/>
              <w:widowControl/>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Chars="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本项目已取得《关于云安区肉牛产业</w:t>
            </w:r>
            <w:r>
              <w:rPr>
                <w:rFonts w:hint="eastAsia" w:ascii="华文仿宋" w:hAnsi="华文仿宋" w:eastAsia="华文仿宋" w:cs="宋体"/>
                <w:color w:val="000000"/>
                <w:kern w:val="0"/>
                <w:sz w:val="21"/>
                <w:szCs w:val="21"/>
                <w:lang w:val="en-US" w:eastAsia="zh-CN"/>
              </w:rPr>
              <w:t>园</w:t>
            </w:r>
            <w:r>
              <w:rPr>
                <w:rFonts w:hint="eastAsia" w:ascii="华文仿宋" w:hAnsi="华文仿宋" w:eastAsia="华文仿宋" w:cs="宋体"/>
                <w:color w:val="000000"/>
                <w:kern w:val="0"/>
                <w:sz w:val="21"/>
                <w:szCs w:val="21"/>
              </w:rPr>
              <w:t>区富林镇基础设施配套建设项目可行性研究报告调整变更的复函》（</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59</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 xml:space="preserve"> (1)一 期工程投资约1406.26万 元,建设内容主要包括:产业配套设施工程面积约为12750平 方米,纪 念公旁道路提升工程面积约为 2100平方米,河道清淤工程清淤量约为 8500立 方米,乡 道旁人居环境提升工程面积约为 4600平方米,亲 水平 台及周边建设工程面积约为6250平方米。 (2)二期工程投资约 1588.70万元,建设内容主要包括:民 主至界石养殖小区、产业社区周边道路拓宽改造面积约为 6500平方米, 乡村风貌提升面积约为15000平方米,产业社区改造面积约为 3000平 方米。</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eastAsia="zh-CN"/>
              </w:rPr>
            </w:pPr>
            <w:r>
              <w:rPr>
                <w:rFonts w:hint="eastAsia" w:ascii="华文仿宋" w:hAnsi="华文仿宋" w:eastAsia="华文仿宋" w:cs="宋体"/>
                <w:color w:val="000000"/>
                <w:kern w:val="0"/>
                <w:sz w:val="21"/>
                <w:szCs w:val="21"/>
                <w:lang w:val="en-US" w:eastAsia="zh-CN"/>
              </w:rPr>
              <w:t>2994.96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3</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云安区花卉产业园白石镇基础设施配套建设项目</w:t>
            </w:r>
          </w:p>
        </w:tc>
        <w:tc>
          <w:tcPr>
            <w:tcW w:w="3522" w:type="dxa"/>
          </w:tcPr>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本项目已取得《关于云安区花卉产业园白石镇基础设施配套建设项目</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138</w:t>
            </w:r>
            <w:r>
              <w:rPr>
                <w:rFonts w:hint="eastAsia" w:ascii="华文仿宋" w:hAnsi="华文仿宋" w:eastAsia="华文仿宋" w:cs="宋体"/>
                <w:color w:val="000000"/>
                <w:kern w:val="0"/>
                <w:sz w:val="21"/>
                <w:szCs w:val="21"/>
              </w:rPr>
              <w:t>号）。</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本项目已取得《关于云安区花卉产业园白石镇基础设施配套建设项目</w:t>
            </w:r>
            <w:r>
              <w:rPr>
                <w:rFonts w:hint="eastAsia" w:ascii="华文仿宋" w:hAnsi="华文仿宋" w:eastAsia="华文仿宋" w:cs="宋体"/>
                <w:color w:val="000000"/>
                <w:kern w:val="0"/>
                <w:sz w:val="21"/>
                <w:szCs w:val="21"/>
                <w:lang w:val="en-US" w:eastAsia="zh-CN"/>
              </w:rPr>
              <w:t>初步设计概算的批复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190</w:t>
            </w:r>
            <w:r>
              <w:rPr>
                <w:rFonts w:hint="eastAsia" w:ascii="华文仿宋" w:hAnsi="华文仿宋" w:eastAsia="华文仿宋" w:cs="宋体"/>
                <w:color w:val="000000"/>
                <w:kern w:val="0"/>
                <w:sz w:val="21"/>
                <w:szCs w:val="21"/>
              </w:rPr>
              <w:t>号）。</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本项目已取得《关于同意实施云安区花卉产业园白石镇基础设施建设项目的复函》（</w:t>
            </w:r>
            <w:r>
              <w:rPr>
                <w:rFonts w:hint="eastAsia" w:ascii="华文仿宋" w:hAnsi="华文仿宋" w:eastAsia="华文仿宋" w:cs="宋体"/>
                <w:color w:val="000000"/>
                <w:kern w:val="0"/>
                <w:sz w:val="21"/>
                <w:szCs w:val="21"/>
                <w:lang w:val="en-US" w:eastAsia="zh-CN"/>
              </w:rPr>
              <w:t>云安区府办函</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157</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p>
          <w:p>
            <w:pPr>
              <w:pStyle w:val="20"/>
              <w:widowControl/>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本项目已取得《关于云安区花卉产业园白石镇基础设施配套建设项目</w:t>
            </w:r>
            <w:r>
              <w:rPr>
                <w:rFonts w:hint="eastAsia" w:ascii="华文仿宋" w:hAnsi="华文仿宋" w:eastAsia="华文仿宋" w:cs="宋体"/>
                <w:color w:val="000000"/>
                <w:kern w:val="0"/>
                <w:sz w:val="21"/>
                <w:szCs w:val="21"/>
                <w:lang w:val="en-US" w:eastAsia="zh-CN"/>
              </w:rPr>
              <w:t>可行性研究报告变更的复函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65</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一期：振兴大桥及道路工程，建设投资2100.95万元。包括：建设设计速度40公里/小时的双向两车道三级公路，路线总长573米(包含新建的桥梁73米及改造的桥头衔接路长500米)。其中建设桥梁1座，全长为73米，桥梁跨径组合为：1×10米+3×16米+1×10米；桥宽为13.5～20.5米，标准横断面布置为：</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2.5米人行道+8.5米车行道+2.5米人行道。桥梁上部结构主跨采用梁高0.85米的预制空心板，边跨采用梁高为0.65米的现浇空心板。下部结构桥墩采用直径1.1米柱式墩，直径1.3米桩基础；桥台采用柱式台，基础采用直径1.2米桩基础。此外，为方便预制梁运输，需修建宽8.5米，长1000米的临时便道。</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二期：云磴路段工程，建设投资565.80万元。包括：1、云磴路段道路排水沟拓宽；2、沙井修复22座；3、路灯迁移3根；4、预埋管线90米(铜芯电力电缆5*10平方);5、地面划线(标线7800米)</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6、新修沥青路面24460平方米；7、修补沥青路面530平方米；8、道路拓宽4473平方米；9、新修水泥路面1560平方米。</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三期：征久塘改造提升工程，建设投资508.70万元。包括：1、征久塘清杂清淤9930.6立方米；2、环塘步道修建约379米；3、文化廊庭休闲平台修建约25平方米；4、塑胶跑道修建约790平方米；5、植物绿化约723.3平方米；6、太阳能路灯19盏；7、仿木栏杆371米；8、农房微改造约5000平方米；9、公厕修建1座；10、新建放水涵及排水等零星工程。</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eastAsia="zh-CN"/>
              </w:rPr>
            </w:pPr>
            <w:r>
              <w:rPr>
                <w:rFonts w:hint="eastAsia" w:ascii="华文仿宋" w:hAnsi="华文仿宋" w:eastAsia="华文仿宋" w:cs="宋体"/>
                <w:sz w:val="21"/>
                <w:szCs w:val="21"/>
                <w:lang w:val="en-US" w:eastAsia="zh-CN"/>
              </w:rPr>
              <w:t>3175.45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4</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云</w:t>
            </w:r>
            <w:r>
              <w:rPr>
                <w:rFonts w:hint="eastAsia" w:ascii="华文仿宋" w:hAnsi="华文仿宋" w:eastAsia="华文仿宋" w:cs="宋体"/>
                <w:color w:val="000000"/>
                <w:kern w:val="0"/>
                <w:sz w:val="21"/>
                <w:szCs w:val="21"/>
              </w:rPr>
              <w:t>安区生猪产业园镇安镇基础设施建设项目</w:t>
            </w:r>
          </w:p>
        </w:tc>
        <w:tc>
          <w:tcPr>
            <w:tcW w:w="3522" w:type="dxa"/>
          </w:tcPr>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w:t>
            </w:r>
            <w:r>
              <w:rPr>
                <w:rFonts w:hint="eastAsia" w:ascii="华文仿宋" w:hAnsi="华文仿宋" w:eastAsia="华文仿宋" w:cs="宋体"/>
                <w:color w:val="000000"/>
                <w:kern w:val="0"/>
                <w:sz w:val="21"/>
                <w:szCs w:val="21"/>
                <w:lang w:val="en-US" w:eastAsia="zh-CN"/>
              </w:rPr>
              <w:t>云</w:t>
            </w:r>
            <w:r>
              <w:rPr>
                <w:rFonts w:hint="eastAsia" w:ascii="华文仿宋" w:hAnsi="华文仿宋" w:eastAsia="华文仿宋" w:cs="宋体"/>
                <w:color w:val="000000"/>
                <w:kern w:val="0"/>
                <w:sz w:val="21"/>
                <w:szCs w:val="21"/>
              </w:rPr>
              <w:t>安区生猪产业园镇安镇基础设施建设项目</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154</w:t>
            </w:r>
            <w:r>
              <w:rPr>
                <w:rFonts w:hint="eastAsia" w:ascii="华文仿宋" w:hAnsi="华文仿宋" w:eastAsia="华文仿宋" w:cs="宋体"/>
                <w:color w:val="000000"/>
                <w:kern w:val="0"/>
                <w:sz w:val="21"/>
                <w:szCs w:val="21"/>
              </w:rPr>
              <w:t>号）。</w:t>
            </w:r>
          </w:p>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w:t>
            </w:r>
            <w:r>
              <w:rPr>
                <w:rFonts w:hint="eastAsia" w:ascii="华文仿宋" w:hAnsi="华文仿宋" w:eastAsia="华文仿宋" w:cs="宋体"/>
                <w:color w:val="000000"/>
                <w:kern w:val="0"/>
                <w:sz w:val="21"/>
                <w:szCs w:val="21"/>
                <w:lang w:val="en-US" w:eastAsia="zh-CN"/>
              </w:rPr>
              <w:t>云</w:t>
            </w:r>
            <w:r>
              <w:rPr>
                <w:rFonts w:hint="eastAsia" w:ascii="华文仿宋" w:hAnsi="华文仿宋" w:eastAsia="华文仿宋" w:cs="宋体"/>
                <w:color w:val="000000"/>
                <w:kern w:val="0"/>
                <w:sz w:val="21"/>
                <w:szCs w:val="21"/>
              </w:rPr>
              <w:t>安区生猪产业园镇安镇基础设施建设项目</w:t>
            </w:r>
            <w:r>
              <w:rPr>
                <w:rFonts w:hint="eastAsia" w:ascii="华文仿宋" w:hAnsi="华文仿宋" w:eastAsia="华文仿宋" w:cs="宋体"/>
                <w:color w:val="000000"/>
                <w:kern w:val="0"/>
                <w:sz w:val="21"/>
                <w:szCs w:val="21"/>
                <w:lang w:val="en-US" w:eastAsia="zh-CN"/>
              </w:rPr>
              <w:t>初步设计概算的批复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208</w:t>
            </w:r>
            <w:r>
              <w:rPr>
                <w:rFonts w:hint="eastAsia" w:ascii="华文仿宋" w:hAnsi="华文仿宋" w:eastAsia="华文仿宋" w:cs="宋体"/>
                <w:color w:val="000000"/>
                <w:kern w:val="0"/>
                <w:sz w:val="21"/>
                <w:szCs w:val="21"/>
              </w:rPr>
              <w:t>号）。</w:t>
            </w:r>
          </w:p>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w:t>
            </w:r>
            <w:r>
              <w:rPr>
                <w:rFonts w:hint="eastAsia" w:ascii="华文仿宋" w:hAnsi="华文仿宋" w:eastAsia="华文仿宋" w:cs="宋体"/>
                <w:color w:val="000000"/>
                <w:kern w:val="0"/>
                <w:sz w:val="21"/>
                <w:szCs w:val="21"/>
                <w:lang w:val="en-US" w:eastAsia="zh-CN"/>
              </w:rPr>
              <w:t>云</w:t>
            </w:r>
            <w:r>
              <w:rPr>
                <w:rFonts w:hint="eastAsia" w:ascii="华文仿宋" w:hAnsi="华文仿宋" w:eastAsia="华文仿宋" w:cs="宋体"/>
                <w:color w:val="000000"/>
                <w:kern w:val="0"/>
                <w:sz w:val="21"/>
                <w:szCs w:val="21"/>
              </w:rPr>
              <w:t>安区生猪产业园镇安镇基础设施建设项目</w:t>
            </w:r>
            <w:r>
              <w:rPr>
                <w:rFonts w:hint="eastAsia" w:ascii="华文仿宋" w:hAnsi="华文仿宋" w:eastAsia="华文仿宋" w:cs="宋体"/>
                <w:color w:val="000000"/>
                <w:kern w:val="0"/>
                <w:sz w:val="21"/>
                <w:szCs w:val="21"/>
                <w:lang w:val="en-US" w:eastAsia="zh-CN"/>
              </w:rPr>
              <w:t>可行性研究报告变更的复函</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74</w:t>
            </w:r>
            <w:r>
              <w:rPr>
                <w:rFonts w:hint="eastAsia" w:ascii="华文仿宋" w:hAnsi="华文仿宋" w:eastAsia="华文仿宋" w:cs="宋体"/>
                <w:color w:val="000000"/>
                <w:kern w:val="0"/>
                <w:sz w:val="21"/>
                <w:szCs w:val="21"/>
              </w:rPr>
              <w:t>号）。</w:t>
            </w:r>
          </w:p>
          <w:p>
            <w:pPr>
              <w:pStyle w:val="20"/>
              <w:widowControl/>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本项目已取得《关于同意实施云安区生猪产业园镇安镇基础设施建设项目的复函》（</w:t>
            </w:r>
            <w:r>
              <w:rPr>
                <w:rFonts w:hint="eastAsia" w:ascii="华文仿宋" w:hAnsi="华文仿宋" w:eastAsia="华文仿宋" w:cs="宋体"/>
                <w:color w:val="000000"/>
                <w:kern w:val="0"/>
                <w:sz w:val="21"/>
                <w:szCs w:val="21"/>
                <w:lang w:val="en-US" w:eastAsia="zh-CN"/>
              </w:rPr>
              <w:t>云安区府办函</w:t>
            </w:r>
            <w:r>
              <w:rPr>
                <w:rFonts w:hint="eastAsia" w:ascii="华文仿宋" w:hAnsi="华文仿宋" w:eastAsia="华文仿宋" w:cs="宋体"/>
                <w:color w:val="000000"/>
                <w:kern w:val="0"/>
                <w:sz w:val="21"/>
                <w:szCs w:val="21"/>
              </w:rPr>
              <w:t>〔20</w:t>
            </w:r>
            <w:r>
              <w:rPr>
                <w:rFonts w:hint="eastAsia" w:ascii="华文仿宋" w:hAnsi="华文仿宋" w:eastAsia="华文仿宋" w:cs="宋体"/>
                <w:color w:val="000000"/>
                <w:kern w:val="0"/>
                <w:sz w:val="21"/>
                <w:szCs w:val="21"/>
                <w:lang w:val="en-US" w:eastAsia="zh-CN"/>
              </w:rPr>
              <w:t>23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152</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园区及周边耕地复垦推广1419</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rPr>
              <w:t>农业配套基础设施提升工程200</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lang w:val="en-US" w:eastAsia="zh-CN"/>
              </w:rPr>
              <w:t>林</w:t>
            </w:r>
            <w:r>
              <w:rPr>
                <w:rFonts w:hint="eastAsia" w:ascii="华文仿宋" w:hAnsi="华文仿宋" w:eastAsia="华文仿宋" w:cs="宋体"/>
                <w:color w:val="000000"/>
                <w:kern w:val="0"/>
                <w:sz w:val="21"/>
                <w:szCs w:val="21"/>
              </w:rPr>
              <w:t>业撂荒地综合整治提升工程900</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rPr>
              <w:t xml:space="preserve"> </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产 业基础配套建设新建人行道10945m</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外 立面、天棚拆除改造工程29438</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门窗改造550</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道 路硬底化13255</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排水建设4760m,铺 设沥青44754</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铺设石地板6200</w:t>
            </w:r>
            <w:r>
              <w:rPr>
                <w:rFonts w:hint="eastAsia" w:ascii="华文仿宋" w:hAnsi="华文仿宋" w:eastAsia="华文仿宋" w:cs="宋体"/>
                <w:color w:val="000000"/>
                <w:kern w:val="0"/>
                <w:sz w:val="21"/>
                <w:szCs w:val="21"/>
                <w:lang w:val="en-US" w:eastAsia="zh-CN"/>
              </w:rPr>
              <w:t>m</w:t>
            </w:r>
            <w:r>
              <w:rPr>
                <w:rFonts w:hint="eastAsia" w:ascii="华文仿宋" w:hAnsi="华文仿宋" w:eastAsia="华文仿宋" w:cs="宋体"/>
                <w:color w:val="000000"/>
                <w:kern w:val="0"/>
                <w:sz w:val="21"/>
                <w:szCs w:val="21"/>
                <w:vertAlign w:val="superscript"/>
                <w:lang w:val="en-US" w:eastAsia="zh-CN"/>
              </w:rPr>
              <w:t>2</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lang w:val="en-US" w:eastAsia="zh-CN"/>
              </w:rPr>
              <w:t>挡土</w:t>
            </w:r>
            <w:r>
              <w:rPr>
                <w:rFonts w:hint="eastAsia" w:ascii="华文仿宋" w:hAnsi="华文仿宋" w:eastAsia="华文仿宋" w:cs="宋体"/>
                <w:color w:val="000000"/>
                <w:kern w:val="0"/>
                <w:sz w:val="21"/>
                <w:szCs w:val="21"/>
              </w:rPr>
              <w:t>墙2495m</w:t>
            </w:r>
            <w:r>
              <w:rPr>
                <w:rFonts w:hint="eastAsia" w:ascii="华文仿宋" w:hAnsi="华文仿宋" w:eastAsia="华文仿宋" w:cs="宋体"/>
                <w:color w:val="000000"/>
                <w:kern w:val="0"/>
                <w:sz w:val="21"/>
                <w:szCs w:val="21"/>
                <w:vertAlign w:val="superscript"/>
              </w:rPr>
              <w:t>3</w:t>
            </w:r>
            <w:r>
              <w:rPr>
                <w:rFonts w:hint="eastAsia" w:ascii="华文仿宋" w:hAnsi="华文仿宋" w:eastAsia="华文仿宋" w:cs="宋体"/>
                <w:color w:val="000000"/>
                <w:kern w:val="0"/>
                <w:sz w:val="21"/>
                <w:szCs w:val="21"/>
              </w:rPr>
              <w:t>,土方开挖及外运33759m</w:t>
            </w:r>
            <w:r>
              <w:rPr>
                <w:rFonts w:hint="eastAsia" w:ascii="华文仿宋" w:hAnsi="华文仿宋" w:eastAsia="华文仿宋" w:cs="宋体"/>
                <w:color w:val="000000"/>
                <w:kern w:val="0"/>
                <w:sz w:val="21"/>
                <w:szCs w:val="21"/>
                <w:vertAlign w:val="superscript"/>
              </w:rPr>
              <w:t>3</w:t>
            </w:r>
            <w:r>
              <w:rPr>
                <w:rFonts w:hint="eastAsia" w:ascii="华文仿宋" w:hAnsi="华文仿宋" w:eastAsia="华文仿宋" w:cs="宋体"/>
                <w:color w:val="000000"/>
                <w:kern w:val="0"/>
                <w:sz w:val="21"/>
                <w:szCs w:val="21"/>
              </w:rPr>
              <w:t>,产业配套文化建设篮球场翻新涂料640m</w:t>
            </w:r>
            <w:r>
              <w:rPr>
                <w:rFonts w:hint="eastAsia" w:ascii="华文仿宋" w:hAnsi="华文仿宋" w:eastAsia="华文仿宋" w:cs="宋体"/>
                <w:color w:val="000000"/>
                <w:kern w:val="0"/>
                <w:sz w:val="21"/>
                <w:szCs w:val="21"/>
                <w:vertAlign w:val="superscript"/>
              </w:rPr>
              <w:t>2</w:t>
            </w:r>
            <w:r>
              <w:rPr>
                <w:rFonts w:hint="eastAsia" w:ascii="华文仿宋" w:hAnsi="华文仿宋" w:eastAsia="华文仿宋" w:cs="宋体"/>
                <w:color w:val="000000"/>
                <w:kern w:val="0"/>
                <w:sz w:val="21"/>
                <w:szCs w:val="21"/>
              </w:rPr>
              <w:t xml:space="preserve"> </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lang w:val="en-US" w:eastAsia="zh-CN"/>
              </w:rPr>
              <w:t>绿</w:t>
            </w:r>
            <w:r>
              <w:rPr>
                <w:rFonts w:hint="eastAsia" w:ascii="华文仿宋" w:hAnsi="华文仿宋" w:eastAsia="华文仿宋" w:cs="宋体"/>
                <w:color w:val="000000"/>
                <w:kern w:val="0"/>
                <w:sz w:val="21"/>
                <w:szCs w:val="21"/>
              </w:rPr>
              <w:t>化提升、照明安装、基础设施监控系统及宣传标识等。</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eastAsia="zh-CN"/>
              </w:rPr>
            </w:pPr>
            <w:r>
              <w:rPr>
                <w:rFonts w:hint="eastAsia" w:ascii="华文仿宋" w:hAnsi="华文仿宋" w:eastAsia="华文仿宋" w:cs="宋体"/>
                <w:sz w:val="21"/>
                <w:szCs w:val="21"/>
                <w:lang w:val="en-US" w:eastAsia="zh-CN"/>
              </w:rPr>
              <w:t>3008.09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5</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云安区花卉产业园都杨镇基础设施建设项目</w:t>
            </w:r>
          </w:p>
        </w:tc>
        <w:tc>
          <w:tcPr>
            <w:tcW w:w="3522" w:type="dxa"/>
          </w:tcPr>
          <w:p>
            <w:pPr>
              <w:pStyle w:val="20"/>
              <w:widowControl/>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本项目已取得《关于云安区花卉产业园都杨镇基础设施建设项目</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云安发改投审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144</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项目拟分期实施建设，计划分六期建设，每期建设内容按各精品村整治内容进行分类划分。主要包括：(1)精品村人居环境整治建设内容主要包括：污水管道敷设约为30000米，污水处理站新建约为6座，村内道路硬底化升级改造面积约为50000平方米，特色外立面升级改造面积约为100000平方米，村内池塘环境改造面积约为50000平方米，文化广场及文化室建设面积约为15000平方米；(2)精品旅游线路建设内容主要包括：文旅生态公园建设面积约为150000平方米，红色精品旅游线路建设面积约为10000平方米，麦洲至洞坑沿线风貌带建设全长约为8000米，杨柳至都友沿线风貌带建设全长约为10000米；(3)花卉产业园基础设施建设内容主要包括：杨柳圩镇道路升级改造面积约为10000平方米，麦洲圩河堤路升级改造面积约为1000平方米；(4)精品村河道疏通整治建设内容主要包括：麦洲村河段河道疏通整治全长约为1000米，大坑冲村河段河道疏通整治全长约为1000米。</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sz w:val="21"/>
                <w:szCs w:val="21"/>
              </w:rPr>
              <w:t>10000.05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6</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云浮市大涌河水闸重建工程项目</w:t>
            </w:r>
          </w:p>
        </w:tc>
        <w:tc>
          <w:tcPr>
            <w:tcW w:w="3522" w:type="dxa"/>
          </w:tcPr>
          <w:p>
            <w:pPr>
              <w:pStyle w:val="20"/>
              <w:widowControl/>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本项目已取得《关于云浮市大涌河水闸重建工程项目</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186</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大涌河水闸重建工程防洪标准采用50年一遇，将水闸改建成总净宽8m(2孔单孔4m),闸底高程4.0m。重建大涌河水闸主要负荷包括工作闸门、检修闸门、照明等。分别如下：(1)3孔工作闸门，每孔闸门配置启闭机功率为2×15kW</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检修闸门启闭机1台，电机功率为</w:t>
            </w:r>
            <w:r>
              <w:rPr>
                <w:rFonts w:hint="eastAsia" w:ascii="华文仿宋" w:hAnsi="华文仿宋" w:eastAsia="华文仿宋" w:cs="宋体"/>
                <w:color w:val="000000"/>
                <w:kern w:val="0"/>
                <w:sz w:val="21"/>
                <w:szCs w:val="21"/>
              </w:rPr>
              <w:t>2×1</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kW</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lang w:val="en-US" w:eastAsia="zh-CN"/>
              </w:rPr>
              <w:t>大涌</w:t>
            </w:r>
            <w:r>
              <w:rPr>
                <w:rFonts w:hint="eastAsia" w:ascii="华文仿宋" w:hAnsi="华文仿宋" w:eastAsia="华文仿宋" w:cs="宋体"/>
                <w:color w:val="000000"/>
                <w:kern w:val="0"/>
                <w:sz w:val="21"/>
                <w:szCs w:val="21"/>
              </w:rPr>
              <w:t>河水闸设备均为低压负荷，其供电电源拟从新泵站站用电引接，以电缆的形式接至负荷端，距离约150m。</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lang w:val="en-US" w:eastAsia="zh-CN"/>
              </w:rPr>
            </w:pPr>
            <w:r>
              <w:rPr>
                <w:rFonts w:hint="eastAsia" w:ascii="华文仿宋" w:hAnsi="华文仿宋" w:eastAsia="华文仿宋" w:cs="宋体"/>
                <w:sz w:val="21"/>
                <w:szCs w:val="21"/>
              </w:rPr>
              <w:t>2196.8</w:t>
            </w:r>
            <w:r>
              <w:rPr>
                <w:rFonts w:hint="eastAsia" w:ascii="华文仿宋" w:hAnsi="华文仿宋" w:eastAsia="华文仿宋" w:cs="宋体"/>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7</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云浮市云安区高村镇高村排涝站整治工程</w:t>
            </w:r>
          </w:p>
        </w:tc>
        <w:tc>
          <w:tcPr>
            <w:tcW w:w="3522" w:type="dxa"/>
          </w:tcPr>
          <w:p>
            <w:pPr>
              <w:pStyle w:val="20"/>
              <w:widowControl/>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本项目已取得《关于同意开展云浮市云安区高村镇高村排涝站整治工程项目立项工作的复函》。</w:t>
            </w:r>
          </w:p>
          <w:p>
            <w:pPr>
              <w:pStyle w:val="20"/>
              <w:widowControl/>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本项目已取得《关于云浮市云安区高村镇高村排涝站整治工程</w:t>
            </w:r>
            <w:r>
              <w:rPr>
                <w:rFonts w:hint="eastAsia" w:ascii="华文仿宋" w:hAnsi="华文仿宋" w:eastAsia="华文仿宋" w:cs="宋体"/>
                <w:color w:val="000000"/>
                <w:kern w:val="0"/>
                <w:sz w:val="21"/>
                <w:szCs w:val="21"/>
                <w:lang w:val="en-US" w:eastAsia="zh-CN"/>
              </w:rPr>
              <w:t>初步设计概算</w:t>
            </w:r>
            <w:r>
              <w:rPr>
                <w:rFonts w:hint="eastAsia" w:ascii="华文仿宋" w:hAnsi="华文仿宋" w:eastAsia="华文仿宋" w:cs="宋体"/>
                <w:color w:val="000000"/>
                <w:kern w:val="0"/>
                <w:sz w:val="21"/>
                <w:szCs w:val="21"/>
              </w:rPr>
              <w:t>的批复》（云安发改投审〔202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29</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p>
          <w:p>
            <w:pPr>
              <w:pStyle w:val="20"/>
              <w:widowControl/>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本项目已取得《关于同意实施云浮市云安区高村镇高村排涝站整治工程的复函</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（云安区府办函〔202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150</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eastAsia="zh-CN"/>
              </w:rPr>
              <w:t>。</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sz w:val="21"/>
                <w:szCs w:val="21"/>
              </w:rPr>
            </w:pPr>
            <w:r>
              <w:rPr>
                <w:rFonts w:hint="eastAsia" w:ascii="华文仿宋" w:hAnsi="华文仿宋" w:eastAsia="华文仿宋" w:cs="宋体"/>
                <w:color w:val="000000"/>
                <w:sz w:val="21"/>
                <w:szCs w:val="21"/>
              </w:rPr>
              <w:t>新建排涝站1座，泵站设计流</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sz w:val="21"/>
                <w:szCs w:val="21"/>
              </w:rPr>
              <w:t>量2.0立方米每秒，装机容量150kw,扩宽整治排渠长度1.1km。工程等别为V级，工程规模为小(2)型，主要建筑物级别为4级，次要建筑物级别为5级，临时性建筑物级别为5级。</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sz w:val="21"/>
                <w:szCs w:val="21"/>
              </w:rPr>
              <w:t>648.06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kern w:val="0"/>
                <w:sz w:val="21"/>
                <w:szCs w:val="21"/>
                <w:u w:color="000000"/>
              </w:rPr>
            </w:pPr>
            <w:r>
              <w:rPr>
                <w:rFonts w:hint="eastAsia" w:ascii="华文仿宋" w:hAnsi="华文仿宋" w:eastAsia="华文仿宋" w:cs="宋体"/>
                <w:kern w:val="0"/>
                <w:sz w:val="21"/>
                <w:szCs w:val="21"/>
                <w:u w:color="000000"/>
              </w:rPr>
              <w:t>8</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云安区六都镇大河村排涝站工程</w:t>
            </w:r>
          </w:p>
        </w:tc>
        <w:tc>
          <w:tcPr>
            <w:tcW w:w="3522" w:type="dxa"/>
          </w:tcPr>
          <w:p>
            <w:pPr>
              <w:pStyle w:val="20"/>
              <w:widowControl/>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本项目已取得《关于云安区六都镇大河村排涝站工程</w:t>
            </w:r>
            <w:r>
              <w:rPr>
                <w:rFonts w:hint="eastAsia" w:ascii="华文仿宋" w:hAnsi="华文仿宋" w:eastAsia="华文仿宋" w:cs="宋体"/>
                <w:color w:val="000000"/>
                <w:kern w:val="0"/>
                <w:sz w:val="21"/>
                <w:szCs w:val="21"/>
                <w:lang w:val="en-US" w:eastAsia="zh-CN"/>
              </w:rPr>
              <w:t>项目可行性研究报告的批复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175</w:t>
            </w:r>
            <w:r>
              <w:rPr>
                <w:rFonts w:hint="eastAsia" w:ascii="华文仿宋" w:hAnsi="华文仿宋" w:eastAsia="华文仿宋" w:cs="宋体"/>
                <w:color w:val="000000"/>
                <w:kern w:val="0"/>
                <w:sz w:val="21"/>
                <w:szCs w:val="21"/>
              </w:rPr>
              <w:t>号）。</w:t>
            </w:r>
          </w:p>
          <w:p>
            <w:pPr>
              <w:pStyle w:val="20"/>
              <w:widowControl/>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本项目已取得《关于云安区六都镇大河村排涝站工程</w:t>
            </w:r>
            <w:r>
              <w:rPr>
                <w:rFonts w:hint="eastAsia" w:ascii="华文仿宋" w:hAnsi="华文仿宋" w:eastAsia="华文仿宋" w:cs="宋体"/>
                <w:color w:val="000000"/>
                <w:kern w:val="0"/>
                <w:sz w:val="21"/>
                <w:szCs w:val="21"/>
                <w:lang w:val="en-US" w:eastAsia="zh-CN"/>
              </w:rPr>
              <w:t>项目初步设计概算的批复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〔2023〕</w:t>
            </w:r>
            <w:r>
              <w:rPr>
                <w:rFonts w:hint="eastAsia" w:ascii="华文仿宋" w:hAnsi="华文仿宋" w:eastAsia="华文仿宋" w:cs="宋体"/>
                <w:color w:val="000000"/>
                <w:kern w:val="0"/>
                <w:sz w:val="21"/>
                <w:szCs w:val="21"/>
                <w:lang w:val="en-US" w:eastAsia="zh-CN"/>
              </w:rPr>
              <w:t>21</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sz w:val="21"/>
                <w:szCs w:val="21"/>
              </w:rPr>
              <w:t>新建排涝站1座，采用3台水泵，总装机功率为945KW,设计排水流量为7.17m³/s。规模为(1)型，工程等别为IV级，主要建筑物级别为4级，次要建筑物级别为5级，临时性建筑物级别为5级。</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华文仿宋" w:hAnsi="华文仿宋" w:eastAsia="华文仿宋" w:cs="宋体"/>
                <w:color w:val="000000"/>
                <w:kern w:val="0"/>
                <w:sz w:val="21"/>
                <w:szCs w:val="21"/>
              </w:rPr>
            </w:pPr>
            <w:r>
              <w:rPr>
                <w:rFonts w:hint="eastAsia" w:ascii="华文仿宋" w:hAnsi="华文仿宋" w:eastAsia="华文仿宋" w:cs="宋体"/>
                <w:sz w:val="21"/>
                <w:szCs w:val="21"/>
              </w:rPr>
              <w:t>1567.57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9</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云浮市云安区六都镇黄湾村白沙塘治理工程</w:t>
            </w:r>
          </w:p>
        </w:tc>
        <w:tc>
          <w:tcPr>
            <w:tcW w:w="3522" w:type="dxa"/>
          </w:tcPr>
          <w:p>
            <w:pPr>
              <w:pStyle w:val="20"/>
              <w:widowControl/>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本项目已取得《关于云浮市云安区六都镇黄湾村白沙塘治理工程</w:t>
            </w:r>
            <w:r>
              <w:rPr>
                <w:rFonts w:hint="eastAsia" w:ascii="华文仿宋" w:hAnsi="华文仿宋" w:eastAsia="华文仿宋" w:cs="宋体"/>
                <w:color w:val="000000"/>
                <w:kern w:val="0"/>
                <w:sz w:val="21"/>
                <w:szCs w:val="21"/>
                <w:lang w:val="en-US" w:eastAsia="zh-CN"/>
              </w:rPr>
              <w:t>项目可行性研究报告的批复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172</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改造排渠总长4.21km,其中，黄湾排渠全长1.6km,黄湾支排渠1长0.36km,黄湾支排渠1长</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0.26km,白沙塘排渠一全长0.92km,白沙塘排渠二全长0.59km,白沙塘排渠三全长0.48km。重建过路涵4座，新建防汛道路3.7km</w:t>
            </w:r>
            <w:r>
              <w:rPr>
                <w:rFonts w:hint="eastAsia" w:ascii="华文仿宋" w:hAnsi="华文仿宋" w:eastAsia="华文仿宋" w:cs="宋体"/>
                <w:color w:val="000000"/>
                <w:kern w:val="0"/>
                <w:sz w:val="21"/>
                <w:szCs w:val="21"/>
                <w:lang w:eastAsia="zh-CN"/>
              </w:rPr>
              <w:t>。</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rPr>
            </w:pPr>
            <w:r>
              <w:rPr>
                <w:rFonts w:hint="eastAsia" w:ascii="华文仿宋" w:hAnsi="华文仿宋" w:eastAsia="华文仿宋" w:cs="宋体"/>
                <w:sz w:val="21"/>
                <w:szCs w:val="21"/>
                <w:lang w:val="en-US" w:eastAsia="zh-CN"/>
              </w:rPr>
              <w:t>1797.50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10</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云浮市云安区六都镇上六村二冲河、下四村东冲河治理工程</w:t>
            </w:r>
          </w:p>
        </w:tc>
        <w:tc>
          <w:tcPr>
            <w:tcW w:w="3522" w:type="dxa"/>
          </w:tcPr>
          <w:p>
            <w:pPr>
              <w:pStyle w:val="20"/>
              <w:widowControl/>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本项目已取得《关于云浮市云安区六都镇上六村二冲河、下四村东冲河治理工程</w:t>
            </w:r>
            <w:r>
              <w:rPr>
                <w:rFonts w:hint="eastAsia" w:ascii="华文仿宋" w:hAnsi="华文仿宋" w:eastAsia="华文仿宋" w:cs="宋体"/>
                <w:color w:val="000000"/>
                <w:kern w:val="0"/>
                <w:sz w:val="21"/>
                <w:szCs w:val="21"/>
                <w:lang w:val="en-US" w:eastAsia="zh-CN"/>
              </w:rPr>
              <w:t>项目可行性研究报告的批复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171</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二冲河干流及支流、东冲河干流及支流、下坑支流共5条河流治理，总治理河道长10km,护岸长度11km,河道清淤疏浚长度10km。其中二冲河干流治理长度为4.05km,二冲河支流治理长度为2.63km,下坑支流治理长度为0.8km,东冲河干流治理长度为1.92km,东冲河支流治理长度为0.6km</w:t>
            </w:r>
            <w:r>
              <w:rPr>
                <w:rFonts w:hint="eastAsia" w:ascii="华文仿宋" w:hAnsi="华文仿宋" w:eastAsia="华文仿宋" w:cs="宋体"/>
                <w:color w:val="000000"/>
                <w:kern w:val="0"/>
                <w:sz w:val="21"/>
                <w:szCs w:val="21"/>
                <w:lang w:eastAsia="zh-CN"/>
              </w:rPr>
              <w:t>。</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rPr>
            </w:pPr>
            <w:r>
              <w:rPr>
                <w:rFonts w:hint="eastAsia" w:ascii="华文仿宋" w:hAnsi="华文仿宋" w:eastAsia="华文仿宋" w:cs="宋体"/>
                <w:sz w:val="21"/>
                <w:szCs w:val="21"/>
                <w:lang w:val="en-US" w:eastAsia="zh-CN"/>
              </w:rPr>
              <w:t>2095.97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11</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云安区城乡一体化供水提升工程</w:t>
            </w:r>
          </w:p>
        </w:tc>
        <w:tc>
          <w:tcPr>
            <w:tcW w:w="3522" w:type="dxa"/>
          </w:tcPr>
          <w:p>
            <w:pPr>
              <w:pStyle w:val="20"/>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本项目已取得《关于云安区城乡一体化供水提升工程</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173</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(1)行政村到户管道445.24千米，其中DN50-DN150PE管150.83千米，DN2O-DN32 PPR管294.41千米；(2)安装入户远传水表11131个；(3)一体化提升泵站1座，流量20立方米每小时，扬程50米。</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rPr>
            </w:pPr>
            <w:r>
              <w:rPr>
                <w:rFonts w:hint="eastAsia" w:ascii="华文仿宋" w:hAnsi="华文仿宋" w:eastAsia="华文仿宋" w:cs="宋体"/>
                <w:sz w:val="21"/>
                <w:szCs w:val="21"/>
                <w:lang w:val="en-US" w:eastAsia="zh-CN"/>
              </w:rPr>
              <w:t>6921.95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12</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云安区白石镇X490线白石至石底段四升三改建工程</w:t>
            </w:r>
          </w:p>
        </w:tc>
        <w:tc>
          <w:tcPr>
            <w:tcW w:w="3522" w:type="dxa"/>
          </w:tcPr>
          <w:p>
            <w:pPr>
              <w:pStyle w:val="20"/>
              <w:widowControl/>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本项目已取得《关于同意开展云安区白石镇 X490 线白石至石底段四升三改建工程立项工作的复函》。</w:t>
            </w:r>
          </w:p>
          <w:p>
            <w:pPr>
              <w:pStyle w:val="20"/>
              <w:widowControl/>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w:t>
            </w:r>
            <w:r>
              <w:rPr>
                <w:rFonts w:hint="eastAsia" w:ascii="华文仿宋" w:hAnsi="华文仿宋" w:eastAsia="华文仿宋" w:cs="宋体"/>
                <w:color w:val="000000"/>
                <w:kern w:val="0"/>
                <w:sz w:val="21"/>
                <w:szCs w:val="21"/>
              </w:rPr>
              <w:t>云安区白石镇X490线白石至石底段四升三改建工程</w:t>
            </w:r>
            <w:r>
              <w:rPr>
                <w:rFonts w:hint="eastAsia" w:ascii="华文仿宋" w:hAnsi="华文仿宋" w:eastAsia="华文仿宋" w:cs="宋体"/>
                <w:color w:val="000000"/>
                <w:kern w:val="0"/>
                <w:sz w:val="21"/>
                <w:szCs w:val="21"/>
                <w:lang w:val="en-US" w:eastAsia="zh-CN"/>
              </w:rPr>
              <w:t>项目可行性研究报告的批复》（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148</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p>
            <w:pPr>
              <w:pStyle w:val="20"/>
              <w:widowControl/>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w:t>
            </w:r>
            <w:r>
              <w:rPr>
                <w:rFonts w:hint="eastAsia" w:ascii="华文仿宋" w:hAnsi="华文仿宋" w:eastAsia="华文仿宋" w:cs="宋体"/>
                <w:color w:val="000000"/>
                <w:kern w:val="0"/>
                <w:sz w:val="21"/>
                <w:szCs w:val="21"/>
              </w:rPr>
              <w:t>云安区白石镇X490线白石至石底段四升三改建工程</w:t>
            </w:r>
            <w:r>
              <w:rPr>
                <w:rFonts w:hint="eastAsia" w:ascii="华文仿宋" w:hAnsi="华文仿宋" w:eastAsia="华文仿宋" w:cs="宋体"/>
                <w:color w:val="000000"/>
                <w:kern w:val="0"/>
                <w:sz w:val="21"/>
                <w:szCs w:val="21"/>
                <w:lang w:val="en-US" w:eastAsia="zh-CN"/>
              </w:rPr>
              <w:t>项目初步设计概算的批复》（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215</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p>
            <w:pPr>
              <w:pStyle w:val="20"/>
              <w:widowControl/>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本项目已取得《关于同意实施云安区白石镇 X490 线白石至石底段四升三改建工程的复函》（云安区府办函</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8</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p>
            <w:pPr>
              <w:pStyle w:val="20"/>
              <w:widowControl/>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本项目已取得《关于云安区白石镇X490线白石至石底段四升三改建工程施工图设计的批复》（云安区交复</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路线全长9.618公里，其中：①K0+000～K8+680段为三级公路标准，设计速度沿用旧路标准，双向两车道，采用沥青混凝土路面；②K8+680～K9+618段四级公路标准，设计速度沿用旧路标准，单车道，采用水泥混凝土路面。本项目采用整体式路基设计，其中：①K0+000～K8+680段路基全宽为7.5米，路面宽度6.5米。路幅布置为：0.5米(土路肩)+2×3.25米(行车道)+0.5米(土路肩)。②K8+680～K9+618段路基全宽为4.5米，路面宽度3.5米。路幅布置为：0.5米(土路肩)+3.5米(行车道)+0.5米(土路肩)。</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rPr>
            </w:pPr>
            <w:r>
              <w:rPr>
                <w:rFonts w:hint="eastAsia" w:ascii="华文仿宋" w:hAnsi="华文仿宋" w:eastAsia="华文仿宋" w:cs="宋体"/>
                <w:sz w:val="21"/>
                <w:szCs w:val="21"/>
                <w:lang w:val="en-US" w:eastAsia="zh-CN"/>
              </w:rPr>
              <w:t>1719.75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13</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云安区石城镇X808线迳心至南蛇口段四升三改建工程</w:t>
            </w:r>
          </w:p>
        </w:tc>
        <w:tc>
          <w:tcPr>
            <w:tcW w:w="3522" w:type="dxa"/>
          </w:tcPr>
          <w:p>
            <w:pPr>
              <w:pStyle w:val="20"/>
              <w:widowControl/>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本项目已取得《关于云安区石城镇X808线迳心至南蛇口段四升三改建工程</w:t>
            </w:r>
            <w:r>
              <w:rPr>
                <w:rFonts w:hint="eastAsia" w:ascii="华文仿宋" w:hAnsi="华文仿宋" w:eastAsia="华文仿宋" w:cs="宋体"/>
                <w:color w:val="000000"/>
                <w:kern w:val="0"/>
                <w:sz w:val="21"/>
                <w:szCs w:val="21"/>
                <w:lang w:val="en-US" w:eastAsia="zh-CN"/>
              </w:rPr>
              <w:t>项目可行性研究报告的批复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152</w:t>
            </w:r>
            <w:r>
              <w:rPr>
                <w:rFonts w:hint="eastAsia" w:ascii="华文仿宋" w:hAnsi="华文仿宋" w:eastAsia="华文仿宋" w:cs="宋体"/>
                <w:color w:val="000000"/>
                <w:kern w:val="0"/>
                <w:sz w:val="21"/>
                <w:szCs w:val="21"/>
              </w:rPr>
              <w:t>号）。</w:t>
            </w:r>
          </w:p>
          <w:p>
            <w:pPr>
              <w:pStyle w:val="20"/>
              <w:widowControl/>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本项目已取得《关于云安区石城镇X808线迳心至南蛇口段四升三改建工程</w:t>
            </w:r>
            <w:r>
              <w:rPr>
                <w:rFonts w:hint="eastAsia" w:ascii="华文仿宋" w:hAnsi="华文仿宋" w:eastAsia="华文仿宋" w:cs="宋体"/>
                <w:color w:val="000000"/>
                <w:kern w:val="0"/>
                <w:sz w:val="21"/>
                <w:szCs w:val="21"/>
                <w:lang w:val="en-US" w:eastAsia="zh-CN"/>
              </w:rPr>
              <w:t>项目初步设计概算的批复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2</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212</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路线全长16.070公里，项目采用三级公路技术标准，设计时速30千米/时，路基宽7.5m,设置双向两车道，路基标准横断面布置为：0.5m土路肩+2×3.25m车行道+0.5m土路肩。路面结构为20cm厚C35水泥砼面层+10cm厚石屑调平层垫层。</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rPr>
            </w:pPr>
            <w:r>
              <w:rPr>
                <w:rFonts w:hint="eastAsia" w:ascii="华文仿宋" w:hAnsi="华文仿宋" w:eastAsia="华文仿宋" w:cs="宋体"/>
                <w:sz w:val="21"/>
                <w:szCs w:val="21"/>
                <w:lang w:val="en-US" w:eastAsia="zh-CN"/>
              </w:rPr>
              <w:t>3968.8896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14</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云浮市云安区下赤永河山洪沟治理工程</w:t>
            </w:r>
          </w:p>
        </w:tc>
        <w:tc>
          <w:tcPr>
            <w:tcW w:w="3522" w:type="dxa"/>
          </w:tcPr>
          <w:p>
            <w:pPr>
              <w:pStyle w:val="20"/>
              <w:widowControl/>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本项目已取得《关于云浮市云安区下赤永河山洪沟治理工程初步设计的批复》（云水许决字</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6</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p>
            <w:pPr>
              <w:pStyle w:val="20"/>
              <w:widowControl/>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本项目已取得《关于同意实施云浮市云安区下赤永河山洪沟治理工程的复函》（云安区府办函</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79</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rPr>
              <w:t>治理总河长9.85km，其中新建护岸5.766km、河道清淤疏浚3.266km，拆降K5+673.2水陂1米，修复K8+400-K8+800下游灌溉水陂</w:t>
            </w:r>
            <w:r>
              <w:rPr>
                <w:rFonts w:hint="eastAsia" w:ascii="华文仿宋" w:hAnsi="华文仿宋" w:eastAsia="华文仿宋" w:cs="宋体"/>
                <w:color w:val="000000"/>
                <w:kern w:val="0"/>
                <w:sz w:val="21"/>
                <w:szCs w:val="21"/>
                <w:lang w:eastAsia="zh-CN"/>
              </w:rPr>
              <w:t>。</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rPr>
            </w:pPr>
            <w:r>
              <w:rPr>
                <w:rFonts w:hint="eastAsia" w:ascii="华文仿宋" w:hAnsi="华文仿宋" w:eastAsia="华文仿宋" w:cs="宋体"/>
                <w:sz w:val="21"/>
                <w:szCs w:val="21"/>
                <w:lang w:eastAsia="zh-CN"/>
              </w:rPr>
              <w:t>1200.1</w:t>
            </w:r>
            <w:r>
              <w:rPr>
                <w:rFonts w:hint="eastAsia" w:ascii="华文仿宋" w:hAnsi="华文仿宋" w:eastAsia="华文仿宋" w:cs="宋体"/>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15</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云安区白石镇 Y712 线马山脚至竹迳单改双改建工程</w:t>
            </w:r>
          </w:p>
        </w:tc>
        <w:tc>
          <w:tcPr>
            <w:tcW w:w="3522" w:type="dxa"/>
          </w:tcPr>
          <w:p>
            <w:pPr>
              <w:pStyle w:val="20"/>
              <w:widowControl/>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本项目已取得《关于同意实施云安区白石镇 Y712 线马山脚至竹迳单改双改建工程的复函》（云安区府办函</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106</w:t>
            </w:r>
            <w:r>
              <w:rPr>
                <w:rFonts w:hint="eastAsia" w:ascii="华文仿宋" w:hAnsi="华文仿宋" w:eastAsia="华文仿宋" w:cs="宋体"/>
                <w:color w:val="000000"/>
                <w:kern w:val="0"/>
                <w:sz w:val="21"/>
                <w:szCs w:val="21"/>
              </w:rPr>
              <w:t>号</w:t>
            </w:r>
            <w:r>
              <w:rPr>
                <w:rFonts w:hint="eastAsia" w:ascii="华文仿宋" w:hAnsi="华文仿宋" w:eastAsia="华文仿宋" w:cs="宋体"/>
                <w:color w:val="000000"/>
                <w:kern w:val="0"/>
                <w:sz w:val="21"/>
                <w:szCs w:val="21"/>
                <w:lang w:val="en-US" w:eastAsia="zh-CN"/>
              </w:rPr>
              <w:t>）。</w:t>
            </w:r>
          </w:p>
          <w:p>
            <w:pPr>
              <w:pStyle w:val="20"/>
              <w:widowControl/>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w:t>
            </w:r>
            <w:r>
              <w:rPr>
                <w:rFonts w:hint="eastAsia" w:ascii="华文仿宋" w:hAnsi="华文仿宋" w:eastAsia="华文仿宋" w:cs="宋体"/>
                <w:color w:val="000000"/>
                <w:kern w:val="0"/>
                <w:sz w:val="21"/>
                <w:szCs w:val="21"/>
              </w:rPr>
              <w:t>《关于云安区白石镇 Y712 线马山脚至竹迳单改双改建工程</w:t>
            </w:r>
            <w:r>
              <w:rPr>
                <w:rFonts w:hint="eastAsia" w:ascii="华文仿宋" w:hAnsi="华文仿宋" w:eastAsia="华文仿宋" w:cs="宋体"/>
                <w:color w:val="000000"/>
                <w:kern w:val="0"/>
                <w:sz w:val="21"/>
                <w:szCs w:val="21"/>
                <w:lang w:val="en-US" w:eastAsia="zh-CN"/>
              </w:rPr>
              <w:t>可行性研究报告的批复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44</w:t>
            </w:r>
            <w:r>
              <w:rPr>
                <w:rFonts w:hint="eastAsia" w:ascii="华文仿宋" w:hAnsi="华文仿宋" w:eastAsia="华文仿宋" w:cs="宋体"/>
                <w:color w:val="000000"/>
                <w:kern w:val="0"/>
                <w:sz w:val="21"/>
                <w:szCs w:val="21"/>
              </w:rPr>
              <w:t>号）。</w:t>
            </w:r>
          </w:p>
          <w:p>
            <w:pPr>
              <w:pStyle w:val="20"/>
              <w:widowControl/>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w:t>
            </w:r>
            <w:r>
              <w:rPr>
                <w:rFonts w:hint="eastAsia" w:ascii="华文仿宋" w:hAnsi="华文仿宋" w:eastAsia="华文仿宋" w:cs="宋体"/>
                <w:color w:val="000000"/>
                <w:kern w:val="0"/>
                <w:sz w:val="21"/>
                <w:szCs w:val="21"/>
              </w:rPr>
              <w:t>《关于云安区白石镇 Y712 线马山脚至竹迳单改双改建工程</w:t>
            </w:r>
            <w:r>
              <w:rPr>
                <w:rFonts w:hint="eastAsia" w:ascii="华文仿宋" w:hAnsi="华文仿宋" w:eastAsia="华文仿宋" w:cs="宋体"/>
                <w:color w:val="000000"/>
                <w:kern w:val="0"/>
                <w:sz w:val="21"/>
                <w:szCs w:val="21"/>
                <w:lang w:val="en-US" w:eastAsia="zh-CN"/>
              </w:rPr>
              <w:t>初步设计概算的批复</w:t>
            </w:r>
            <w:r>
              <w:rPr>
                <w:rFonts w:hint="eastAsia" w:ascii="华文仿宋" w:hAnsi="华文仿宋" w:eastAsia="华文仿宋" w:cs="宋体"/>
                <w:color w:val="000000"/>
                <w:kern w:val="0"/>
                <w:sz w:val="21"/>
                <w:szCs w:val="21"/>
              </w:rPr>
              <w:t>》（云</w:t>
            </w:r>
            <w:r>
              <w:rPr>
                <w:rFonts w:hint="eastAsia" w:ascii="华文仿宋" w:hAnsi="华文仿宋" w:eastAsia="华文仿宋" w:cs="宋体"/>
                <w:color w:val="000000"/>
                <w:kern w:val="0"/>
                <w:sz w:val="21"/>
                <w:szCs w:val="21"/>
                <w:lang w:val="en-US" w:eastAsia="zh-CN"/>
              </w:rPr>
              <w:t>安发改投审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63</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拓宽路基至6.5m</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路面宽度6m</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标准横断面：6.5m=0.25m土路肩+2*3.0车行道+0.25m土路肩，拟采用双向两车道四级公路标准进行改造建设，设计速度为20km/h,采用沥青路面。项目路线全长12.843公里(含支线0.477km)</w:t>
            </w:r>
            <w:r>
              <w:rPr>
                <w:rFonts w:hint="eastAsia" w:ascii="华文仿宋" w:hAnsi="华文仿宋" w:eastAsia="华文仿宋" w:cs="宋体"/>
                <w:color w:val="000000"/>
                <w:kern w:val="0"/>
                <w:sz w:val="21"/>
                <w:szCs w:val="21"/>
                <w:lang w:eastAsia="zh-CN"/>
              </w:rPr>
              <w:t>，</w:t>
            </w:r>
            <w:r>
              <w:rPr>
                <w:rFonts w:hint="eastAsia" w:ascii="华文仿宋" w:hAnsi="华文仿宋" w:eastAsia="华文仿宋" w:cs="宋体"/>
                <w:color w:val="000000"/>
                <w:kern w:val="0"/>
                <w:sz w:val="21"/>
                <w:szCs w:val="21"/>
              </w:rPr>
              <w:t>路线总体为南北走向，起点位于马山脚与省道S274交汇处，路线途经马山脚、征久塘、民安村、烂泥塘、横迳村等村庄，终点止于竹迳村旁，与省道S537相交。</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rPr>
            </w:pPr>
            <w:r>
              <w:rPr>
                <w:rFonts w:hint="eastAsia" w:ascii="华文仿宋" w:hAnsi="华文仿宋" w:eastAsia="华文仿宋" w:cs="宋体"/>
                <w:sz w:val="21"/>
                <w:szCs w:val="21"/>
                <w:lang w:val="en-US" w:eastAsia="zh-CN"/>
              </w:rPr>
              <w:t>3567.2604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16</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2023年度云浮市云安区富林镇高标准农田建设项目</w:t>
            </w:r>
          </w:p>
        </w:tc>
        <w:tc>
          <w:tcPr>
            <w:tcW w:w="3522" w:type="dxa"/>
          </w:tcPr>
          <w:p>
            <w:pPr>
              <w:pStyle w:val="20"/>
              <w:widowControl/>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本项目已取得《关于2023年度河源、梅州等4市高标准农田建设项目实施计划的批复》（粤农农函</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682</w:t>
            </w:r>
            <w:r>
              <w:rPr>
                <w:rFonts w:hint="eastAsia" w:ascii="华文仿宋" w:hAnsi="华文仿宋" w:eastAsia="华文仿宋" w:cs="宋体"/>
                <w:color w:val="000000"/>
                <w:kern w:val="0"/>
                <w:sz w:val="21"/>
                <w:szCs w:val="21"/>
              </w:rPr>
              <w:t>号）。</w:t>
            </w:r>
          </w:p>
          <w:p>
            <w:pPr>
              <w:pStyle w:val="20"/>
              <w:widowControl/>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0" w:leftChars="0" w:hanging="420"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本项目已取得《关于2023年度云浮市各县（市、区）高标准农田建设项目实施计划的批复》（云农农计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26</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highlight w:val="none"/>
                <w:lang w:eastAsia="zh-CN"/>
              </w:rPr>
              <w:t>新建高标准农田。</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rPr>
            </w:pPr>
            <w:r>
              <w:rPr>
                <w:rFonts w:hint="eastAsia" w:ascii="华文仿宋" w:hAnsi="华文仿宋" w:eastAsia="华文仿宋" w:cs="宋体"/>
                <w:sz w:val="21"/>
                <w:szCs w:val="21"/>
                <w:lang w:val="en-US" w:eastAsia="zh-CN"/>
              </w:rPr>
              <w:t>900.00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17</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2023年度云浮市云安区六都镇高标准农田建设改造提升项目</w:t>
            </w:r>
          </w:p>
        </w:tc>
        <w:tc>
          <w:tcPr>
            <w:tcW w:w="3522" w:type="dxa"/>
          </w:tcPr>
          <w:p>
            <w:pPr>
              <w:pStyle w:val="20"/>
              <w:widowControl/>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本项目已取得《关于2023年度河源、梅州等4市高标准农田建设项目实施计划的批复》（粤农农函</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682</w:t>
            </w:r>
            <w:r>
              <w:rPr>
                <w:rFonts w:hint="eastAsia" w:ascii="华文仿宋" w:hAnsi="华文仿宋" w:eastAsia="华文仿宋" w:cs="宋体"/>
                <w:color w:val="000000"/>
                <w:kern w:val="0"/>
                <w:sz w:val="21"/>
                <w:szCs w:val="21"/>
              </w:rPr>
              <w:t>号）。</w:t>
            </w:r>
          </w:p>
          <w:p>
            <w:pPr>
              <w:pStyle w:val="20"/>
              <w:widowControl/>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本项目已取得《关于2023年度云浮市各县（市、区）高标准农田建设项目实施计划的批复》（云农农计</w:t>
            </w:r>
            <w:r>
              <w:rPr>
                <w:rFonts w:hint="eastAsia" w:ascii="华文仿宋" w:hAnsi="华文仿宋" w:eastAsia="华文仿宋" w:cs="宋体"/>
                <w:color w:val="000000"/>
                <w:kern w:val="0"/>
                <w:sz w:val="21"/>
                <w:szCs w:val="21"/>
              </w:rPr>
              <w:t>〔202</w:t>
            </w:r>
            <w:r>
              <w:rPr>
                <w:rFonts w:hint="eastAsia" w:ascii="华文仿宋" w:hAnsi="华文仿宋" w:eastAsia="华文仿宋" w:cs="宋体"/>
                <w:color w:val="000000"/>
                <w:kern w:val="0"/>
                <w:sz w:val="21"/>
                <w:szCs w:val="21"/>
                <w:lang w:val="en-US" w:eastAsia="zh-CN"/>
              </w:rPr>
              <w:t>3</w:t>
            </w:r>
            <w:r>
              <w:rPr>
                <w:rFonts w:hint="eastAsia" w:ascii="华文仿宋" w:hAnsi="华文仿宋" w:eastAsia="华文仿宋" w:cs="宋体"/>
                <w:color w:val="000000"/>
                <w:kern w:val="0"/>
                <w:sz w:val="21"/>
                <w:szCs w:val="21"/>
              </w:rPr>
              <w:t>〕</w:t>
            </w:r>
            <w:r>
              <w:rPr>
                <w:rFonts w:hint="eastAsia" w:ascii="华文仿宋" w:hAnsi="华文仿宋" w:eastAsia="华文仿宋" w:cs="宋体"/>
                <w:color w:val="000000"/>
                <w:kern w:val="0"/>
                <w:sz w:val="21"/>
                <w:szCs w:val="21"/>
                <w:lang w:val="en-US" w:eastAsia="zh-CN"/>
              </w:rPr>
              <w:t>26</w:t>
            </w:r>
            <w:r>
              <w:rPr>
                <w:rFonts w:hint="eastAsia" w:ascii="华文仿宋" w:hAnsi="华文仿宋" w:eastAsia="华文仿宋" w:cs="宋体"/>
                <w:color w:val="000000"/>
                <w:kern w:val="0"/>
                <w:sz w:val="21"/>
                <w:szCs w:val="21"/>
              </w:rPr>
              <w:t>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lang w:eastAsia="zh-CN"/>
              </w:rPr>
            </w:pPr>
            <w:r>
              <w:rPr>
                <w:rFonts w:hint="eastAsia" w:ascii="华文仿宋" w:hAnsi="华文仿宋" w:eastAsia="华文仿宋" w:cs="宋体"/>
                <w:color w:val="000000"/>
                <w:kern w:val="0"/>
                <w:sz w:val="21"/>
                <w:szCs w:val="21"/>
                <w:highlight w:val="none"/>
                <w:lang w:eastAsia="zh-CN"/>
              </w:rPr>
              <w:t>新建高标准农田。</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color w:val="000000"/>
                <w:kern w:val="0"/>
                <w:sz w:val="21"/>
                <w:szCs w:val="21"/>
                <w:lang w:val="en-US"/>
              </w:rPr>
            </w:pPr>
            <w:r>
              <w:rPr>
                <w:rFonts w:hint="eastAsia" w:ascii="华文仿宋" w:hAnsi="华文仿宋" w:eastAsia="华文仿宋" w:cs="宋体"/>
                <w:sz w:val="21"/>
                <w:szCs w:val="21"/>
                <w:lang w:val="en-US" w:eastAsia="zh-CN"/>
              </w:rPr>
              <w:t>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default" w:ascii="华文仿宋" w:hAnsi="华文仿宋" w:eastAsia="华文仿宋" w:cs="宋体"/>
                <w:kern w:val="0"/>
                <w:sz w:val="21"/>
                <w:szCs w:val="21"/>
                <w:u w:color="000000"/>
                <w:lang w:val="en-US" w:eastAsia="zh-CN"/>
              </w:rPr>
            </w:pPr>
            <w:r>
              <w:rPr>
                <w:rFonts w:hint="eastAsia" w:ascii="华文仿宋" w:hAnsi="华文仿宋" w:eastAsia="华文仿宋" w:cs="宋体"/>
                <w:kern w:val="0"/>
                <w:sz w:val="21"/>
                <w:szCs w:val="21"/>
                <w:u w:color="000000"/>
                <w:lang w:val="en-US" w:eastAsia="zh-CN"/>
              </w:rPr>
              <w:t>18</w:t>
            </w:r>
          </w:p>
        </w:tc>
        <w:tc>
          <w:tcPr>
            <w:tcW w:w="1988" w:type="dxa"/>
            <w:vAlign w:val="center"/>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云安区高村镇深步河小流域综合治理工程</w:t>
            </w:r>
          </w:p>
        </w:tc>
        <w:tc>
          <w:tcPr>
            <w:tcW w:w="3522" w:type="dxa"/>
          </w:tcPr>
          <w:p>
            <w:pPr>
              <w:pStyle w:val="20"/>
              <w:widowControl/>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25" w:leftChars="0" w:hanging="425" w:firstLineChars="0"/>
              <w:rPr>
                <w:rFonts w:hint="eastAsia"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lang w:val="en-US" w:eastAsia="zh-CN"/>
              </w:rPr>
              <w:t>本项目已取得《云浮市水务局关于云安区高村镇深步河小流域综合治理工程初步设计的批复》（云水许决字〔2023〕45号）。</w:t>
            </w:r>
          </w:p>
        </w:tc>
        <w:tc>
          <w:tcPr>
            <w:tcW w:w="2872"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华文仿宋" w:hAnsi="华文仿宋" w:eastAsia="华文仿宋" w:cs="宋体"/>
                <w:color w:val="000000"/>
                <w:kern w:val="0"/>
                <w:sz w:val="21"/>
                <w:szCs w:val="21"/>
              </w:rPr>
            </w:pPr>
            <w:r>
              <w:rPr>
                <w:rFonts w:hint="eastAsia" w:ascii="华文仿宋" w:hAnsi="华文仿宋" w:eastAsia="华文仿宋" w:cs="宋体"/>
                <w:color w:val="000000"/>
                <w:kern w:val="0"/>
                <w:sz w:val="21"/>
                <w:szCs w:val="21"/>
              </w:rPr>
              <w:t>治理水土流失，减轻山洪地质灾害风险；修复自然生态环境，保护水土资源；整治河道及其周边灌排沟渠，改善河流自然生态条件，保障行洪通畅。本工程治理水土流失面积32.70平方公里，主要建设内容包括：河道整治长度1994米，其中清淤清障河长864m，左右岸护岸建设总长度2412米；治理崩岗4座，治理面积4.88公顷；封禁治理32.65平方公里。</w:t>
            </w:r>
          </w:p>
        </w:tc>
        <w:tc>
          <w:tcPr>
            <w:tcW w:w="2150" w:type="dxa"/>
          </w:tcPr>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华文仿宋" w:hAnsi="华文仿宋" w:eastAsia="华文仿宋" w:cs="宋体"/>
                <w:color w:val="000000"/>
                <w:kern w:val="0"/>
                <w:sz w:val="21"/>
                <w:szCs w:val="21"/>
              </w:rPr>
            </w:pPr>
            <w:r>
              <w:rPr>
                <w:rFonts w:hint="eastAsia" w:ascii="华文仿宋" w:hAnsi="华文仿宋" w:eastAsia="华文仿宋" w:cs="宋体"/>
                <w:sz w:val="21"/>
                <w:szCs w:val="21"/>
                <w:lang w:val="en-US" w:eastAsia="zh-CN"/>
              </w:rPr>
              <w:t>799.27</w:t>
            </w:r>
          </w:p>
        </w:tc>
      </w:tr>
    </w:tbl>
    <w:p>
      <w:pPr>
        <w:pStyle w:val="2"/>
        <w:spacing w:line="360" w:lineRule="auto"/>
        <w:rPr>
          <w:rFonts w:hint="default"/>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b/>
          <w:bCs/>
          <w:kern w:val="0"/>
          <w:highlight w:val="none"/>
          <w:u w:color="000000"/>
        </w:rPr>
      </w:pPr>
      <w:r>
        <w:rPr>
          <w:rFonts w:hint="eastAsia" w:ascii="华文仿宋" w:hAnsi="华文仿宋" w:eastAsia="华文仿宋" w:cs="宋体"/>
          <w:b/>
          <w:bCs/>
          <w:kern w:val="0"/>
          <w:u w:color="000000"/>
        </w:rPr>
        <w:t>综上，本所认为，本期债券发行对应的项目由</w:t>
      </w:r>
      <w:r>
        <w:rPr>
          <w:rFonts w:hint="eastAsia" w:ascii="华文仿宋" w:hAnsi="华文仿宋" w:eastAsia="华文仿宋" w:cs="宋体"/>
          <w:b/>
          <w:bCs/>
          <w:kern w:val="0"/>
          <w:u w:color="000000"/>
          <w:lang w:eastAsia="zh-CN"/>
        </w:rPr>
        <w:t>18个子项目</w:t>
      </w:r>
      <w:r>
        <w:rPr>
          <w:rFonts w:hint="eastAsia" w:ascii="华文仿宋" w:hAnsi="华文仿宋" w:eastAsia="华文仿宋" w:cs="宋体"/>
          <w:b/>
          <w:bCs/>
          <w:kern w:val="0"/>
          <w:u w:color="000000"/>
        </w:rPr>
        <w:t>组成，</w:t>
      </w:r>
      <w:r>
        <w:rPr>
          <w:rFonts w:hint="eastAsia" w:ascii="华文仿宋" w:hAnsi="华文仿宋" w:eastAsia="华文仿宋" w:cs="宋体"/>
          <w:b/>
          <w:bCs/>
          <w:kern w:val="0"/>
          <w:highlight w:val="none"/>
          <w:u w:color="000000"/>
          <w:lang w:val="en-US" w:eastAsia="zh-CN"/>
        </w:rPr>
        <w:t>多</w:t>
      </w:r>
      <w:r>
        <w:rPr>
          <w:rFonts w:hint="eastAsia" w:ascii="华文仿宋" w:hAnsi="华文仿宋" w:eastAsia="华文仿宋" w:cs="宋体"/>
          <w:b/>
          <w:bCs/>
          <w:kern w:val="0"/>
          <w:highlight w:val="none"/>
          <w:u w:color="000000"/>
          <w:lang w:eastAsia="zh-CN"/>
        </w:rPr>
        <w:t>个子项目</w:t>
      </w:r>
      <w:r>
        <w:rPr>
          <w:rFonts w:hint="eastAsia" w:ascii="华文仿宋" w:hAnsi="华文仿宋" w:eastAsia="华文仿宋" w:cs="宋体"/>
          <w:b/>
          <w:bCs/>
          <w:kern w:val="0"/>
          <w:highlight w:val="none"/>
          <w:u w:color="000000"/>
        </w:rPr>
        <w:t>已</w:t>
      </w:r>
      <w:r>
        <w:rPr>
          <w:rFonts w:hint="eastAsia" w:ascii="华文仿宋" w:hAnsi="华文仿宋" w:eastAsia="华文仿宋" w:cs="宋体"/>
          <w:b/>
          <w:bCs/>
          <w:kern w:val="0"/>
          <w:highlight w:val="none"/>
          <w:u w:color="000000"/>
          <w:lang w:val="en-US" w:eastAsia="zh-CN"/>
        </w:rPr>
        <w:t>取得可行性研究报告的批复</w:t>
      </w:r>
      <w:r>
        <w:rPr>
          <w:rFonts w:hint="eastAsia" w:ascii="华文仿宋" w:hAnsi="华文仿宋" w:eastAsia="华文仿宋" w:cs="宋体"/>
          <w:b/>
          <w:bCs/>
          <w:kern w:val="0"/>
          <w:highlight w:val="none"/>
          <w:u w:color="000000"/>
        </w:rPr>
        <w:t>，有实施项目的资金需求。</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480" w:firstLineChars="200"/>
        <w:rPr>
          <w:rFonts w:ascii="华文仿宋" w:hAnsi="华文仿宋" w:eastAsia="华文仿宋" w:cs="宋体"/>
          <w:kern w:val="0"/>
          <w:u w:color="000000"/>
        </w:rPr>
      </w:pP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3" w:name="_Toc47346125"/>
      <w:bookmarkStart w:id="24" w:name="_Toc20605503"/>
      <w:r>
        <w:rPr>
          <w:rFonts w:hint="eastAsia" w:ascii="华文仿宋" w:hAnsi="华文仿宋" w:eastAsia="华文仿宋"/>
          <w:sz w:val="24"/>
          <w:szCs w:val="24"/>
          <w:u w:color="000000"/>
        </w:rPr>
        <w:t>三、本项目收益与融资自求平衡</w:t>
      </w:r>
      <w:bookmarkEnd w:id="23"/>
      <w:bookmarkEnd w:id="24"/>
    </w:p>
    <w:p>
      <w:pPr>
        <w:widowControl/>
        <w:tabs>
          <w:tab w:val="left" w:pos="900"/>
        </w:tabs>
        <w:autoSpaceDE w:val="0"/>
        <w:autoSpaceDN w:val="0"/>
        <w:adjustRightInd w:val="0"/>
        <w:spacing w:line="360" w:lineRule="auto"/>
        <w:ind w:firstLine="480"/>
        <w:rPr>
          <w:rFonts w:ascii="华文仿宋" w:hAnsi="华文仿宋" w:eastAsia="华文仿宋" w:cs="宋体"/>
          <w:kern w:val="0"/>
          <w:u w:color="000000"/>
        </w:rPr>
      </w:pPr>
      <w:r>
        <w:rPr>
          <w:rFonts w:hint="eastAsia" w:ascii="华文仿宋" w:hAnsi="华文仿宋" w:eastAsia="华文仿宋" w:cs="宋体"/>
          <w:kern w:val="0"/>
          <w:u w:color="000000"/>
        </w:rPr>
        <w:t>深圳市恒昇会计师事务所（普通合伙）就本次政府专项债券发行出具了《专项评价报告》。《专项评价报告》认为：“本期债券项目收益预测及其所依据的各项假设前提下，本次评价的本期债券项目预期收益对应的政府性基金收入或专项收入能够合理保障偿还融资本金和利息，实现项目收益和融资自求平衡”。</w:t>
      </w:r>
    </w:p>
    <w:p>
      <w:pPr>
        <w:widowControl/>
        <w:tabs>
          <w:tab w:val="left" w:pos="900"/>
        </w:tabs>
        <w:autoSpaceDE w:val="0"/>
        <w:autoSpaceDN w:val="0"/>
        <w:adjustRightInd w:val="0"/>
        <w:spacing w:line="360" w:lineRule="auto"/>
        <w:ind w:firstLine="480"/>
        <w:rPr>
          <w:rFonts w:ascii="华文仿宋" w:hAnsi="华文仿宋" w:eastAsia="华文仿宋" w:cs="宋体"/>
          <w:color w:val="000000"/>
          <w:kern w:val="0"/>
          <w:u w:color="000000"/>
        </w:rPr>
      </w:pPr>
      <w:r>
        <w:rPr>
          <w:rFonts w:hint="eastAsia" w:ascii="华文仿宋" w:hAnsi="华文仿宋" w:eastAsia="华文仿宋" w:cs="宋体"/>
          <w:color w:val="000000"/>
          <w:kern w:val="0"/>
          <w:u w:color="000000"/>
        </w:rPr>
        <w:t>经本所律师核查，深圳市恒昇会计师事务所（普通合伙）现持有《营业执照》（统一社会信用代码：91440300MA5GDUGR</w:t>
      </w:r>
      <w:r>
        <w:rPr>
          <w:rFonts w:ascii="华文仿宋" w:hAnsi="华文仿宋" w:eastAsia="华文仿宋" w:cs="宋体"/>
          <w:color w:val="000000"/>
          <w:kern w:val="0"/>
          <w:u w:color="000000"/>
        </w:rPr>
        <w:t>6Q</w:t>
      </w:r>
      <w:r>
        <w:rPr>
          <w:rFonts w:hint="eastAsia" w:ascii="华文仿宋" w:hAnsi="华文仿宋" w:eastAsia="华文仿宋" w:cs="宋体"/>
          <w:color w:val="000000"/>
          <w:kern w:val="0"/>
          <w:u w:color="000000"/>
        </w:rPr>
        <w:t>）和《会计师事务所执业许可证》（执业证书编号：47470</w:t>
      </w:r>
      <w:r>
        <w:rPr>
          <w:rFonts w:ascii="华文仿宋" w:hAnsi="华文仿宋" w:eastAsia="华文仿宋" w:cs="宋体"/>
          <w:color w:val="000000"/>
          <w:kern w:val="0"/>
          <w:u w:color="000000"/>
        </w:rPr>
        <w:t>338</w:t>
      </w:r>
      <w:r>
        <w:rPr>
          <w:rFonts w:hint="eastAsia" w:ascii="华文仿宋" w:hAnsi="华文仿宋" w:eastAsia="华文仿宋" w:cs="宋体"/>
          <w:color w:val="000000"/>
          <w:kern w:val="0"/>
          <w:u w:color="000000"/>
        </w:rPr>
        <w:t>），截至本《法律意见书》出具之日合法存续。</w:t>
      </w:r>
    </w:p>
    <w:p>
      <w:pPr>
        <w:widowControl/>
        <w:tabs>
          <w:tab w:val="left" w:pos="900"/>
        </w:tabs>
        <w:autoSpaceDE w:val="0"/>
        <w:autoSpaceDN w:val="0"/>
        <w:adjustRightInd w:val="0"/>
        <w:spacing w:line="360" w:lineRule="auto"/>
        <w:ind w:firstLine="480"/>
        <w:rPr>
          <w:rFonts w:ascii="华文仿宋" w:hAnsi="华文仿宋" w:eastAsia="华文仿宋" w:cs="宋体"/>
          <w:color w:val="000000"/>
          <w:kern w:val="0"/>
          <w:u w:color="000000"/>
        </w:rPr>
      </w:pPr>
      <w:r>
        <w:rPr>
          <w:rFonts w:hint="eastAsia" w:ascii="华文仿宋" w:hAnsi="华文仿宋" w:eastAsia="华文仿宋" w:cs="宋体"/>
          <w:color w:val="000000"/>
          <w:kern w:val="0"/>
          <w:u w:color="000000"/>
        </w:rPr>
        <w:t>综上，本所认为，本项目符合《关于试点发展项目收益与融资自求平衡的地方政府专项债券品种的通知》（财预〔2017〕89号）及《关于印发《地方政府专项债务预算管理办法》的通知》（财预〔2016〕155号）第七条“专项债务收支应当按照对应的政府性基金收入、专项收入实现项目收支平衡”的规定。</w:t>
      </w:r>
    </w:p>
    <w:p>
      <w:pPr>
        <w:widowControl/>
        <w:tabs>
          <w:tab w:val="left" w:pos="900"/>
        </w:tabs>
        <w:autoSpaceDE w:val="0"/>
        <w:autoSpaceDN w:val="0"/>
        <w:adjustRightInd w:val="0"/>
        <w:spacing w:line="360" w:lineRule="auto"/>
        <w:ind w:firstLine="480"/>
        <w:rPr>
          <w:rFonts w:ascii="华文仿宋" w:hAnsi="华文仿宋" w:eastAsia="华文仿宋" w:cs="宋体"/>
          <w:kern w:val="0"/>
          <w:u w:color="000000"/>
        </w:rPr>
      </w:pP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5" w:name="_Toc20605504"/>
      <w:bookmarkStart w:id="26" w:name="_Toc47346126"/>
      <w:r>
        <w:rPr>
          <w:rFonts w:hint="eastAsia" w:ascii="华文仿宋" w:hAnsi="华文仿宋" w:eastAsia="华文仿宋"/>
          <w:sz w:val="24"/>
          <w:szCs w:val="24"/>
          <w:u w:color="000000"/>
        </w:rPr>
        <w:t>四、项目风险及风险控制措施</w:t>
      </w:r>
      <w:bookmarkEnd w:id="25"/>
      <w:bookmarkEnd w:id="26"/>
    </w:p>
    <w:p>
      <w:pPr>
        <w:widowControl/>
        <w:tabs>
          <w:tab w:val="left" w:pos="90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（一）潜在风险</w:t>
      </w:r>
    </w:p>
    <w:p>
      <w:pPr>
        <w:widowControl/>
        <w:tabs>
          <w:tab w:val="left" w:pos="90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项目可能存在潜在的工程实施风险、组织及管理风险、财务及融资风险、收益实现规模与预期存在差异的风险、收益专项用于偿债的操作风险、利率波动风险。</w:t>
      </w:r>
    </w:p>
    <w:p>
      <w:pPr>
        <w:widowControl/>
        <w:tabs>
          <w:tab w:val="left" w:pos="900"/>
        </w:tabs>
        <w:autoSpaceDE w:val="0"/>
        <w:autoSpaceDN w:val="0"/>
        <w:adjustRightInd w:val="0"/>
        <w:spacing w:line="360" w:lineRule="auto"/>
        <w:ind w:firstLine="480" w:firstLineChars="200"/>
        <w:rPr>
          <w:rFonts w:ascii="华文仿宋" w:hAnsi="华文仿宋" w:eastAsia="华文仿宋" w:cs="宋体"/>
          <w:kern w:val="0"/>
          <w:u w:color="000000"/>
        </w:rPr>
      </w:pPr>
      <w:r>
        <w:rPr>
          <w:rFonts w:hint="eastAsia" w:ascii="华文仿宋" w:hAnsi="华文仿宋" w:eastAsia="华文仿宋" w:cs="宋体"/>
          <w:kern w:val="0"/>
          <w:u w:color="000000"/>
        </w:rPr>
        <w:t>（二）还款保障情况</w:t>
      </w:r>
    </w:p>
    <w:p>
      <w:pPr>
        <w:widowControl/>
        <w:tabs>
          <w:tab w:val="left" w:pos="900"/>
        </w:tabs>
        <w:autoSpaceDE w:val="0"/>
        <w:autoSpaceDN w:val="0"/>
        <w:adjustRightInd w:val="0"/>
        <w:spacing w:line="360" w:lineRule="auto"/>
        <w:ind w:firstLine="480" w:firstLineChars="200"/>
        <w:rPr>
          <w:rFonts w:ascii="华文仿宋" w:hAnsi="华文仿宋" w:eastAsia="华文仿宋" w:cs="宋体"/>
          <w:b/>
          <w:kern w:val="0"/>
          <w:u w:color="000000"/>
        </w:rPr>
      </w:pPr>
      <w:r>
        <w:rPr>
          <w:rFonts w:hint="eastAsia" w:ascii="华文仿宋" w:hAnsi="华文仿宋" w:eastAsia="华文仿宋" w:cs="宋体"/>
          <w:kern w:val="0"/>
          <w:u w:color="000000"/>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华文仿宋" w:hAnsi="华文仿宋" w:eastAsia="华文仿宋" w:cs="宋体"/>
          <w:kern w:val="0"/>
          <w:u w:color="000000"/>
        </w:rPr>
      </w:pPr>
    </w:p>
    <w:p>
      <w:pPr>
        <w:pStyle w:val="3"/>
        <w:rPr>
          <w:rFonts w:ascii="华文仿宋" w:hAnsi="华文仿宋" w:eastAsia="华文仿宋"/>
          <w:sz w:val="24"/>
          <w:szCs w:val="24"/>
          <w:u w:color="000000"/>
        </w:rPr>
      </w:pPr>
      <w:r>
        <w:rPr>
          <w:rFonts w:hint="eastAsia" w:ascii="华文仿宋" w:hAnsi="华文仿宋" w:eastAsia="华文仿宋"/>
          <w:sz w:val="24"/>
          <w:szCs w:val="24"/>
          <w:u w:color="000000"/>
        </w:rPr>
        <w:t xml:space="preserve">    </w:t>
      </w:r>
      <w:bookmarkStart w:id="27" w:name="_Toc20605505"/>
      <w:bookmarkStart w:id="28" w:name="_Toc47346127"/>
      <w:r>
        <w:rPr>
          <w:rFonts w:hint="eastAsia" w:ascii="华文仿宋" w:hAnsi="华文仿宋" w:eastAsia="华文仿宋"/>
          <w:sz w:val="24"/>
          <w:szCs w:val="24"/>
          <w:u w:color="000000"/>
        </w:rPr>
        <w:t>五、结论意见</w:t>
      </w:r>
      <w:bookmarkEnd w:id="27"/>
      <w:bookmarkEnd w:id="28"/>
    </w:p>
    <w:p>
      <w:pPr>
        <w:widowControl/>
        <w:tabs>
          <w:tab w:val="left" w:pos="360"/>
        </w:tabs>
        <w:autoSpaceDE w:val="0"/>
        <w:autoSpaceDN w:val="0"/>
        <w:adjustRightInd w:val="0"/>
        <w:spacing w:line="360" w:lineRule="auto"/>
        <w:ind w:firstLine="480"/>
        <w:jc w:val="left"/>
        <w:rPr>
          <w:rFonts w:ascii="华文仿宋" w:hAnsi="华文仿宋" w:eastAsia="华文仿宋" w:cs="宋体"/>
          <w:kern w:val="0"/>
          <w:u w:color="000000"/>
        </w:rPr>
      </w:pPr>
      <w:r>
        <w:rPr>
          <w:rFonts w:hint="eastAsia" w:ascii="华文仿宋" w:hAnsi="华文仿宋" w:eastAsia="华文仿宋" w:cs="宋体"/>
          <w:kern w:val="0"/>
          <w:u w:color="000000"/>
        </w:rPr>
        <w:t>综上</w:t>
      </w:r>
      <w:r>
        <w:rPr>
          <w:rFonts w:hint="eastAsia" w:ascii="华文仿宋" w:hAnsi="华文仿宋" w:eastAsia="华文仿宋" w:cs="Times New Roman"/>
          <w:lang w:eastAsia="zh-CN"/>
        </w:rPr>
        <w:t>所述，本所律师认为：云浮市云安区农业农村和水务局系本项目的组织实施机构；本项目由18个子项目组成，</w:t>
      </w:r>
      <w:r>
        <w:rPr>
          <w:rFonts w:hint="eastAsia" w:ascii="华文仿宋" w:hAnsi="华文仿宋" w:eastAsia="华文仿宋" w:cs="Times New Roman"/>
          <w:lang w:val="en-US" w:eastAsia="zh-CN"/>
        </w:rPr>
        <w:t>多</w:t>
      </w:r>
      <w:r>
        <w:rPr>
          <w:rFonts w:hint="eastAsia" w:ascii="华文仿宋" w:hAnsi="华文仿宋" w:eastAsia="华文仿宋" w:cs="Times New Roman"/>
          <w:lang w:eastAsia="zh-CN"/>
        </w:rPr>
        <w:t>个子项目已</w:t>
      </w:r>
      <w:r>
        <w:rPr>
          <w:rFonts w:hint="eastAsia" w:ascii="华文仿宋" w:hAnsi="华文仿宋" w:eastAsia="华文仿宋" w:cs="Times New Roman"/>
          <w:lang w:val="en-US" w:eastAsia="zh-CN"/>
        </w:rPr>
        <w:t>取得可行性研究报告的批复</w:t>
      </w:r>
      <w:r>
        <w:rPr>
          <w:rFonts w:hint="eastAsia" w:ascii="华文仿宋" w:hAnsi="华文仿宋" w:eastAsia="华文仿宋" w:cs="Times New Roman"/>
          <w:lang w:eastAsia="zh-CN"/>
        </w:rPr>
        <w:t>；本项目可实现项目收益和融资自求平衡；云浮市云安区农业农村和水务局</w:t>
      </w:r>
      <w:r>
        <w:rPr>
          <w:rFonts w:hint="eastAsia" w:ascii="华文仿宋" w:hAnsi="华文仿宋" w:eastAsia="华文仿宋" w:cs="宋体"/>
          <w:kern w:val="0"/>
          <w:u w:color="000000"/>
        </w:rPr>
        <w:t>应当根据《关于试点发展项目收益与融资自求平衡的地方政府专项债券品种的通知》（财预〔</w:t>
      </w:r>
      <w:r>
        <w:rPr>
          <w:rFonts w:ascii="华文仿宋" w:hAnsi="华文仿宋" w:eastAsia="华文仿宋" w:cs="宋体"/>
          <w:kern w:val="0"/>
          <w:u w:color="000000"/>
        </w:rPr>
        <w:t>2017</w:t>
      </w:r>
      <w:r>
        <w:rPr>
          <w:rFonts w:hint="eastAsia" w:ascii="华文仿宋" w:hAnsi="华文仿宋" w:eastAsia="华文仿宋" w:cs="宋体"/>
          <w:kern w:val="0"/>
          <w:u w:color="000000"/>
        </w:rPr>
        <w:t>〕</w:t>
      </w:r>
      <w:r>
        <w:rPr>
          <w:rFonts w:ascii="华文仿宋" w:hAnsi="华文仿宋" w:eastAsia="华文仿宋" w:cs="宋体"/>
          <w:kern w:val="0"/>
          <w:u w:color="000000"/>
        </w:rPr>
        <w:t>89</w:t>
      </w:r>
      <w:r>
        <w:rPr>
          <w:rFonts w:hint="eastAsia" w:ascii="华文仿宋" w:hAnsi="华文仿宋" w:eastAsia="华文仿宋" w:cs="宋体"/>
          <w:kern w:val="0"/>
          <w:u w:color="000000"/>
        </w:rPr>
        <w:t>号）、《财政部关于对地方政府债务实行限额管理的实施意见》（财预〔2015〕225号）、《国务院关于加强地方政府性债务管理的意见》（国发〔2014〕43号）的要求，将债券项目筹集的资金，专项用于本项目。</w:t>
      </w:r>
    </w:p>
    <w:p>
      <w:pPr>
        <w:widowControl/>
        <w:tabs>
          <w:tab w:val="left" w:pos="360"/>
        </w:tabs>
        <w:autoSpaceDE w:val="0"/>
        <w:autoSpaceDN w:val="0"/>
        <w:adjustRightInd w:val="0"/>
        <w:spacing w:line="360" w:lineRule="auto"/>
        <w:ind w:firstLine="480"/>
        <w:jc w:val="left"/>
      </w:pPr>
      <w:r>
        <w:rPr>
          <w:rFonts w:hint="eastAsia" w:ascii="华文仿宋" w:hAnsi="华文仿宋" w:eastAsia="华文仿宋" w:cs="宋体"/>
          <w:kern w:val="0"/>
          <w:u w:color="000000"/>
        </w:rPr>
        <w:t>（本页以下无正文）</w:t>
      </w:r>
    </w:p>
    <w:sectPr>
      <w:pgSz w:w="12240" w:h="15840"/>
      <w:pgMar w:top="1270" w:right="1689" w:bottom="1270" w:left="1689" w:header="720" w:footer="720" w:gutter="0"/>
      <w:pgNumType w:start="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仿宋_GBK">
    <w:altName w:val="微软雅黑"/>
    <w:panose1 w:val="00000000000000000000"/>
    <w:charset w:val="86"/>
    <w:family w:val="script"/>
    <w:pitch w:val="default"/>
    <w:sig w:usb0="00000000" w:usb1="0000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C4220"/>
    <w:multiLevelType w:val="multilevel"/>
    <w:tmpl w:val="B5CC422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7B82FB1"/>
    <w:multiLevelType w:val="multilevel"/>
    <w:tmpl w:val="B7B82FB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E800BE9F"/>
    <w:multiLevelType w:val="multilevel"/>
    <w:tmpl w:val="E800BE9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C0BA3BC"/>
    <w:multiLevelType w:val="multilevel"/>
    <w:tmpl w:val="EC0BA3B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EDEB2C3C"/>
    <w:multiLevelType w:val="singleLevel"/>
    <w:tmpl w:val="EDEB2C3C"/>
    <w:lvl w:ilvl="0" w:tentative="0">
      <w:start w:val="1"/>
      <w:numFmt w:val="decimal"/>
      <w:lvlText w:val="%1."/>
      <w:lvlJc w:val="left"/>
      <w:pPr>
        <w:ind w:left="425" w:hanging="425"/>
      </w:pPr>
      <w:rPr>
        <w:rFonts w:hint="default"/>
      </w:rPr>
    </w:lvl>
  </w:abstractNum>
  <w:abstractNum w:abstractNumId="5">
    <w:nsid w:val="01E7377E"/>
    <w:multiLevelType w:val="multilevel"/>
    <w:tmpl w:val="01E7377E"/>
    <w:lvl w:ilvl="0" w:tentative="0">
      <w:start w:val="1"/>
      <w:numFmt w:val="japaneseCounting"/>
      <w:lvlText w:val="%1、"/>
      <w:lvlJc w:val="left"/>
      <w:pPr>
        <w:ind w:left="1220" w:hanging="720"/>
      </w:pPr>
      <w:rPr>
        <w:rFonts w:hint="default"/>
        <w:b/>
      </w:rPr>
    </w:lvl>
    <w:lvl w:ilvl="1" w:tentative="0">
      <w:start w:val="1"/>
      <w:numFmt w:val="lowerLetter"/>
      <w:lvlText w:val="%2)"/>
      <w:lvlJc w:val="left"/>
      <w:pPr>
        <w:ind w:left="1340" w:hanging="420"/>
      </w:pPr>
    </w:lvl>
    <w:lvl w:ilvl="2" w:tentative="0">
      <w:start w:val="1"/>
      <w:numFmt w:val="lowerRoman"/>
      <w:lvlText w:val="%3."/>
      <w:lvlJc w:val="right"/>
      <w:pPr>
        <w:ind w:left="1760" w:hanging="420"/>
      </w:pPr>
    </w:lvl>
    <w:lvl w:ilvl="3" w:tentative="0">
      <w:start w:val="1"/>
      <w:numFmt w:val="decimal"/>
      <w:lvlText w:val="%4."/>
      <w:lvlJc w:val="left"/>
      <w:pPr>
        <w:ind w:left="420" w:hanging="420"/>
      </w:pPr>
    </w:lvl>
    <w:lvl w:ilvl="4" w:tentative="0">
      <w:start w:val="1"/>
      <w:numFmt w:val="lowerLetter"/>
      <w:lvlText w:val="%5)"/>
      <w:lvlJc w:val="left"/>
      <w:pPr>
        <w:ind w:left="2600" w:hanging="420"/>
      </w:pPr>
    </w:lvl>
    <w:lvl w:ilvl="5" w:tentative="0">
      <w:start w:val="1"/>
      <w:numFmt w:val="lowerRoman"/>
      <w:lvlText w:val="%6."/>
      <w:lvlJc w:val="right"/>
      <w:pPr>
        <w:ind w:left="3020" w:hanging="420"/>
      </w:pPr>
    </w:lvl>
    <w:lvl w:ilvl="6" w:tentative="0">
      <w:start w:val="1"/>
      <w:numFmt w:val="decimal"/>
      <w:lvlText w:val="%7."/>
      <w:lvlJc w:val="left"/>
      <w:pPr>
        <w:ind w:left="420" w:hanging="420"/>
      </w:pPr>
    </w:lvl>
    <w:lvl w:ilvl="7" w:tentative="0">
      <w:start w:val="1"/>
      <w:numFmt w:val="lowerLetter"/>
      <w:lvlText w:val="%8)"/>
      <w:lvlJc w:val="left"/>
      <w:pPr>
        <w:ind w:left="3860" w:hanging="420"/>
      </w:pPr>
    </w:lvl>
    <w:lvl w:ilvl="8" w:tentative="0">
      <w:start w:val="1"/>
      <w:numFmt w:val="lowerRoman"/>
      <w:lvlText w:val="%9."/>
      <w:lvlJc w:val="right"/>
      <w:pPr>
        <w:ind w:left="4280" w:hanging="420"/>
      </w:pPr>
    </w:lvl>
  </w:abstractNum>
  <w:abstractNum w:abstractNumId="6">
    <w:nsid w:val="04E58F10"/>
    <w:multiLevelType w:val="multilevel"/>
    <w:tmpl w:val="04E58F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57C5FBB"/>
    <w:multiLevelType w:val="multilevel"/>
    <w:tmpl w:val="057C5FB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BE9BD1D"/>
    <w:multiLevelType w:val="singleLevel"/>
    <w:tmpl w:val="0BE9BD1D"/>
    <w:lvl w:ilvl="0" w:tentative="0">
      <w:start w:val="1"/>
      <w:numFmt w:val="decimal"/>
      <w:lvlText w:val="%1."/>
      <w:lvlJc w:val="left"/>
      <w:pPr>
        <w:ind w:left="425" w:hanging="425"/>
      </w:pPr>
      <w:rPr>
        <w:rFonts w:hint="default"/>
      </w:rPr>
    </w:lvl>
  </w:abstractNum>
  <w:abstractNum w:abstractNumId="9">
    <w:nsid w:val="231FA371"/>
    <w:multiLevelType w:val="multilevel"/>
    <w:tmpl w:val="231FA37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3B67F5F"/>
    <w:multiLevelType w:val="multilevel"/>
    <w:tmpl w:val="33B67F5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6C4419F"/>
    <w:multiLevelType w:val="multilevel"/>
    <w:tmpl w:val="36C4419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F6ED6EC"/>
    <w:multiLevelType w:val="multilevel"/>
    <w:tmpl w:val="3F6ED6E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B83323"/>
    <w:multiLevelType w:val="multilevel"/>
    <w:tmpl w:val="4CB833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7BD8B5E"/>
    <w:multiLevelType w:val="multilevel"/>
    <w:tmpl w:val="57BD8B5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31DF2BE"/>
    <w:multiLevelType w:val="multilevel"/>
    <w:tmpl w:val="631DF2B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138B2A8"/>
    <w:multiLevelType w:val="multilevel"/>
    <w:tmpl w:val="7138B2A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79FA28C"/>
    <w:multiLevelType w:val="singleLevel"/>
    <w:tmpl w:val="779FA28C"/>
    <w:lvl w:ilvl="0" w:tentative="0">
      <w:start w:val="1"/>
      <w:numFmt w:val="decimal"/>
      <w:lvlText w:val="%1."/>
      <w:lvlJc w:val="left"/>
      <w:pPr>
        <w:ind w:left="425" w:hanging="425"/>
      </w:pPr>
      <w:rPr>
        <w:rFonts w:hint="default"/>
      </w:rPr>
    </w:lvl>
  </w:abstractNum>
  <w:abstractNum w:abstractNumId="18">
    <w:nsid w:val="7E4994D8"/>
    <w:multiLevelType w:val="singleLevel"/>
    <w:tmpl w:val="7E4994D8"/>
    <w:lvl w:ilvl="0" w:tentative="0">
      <w:start w:val="1"/>
      <w:numFmt w:val="decimal"/>
      <w:lvlText w:val="%1."/>
      <w:lvlJc w:val="left"/>
      <w:pPr>
        <w:ind w:left="425" w:hanging="425"/>
      </w:pPr>
      <w:rPr>
        <w:rFonts w:hint="default"/>
      </w:rPr>
    </w:lvl>
  </w:abstractNum>
  <w:abstractNum w:abstractNumId="19">
    <w:nsid w:val="7EE48075"/>
    <w:multiLevelType w:val="multilevel"/>
    <w:tmpl w:val="7EE4807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4"/>
  </w:num>
  <w:num w:numId="3">
    <w:abstractNumId w:val="10"/>
  </w:num>
  <w:num w:numId="4">
    <w:abstractNumId w:val="15"/>
  </w:num>
  <w:num w:numId="5">
    <w:abstractNumId w:val="3"/>
  </w:num>
  <w:num w:numId="6">
    <w:abstractNumId w:val="6"/>
  </w:num>
  <w:num w:numId="7">
    <w:abstractNumId w:val="1"/>
  </w:num>
  <w:num w:numId="8">
    <w:abstractNumId w:val="19"/>
  </w:num>
  <w:num w:numId="9">
    <w:abstractNumId w:val="14"/>
  </w:num>
  <w:num w:numId="10">
    <w:abstractNumId w:val="13"/>
  </w:num>
  <w:num w:numId="11">
    <w:abstractNumId w:val="2"/>
  </w:num>
  <w:num w:numId="12">
    <w:abstractNumId w:val="16"/>
  </w:num>
  <w:num w:numId="13">
    <w:abstractNumId w:val="11"/>
  </w:num>
  <w:num w:numId="14">
    <w:abstractNumId w:val="9"/>
  </w:num>
  <w:num w:numId="15">
    <w:abstractNumId w:val="7"/>
  </w:num>
  <w:num w:numId="16">
    <w:abstractNumId w:val="0"/>
  </w:num>
  <w:num w:numId="17">
    <w:abstractNumId w:val="18"/>
  </w:num>
  <w:num w:numId="18">
    <w:abstractNumId w:val="12"/>
  </w:num>
  <w:num w:numId="19">
    <w:abstractNumId w:val="1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0ZjFlYWUyODk2YTAzMjI2MDUzNGM4YTExODg3MjMifQ=="/>
  </w:docVars>
  <w:rsids>
    <w:rsidRoot w:val="0061566D"/>
    <w:rsid w:val="0000170C"/>
    <w:rsid w:val="00010FD4"/>
    <w:rsid w:val="00060816"/>
    <w:rsid w:val="000A0218"/>
    <w:rsid w:val="000C4006"/>
    <w:rsid w:val="000D4277"/>
    <w:rsid w:val="000F4632"/>
    <w:rsid w:val="000F5880"/>
    <w:rsid w:val="001074B8"/>
    <w:rsid w:val="00155FB5"/>
    <w:rsid w:val="001E3C37"/>
    <w:rsid w:val="00211E19"/>
    <w:rsid w:val="0026391C"/>
    <w:rsid w:val="002F4268"/>
    <w:rsid w:val="003152A0"/>
    <w:rsid w:val="003221E6"/>
    <w:rsid w:val="003264A5"/>
    <w:rsid w:val="0034290B"/>
    <w:rsid w:val="003C4206"/>
    <w:rsid w:val="004C0DFB"/>
    <w:rsid w:val="00504D8A"/>
    <w:rsid w:val="005971B5"/>
    <w:rsid w:val="005C50C3"/>
    <w:rsid w:val="006048F1"/>
    <w:rsid w:val="0061566D"/>
    <w:rsid w:val="006A2256"/>
    <w:rsid w:val="006E1985"/>
    <w:rsid w:val="006F6D11"/>
    <w:rsid w:val="007670B4"/>
    <w:rsid w:val="00774A14"/>
    <w:rsid w:val="00781851"/>
    <w:rsid w:val="007D7894"/>
    <w:rsid w:val="007E250F"/>
    <w:rsid w:val="00826216"/>
    <w:rsid w:val="00831704"/>
    <w:rsid w:val="0085029E"/>
    <w:rsid w:val="008F6A83"/>
    <w:rsid w:val="0090454D"/>
    <w:rsid w:val="00942979"/>
    <w:rsid w:val="00990831"/>
    <w:rsid w:val="00996526"/>
    <w:rsid w:val="009B02B9"/>
    <w:rsid w:val="00A61A84"/>
    <w:rsid w:val="00A718B9"/>
    <w:rsid w:val="00AB27B3"/>
    <w:rsid w:val="00AE79BF"/>
    <w:rsid w:val="00B2018C"/>
    <w:rsid w:val="00B56E24"/>
    <w:rsid w:val="00B6617E"/>
    <w:rsid w:val="00BA492E"/>
    <w:rsid w:val="00BC0DD0"/>
    <w:rsid w:val="00C47166"/>
    <w:rsid w:val="00CD6F63"/>
    <w:rsid w:val="00CD7DC0"/>
    <w:rsid w:val="00D23C2E"/>
    <w:rsid w:val="00DB4901"/>
    <w:rsid w:val="00DF1F59"/>
    <w:rsid w:val="00E76AA6"/>
    <w:rsid w:val="00E91E5E"/>
    <w:rsid w:val="00F1412C"/>
    <w:rsid w:val="00F22434"/>
    <w:rsid w:val="00F36874"/>
    <w:rsid w:val="00F52681"/>
    <w:rsid w:val="00FF4E58"/>
    <w:rsid w:val="094873B2"/>
    <w:rsid w:val="0A8C6210"/>
    <w:rsid w:val="0B3B375C"/>
    <w:rsid w:val="100A5794"/>
    <w:rsid w:val="12B831F2"/>
    <w:rsid w:val="164E6A70"/>
    <w:rsid w:val="169C7F0D"/>
    <w:rsid w:val="17B374D2"/>
    <w:rsid w:val="193F7D58"/>
    <w:rsid w:val="1C8166F6"/>
    <w:rsid w:val="1CE00EEA"/>
    <w:rsid w:val="1DAF77F8"/>
    <w:rsid w:val="1DB17EE2"/>
    <w:rsid w:val="241E3944"/>
    <w:rsid w:val="2789089D"/>
    <w:rsid w:val="2A4B64C1"/>
    <w:rsid w:val="2BA84618"/>
    <w:rsid w:val="2D244DEC"/>
    <w:rsid w:val="2FF66335"/>
    <w:rsid w:val="30AC5ED6"/>
    <w:rsid w:val="31572824"/>
    <w:rsid w:val="321B7CF6"/>
    <w:rsid w:val="333472C1"/>
    <w:rsid w:val="39073C7C"/>
    <w:rsid w:val="3A273188"/>
    <w:rsid w:val="3A976D23"/>
    <w:rsid w:val="3B0220A6"/>
    <w:rsid w:val="3BA55463"/>
    <w:rsid w:val="3C294452"/>
    <w:rsid w:val="3CAE4890"/>
    <w:rsid w:val="3D8B5960"/>
    <w:rsid w:val="40573DC0"/>
    <w:rsid w:val="43107404"/>
    <w:rsid w:val="47C805DE"/>
    <w:rsid w:val="49DB29DA"/>
    <w:rsid w:val="4AB30E56"/>
    <w:rsid w:val="4AD13C17"/>
    <w:rsid w:val="4DFB3ED8"/>
    <w:rsid w:val="4F3977BB"/>
    <w:rsid w:val="4F626B0C"/>
    <w:rsid w:val="5069089B"/>
    <w:rsid w:val="5125229E"/>
    <w:rsid w:val="51F84A92"/>
    <w:rsid w:val="539C52E6"/>
    <w:rsid w:val="549B36EE"/>
    <w:rsid w:val="560548FC"/>
    <w:rsid w:val="57BC762A"/>
    <w:rsid w:val="57D21E28"/>
    <w:rsid w:val="58E10AA2"/>
    <w:rsid w:val="5AFA2217"/>
    <w:rsid w:val="5BD071D1"/>
    <w:rsid w:val="5E316028"/>
    <w:rsid w:val="5E436B91"/>
    <w:rsid w:val="60655B4E"/>
    <w:rsid w:val="673E6147"/>
    <w:rsid w:val="67943681"/>
    <w:rsid w:val="67DC569D"/>
    <w:rsid w:val="67F55D61"/>
    <w:rsid w:val="6EA56666"/>
    <w:rsid w:val="6F0F6118"/>
    <w:rsid w:val="6FE3114C"/>
    <w:rsid w:val="71DA3CAC"/>
    <w:rsid w:val="724063E2"/>
    <w:rsid w:val="737D42EC"/>
    <w:rsid w:val="7660387E"/>
    <w:rsid w:val="774A7690"/>
    <w:rsid w:val="7A953ACC"/>
    <w:rsid w:val="7BC3396D"/>
    <w:rsid w:val="7C11633D"/>
    <w:rsid w:val="7F4D21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3">
    <w:name w:val="heading 1"/>
    <w:basedOn w:val="1"/>
    <w:next w:val="1"/>
    <w:link w:val="15"/>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5">
    <w:name w:val="Balloon Text"/>
    <w:basedOn w:val="1"/>
    <w:link w:val="22"/>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unhideWhenUsed/>
    <w:qFormat/>
    <w:uiPriority w:val="39"/>
    <w:pPr>
      <w:tabs>
        <w:tab w:val="right" w:leader="dot" w:pos="8630"/>
      </w:tabs>
      <w:spacing w:before="120" w:line="360" w:lineRule="auto"/>
      <w:jc w:val="left"/>
    </w:pPr>
    <w:rPr>
      <w:rFonts w:ascii="黑体" w:hAnsi="黑体" w:eastAsia="黑体"/>
      <w:b/>
      <w:lang w:val="zh-TW" w:eastAsia="zh-TW"/>
    </w:rPr>
  </w:style>
  <w:style w:type="paragraph" w:styleId="9">
    <w:name w:val="toc 2"/>
    <w:basedOn w:val="1"/>
    <w:next w:val="1"/>
    <w:autoRedefine/>
    <w:unhideWhenUsed/>
    <w:qFormat/>
    <w:uiPriority w:val="39"/>
    <w:pPr>
      <w:ind w:left="240"/>
      <w:jc w:val="left"/>
    </w:pPr>
    <w:rPr>
      <w:b/>
      <w:sz w:val="22"/>
      <w:szCs w:val="22"/>
    </w:rPr>
  </w:style>
  <w:style w:type="paragraph" w:styleId="10">
    <w:name w:val="Normal (Web)"/>
    <w:basedOn w:val="1"/>
    <w:autoRedefine/>
    <w:semiHidden/>
    <w:unhideWhenUsed/>
    <w:qFormat/>
    <w:uiPriority w:val="99"/>
    <w:pPr>
      <w:spacing w:beforeAutospacing="1" w:afterAutospacing="1"/>
      <w:jc w:val="left"/>
    </w:pPr>
    <w:rPr>
      <w:rFonts w:cs="Times New Roman"/>
      <w:kern w:val="0"/>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autoRedefine/>
    <w:unhideWhenUsed/>
    <w:qFormat/>
    <w:uiPriority w:val="99"/>
  </w:style>
  <w:style w:type="character" w:customStyle="1" w:styleId="15">
    <w:name w:val="标题 1 字符"/>
    <w:basedOn w:val="13"/>
    <w:link w:val="3"/>
    <w:autoRedefine/>
    <w:qFormat/>
    <w:uiPriority w:val="9"/>
    <w:rPr>
      <w:b/>
      <w:bCs/>
      <w:kern w:val="44"/>
      <w:sz w:val="44"/>
      <w:szCs w:val="44"/>
      <w:lang w:val="en-US"/>
    </w:rPr>
  </w:style>
  <w:style w:type="character" w:customStyle="1" w:styleId="16">
    <w:name w:val="标题 2 字符"/>
    <w:basedOn w:val="13"/>
    <w:link w:val="4"/>
    <w:autoRedefine/>
    <w:qFormat/>
    <w:uiPriority w:val="9"/>
    <w:rPr>
      <w:rFonts w:asciiTheme="majorHAnsi" w:hAnsiTheme="majorHAnsi" w:eastAsiaTheme="majorEastAsia" w:cstheme="majorBidi"/>
      <w:b/>
      <w:bCs/>
      <w:kern w:val="2"/>
      <w:sz w:val="32"/>
      <w:szCs w:val="32"/>
      <w:lang w:val="en-US"/>
    </w:rPr>
  </w:style>
  <w:style w:type="character" w:customStyle="1" w:styleId="17">
    <w:name w:val="页脚 字符"/>
    <w:basedOn w:val="13"/>
    <w:link w:val="6"/>
    <w:autoRedefine/>
    <w:qFormat/>
    <w:uiPriority w:val="99"/>
    <w:rPr>
      <w:kern w:val="2"/>
      <w:sz w:val="18"/>
      <w:szCs w:val="18"/>
      <w:lang w:val="en-US"/>
    </w:rPr>
  </w:style>
  <w:style w:type="table" w:customStyle="1" w:styleId="18">
    <w:name w:val="Table Normal1"/>
    <w:autoRedefine/>
    <w:qFormat/>
    <w:uiPriority w:val="0"/>
    <w:rPr>
      <w:rFonts w:eastAsia="Arial Unicode MS"/>
    </w:rPr>
    <w:tblPr>
      <w:tblCellMar>
        <w:top w:w="0" w:type="dxa"/>
        <w:left w:w="0" w:type="dxa"/>
        <w:bottom w:w="0" w:type="dxa"/>
        <w:right w:w="0" w:type="dxa"/>
      </w:tblCellMar>
    </w:tblPr>
  </w:style>
  <w:style w:type="paragraph" w:customStyle="1" w:styleId="19">
    <w:name w:val="纯文本1"/>
    <w:autoRedefine/>
    <w:qFormat/>
    <w:uiPriority w:val="0"/>
    <w:pPr>
      <w:widowControl w:val="0"/>
      <w:spacing w:line="500" w:lineRule="exact"/>
      <w:ind w:firstLine="200"/>
      <w:jc w:val="both"/>
    </w:pPr>
    <w:rPr>
      <w:rFonts w:hint="eastAsia" w:ascii="Arial Unicode MS" w:hAnsi="Arial Unicode MS" w:eastAsia="宋体" w:cs="Arial Unicode MS"/>
      <w:color w:val="000000"/>
      <w:kern w:val="2"/>
      <w:sz w:val="24"/>
      <w:szCs w:val="24"/>
      <w:u w:color="000000"/>
      <w:lang w:val="en-US" w:eastAsia="zh-CN" w:bidi="ar-SA"/>
    </w:rPr>
  </w:style>
  <w:style w:type="paragraph" w:styleId="20">
    <w:name w:val="List Paragraph"/>
    <w:basedOn w:val="1"/>
    <w:autoRedefine/>
    <w:qFormat/>
    <w:uiPriority w:val="34"/>
    <w:pPr>
      <w:ind w:firstLine="420" w:firstLineChars="200"/>
    </w:pPr>
  </w:style>
  <w:style w:type="paragraph" w:customStyle="1" w:styleId="21">
    <w:name w:val="Normal1"/>
    <w:autoRedefine/>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22">
    <w:name w:val="批注框文本 字符"/>
    <w:basedOn w:val="13"/>
    <w:link w:val="5"/>
    <w:autoRedefine/>
    <w:semiHidden/>
    <w:qFormat/>
    <w:uiPriority w:val="99"/>
    <w:rPr>
      <w:kern w:val="2"/>
      <w:sz w:val="18"/>
      <w:szCs w:val="18"/>
      <w:lang w:val="en-US"/>
    </w:rPr>
  </w:style>
  <w:style w:type="character" w:customStyle="1" w:styleId="23">
    <w:name w:val="页眉 字符"/>
    <w:basedOn w:val="13"/>
    <w:link w:val="7"/>
    <w:autoRedefine/>
    <w:qFormat/>
    <w:uiPriority w:val="99"/>
    <w:rPr>
      <w:kern w:val="2"/>
      <w:sz w:val="18"/>
      <w:szCs w:val="18"/>
    </w:rPr>
  </w:style>
  <w:style w:type="table" w:customStyle="1" w:styleId="24">
    <w:name w:val="Table Normal"/>
    <w:autoRedefine/>
    <w:qFormat/>
    <w:uiPriority w:val="0"/>
    <w:rPr>
      <w:rFonts w:eastAsia="Arial Unicode M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D0BB5-FE39-4276-B9BF-0AE06711E79A}">
  <ds:schemaRefs/>
</ds:datastoreItem>
</file>

<file path=docProps/app.xml><?xml version="1.0" encoding="utf-8"?>
<Properties xmlns="http://schemas.openxmlformats.org/officeDocument/2006/extended-properties" xmlns:vt="http://schemas.openxmlformats.org/officeDocument/2006/docPropsVTypes">
  <Template>Normal</Template>
  <Pages>11</Pages>
  <Words>942</Words>
  <Characters>5376</Characters>
  <Lines>44</Lines>
  <Paragraphs>12</Paragraphs>
  <TotalTime>183</TotalTime>
  <ScaleCrop>false</ScaleCrop>
  <LinksUpToDate>false</LinksUpToDate>
  <CharactersWithSpaces>6306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2021-07-28T03:48:00Z</dcterms:created>
  <dc:creator>Aidan Guo</dc:creator>
  <cp:lastModifiedBy>Alicia颜文字</cp:lastModifiedBy>
  <cp:lastPrinted>2023-08-17T10:27:00Z</cp:lastPrinted>
  <dcterms:modified xsi:type="dcterms:W3CDTF">2024-01-17T07:07:43Z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593EDEA902104F4D939D15439966CA1A_13</vt:lpwstr>
  </property>
</Properties>
</file>