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4935"/>
        </w:tabs>
        <w:autoSpaceDE w:val="0"/>
        <w:autoSpaceDN w:val="0"/>
        <w:adjustRightInd w:val="0"/>
        <w:spacing w:line="360" w:lineRule="auto"/>
        <w:jc w:val="left"/>
        <w:rPr>
          <w:rFonts w:ascii="华文仿宋" w:hAnsi="华文仿宋" w:eastAsia="华文仿宋" w:cs="宋体"/>
          <w:kern w:val="0"/>
        </w:rPr>
      </w:pPr>
      <w:bookmarkStart w:id="29" w:name="_GoBack"/>
      <w:bookmarkEnd w:id="29"/>
      <w:r>
        <w:rPr>
          <w:rFonts w:ascii="华文仿宋" w:hAnsi="华文仿宋" w:eastAsia="华文仿宋"/>
        </w:rPr>
        <w:drawing>
          <wp:anchor distT="57150" distB="57150" distL="57150" distR="57150" simplePos="0" relativeHeight="251660288" behindDoc="0" locked="0" layoutInCell="1" allowOverlap="1">
            <wp:simplePos x="0" y="0"/>
            <wp:positionH relativeFrom="column">
              <wp:posOffset>1189990</wp:posOffset>
            </wp:positionH>
            <wp:positionV relativeFrom="line">
              <wp:posOffset>222250</wp:posOffset>
            </wp:positionV>
            <wp:extent cx="2827655" cy="1664335"/>
            <wp:effectExtent l="0" t="0" r="0" b="0"/>
            <wp:wrapTopAndBottom/>
            <wp:docPr id="1073741825" name="officeArt object" descr="A close u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A close up of a building&#10;&#10;Description automatically generated"/>
                    <pic:cNvPicPr>
                      <a:picLocks noChangeAspect="1"/>
                    </pic:cNvPicPr>
                  </pic:nvPicPr>
                  <pic:blipFill>
                    <a:blip r:embed="rId6"/>
                    <a:stretch>
                      <a:fillRect/>
                    </a:stretch>
                  </pic:blipFill>
                  <pic:spPr>
                    <a:xfrm>
                      <a:off x="0" y="0"/>
                      <a:ext cx="2827655" cy="1664335"/>
                    </a:xfrm>
                    <a:prstGeom prst="rect">
                      <a:avLst/>
                    </a:prstGeom>
                    <a:ln w="12700" cap="flat">
                      <a:noFill/>
                      <a:miter lim="400000"/>
                      <a:headEnd/>
                      <a:tailEnd/>
                    </a:ln>
                    <a:effectLst/>
                  </pic:spPr>
                </pic:pic>
              </a:graphicData>
            </a:graphic>
          </wp:anchor>
        </w:drawing>
      </w:r>
    </w:p>
    <w:p>
      <w:pPr>
        <w:widowControl/>
        <w:tabs>
          <w:tab w:val="left" w:pos="4935"/>
        </w:tabs>
        <w:autoSpaceDE w:val="0"/>
        <w:autoSpaceDN w:val="0"/>
        <w:adjustRightInd w:val="0"/>
        <w:spacing w:line="360" w:lineRule="auto"/>
        <w:jc w:val="left"/>
        <w:rPr>
          <w:rFonts w:ascii="华文仿宋" w:hAnsi="华文仿宋" w:eastAsia="华文仿宋" w:cs="宋体"/>
          <w:kern w:val="0"/>
        </w:rPr>
      </w:pPr>
    </w:p>
    <w:p>
      <w:pPr>
        <w:spacing w:line="360" w:lineRule="auto"/>
        <w:jc w:val="center"/>
        <w:rPr>
          <w:rFonts w:ascii="华文仿宋" w:hAnsi="华文仿宋" w:eastAsia="华文仿宋"/>
          <w:b/>
          <w:sz w:val="36"/>
          <w:szCs w:val="36"/>
          <w:lang w:val="zh-TW"/>
        </w:rPr>
      </w:pPr>
      <w:r>
        <w:rPr>
          <w:rFonts w:hint="eastAsia" w:ascii="华文仿宋" w:hAnsi="华文仿宋" w:eastAsia="华文仿宋"/>
          <w:b/>
          <w:sz w:val="36"/>
          <w:szCs w:val="36"/>
          <w:lang w:val="zh-TW"/>
        </w:rPr>
        <w:t>广东金桥百信律师事务所</w:t>
      </w:r>
    </w:p>
    <w:p>
      <w:pPr>
        <w:spacing w:line="360" w:lineRule="auto"/>
        <w:jc w:val="center"/>
        <w:rPr>
          <w:rFonts w:ascii="华文仿宋" w:hAnsi="华文仿宋" w:eastAsia="华文仿宋"/>
          <w:b/>
          <w:sz w:val="36"/>
          <w:szCs w:val="36"/>
          <w:lang w:val="zh-TW"/>
        </w:rPr>
      </w:pPr>
      <w:r>
        <w:rPr>
          <w:rFonts w:hint="eastAsia" w:ascii="华文仿宋" w:hAnsi="华文仿宋" w:eastAsia="华文仿宋"/>
          <w:b/>
          <w:sz w:val="36"/>
          <w:szCs w:val="36"/>
          <w:lang w:val="zh-TW"/>
        </w:rPr>
        <w:t>关于</w:t>
      </w:r>
    </w:p>
    <w:p>
      <w:pPr>
        <w:spacing w:line="360" w:lineRule="auto"/>
        <w:jc w:val="center"/>
        <w:rPr>
          <w:rFonts w:hint="eastAsia" w:ascii="华文仿宋" w:hAnsi="华文仿宋" w:eastAsia="华文仿宋" w:cs="方正仿宋_GBK"/>
          <w:b/>
          <w:sz w:val="36"/>
          <w:szCs w:val="36"/>
          <w:lang w:eastAsia="zh-CN"/>
        </w:rPr>
      </w:pPr>
      <w:r>
        <w:rPr>
          <w:rFonts w:hint="eastAsia" w:ascii="华文仿宋" w:hAnsi="华文仿宋" w:eastAsia="华文仿宋" w:cs="方正仿宋_GBK"/>
          <w:b/>
          <w:sz w:val="36"/>
          <w:szCs w:val="36"/>
          <w:lang w:eastAsia="zh-CN"/>
        </w:rPr>
        <w:t>云浮市云安区绿色建材产业园基础设施配套项目</w:t>
      </w:r>
    </w:p>
    <w:p>
      <w:pPr>
        <w:spacing w:line="360" w:lineRule="auto"/>
        <w:jc w:val="center"/>
        <w:rPr>
          <w:rFonts w:ascii="华文仿宋" w:hAnsi="华文仿宋" w:eastAsia="华文仿宋" w:cs="方正仿宋_GBK"/>
          <w:b/>
          <w:sz w:val="36"/>
          <w:szCs w:val="36"/>
        </w:rPr>
      </w:pPr>
      <w:r>
        <w:rPr>
          <w:rFonts w:hint="eastAsia" w:ascii="华文仿宋" w:hAnsi="华文仿宋" w:eastAsia="华文仿宋" w:cs="方正仿宋_GBK"/>
          <w:b/>
          <w:sz w:val="36"/>
          <w:szCs w:val="36"/>
        </w:rPr>
        <w:t>之</w:t>
      </w:r>
    </w:p>
    <w:p>
      <w:pPr>
        <w:spacing w:line="360" w:lineRule="auto"/>
        <w:jc w:val="center"/>
        <w:rPr>
          <w:rFonts w:ascii="华文仿宋" w:hAnsi="华文仿宋" w:eastAsia="华文仿宋" w:cs="方正仿宋_GBK"/>
          <w:b/>
          <w:sz w:val="36"/>
          <w:szCs w:val="36"/>
        </w:rPr>
      </w:pPr>
      <w:r>
        <w:rPr>
          <w:rFonts w:hint="eastAsia" w:ascii="华文仿宋" w:hAnsi="华文仿宋" w:eastAsia="华文仿宋" w:cs="方正仿宋_GBK"/>
          <w:b/>
          <w:sz w:val="36"/>
          <w:szCs w:val="36"/>
        </w:rPr>
        <w:t>法律意见书</w:t>
      </w:r>
    </w:p>
    <w:p>
      <w:pPr>
        <w:widowControl/>
        <w:tabs>
          <w:tab w:val="left" w:pos="4935"/>
        </w:tabs>
        <w:autoSpaceDE w:val="0"/>
        <w:autoSpaceDN w:val="0"/>
        <w:adjustRightInd w:val="0"/>
        <w:spacing w:line="360" w:lineRule="auto"/>
        <w:jc w:val="left"/>
        <w:rPr>
          <w:rFonts w:ascii="华文仿宋" w:hAnsi="华文仿宋" w:eastAsia="华文仿宋" w:cs="宋体"/>
          <w:kern w:val="0"/>
        </w:rPr>
      </w:pPr>
    </w:p>
    <w:p>
      <w:pPr>
        <w:widowControl/>
        <w:tabs>
          <w:tab w:val="left" w:pos="4935"/>
        </w:tabs>
        <w:autoSpaceDE w:val="0"/>
        <w:autoSpaceDN w:val="0"/>
        <w:adjustRightInd w:val="0"/>
        <w:spacing w:line="360" w:lineRule="auto"/>
        <w:jc w:val="left"/>
        <w:rPr>
          <w:rFonts w:ascii="华文仿宋" w:hAnsi="华文仿宋" w:eastAsia="华文仿宋" w:cs="宋体"/>
          <w:kern w:val="0"/>
        </w:rPr>
      </w:pPr>
    </w:p>
    <w:p>
      <w:pPr>
        <w:widowControl/>
        <w:tabs>
          <w:tab w:val="left" w:pos="4935"/>
        </w:tabs>
        <w:autoSpaceDE w:val="0"/>
        <w:autoSpaceDN w:val="0"/>
        <w:adjustRightInd w:val="0"/>
        <w:spacing w:line="360" w:lineRule="auto"/>
        <w:jc w:val="left"/>
        <w:rPr>
          <w:rFonts w:ascii="华文仿宋" w:hAnsi="华文仿宋" w:eastAsia="华文仿宋" w:cs="宋体"/>
          <w:kern w:val="0"/>
        </w:rPr>
      </w:pPr>
    </w:p>
    <w:p>
      <w:pPr>
        <w:widowControl/>
        <w:tabs>
          <w:tab w:val="left" w:pos="4935"/>
        </w:tabs>
        <w:autoSpaceDE w:val="0"/>
        <w:autoSpaceDN w:val="0"/>
        <w:adjustRightInd w:val="0"/>
        <w:spacing w:line="360" w:lineRule="auto"/>
        <w:jc w:val="left"/>
        <w:rPr>
          <w:rFonts w:ascii="华文仿宋" w:hAnsi="华文仿宋" w:eastAsia="华文仿宋" w:cs="宋体"/>
          <w:kern w:val="0"/>
        </w:rPr>
      </w:pPr>
    </w:p>
    <w:p>
      <w:pPr>
        <w:widowControl/>
        <w:tabs>
          <w:tab w:val="left" w:pos="4935"/>
        </w:tabs>
        <w:autoSpaceDE w:val="0"/>
        <w:autoSpaceDN w:val="0"/>
        <w:adjustRightInd w:val="0"/>
        <w:spacing w:line="360" w:lineRule="auto"/>
        <w:jc w:val="left"/>
        <w:rPr>
          <w:rFonts w:ascii="华文仿宋" w:hAnsi="华文仿宋" w:eastAsia="华文仿宋" w:cs="宋体"/>
          <w:kern w:val="0"/>
        </w:rPr>
      </w:pPr>
    </w:p>
    <w:p>
      <w:pPr>
        <w:widowControl/>
        <w:tabs>
          <w:tab w:val="left" w:pos="4935"/>
        </w:tabs>
        <w:autoSpaceDE w:val="0"/>
        <w:autoSpaceDN w:val="0"/>
        <w:adjustRightInd w:val="0"/>
        <w:spacing w:line="360" w:lineRule="auto"/>
        <w:jc w:val="left"/>
        <w:rPr>
          <w:rFonts w:ascii="华文仿宋" w:hAnsi="华文仿宋" w:eastAsia="华文仿宋" w:cs="宋体"/>
          <w:kern w:val="0"/>
        </w:rPr>
      </w:pPr>
    </w:p>
    <w:p>
      <w:pPr>
        <w:widowControl/>
        <w:tabs>
          <w:tab w:val="left" w:pos="4935"/>
        </w:tabs>
        <w:autoSpaceDE w:val="0"/>
        <w:autoSpaceDN w:val="0"/>
        <w:adjustRightInd w:val="0"/>
        <w:spacing w:line="360" w:lineRule="auto"/>
        <w:jc w:val="center"/>
        <w:rPr>
          <w:rFonts w:ascii="华文仿宋" w:hAnsi="华文仿宋" w:eastAsia="华文仿宋" w:cs="宋体"/>
          <w:kern w:val="0"/>
        </w:rPr>
      </w:pPr>
      <w:r>
        <w:rPr>
          <w:rFonts w:ascii="华文仿宋" w:hAnsi="华文仿宋" w:eastAsia="华文仿宋"/>
        </w:rPr>
        <w:drawing>
          <wp:inline distT="0" distB="0" distL="0" distR="0">
            <wp:extent cx="5264150" cy="602615"/>
            <wp:effectExtent l="0" t="0" r="0" b="0"/>
            <wp:docPr id="1073741826"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6" name="officeArt object"/>
                    <pic:cNvPicPr>
                      <a:picLocks noChangeAspect="1"/>
                    </pic:cNvPicPr>
                  </pic:nvPicPr>
                  <pic:blipFill>
                    <a:blip r:embed="rId7"/>
                    <a:stretch>
                      <a:fillRect/>
                    </a:stretch>
                  </pic:blipFill>
                  <pic:spPr>
                    <a:xfrm>
                      <a:off x="0" y="0"/>
                      <a:ext cx="5264777" cy="602616"/>
                    </a:xfrm>
                    <a:prstGeom prst="rect">
                      <a:avLst/>
                    </a:prstGeom>
                    <a:ln w="12700" cap="flat">
                      <a:noFill/>
                      <a:miter lim="400000"/>
                      <a:headEnd/>
                      <a:tailEnd/>
                    </a:ln>
                    <a:effectLst/>
                  </pic:spPr>
                </pic:pic>
              </a:graphicData>
            </a:graphic>
          </wp:inline>
        </w:drawing>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华文仿宋" w:hAnsi="华文仿宋" w:eastAsia="华文仿宋" w:cs="宋体"/>
          <w:b/>
          <w:bCs/>
          <w:kern w:val="0"/>
          <w:sz w:val="36"/>
          <w:szCs w:val="36"/>
        </w:rPr>
        <w:sectPr>
          <w:footerReference r:id="rId3" w:type="default"/>
          <w:footerReference r:id="rId4" w:type="even"/>
          <w:pgSz w:w="12240" w:h="15840"/>
          <w:pgMar w:top="1440" w:right="1800" w:bottom="1440" w:left="1800" w:header="720" w:footer="720" w:gutter="0"/>
          <w:pgNumType w:start="0"/>
          <w:cols w:space="720" w:num="1"/>
          <w:titlePg/>
        </w:sectPr>
      </w:pP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华文仿宋" w:hAnsi="华文仿宋" w:eastAsia="华文仿宋" w:cs="宋体"/>
          <w:b/>
          <w:bCs/>
          <w:kern w:val="0"/>
          <w:sz w:val="36"/>
          <w:szCs w:val="36"/>
        </w:rPr>
      </w:pPr>
      <w:r>
        <w:rPr>
          <w:rFonts w:hint="eastAsia" w:ascii="华文仿宋" w:hAnsi="华文仿宋" w:eastAsia="华文仿宋" w:cs="宋体"/>
          <w:b/>
          <w:bCs/>
          <w:kern w:val="0"/>
          <w:sz w:val="36"/>
          <w:szCs w:val="36"/>
        </w:rPr>
        <w:t>目 录</w:t>
      </w:r>
    </w:p>
    <w:p>
      <w:pPr>
        <w:pStyle w:val="8"/>
        <w:rPr>
          <w:rFonts w:ascii="华文仿宋" w:hAnsi="华文仿宋" w:eastAsia="华文仿宋"/>
          <w:b w:val="0"/>
          <w:sz w:val="28"/>
          <w:szCs w:val="28"/>
          <w:lang w:val="en-US" w:eastAsia="zh-CN"/>
        </w:rPr>
      </w:pPr>
      <w:r>
        <w:rPr>
          <w:rFonts w:ascii="华文仿宋" w:hAnsi="华文仿宋" w:eastAsia="华文仿宋" w:cs="Times New Roman"/>
          <w:kern w:val="0"/>
          <w:sz w:val="28"/>
          <w:szCs w:val="28"/>
        </w:rPr>
        <w:fldChar w:fldCharType="begin"/>
      </w:r>
      <w:r>
        <w:rPr>
          <w:rFonts w:ascii="华文仿宋" w:hAnsi="华文仿宋" w:eastAsia="华文仿宋" w:cs="Times New Roman"/>
          <w:kern w:val="0"/>
          <w:sz w:val="28"/>
          <w:szCs w:val="28"/>
          <w:lang w:eastAsia="zh-CN"/>
        </w:rPr>
        <w:instrText xml:space="preserve"> TOC </w:instrText>
      </w:r>
      <w:r>
        <w:rPr>
          <w:rFonts w:hint="eastAsia" w:ascii="华文仿宋" w:hAnsi="华文仿宋" w:eastAsia="华文仿宋" w:cs="Times New Roman"/>
          <w:kern w:val="0"/>
          <w:sz w:val="28"/>
          <w:szCs w:val="28"/>
          <w:lang w:eastAsia="zh-CN"/>
        </w:rPr>
        <w:instrText xml:space="preserve">\o "1-3"</w:instrText>
      </w:r>
      <w:r>
        <w:rPr>
          <w:rFonts w:ascii="华文仿宋" w:hAnsi="华文仿宋" w:eastAsia="华文仿宋" w:cs="Times New Roman"/>
          <w:kern w:val="0"/>
          <w:sz w:val="28"/>
          <w:szCs w:val="28"/>
          <w:lang w:eastAsia="zh-CN"/>
        </w:rPr>
        <w:instrText xml:space="preserve"> </w:instrText>
      </w:r>
      <w:r>
        <w:rPr>
          <w:rFonts w:ascii="华文仿宋" w:hAnsi="华文仿宋" w:eastAsia="华文仿宋" w:cs="Times New Roman"/>
          <w:kern w:val="0"/>
          <w:sz w:val="28"/>
          <w:szCs w:val="28"/>
        </w:rPr>
        <w:fldChar w:fldCharType="separate"/>
      </w:r>
      <w:r>
        <w:rPr>
          <w:rFonts w:ascii="华文仿宋" w:hAnsi="华文仿宋" w:eastAsia="华文仿宋"/>
          <w:sz w:val="28"/>
          <w:szCs w:val="28"/>
          <w:lang w:eastAsia="zh-CN"/>
        </w:rPr>
        <w:t>第一部分  引言</w:t>
      </w:r>
      <w:r>
        <w:rPr>
          <w:rFonts w:ascii="华文仿宋" w:hAnsi="华文仿宋" w:eastAsia="华文仿宋"/>
          <w:sz w:val="28"/>
          <w:szCs w:val="28"/>
          <w:lang w:eastAsia="zh-CN"/>
        </w:rPr>
        <w:tab/>
      </w:r>
      <w:r>
        <w:rPr>
          <w:rFonts w:ascii="华文仿宋" w:hAnsi="华文仿宋" w:eastAsia="华文仿宋"/>
          <w:sz w:val="28"/>
          <w:szCs w:val="28"/>
        </w:rPr>
        <w:fldChar w:fldCharType="begin"/>
      </w:r>
      <w:r>
        <w:rPr>
          <w:rFonts w:ascii="华文仿宋" w:hAnsi="华文仿宋" w:eastAsia="华文仿宋"/>
          <w:sz w:val="28"/>
          <w:szCs w:val="28"/>
          <w:lang w:eastAsia="zh-CN"/>
        </w:rPr>
        <w:instrText xml:space="preserve"> PAGEREF _Toc47346119 \h </w:instrText>
      </w:r>
      <w:r>
        <w:rPr>
          <w:rFonts w:ascii="华文仿宋" w:hAnsi="华文仿宋" w:eastAsia="华文仿宋"/>
          <w:sz w:val="28"/>
          <w:szCs w:val="28"/>
        </w:rPr>
        <w:fldChar w:fldCharType="separate"/>
      </w:r>
      <w:r>
        <w:rPr>
          <w:rFonts w:ascii="华文仿宋" w:hAnsi="华文仿宋" w:eastAsia="华文仿宋"/>
          <w:sz w:val="28"/>
          <w:szCs w:val="28"/>
          <w:lang w:eastAsia="zh-CN"/>
        </w:rPr>
        <w:t>2</w:t>
      </w:r>
      <w:r>
        <w:rPr>
          <w:rFonts w:ascii="华文仿宋" w:hAnsi="华文仿宋" w:eastAsia="华文仿宋"/>
          <w:sz w:val="28"/>
          <w:szCs w:val="28"/>
        </w:rPr>
        <w:fldChar w:fldCharType="end"/>
      </w:r>
    </w:p>
    <w:p>
      <w:pPr>
        <w:pStyle w:val="9"/>
        <w:tabs>
          <w:tab w:val="right" w:leader="dot" w:pos="8630"/>
        </w:tabs>
        <w:spacing w:line="360" w:lineRule="auto"/>
        <w:rPr>
          <w:rFonts w:ascii="华文仿宋" w:hAnsi="华文仿宋" w:eastAsia="华文仿宋"/>
          <w:b w:val="0"/>
          <w:sz w:val="28"/>
          <w:szCs w:val="28"/>
        </w:rPr>
      </w:pPr>
      <w:r>
        <w:rPr>
          <w:rFonts w:ascii="华文仿宋" w:hAnsi="华文仿宋" w:eastAsia="华文仿宋"/>
          <w:b w:val="0"/>
          <w:sz w:val="28"/>
          <w:szCs w:val="28"/>
          <w:lang w:val="zh-TW"/>
        </w:rPr>
        <w:t>一、释义</w:t>
      </w:r>
      <w:r>
        <w:rPr>
          <w:rFonts w:ascii="华文仿宋" w:hAnsi="华文仿宋" w:eastAsia="华文仿宋"/>
          <w:b w:val="0"/>
          <w:sz w:val="28"/>
          <w:szCs w:val="28"/>
        </w:rPr>
        <w:tab/>
      </w:r>
      <w:r>
        <w:rPr>
          <w:rFonts w:ascii="华文仿宋" w:hAnsi="华文仿宋" w:eastAsia="华文仿宋"/>
          <w:b w:val="0"/>
          <w:sz w:val="28"/>
          <w:szCs w:val="28"/>
        </w:rPr>
        <w:fldChar w:fldCharType="begin"/>
      </w:r>
      <w:r>
        <w:rPr>
          <w:rFonts w:ascii="华文仿宋" w:hAnsi="华文仿宋" w:eastAsia="华文仿宋"/>
          <w:b w:val="0"/>
          <w:sz w:val="28"/>
          <w:szCs w:val="28"/>
        </w:rPr>
        <w:instrText xml:space="preserve"> PAGEREF _Toc47346120 \h </w:instrText>
      </w:r>
      <w:r>
        <w:rPr>
          <w:rFonts w:ascii="华文仿宋" w:hAnsi="华文仿宋" w:eastAsia="华文仿宋"/>
          <w:b w:val="0"/>
          <w:sz w:val="28"/>
          <w:szCs w:val="28"/>
        </w:rPr>
        <w:fldChar w:fldCharType="separate"/>
      </w:r>
      <w:r>
        <w:rPr>
          <w:rFonts w:ascii="华文仿宋" w:hAnsi="华文仿宋" w:eastAsia="华文仿宋"/>
          <w:b w:val="0"/>
          <w:sz w:val="28"/>
          <w:szCs w:val="28"/>
        </w:rPr>
        <w:t>2</w:t>
      </w:r>
      <w:r>
        <w:rPr>
          <w:rFonts w:ascii="华文仿宋" w:hAnsi="华文仿宋" w:eastAsia="华文仿宋"/>
          <w:b w:val="0"/>
          <w:sz w:val="28"/>
          <w:szCs w:val="28"/>
        </w:rPr>
        <w:fldChar w:fldCharType="end"/>
      </w:r>
    </w:p>
    <w:p>
      <w:pPr>
        <w:pStyle w:val="9"/>
        <w:tabs>
          <w:tab w:val="right" w:leader="dot" w:pos="8630"/>
        </w:tabs>
        <w:spacing w:line="360" w:lineRule="auto"/>
        <w:rPr>
          <w:rFonts w:ascii="华文仿宋" w:hAnsi="华文仿宋" w:eastAsia="华文仿宋"/>
          <w:b w:val="0"/>
          <w:sz w:val="28"/>
          <w:szCs w:val="28"/>
        </w:rPr>
      </w:pPr>
      <w:r>
        <w:rPr>
          <w:rFonts w:ascii="华文仿宋" w:hAnsi="华文仿宋" w:eastAsia="华文仿宋"/>
          <w:b w:val="0"/>
          <w:sz w:val="28"/>
          <w:szCs w:val="28"/>
          <w:lang w:val="zh-TW"/>
        </w:rPr>
        <w:t>二、律师声明事项</w:t>
      </w:r>
      <w:r>
        <w:rPr>
          <w:rFonts w:ascii="华文仿宋" w:hAnsi="华文仿宋" w:eastAsia="华文仿宋"/>
          <w:b w:val="0"/>
          <w:sz w:val="28"/>
          <w:szCs w:val="28"/>
        </w:rPr>
        <w:tab/>
      </w:r>
      <w:r>
        <w:rPr>
          <w:rFonts w:ascii="华文仿宋" w:hAnsi="华文仿宋" w:eastAsia="华文仿宋"/>
          <w:b w:val="0"/>
          <w:sz w:val="28"/>
          <w:szCs w:val="28"/>
        </w:rPr>
        <w:fldChar w:fldCharType="begin"/>
      </w:r>
      <w:r>
        <w:rPr>
          <w:rFonts w:ascii="华文仿宋" w:hAnsi="华文仿宋" w:eastAsia="华文仿宋"/>
          <w:b w:val="0"/>
          <w:sz w:val="28"/>
          <w:szCs w:val="28"/>
        </w:rPr>
        <w:instrText xml:space="preserve"> PAGEREF _Toc47346121 \h </w:instrText>
      </w:r>
      <w:r>
        <w:rPr>
          <w:rFonts w:ascii="华文仿宋" w:hAnsi="华文仿宋" w:eastAsia="华文仿宋"/>
          <w:b w:val="0"/>
          <w:sz w:val="28"/>
          <w:szCs w:val="28"/>
        </w:rPr>
        <w:fldChar w:fldCharType="separate"/>
      </w:r>
      <w:r>
        <w:rPr>
          <w:rFonts w:ascii="华文仿宋" w:hAnsi="华文仿宋" w:eastAsia="华文仿宋"/>
          <w:b w:val="0"/>
          <w:sz w:val="28"/>
          <w:szCs w:val="28"/>
        </w:rPr>
        <w:t>3</w:t>
      </w:r>
      <w:r>
        <w:rPr>
          <w:rFonts w:ascii="华文仿宋" w:hAnsi="华文仿宋" w:eastAsia="华文仿宋"/>
          <w:b w:val="0"/>
          <w:sz w:val="28"/>
          <w:szCs w:val="28"/>
        </w:rPr>
        <w:fldChar w:fldCharType="end"/>
      </w:r>
    </w:p>
    <w:p>
      <w:pPr>
        <w:pStyle w:val="8"/>
        <w:rPr>
          <w:rFonts w:ascii="华文仿宋" w:hAnsi="华文仿宋" w:eastAsia="华文仿宋"/>
          <w:b w:val="0"/>
          <w:sz w:val="28"/>
          <w:szCs w:val="28"/>
          <w:lang w:val="en-US" w:eastAsia="zh-CN"/>
        </w:rPr>
      </w:pPr>
      <w:r>
        <w:rPr>
          <w:rFonts w:ascii="华文仿宋" w:hAnsi="华文仿宋" w:eastAsia="华文仿宋"/>
          <w:sz w:val="28"/>
          <w:szCs w:val="28"/>
          <w:lang w:eastAsia="zh-CN"/>
        </w:rPr>
        <w:t>第二部分  正文</w:t>
      </w:r>
      <w:r>
        <w:rPr>
          <w:rFonts w:ascii="华文仿宋" w:hAnsi="华文仿宋" w:eastAsia="华文仿宋"/>
          <w:sz w:val="28"/>
          <w:szCs w:val="28"/>
          <w:lang w:eastAsia="zh-CN"/>
        </w:rPr>
        <w:tab/>
      </w:r>
      <w:r>
        <w:rPr>
          <w:rFonts w:ascii="华文仿宋" w:hAnsi="华文仿宋" w:eastAsia="华文仿宋"/>
          <w:sz w:val="28"/>
          <w:szCs w:val="28"/>
        </w:rPr>
        <w:fldChar w:fldCharType="begin"/>
      </w:r>
      <w:r>
        <w:rPr>
          <w:rFonts w:ascii="华文仿宋" w:hAnsi="华文仿宋" w:eastAsia="华文仿宋"/>
          <w:sz w:val="28"/>
          <w:szCs w:val="28"/>
          <w:lang w:eastAsia="zh-CN"/>
        </w:rPr>
        <w:instrText xml:space="preserve"> PAGEREF _Toc47346122 \h </w:instrText>
      </w:r>
      <w:r>
        <w:rPr>
          <w:rFonts w:ascii="华文仿宋" w:hAnsi="华文仿宋" w:eastAsia="华文仿宋"/>
          <w:sz w:val="28"/>
          <w:szCs w:val="28"/>
        </w:rPr>
        <w:fldChar w:fldCharType="separate"/>
      </w:r>
      <w:r>
        <w:rPr>
          <w:rFonts w:ascii="华文仿宋" w:hAnsi="华文仿宋" w:eastAsia="华文仿宋"/>
          <w:sz w:val="28"/>
          <w:szCs w:val="28"/>
          <w:lang w:eastAsia="zh-CN"/>
        </w:rPr>
        <w:t>5</w:t>
      </w:r>
      <w:r>
        <w:rPr>
          <w:rFonts w:ascii="华文仿宋" w:hAnsi="华文仿宋" w:eastAsia="华文仿宋"/>
          <w:sz w:val="28"/>
          <w:szCs w:val="28"/>
        </w:rPr>
        <w:fldChar w:fldCharType="end"/>
      </w:r>
    </w:p>
    <w:p>
      <w:pPr>
        <w:pStyle w:val="9"/>
        <w:tabs>
          <w:tab w:val="right" w:leader="dot" w:pos="8630"/>
        </w:tabs>
        <w:spacing w:line="360" w:lineRule="auto"/>
        <w:rPr>
          <w:rFonts w:ascii="华文仿宋" w:hAnsi="华文仿宋" w:eastAsia="华文仿宋"/>
          <w:b w:val="0"/>
          <w:sz w:val="28"/>
          <w:szCs w:val="28"/>
        </w:rPr>
      </w:pPr>
      <w:r>
        <w:rPr>
          <w:rFonts w:ascii="华文仿宋" w:hAnsi="华文仿宋" w:eastAsia="华文仿宋"/>
          <w:b w:val="0"/>
          <w:sz w:val="28"/>
          <w:szCs w:val="28"/>
          <w:u w:color="000000"/>
        </w:rPr>
        <w:t>一、本项目组织实施建设机构</w:t>
      </w:r>
      <w:r>
        <w:rPr>
          <w:rFonts w:ascii="华文仿宋" w:hAnsi="华文仿宋" w:eastAsia="华文仿宋"/>
          <w:b w:val="0"/>
          <w:sz w:val="28"/>
          <w:szCs w:val="28"/>
        </w:rPr>
        <w:tab/>
      </w:r>
      <w:r>
        <w:rPr>
          <w:rFonts w:ascii="华文仿宋" w:hAnsi="华文仿宋" w:eastAsia="华文仿宋"/>
          <w:b w:val="0"/>
          <w:sz w:val="28"/>
          <w:szCs w:val="28"/>
        </w:rPr>
        <w:fldChar w:fldCharType="begin"/>
      </w:r>
      <w:r>
        <w:rPr>
          <w:rFonts w:ascii="华文仿宋" w:hAnsi="华文仿宋" w:eastAsia="华文仿宋"/>
          <w:b w:val="0"/>
          <w:sz w:val="28"/>
          <w:szCs w:val="28"/>
        </w:rPr>
        <w:instrText xml:space="preserve"> PAGEREF _Toc47346123 \h </w:instrText>
      </w:r>
      <w:r>
        <w:rPr>
          <w:rFonts w:ascii="华文仿宋" w:hAnsi="华文仿宋" w:eastAsia="华文仿宋"/>
          <w:b w:val="0"/>
          <w:sz w:val="28"/>
          <w:szCs w:val="28"/>
        </w:rPr>
        <w:fldChar w:fldCharType="separate"/>
      </w:r>
      <w:r>
        <w:rPr>
          <w:rFonts w:ascii="华文仿宋" w:hAnsi="华文仿宋" w:eastAsia="华文仿宋"/>
          <w:b w:val="0"/>
          <w:sz w:val="28"/>
          <w:szCs w:val="28"/>
        </w:rPr>
        <w:t>5</w:t>
      </w:r>
      <w:r>
        <w:rPr>
          <w:rFonts w:ascii="华文仿宋" w:hAnsi="华文仿宋" w:eastAsia="华文仿宋"/>
          <w:b w:val="0"/>
          <w:sz w:val="28"/>
          <w:szCs w:val="28"/>
        </w:rPr>
        <w:fldChar w:fldCharType="end"/>
      </w:r>
    </w:p>
    <w:p>
      <w:pPr>
        <w:pStyle w:val="9"/>
        <w:tabs>
          <w:tab w:val="right" w:leader="dot" w:pos="8630"/>
        </w:tabs>
        <w:spacing w:line="360" w:lineRule="auto"/>
        <w:rPr>
          <w:rFonts w:ascii="华文仿宋" w:hAnsi="华文仿宋" w:eastAsia="华文仿宋"/>
          <w:b w:val="0"/>
          <w:sz w:val="28"/>
          <w:szCs w:val="28"/>
        </w:rPr>
      </w:pPr>
      <w:r>
        <w:rPr>
          <w:rFonts w:ascii="华文仿宋" w:hAnsi="华文仿宋" w:eastAsia="华文仿宋"/>
          <w:b w:val="0"/>
          <w:sz w:val="28"/>
          <w:szCs w:val="28"/>
          <w:u w:color="000000"/>
        </w:rPr>
        <w:t>二、本期债券发行对应的项目情况</w:t>
      </w:r>
      <w:r>
        <w:rPr>
          <w:rFonts w:ascii="华文仿宋" w:hAnsi="华文仿宋" w:eastAsia="华文仿宋"/>
          <w:b w:val="0"/>
          <w:sz w:val="28"/>
          <w:szCs w:val="28"/>
        </w:rPr>
        <w:tab/>
      </w:r>
      <w:r>
        <w:rPr>
          <w:rFonts w:ascii="华文仿宋" w:hAnsi="华文仿宋" w:eastAsia="华文仿宋"/>
          <w:b w:val="0"/>
          <w:sz w:val="28"/>
          <w:szCs w:val="28"/>
        </w:rPr>
        <w:fldChar w:fldCharType="begin"/>
      </w:r>
      <w:r>
        <w:rPr>
          <w:rFonts w:ascii="华文仿宋" w:hAnsi="华文仿宋" w:eastAsia="华文仿宋"/>
          <w:b w:val="0"/>
          <w:sz w:val="28"/>
          <w:szCs w:val="28"/>
        </w:rPr>
        <w:instrText xml:space="preserve"> PAGEREF _Toc47346124 \h </w:instrText>
      </w:r>
      <w:r>
        <w:rPr>
          <w:rFonts w:ascii="华文仿宋" w:hAnsi="华文仿宋" w:eastAsia="华文仿宋"/>
          <w:b w:val="0"/>
          <w:sz w:val="28"/>
          <w:szCs w:val="28"/>
        </w:rPr>
        <w:fldChar w:fldCharType="separate"/>
      </w:r>
      <w:r>
        <w:rPr>
          <w:rFonts w:ascii="华文仿宋" w:hAnsi="华文仿宋" w:eastAsia="华文仿宋"/>
          <w:b w:val="0"/>
          <w:sz w:val="28"/>
          <w:szCs w:val="28"/>
        </w:rPr>
        <w:t>6</w:t>
      </w:r>
      <w:r>
        <w:rPr>
          <w:rFonts w:ascii="华文仿宋" w:hAnsi="华文仿宋" w:eastAsia="华文仿宋"/>
          <w:b w:val="0"/>
          <w:sz w:val="28"/>
          <w:szCs w:val="28"/>
        </w:rPr>
        <w:fldChar w:fldCharType="end"/>
      </w:r>
    </w:p>
    <w:p>
      <w:pPr>
        <w:pStyle w:val="9"/>
        <w:tabs>
          <w:tab w:val="right" w:leader="dot" w:pos="8630"/>
        </w:tabs>
        <w:spacing w:line="360" w:lineRule="auto"/>
        <w:rPr>
          <w:rFonts w:ascii="华文仿宋" w:hAnsi="华文仿宋" w:eastAsia="华文仿宋"/>
          <w:b w:val="0"/>
          <w:sz w:val="28"/>
          <w:szCs w:val="28"/>
        </w:rPr>
      </w:pPr>
      <w:r>
        <w:rPr>
          <w:rFonts w:ascii="华文仿宋" w:hAnsi="华文仿宋" w:eastAsia="华文仿宋"/>
          <w:b w:val="0"/>
          <w:sz w:val="28"/>
          <w:szCs w:val="28"/>
          <w:u w:color="000000"/>
        </w:rPr>
        <w:t>三、本项目收益与融资自求平衡</w:t>
      </w:r>
      <w:r>
        <w:rPr>
          <w:rFonts w:ascii="华文仿宋" w:hAnsi="华文仿宋" w:eastAsia="华文仿宋"/>
          <w:b w:val="0"/>
          <w:sz w:val="28"/>
          <w:szCs w:val="28"/>
        </w:rPr>
        <w:tab/>
      </w:r>
      <w:r>
        <w:rPr>
          <w:rFonts w:ascii="华文仿宋" w:hAnsi="华文仿宋" w:eastAsia="华文仿宋"/>
          <w:b w:val="0"/>
          <w:sz w:val="28"/>
          <w:szCs w:val="28"/>
        </w:rPr>
        <w:fldChar w:fldCharType="begin"/>
      </w:r>
      <w:r>
        <w:rPr>
          <w:rFonts w:ascii="华文仿宋" w:hAnsi="华文仿宋" w:eastAsia="华文仿宋"/>
          <w:b w:val="0"/>
          <w:sz w:val="28"/>
          <w:szCs w:val="28"/>
        </w:rPr>
        <w:instrText xml:space="preserve"> PAGEREF _Toc47346125 \h </w:instrText>
      </w:r>
      <w:r>
        <w:rPr>
          <w:rFonts w:ascii="华文仿宋" w:hAnsi="华文仿宋" w:eastAsia="华文仿宋"/>
          <w:b w:val="0"/>
          <w:sz w:val="28"/>
          <w:szCs w:val="28"/>
        </w:rPr>
        <w:fldChar w:fldCharType="separate"/>
      </w:r>
      <w:r>
        <w:rPr>
          <w:rFonts w:ascii="华文仿宋" w:hAnsi="华文仿宋" w:eastAsia="华文仿宋"/>
          <w:b w:val="0"/>
          <w:sz w:val="28"/>
          <w:szCs w:val="28"/>
        </w:rPr>
        <w:t>11</w:t>
      </w:r>
      <w:r>
        <w:rPr>
          <w:rFonts w:ascii="华文仿宋" w:hAnsi="华文仿宋" w:eastAsia="华文仿宋"/>
          <w:b w:val="0"/>
          <w:sz w:val="28"/>
          <w:szCs w:val="28"/>
        </w:rPr>
        <w:fldChar w:fldCharType="end"/>
      </w:r>
    </w:p>
    <w:p>
      <w:pPr>
        <w:pStyle w:val="9"/>
        <w:tabs>
          <w:tab w:val="right" w:leader="dot" w:pos="8630"/>
        </w:tabs>
        <w:spacing w:line="360" w:lineRule="auto"/>
        <w:rPr>
          <w:rFonts w:ascii="华文仿宋" w:hAnsi="华文仿宋" w:eastAsia="华文仿宋"/>
          <w:b w:val="0"/>
          <w:sz w:val="28"/>
          <w:szCs w:val="28"/>
        </w:rPr>
      </w:pPr>
      <w:r>
        <w:rPr>
          <w:rFonts w:ascii="华文仿宋" w:hAnsi="华文仿宋" w:eastAsia="华文仿宋"/>
          <w:b w:val="0"/>
          <w:sz w:val="28"/>
          <w:szCs w:val="28"/>
          <w:u w:color="000000"/>
        </w:rPr>
        <w:t>四、项目风险及风险控制措施</w:t>
      </w:r>
      <w:r>
        <w:rPr>
          <w:rFonts w:ascii="华文仿宋" w:hAnsi="华文仿宋" w:eastAsia="华文仿宋"/>
          <w:b w:val="0"/>
          <w:sz w:val="28"/>
          <w:szCs w:val="28"/>
        </w:rPr>
        <w:tab/>
      </w:r>
      <w:r>
        <w:rPr>
          <w:rFonts w:ascii="华文仿宋" w:hAnsi="华文仿宋" w:eastAsia="华文仿宋"/>
          <w:b w:val="0"/>
          <w:sz w:val="28"/>
          <w:szCs w:val="28"/>
        </w:rPr>
        <w:fldChar w:fldCharType="begin"/>
      </w:r>
      <w:r>
        <w:rPr>
          <w:rFonts w:ascii="华文仿宋" w:hAnsi="华文仿宋" w:eastAsia="华文仿宋"/>
          <w:b w:val="0"/>
          <w:sz w:val="28"/>
          <w:szCs w:val="28"/>
        </w:rPr>
        <w:instrText xml:space="preserve"> PAGEREF _Toc47346126 \h </w:instrText>
      </w:r>
      <w:r>
        <w:rPr>
          <w:rFonts w:ascii="华文仿宋" w:hAnsi="华文仿宋" w:eastAsia="华文仿宋"/>
          <w:b w:val="0"/>
          <w:sz w:val="28"/>
          <w:szCs w:val="28"/>
        </w:rPr>
        <w:fldChar w:fldCharType="separate"/>
      </w:r>
      <w:r>
        <w:rPr>
          <w:rFonts w:ascii="华文仿宋" w:hAnsi="华文仿宋" w:eastAsia="华文仿宋"/>
          <w:b w:val="0"/>
          <w:sz w:val="28"/>
          <w:szCs w:val="28"/>
        </w:rPr>
        <w:t>12</w:t>
      </w:r>
      <w:r>
        <w:rPr>
          <w:rFonts w:ascii="华文仿宋" w:hAnsi="华文仿宋" w:eastAsia="华文仿宋"/>
          <w:b w:val="0"/>
          <w:sz w:val="28"/>
          <w:szCs w:val="28"/>
        </w:rPr>
        <w:fldChar w:fldCharType="end"/>
      </w:r>
    </w:p>
    <w:p>
      <w:pPr>
        <w:pStyle w:val="9"/>
        <w:tabs>
          <w:tab w:val="right" w:leader="dot" w:pos="8630"/>
        </w:tabs>
        <w:spacing w:line="360" w:lineRule="auto"/>
        <w:rPr>
          <w:rFonts w:ascii="华文仿宋" w:hAnsi="华文仿宋" w:eastAsia="华文仿宋"/>
          <w:b w:val="0"/>
          <w:sz w:val="28"/>
          <w:szCs w:val="28"/>
        </w:rPr>
      </w:pPr>
      <w:r>
        <w:rPr>
          <w:rFonts w:ascii="华文仿宋" w:hAnsi="华文仿宋" w:eastAsia="华文仿宋"/>
          <w:b w:val="0"/>
          <w:sz w:val="28"/>
          <w:szCs w:val="28"/>
          <w:u w:color="000000"/>
        </w:rPr>
        <w:t>五、结论意见</w:t>
      </w:r>
      <w:r>
        <w:rPr>
          <w:rFonts w:ascii="华文仿宋" w:hAnsi="华文仿宋" w:eastAsia="华文仿宋"/>
          <w:b w:val="0"/>
          <w:sz w:val="28"/>
          <w:szCs w:val="28"/>
        </w:rPr>
        <w:tab/>
      </w:r>
      <w:r>
        <w:rPr>
          <w:rFonts w:ascii="华文仿宋" w:hAnsi="华文仿宋" w:eastAsia="华文仿宋"/>
          <w:b w:val="0"/>
          <w:sz w:val="28"/>
          <w:szCs w:val="28"/>
        </w:rPr>
        <w:fldChar w:fldCharType="begin"/>
      </w:r>
      <w:r>
        <w:rPr>
          <w:rFonts w:ascii="华文仿宋" w:hAnsi="华文仿宋" w:eastAsia="华文仿宋"/>
          <w:b w:val="0"/>
          <w:sz w:val="28"/>
          <w:szCs w:val="28"/>
        </w:rPr>
        <w:instrText xml:space="preserve"> PAGEREF _Toc47346127 \h </w:instrText>
      </w:r>
      <w:r>
        <w:rPr>
          <w:rFonts w:ascii="华文仿宋" w:hAnsi="华文仿宋" w:eastAsia="华文仿宋"/>
          <w:b w:val="0"/>
          <w:sz w:val="28"/>
          <w:szCs w:val="28"/>
        </w:rPr>
        <w:fldChar w:fldCharType="separate"/>
      </w:r>
      <w:r>
        <w:rPr>
          <w:rFonts w:ascii="华文仿宋" w:hAnsi="华文仿宋" w:eastAsia="华文仿宋"/>
          <w:b w:val="0"/>
          <w:sz w:val="28"/>
          <w:szCs w:val="28"/>
        </w:rPr>
        <w:t>12</w:t>
      </w:r>
      <w:r>
        <w:rPr>
          <w:rFonts w:ascii="华文仿宋" w:hAnsi="华文仿宋" w:eastAsia="华文仿宋"/>
          <w:b w:val="0"/>
          <w:sz w:val="28"/>
          <w:szCs w:val="28"/>
        </w:rPr>
        <w:fldChar w:fldCharType="end"/>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Times New Roman" w:asciiTheme="minorEastAsia" w:hAnsiTheme="minorEastAsia"/>
          <w:kern w:val="0"/>
        </w:rPr>
      </w:pPr>
      <w:r>
        <w:rPr>
          <w:rFonts w:ascii="华文仿宋" w:hAnsi="华文仿宋" w:eastAsia="华文仿宋" w:cs="Times New Roman"/>
          <w:kern w:val="0"/>
          <w:sz w:val="28"/>
          <w:szCs w:val="28"/>
        </w:rPr>
        <w:fldChar w:fldCharType="end"/>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华文仿宋" w:hAnsi="华文仿宋" w:eastAsia="华文仿宋" w:cs="Arial Unicode MS"/>
          <w:kern w:val="0"/>
          <w:u w:val="single" w:color="000000"/>
        </w:rPr>
      </w:pPr>
      <w:r>
        <w:rPr>
          <w:rFonts w:ascii="华文仿宋" w:hAnsi="华文仿宋" w:eastAsia="华文仿宋" w:cs="宋体"/>
          <w:kern w:val="0"/>
        </w:rPr>
        <w:br w:type="page"/>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30"/>
          <w:szCs w:val="30"/>
          <w:u w:color="000000"/>
        </w:rPr>
      </w:pPr>
      <w:r>
        <w:rPr>
          <w:rFonts w:ascii="华文仿宋" w:hAnsi="华文仿宋" w:eastAsia="华文仿宋" w:cs="宋体"/>
          <w:sz w:val="30"/>
          <w:szCs w:val="30"/>
        </w:rPr>
        <w:drawing>
          <wp:anchor distT="57150" distB="57150" distL="57150" distR="57150" simplePos="0" relativeHeight="251659264" behindDoc="0" locked="0" layoutInCell="1" allowOverlap="1">
            <wp:simplePos x="0" y="0"/>
            <wp:positionH relativeFrom="page">
              <wp:posOffset>1235710</wp:posOffset>
            </wp:positionH>
            <wp:positionV relativeFrom="page">
              <wp:posOffset>995680</wp:posOffset>
            </wp:positionV>
            <wp:extent cx="5334000" cy="895350"/>
            <wp:effectExtent l="0" t="0" r="0" b="0"/>
            <wp:wrapThrough wrapText="bothSides">
              <wp:wrapPolygon>
                <wp:start x="0" y="0"/>
                <wp:lineTo x="21600" y="0"/>
                <wp:lineTo x="21600" y="21600"/>
                <wp:lineTo x="0" y="21600"/>
                <wp:lineTo x="0" y="0"/>
              </wp:wrapPolygon>
            </wp:wrapThrough>
            <wp:docPr id="1073741827" name="officeArt object"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7" name="officeArt object" descr="1.png"/>
                    <pic:cNvPicPr>
                      <a:picLocks noChangeAspect="1"/>
                    </pic:cNvPicPr>
                  </pic:nvPicPr>
                  <pic:blipFill>
                    <a:blip r:embed="rId8"/>
                    <a:stretch>
                      <a:fillRect/>
                    </a:stretch>
                  </pic:blipFill>
                  <pic:spPr>
                    <a:xfrm>
                      <a:off x="0" y="0"/>
                      <a:ext cx="5334000" cy="895350"/>
                    </a:xfrm>
                    <a:prstGeom prst="rect">
                      <a:avLst/>
                    </a:prstGeom>
                    <a:ln w="12700" cap="flat">
                      <a:noFill/>
                      <a:miter lim="400000"/>
                      <a:headEnd/>
                      <a:tailEnd/>
                    </a:ln>
                    <a:effectLst/>
                  </pic:spPr>
                </pic:pic>
              </a:graphicData>
            </a:graphic>
          </wp:anchor>
        </w:drawing>
      </w:r>
      <w:r>
        <w:rPr>
          <w:rFonts w:hint="eastAsia" w:ascii="华文仿宋" w:hAnsi="华文仿宋" w:eastAsia="华文仿宋" w:cs="宋体"/>
          <w:kern w:val="0"/>
          <w:sz w:val="30"/>
          <w:szCs w:val="30"/>
          <w:u w:color="000000"/>
        </w:rPr>
        <w:t>广东金桥百信律师事务所</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30"/>
          <w:szCs w:val="30"/>
          <w:u w:color="000000"/>
        </w:rPr>
      </w:pPr>
      <w:r>
        <w:rPr>
          <w:rFonts w:hint="eastAsia" w:ascii="华文仿宋" w:hAnsi="华文仿宋" w:eastAsia="华文仿宋" w:cs="宋体"/>
          <w:kern w:val="0"/>
          <w:sz w:val="30"/>
          <w:szCs w:val="30"/>
          <w:u w:color="000000"/>
        </w:rPr>
        <w:t>关于</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eastAsia" w:ascii="华文仿宋" w:hAnsi="华文仿宋" w:eastAsia="华文仿宋" w:cs="方正仿宋_GBK"/>
          <w:bCs/>
          <w:sz w:val="30"/>
          <w:szCs w:val="30"/>
          <w:lang w:eastAsia="zh-CN"/>
        </w:rPr>
      </w:pPr>
      <w:r>
        <w:rPr>
          <w:rFonts w:hint="eastAsia" w:ascii="华文仿宋" w:hAnsi="华文仿宋" w:eastAsia="华文仿宋" w:cs="方正仿宋_GBK"/>
          <w:bCs/>
          <w:sz w:val="30"/>
          <w:szCs w:val="30"/>
          <w:lang w:eastAsia="zh-CN"/>
        </w:rPr>
        <w:t>云浮市云安区绿色建材产业园基础设施配套项目</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30"/>
          <w:szCs w:val="30"/>
          <w:u w:color="000000"/>
        </w:rPr>
      </w:pPr>
      <w:r>
        <w:rPr>
          <w:rFonts w:hint="eastAsia" w:ascii="华文仿宋" w:hAnsi="华文仿宋" w:eastAsia="华文仿宋" w:cs="宋体"/>
          <w:kern w:val="0"/>
          <w:sz w:val="30"/>
          <w:szCs w:val="30"/>
          <w:u w:color="000000"/>
        </w:rPr>
        <w:t>之</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30"/>
          <w:szCs w:val="30"/>
          <w:u w:color="000000"/>
        </w:rPr>
      </w:pPr>
      <w:r>
        <w:rPr>
          <w:rFonts w:hint="eastAsia" w:ascii="华文仿宋" w:hAnsi="华文仿宋" w:eastAsia="华文仿宋" w:cs="宋体"/>
          <w:kern w:val="0"/>
          <w:sz w:val="30"/>
          <w:szCs w:val="30"/>
          <w:u w:color="000000"/>
        </w:rPr>
        <w:t>法律意见书</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right"/>
        <w:rPr>
          <w:rFonts w:ascii="华文仿宋" w:hAnsi="华文仿宋" w:eastAsia="华文仿宋" w:cs="Calibri"/>
          <w:kern w:val="0"/>
          <w:u w:color="000000"/>
        </w:rPr>
      </w:pPr>
      <w:r>
        <w:rPr>
          <w:rFonts w:ascii="华文仿宋" w:hAnsi="华文仿宋" w:eastAsia="华文仿宋" w:cs="宋体"/>
          <w:kern w:val="0"/>
          <w:u w:color="000000"/>
        </w:rPr>
        <w:t xml:space="preserve">                                        </w:t>
      </w:r>
      <w:r>
        <w:rPr>
          <w:rFonts w:hint="eastAsia" w:ascii="华文仿宋" w:hAnsi="华文仿宋" w:eastAsia="华文仿宋" w:cs="Calibri"/>
          <w:kern w:val="0"/>
          <w:u w:color="000000"/>
        </w:rPr>
        <w:t>〔</w:t>
      </w:r>
      <w:r>
        <w:rPr>
          <w:rFonts w:ascii="华文仿宋" w:hAnsi="华文仿宋" w:eastAsia="华文仿宋" w:cs="Calibri"/>
          <w:kern w:val="0"/>
          <w:u w:color="000000"/>
        </w:rPr>
        <w:t>202</w:t>
      </w:r>
      <w:r>
        <w:rPr>
          <w:rFonts w:hint="eastAsia" w:ascii="华文仿宋" w:hAnsi="华文仿宋" w:eastAsia="华文仿宋" w:cs="Calibri"/>
          <w:kern w:val="0"/>
          <w:u w:color="000000"/>
          <w:lang w:val="en-US" w:eastAsia="zh-CN"/>
        </w:rPr>
        <w:t>4</w:t>
      </w:r>
      <w:r>
        <w:rPr>
          <w:rFonts w:hint="eastAsia" w:ascii="华文仿宋" w:hAnsi="华文仿宋" w:eastAsia="华文仿宋" w:cs="Calibri"/>
          <w:kern w:val="0"/>
          <w:u w:color="000000"/>
        </w:rPr>
        <w:t>〕</w:t>
      </w:r>
      <w:r>
        <w:rPr>
          <w:rFonts w:hint="eastAsia" w:ascii="华文仿宋" w:hAnsi="华文仿宋" w:eastAsia="华文仿宋" w:cs="宋体"/>
          <w:kern w:val="0"/>
          <w:u w:color="000000"/>
        </w:rPr>
        <w:t>粤金桥非字第</w:t>
      </w:r>
      <w:r>
        <w:rPr>
          <w:rFonts w:hint="eastAsia" w:ascii="华文仿宋" w:hAnsi="华文仿宋" w:eastAsia="华文仿宋" w:cs="宋体"/>
          <w:kern w:val="0"/>
          <w:u w:color="000000"/>
          <w:lang w:val="en-US" w:eastAsia="zh-CN"/>
        </w:rPr>
        <w:t>0201</w:t>
      </w:r>
      <w:r>
        <w:rPr>
          <w:rFonts w:hint="eastAsia" w:ascii="华文仿宋" w:hAnsi="华文仿宋" w:eastAsia="华文仿宋" w:cs="宋体"/>
          <w:kern w:val="0"/>
          <w:u w:color="000000"/>
        </w:rPr>
        <w:t>号</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hint="eastAsia" w:ascii="华文仿宋" w:hAnsi="华文仿宋" w:eastAsia="华文仿宋" w:cs="宋体"/>
          <w:kern w:val="0"/>
          <w:u w:color="000000"/>
          <w:lang w:eastAsia="zh-CN"/>
        </w:rPr>
      </w:pPr>
      <w:r>
        <w:rPr>
          <w:rFonts w:hint="eastAsia" w:ascii="华文仿宋" w:hAnsi="华文仿宋" w:eastAsia="华文仿宋" w:cs="宋体"/>
          <w:kern w:val="0"/>
          <w:u w:color="000000"/>
        </w:rPr>
        <w:t>致：云浮市</w:t>
      </w:r>
      <w:r>
        <w:rPr>
          <w:rFonts w:hint="eastAsia" w:ascii="华文仿宋" w:hAnsi="华文仿宋" w:eastAsia="华文仿宋" w:cs="宋体"/>
          <w:kern w:val="0"/>
          <w:u w:color="000000"/>
          <w:lang w:eastAsia="zh-CN"/>
        </w:rPr>
        <w:t>云安区财政局</w:t>
      </w:r>
    </w:p>
    <w:p>
      <w:pPr>
        <w:spacing w:line="360" w:lineRule="auto"/>
        <w:ind w:firstLine="480" w:firstLineChars="200"/>
        <w:jc w:val="left"/>
        <w:rPr>
          <w:rFonts w:ascii="华文仿宋" w:hAnsi="华文仿宋" w:eastAsia="华文仿宋" w:cs="方正仿宋_GBK"/>
          <w:bCs/>
          <w:sz w:val="30"/>
          <w:szCs w:val="30"/>
        </w:rPr>
      </w:pPr>
      <w:r>
        <w:rPr>
          <w:rFonts w:hint="eastAsia" w:ascii="华文仿宋" w:hAnsi="华文仿宋" w:eastAsia="华文仿宋" w:cs="宋体"/>
          <w:kern w:val="0"/>
          <w:u w:color="000000"/>
        </w:rPr>
        <w:t>广东金桥百信律师事务所(以下简称“本所”)接受云浮市</w:t>
      </w:r>
      <w:r>
        <w:rPr>
          <w:rFonts w:hint="eastAsia" w:ascii="华文仿宋" w:hAnsi="华文仿宋" w:eastAsia="华文仿宋" w:cs="宋体"/>
          <w:kern w:val="0"/>
          <w:u w:color="000000"/>
          <w:lang w:eastAsia="zh-CN"/>
        </w:rPr>
        <w:t>云安区财政局</w:t>
      </w:r>
      <w:r>
        <w:rPr>
          <w:rFonts w:hint="eastAsia" w:ascii="华文仿宋" w:hAnsi="华文仿宋" w:eastAsia="华文仿宋" w:cs="宋体"/>
          <w:kern w:val="0"/>
          <w:u w:color="000000"/>
        </w:rPr>
        <w:t>的委托，本所指派陈苏律师、张仕琳律师作为“</w:t>
      </w:r>
      <w:r>
        <w:rPr>
          <w:rFonts w:hint="eastAsia" w:ascii="华文仿宋" w:hAnsi="华文仿宋" w:eastAsia="华文仿宋" w:cs="宋体"/>
          <w:kern w:val="0"/>
          <w:u w:color="000000"/>
          <w:lang w:eastAsia="zh-CN"/>
        </w:rPr>
        <w:t>云浮市云安区绿色建材产业园基础设施配套项目</w:t>
      </w:r>
      <w:r>
        <w:rPr>
          <w:rFonts w:hint="eastAsia" w:ascii="华文仿宋" w:hAnsi="华文仿宋" w:eastAsia="华文仿宋" w:cs="宋体"/>
          <w:bCs/>
          <w:kern w:val="0"/>
          <w:u w:color="000000"/>
          <w:lang w:val="zh-TW"/>
        </w:rPr>
        <w:t>”政府专项债券</w:t>
      </w:r>
      <w:r>
        <w:rPr>
          <w:rFonts w:hint="eastAsia" w:ascii="华文仿宋" w:hAnsi="华文仿宋" w:eastAsia="华文仿宋" w:cs="宋体"/>
          <w:kern w:val="0"/>
          <w:u w:color="000000"/>
        </w:rPr>
        <w:t>发行事项的专项法律顾问，对本期债券发行出具本法律意见书。</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480" w:firstLineChars="200"/>
        <w:rPr>
          <w:rFonts w:ascii="华文仿宋" w:hAnsi="华文仿宋" w:eastAsia="华文仿宋" w:cs="宋体"/>
          <w:kern w:val="0"/>
          <w:u w:color="000000"/>
        </w:rPr>
      </w:pPr>
      <w:r>
        <w:rPr>
          <w:rFonts w:hint="eastAsia" w:ascii="华文仿宋" w:hAnsi="华文仿宋" w:eastAsia="华文仿宋" w:cs="宋体"/>
          <w:kern w:val="0"/>
          <w:u w:color="000000"/>
        </w:rPr>
        <w:t>本所根据《国务院关于加强地方政府性债务管理的意见》（以下简称“《国发〔2014〕</w:t>
      </w:r>
      <w:r>
        <w:rPr>
          <w:rFonts w:ascii="华文仿宋" w:hAnsi="华文仿宋" w:eastAsia="华文仿宋" w:cs="宋体"/>
          <w:kern w:val="0"/>
          <w:u w:color="000000"/>
        </w:rPr>
        <w:t>43</w:t>
      </w:r>
      <w:r>
        <w:rPr>
          <w:rFonts w:hint="eastAsia" w:ascii="华文仿宋" w:hAnsi="华文仿宋" w:eastAsia="华文仿宋" w:cs="宋体"/>
          <w:kern w:val="0"/>
          <w:u w:color="000000"/>
        </w:rPr>
        <w:t>号文》”）、《关于试点发展项目收益与融资自求平衡的地方政府专项债券品种的通知》（以下简称“《财预〔</w:t>
      </w:r>
      <w:r>
        <w:rPr>
          <w:rFonts w:ascii="华文仿宋" w:hAnsi="华文仿宋" w:eastAsia="华文仿宋" w:cs="宋体"/>
          <w:kern w:val="0"/>
          <w:u w:color="000000"/>
        </w:rPr>
        <w:t>2017</w:t>
      </w:r>
      <w:r>
        <w:rPr>
          <w:rFonts w:hint="eastAsia" w:ascii="华文仿宋" w:hAnsi="华文仿宋" w:eastAsia="华文仿宋" w:cs="宋体"/>
          <w:kern w:val="0"/>
          <w:u w:color="000000"/>
        </w:rPr>
        <w:t>〕</w:t>
      </w:r>
      <w:r>
        <w:rPr>
          <w:rFonts w:ascii="华文仿宋" w:hAnsi="华文仿宋" w:eastAsia="华文仿宋" w:cs="宋体"/>
          <w:kern w:val="0"/>
          <w:u w:color="000000"/>
        </w:rPr>
        <w:t>89</w:t>
      </w:r>
      <w:r>
        <w:rPr>
          <w:rFonts w:hint="eastAsia" w:ascii="华文仿宋" w:hAnsi="华文仿宋" w:eastAsia="华文仿宋" w:cs="宋体"/>
          <w:kern w:val="0"/>
          <w:u w:color="000000"/>
        </w:rPr>
        <w:t>号文》”）、《关于印发&lt;地方政府专项债务预算管理办法&gt;的通知》（以下简称“《财预〔</w:t>
      </w:r>
      <w:r>
        <w:rPr>
          <w:rFonts w:ascii="华文仿宋" w:hAnsi="华文仿宋" w:eastAsia="华文仿宋" w:cs="宋体"/>
          <w:kern w:val="0"/>
          <w:u w:color="000000"/>
        </w:rPr>
        <w:t>2016</w:t>
      </w:r>
      <w:r>
        <w:rPr>
          <w:rFonts w:hint="eastAsia" w:ascii="华文仿宋" w:hAnsi="华文仿宋" w:eastAsia="华文仿宋" w:cs="宋体"/>
          <w:kern w:val="0"/>
          <w:u w:color="000000"/>
        </w:rPr>
        <w:t>〕</w:t>
      </w:r>
      <w:r>
        <w:rPr>
          <w:rFonts w:ascii="华文仿宋" w:hAnsi="华文仿宋" w:eastAsia="华文仿宋" w:cs="宋体"/>
          <w:kern w:val="0"/>
          <w:u w:color="000000"/>
        </w:rPr>
        <w:t>155</w:t>
      </w:r>
      <w:r>
        <w:rPr>
          <w:rFonts w:hint="eastAsia" w:ascii="华文仿宋" w:hAnsi="华文仿宋" w:eastAsia="华文仿宋" w:cs="宋体"/>
          <w:kern w:val="0"/>
          <w:u w:color="000000"/>
        </w:rPr>
        <w:t>号文》”）、《关于对地方政府债务实行限额管理的实施意见》（以下简称“《财预〔</w:t>
      </w:r>
      <w:r>
        <w:rPr>
          <w:rFonts w:ascii="华文仿宋" w:hAnsi="华文仿宋" w:eastAsia="华文仿宋" w:cs="宋体"/>
          <w:kern w:val="0"/>
          <w:u w:color="000000"/>
        </w:rPr>
        <w:t>2015</w:t>
      </w:r>
      <w:r>
        <w:rPr>
          <w:rFonts w:hint="eastAsia" w:ascii="华文仿宋" w:hAnsi="华文仿宋" w:eastAsia="华文仿宋" w:cs="宋体"/>
          <w:kern w:val="0"/>
          <w:u w:color="000000"/>
        </w:rPr>
        <w:t>〕</w:t>
      </w:r>
      <w:r>
        <w:rPr>
          <w:rFonts w:ascii="华文仿宋" w:hAnsi="华文仿宋" w:eastAsia="华文仿宋" w:cs="宋体"/>
          <w:kern w:val="0"/>
          <w:u w:color="000000"/>
        </w:rPr>
        <w:t>225</w:t>
      </w:r>
      <w:r>
        <w:rPr>
          <w:rFonts w:hint="eastAsia" w:ascii="华文仿宋" w:hAnsi="华文仿宋" w:eastAsia="华文仿宋" w:cs="宋体"/>
          <w:kern w:val="0"/>
          <w:u w:color="000000"/>
        </w:rPr>
        <w:t>号文》”）、</w:t>
      </w:r>
      <w:r>
        <w:rPr>
          <w:rFonts w:hint="eastAsia" w:ascii="华文仿宋" w:hAnsi="华文仿宋" w:eastAsia="华文仿宋"/>
        </w:rPr>
        <w:t>《财政部关于做好2018年地方政府债务管理工作的通知》（以下简称“《</w:t>
      </w:r>
      <w:r>
        <w:rPr>
          <w:rFonts w:hint="eastAsia" w:ascii="华文仿宋" w:hAnsi="华文仿宋" w:eastAsia="华文仿宋" w:cs="宋体"/>
          <w:kern w:val="0"/>
          <w:u w:color="000000"/>
        </w:rPr>
        <w:t>财预〔2018〕34号</w:t>
      </w:r>
      <w:r>
        <w:rPr>
          <w:rFonts w:hint="eastAsia" w:ascii="华文仿宋" w:hAnsi="华文仿宋" w:eastAsia="华文仿宋"/>
        </w:rPr>
        <w:t>》</w:t>
      </w:r>
      <w:r>
        <w:rPr>
          <w:rFonts w:hint="eastAsia" w:ascii="华文仿宋" w:hAnsi="华文仿宋" w:eastAsia="华文仿宋" w:cs="宋体"/>
          <w:kern w:val="0"/>
          <w:u w:color="000000"/>
        </w:rPr>
        <w:t>”）、《关于做好地方政府专项债券发行及项目配套融资工作的通知》（以下简称“《厅字〔</w:t>
      </w:r>
      <w:r>
        <w:rPr>
          <w:rFonts w:ascii="华文仿宋" w:hAnsi="华文仿宋" w:eastAsia="华文仿宋" w:cs="宋体"/>
          <w:kern w:val="0"/>
          <w:u w:color="000000"/>
        </w:rPr>
        <w:t>2019</w:t>
      </w:r>
      <w:r>
        <w:rPr>
          <w:rFonts w:hint="eastAsia" w:ascii="华文仿宋" w:hAnsi="华文仿宋" w:eastAsia="华文仿宋" w:cs="宋体"/>
          <w:kern w:val="0"/>
          <w:u w:color="000000"/>
        </w:rPr>
        <w:t>〕</w:t>
      </w:r>
      <w:r>
        <w:rPr>
          <w:rFonts w:ascii="华文仿宋" w:hAnsi="华文仿宋" w:eastAsia="华文仿宋" w:cs="宋体"/>
          <w:kern w:val="0"/>
          <w:u w:color="000000"/>
        </w:rPr>
        <w:t>33</w:t>
      </w:r>
      <w:r>
        <w:rPr>
          <w:rFonts w:hint="eastAsia" w:ascii="华文仿宋" w:hAnsi="华文仿宋" w:eastAsia="华文仿宋" w:cs="宋体"/>
          <w:kern w:val="0"/>
          <w:u w:color="000000"/>
        </w:rPr>
        <w:t>号》”）</w:t>
      </w:r>
      <w:bookmarkStart w:id="0" w:name="_Hlk59721951"/>
      <w:r>
        <w:rPr>
          <w:rFonts w:hint="eastAsia" w:ascii="华文仿宋" w:hAnsi="华文仿宋" w:eastAsia="华文仿宋" w:cs="宋体"/>
          <w:color w:val="000000"/>
          <w:kern w:val="0"/>
          <w:u w:color="000000"/>
        </w:rPr>
        <w:t>、《地方政府债券发行管理办法》（以下简称“《财库〔2020〕43号文》”）</w:t>
      </w:r>
      <w:bookmarkEnd w:id="0"/>
      <w:r>
        <w:rPr>
          <w:rFonts w:hint="eastAsia" w:ascii="华文仿宋" w:hAnsi="华文仿宋" w:eastAsia="华文仿宋" w:cs="宋体"/>
          <w:kern w:val="0"/>
          <w:u w:color="000000"/>
        </w:rPr>
        <w:t>等有关法律、法规、地方政府规章以及政策文件规定出具本法律意见书。</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480" w:firstLineChars="200"/>
        <w:rPr>
          <w:rFonts w:ascii="华文仿宋" w:hAnsi="华文仿宋" w:eastAsia="华文仿宋" w:cs="宋体"/>
          <w:kern w:val="0"/>
          <w:u w:color="000000"/>
        </w:rPr>
      </w:pPr>
    </w:p>
    <w:p>
      <w:pPr>
        <w:pStyle w:val="3"/>
        <w:spacing w:line="240" w:lineRule="auto"/>
        <w:jc w:val="center"/>
        <w:rPr>
          <w:rFonts w:ascii="华文仿宋" w:hAnsi="华文仿宋" w:eastAsia="华文仿宋"/>
          <w:sz w:val="36"/>
          <w:szCs w:val="36"/>
          <w:lang w:val="zh-TW"/>
        </w:rPr>
      </w:pPr>
      <w:bookmarkStart w:id="1" w:name="_Toc340692990"/>
      <w:bookmarkStart w:id="2" w:name="_Toc340924798"/>
      <w:bookmarkStart w:id="3" w:name="_Toc20605497"/>
      <w:bookmarkStart w:id="4" w:name="_Toc47346119"/>
      <w:r>
        <w:rPr>
          <w:rFonts w:hint="eastAsia" w:ascii="华文仿宋" w:hAnsi="华文仿宋" w:eastAsia="华文仿宋"/>
          <w:sz w:val="36"/>
          <w:szCs w:val="36"/>
          <w:lang w:val="zh-TW"/>
        </w:rPr>
        <w:t>第一部分</w:t>
      </w:r>
      <w:r>
        <w:rPr>
          <w:rFonts w:ascii="华文仿宋" w:hAnsi="华文仿宋" w:eastAsia="华文仿宋"/>
          <w:sz w:val="36"/>
          <w:szCs w:val="36"/>
          <w:lang w:val="zh-TW"/>
        </w:rPr>
        <w:t xml:space="preserve">  </w:t>
      </w:r>
      <w:r>
        <w:rPr>
          <w:rFonts w:hint="eastAsia" w:ascii="华文仿宋" w:hAnsi="华文仿宋" w:eastAsia="华文仿宋"/>
          <w:sz w:val="36"/>
          <w:szCs w:val="36"/>
          <w:lang w:val="zh-TW"/>
        </w:rPr>
        <w:t>引言</w:t>
      </w:r>
      <w:bookmarkEnd w:id="1"/>
      <w:bookmarkEnd w:id="2"/>
      <w:bookmarkEnd w:id="3"/>
      <w:bookmarkEnd w:id="4"/>
    </w:p>
    <w:p>
      <w:pPr>
        <w:pStyle w:val="4"/>
        <w:spacing w:line="240" w:lineRule="auto"/>
        <w:ind w:firstLine="480" w:firstLineChars="200"/>
        <w:rPr>
          <w:rFonts w:ascii="华文仿宋" w:hAnsi="华文仿宋" w:eastAsia="华文仿宋"/>
          <w:sz w:val="24"/>
          <w:szCs w:val="24"/>
          <w:lang w:val="zh-TW"/>
        </w:rPr>
      </w:pPr>
      <w:bookmarkStart w:id="5" w:name="_Toc340924799"/>
      <w:bookmarkStart w:id="6" w:name="_Toc340692991"/>
      <w:bookmarkStart w:id="7" w:name="_Toc20605498"/>
      <w:bookmarkStart w:id="8" w:name="_Toc47346120"/>
      <w:r>
        <w:rPr>
          <w:rFonts w:hint="eastAsia" w:ascii="华文仿宋" w:hAnsi="华文仿宋" w:eastAsia="华文仿宋"/>
          <w:sz w:val="24"/>
          <w:szCs w:val="24"/>
          <w:lang w:val="zh-TW"/>
        </w:rPr>
        <w:t>一、释义</w:t>
      </w:r>
      <w:bookmarkEnd w:id="5"/>
      <w:bookmarkEnd w:id="6"/>
      <w:bookmarkEnd w:id="7"/>
      <w:bookmarkEnd w:id="8"/>
    </w:p>
    <w:p>
      <w:pPr>
        <w:spacing w:line="360" w:lineRule="auto"/>
        <w:ind w:firstLine="480"/>
        <w:rPr>
          <w:rFonts w:ascii="华文仿宋" w:hAnsi="华文仿宋" w:eastAsia="华文仿宋"/>
          <w:lang w:val="zh-TW"/>
        </w:rPr>
      </w:pPr>
      <w:r>
        <w:rPr>
          <w:rFonts w:hint="eastAsia" w:ascii="华文仿宋" w:hAnsi="华文仿宋" w:eastAsia="华文仿宋"/>
          <w:lang w:val="zh-TW"/>
        </w:rPr>
        <w:t>在本法律意见书中，除另有明确表述或上下文另有定义，下列各项用语具有如下特定的含义：</w:t>
      </w:r>
    </w:p>
    <w:tbl>
      <w:tblPr>
        <w:tblStyle w:val="18"/>
        <w:tblW w:w="9004" w:type="dxa"/>
        <w:jc w:val="center"/>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4F81BD"/>
        <w:tblLayout w:type="fixed"/>
        <w:tblCellMar>
          <w:top w:w="0" w:type="dxa"/>
          <w:left w:w="0" w:type="dxa"/>
          <w:bottom w:w="0" w:type="dxa"/>
          <w:right w:w="0" w:type="dxa"/>
        </w:tblCellMar>
      </w:tblPr>
      <w:tblGrid>
        <w:gridCol w:w="3215"/>
        <w:gridCol w:w="5789"/>
      </w:tblGrid>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4F81BD"/>
          <w:tblCellMar>
            <w:top w:w="0" w:type="dxa"/>
            <w:left w:w="0" w:type="dxa"/>
            <w:bottom w:w="0" w:type="dxa"/>
            <w:right w:w="0" w:type="dxa"/>
          </w:tblCellMar>
        </w:tblPrEx>
        <w:trPr>
          <w:trHeight w:val="505" w:hRule="atLeast"/>
          <w:tblHeader/>
          <w:jc w:val="center"/>
        </w:trPr>
        <w:tc>
          <w:tcPr>
            <w:tcW w:w="3215" w:type="dxa"/>
            <w:shd w:val="clear" w:color="auto" w:fill="D8D8D8" w:themeFill="background1" w:themeFillShade="D9"/>
            <w:tcMar>
              <w:top w:w="80" w:type="dxa"/>
              <w:left w:w="80" w:type="dxa"/>
              <w:bottom w:w="80" w:type="dxa"/>
              <w:right w:w="80" w:type="dxa"/>
            </w:tcMar>
            <w:vAlign w:val="center"/>
          </w:tcPr>
          <w:p>
            <w:pPr>
              <w:widowControl/>
              <w:shd w:val="clear" w:color="auto" w:fill="D8D8D8" w:themeFill="background1" w:themeFillShade="D9"/>
              <w:spacing w:line="276" w:lineRule="auto"/>
              <w:jc w:val="center"/>
              <w:rPr>
                <w:rFonts w:ascii="华文仿宋" w:hAnsi="华文仿宋" w:eastAsia="华文仿宋" w:cs="Times New Roman"/>
                <w:b/>
                <w:kern w:val="0"/>
                <w:sz w:val="21"/>
                <w:szCs w:val="21"/>
              </w:rPr>
            </w:pPr>
            <w:r>
              <w:rPr>
                <w:rFonts w:hint="eastAsia" w:ascii="华文仿宋" w:hAnsi="华文仿宋" w:eastAsia="华文仿宋" w:cs="Times New Roman"/>
                <w:b/>
                <w:kern w:val="0"/>
                <w:sz w:val="21"/>
                <w:szCs w:val="21"/>
                <w:lang w:val="zh-TW" w:eastAsia="zh-TW"/>
              </w:rPr>
              <w:t>简称</w:t>
            </w:r>
          </w:p>
        </w:tc>
        <w:tc>
          <w:tcPr>
            <w:tcW w:w="5789" w:type="dxa"/>
            <w:shd w:val="clear" w:color="auto" w:fill="D8D8D8" w:themeFill="background1" w:themeFillShade="D9"/>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b/>
                <w:kern w:val="0"/>
                <w:sz w:val="21"/>
                <w:szCs w:val="21"/>
              </w:rPr>
            </w:pPr>
            <w:r>
              <w:rPr>
                <w:rFonts w:hint="eastAsia" w:ascii="华文仿宋" w:hAnsi="华文仿宋" w:eastAsia="华文仿宋" w:cs="Times New Roman"/>
                <w:b/>
                <w:kern w:val="0"/>
                <w:sz w:val="21"/>
                <w:szCs w:val="21"/>
                <w:lang w:val="zh-TW" w:eastAsia="zh-TW"/>
              </w:rPr>
              <w:t>定义</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594"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rPr>
              <w:t>2</w:t>
            </w:r>
            <w:r>
              <w:rPr>
                <w:rFonts w:hint="eastAsia" w:ascii="华文仿宋" w:hAnsi="华文仿宋" w:eastAsia="华文仿宋" w:cs="Times New Roman"/>
                <w:kern w:val="0"/>
                <w:sz w:val="21"/>
                <w:szCs w:val="21"/>
                <w:lang w:val="zh-TW" w:eastAsia="zh-TW"/>
              </w:rPr>
              <w:t>02</w:t>
            </w:r>
            <w:r>
              <w:rPr>
                <w:rFonts w:hint="eastAsia" w:ascii="华文仿宋" w:hAnsi="华文仿宋" w:eastAsia="宋体" w:cs="Times New Roman"/>
                <w:kern w:val="0"/>
                <w:sz w:val="21"/>
                <w:szCs w:val="21"/>
                <w:lang w:val="en-US" w:eastAsia="zh-CN"/>
              </w:rPr>
              <w:t>4</w:t>
            </w:r>
            <w:r>
              <w:rPr>
                <w:rFonts w:hint="eastAsia" w:ascii="华文仿宋" w:hAnsi="华文仿宋" w:eastAsia="华文仿宋" w:cs="Times New Roman"/>
                <w:kern w:val="0"/>
                <w:sz w:val="21"/>
                <w:szCs w:val="21"/>
                <w:lang w:val="zh-TW" w:eastAsia="zh-TW"/>
              </w:rPr>
              <w:t>年债券计划发行金额</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cs="Times New Roman"/>
                <w:kern w:val="0"/>
                <w:sz w:val="21"/>
                <w:szCs w:val="21"/>
                <w:lang w:val="zh-TW"/>
              </w:rPr>
              <w:t>人民币</w:t>
            </w:r>
            <w:r>
              <w:rPr>
                <w:rFonts w:hint="eastAsia" w:ascii="华文仿宋" w:hAnsi="华文仿宋" w:eastAsia="华文仿宋" w:cs="Times New Roman"/>
                <w:kern w:val="0"/>
                <w:sz w:val="21"/>
                <w:szCs w:val="21"/>
                <w:lang w:val="en-US" w:eastAsia="zh-CN"/>
              </w:rPr>
              <w:t>50,000.00</w:t>
            </w:r>
            <w:r>
              <w:rPr>
                <w:rFonts w:hint="eastAsia" w:ascii="华文仿宋" w:hAnsi="华文仿宋" w:eastAsia="华文仿宋" w:cs="Times New Roman"/>
                <w:kern w:val="0"/>
                <w:sz w:val="21"/>
                <w:szCs w:val="21"/>
                <w:lang w:val="zh-TW"/>
              </w:rPr>
              <w:t>万元</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cs="Times New Roman"/>
                <w:kern w:val="0"/>
                <w:sz w:val="21"/>
                <w:szCs w:val="21"/>
                <w:lang w:val="zh-TW"/>
              </w:rPr>
              <w:t>专项评价机构</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kern w:val="0"/>
                <w:sz w:val="21"/>
                <w:szCs w:val="21"/>
                <w:lang w:val="zh-TW"/>
              </w:rPr>
              <w:t>深圳市恒昇会计师事务所（普通合伙）</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eastAsia="zh-TW"/>
              </w:rPr>
              <w:t>《公司法》</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rPr>
              <w:t>《中华人民共和国公司法》</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eastAsia="zh-TW"/>
              </w:rPr>
              <w:t>《预算法》</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rPr>
              <w:t>《中华人民共和国预算法》</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eastAsia="zh-TW"/>
              </w:rPr>
            </w:pPr>
            <w:r>
              <w:rPr>
                <w:rFonts w:hint="eastAsia" w:ascii="华文仿宋" w:hAnsi="华文仿宋" w:eastAsia="华文仿宋" w:cs="Times New Roman"/>
                <w:kern w:val="0"/>
                <w:sz w:val="21"/>
                <w:szCs w:val="21"/>
                <w:lang w:val="zh-TW" w:eastAsia="zh-TW"/>
              </w:rPr>
              <w:t>《国发</w:t>
            </w:r>
            <w:r>
              <w:rPr>
                <w:rFonts w:hint="eastAsia" w:ascii="华文仿宋" w:hAnsi="华文仿宋" w:eastAsia="华文仿宋" w:cs="Times New Roman"/>
                <w:kern w:val="0"/>
                <w:sz w:val="21"/>
                <w:szCs w:val="21"/>
                <w:lang w:val="zh-TW"/>
              </w:rPr>
              <w:t>〔</w:t>
            </w:r>
            <w:r>
              <w:rPr>
                <w:rFonts w:hint="eastAsia" w:ascii="华文仿宋" w:hAnsi="华文仿宋" w:eastAsia="华文仿宋" w:cs="Times New Roman"/>
                <w:kern w:val="0"/>
                <w:sz w:val="21"/>
                <w:szCs w:val="21"/>
                <w:lang w:val="zh-TW" w:eastAsia="zh-TW"/>
              </w:rPr>
              <w:t>2014</w:t>
            </w:r>
            <w:r>
              <w:rPr>
                <w:rFonts w:hint="eastAsia" w:ascii="华文仿宋" w:hAnsi="华文仿宋" w:eastAsia="华文仿宋" w:cs="Times New Roman"/>
                <w:kern w:val="0"/>
                <w:sz w:val="21"/>
                <w:szCs w:val="21"/>
                <w:lang w:val="zh-TW"/>
              </w:rPr>
              <w:t>〕</w:t>
            </w:r>
            <w:r>
              <w:rPr>
                <w:rFonts w:hint="eastAsia" w:ascii="华文仿宋" w:hAnsi="华文仿宋" w:eastAsia="华文仿宋" w:cs="Times New Roman"/>
                <w:kern w:val="0"/>
                <w:sz w:val="21"/>
                <w:szCs w:val="21"/>
                <w:lang w:val="zh-TW" w:eastAsia="zh-TW"/>
              </w:rPr>
              <w:t>43号文》</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cs="Times New Roman"/>
                <w:kern w:val="0"/>
                <w:sz w:val="21"/>
                <w:szCs w:val="21"/>
              </w:rPr>
              <w:t>《国务院关于加强地方政府性债务管理的意见》</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cs="Times New Roman"/>
                <w:kern w:val="0"/>
                <w:sz w:val="21"/>
                <w:szCs w:val="21"/>
                <w:lang w:val="zh-TW"/>
              </w:rPr>
              <w:t>《财预〔2017〕89号文》</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cs="Times New Roman"/>
                <w:kern w:val="0"/>
                <w:sz w:val="21"/>
                <w:szCs w:val="21"/>
              </w:rPr>
              <w:t>《关于试点发展项目收益与融资自求平衡的地方政府专项债券品种的通知》</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rPr>
              <w:t>《财预〔2015〕225号文》</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rPr>
              <w:t>《关于对地方政府债务实行限额管理的实施意见》</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cs="Times New Roman"/>
                <w:kern w:val="0"/>
                <w:sz w:val="21"/>
                <w:szCs w:val="21"/>
                <w:lang w:val="zh-TW"/>
              </w:rPr>
              <w:t>《厅字〔</w:t>
            </w:r>
            <w:r>
              <w:rPr>
                <w:rFonts w:ascii="华文仿宋" w:hAnsi="华文仿宋" w:eastAsia="华文仿宋" w:cs="Times New Roman"/>
                <w:kern w:val="0"/>
                <w:sz w:val="21"/>
                <w:szCs w:val="21"/>
                <w:lang w:val="zh-TW" w:eastAsia="zh-TW"/>
              </w:rPr>
              <w:t>2019</w:t>
            </w:r>
            <w:r>
              <w:rPr>
                <w:rFonts w:hint="eastAsia" w:ascii="华文仿宋" w:hAnsi="华文仿宋" w:eastAsia="华文仿宋" w:cs="Times New Roman"/>
                <w:kern w:val="0"/>
                <w:sz w:val="21"/>
                <w:szCs w:val="21"/>
                <w:lang w:val="zh-TW"/>
              </w:rPr>
              <w:t>〕</w:t>
            </w:r>
            <w:r>
              <w:rPr>
                <w:rFonts w:ascii="华文仿宋" w:hAnsi="华文仿宋" w:eastAsia="华文仿宋" w:cs="Times New Roman"/>
                <w:kern w:val="0"/>
                <w:sz w:val="21"/>
                <w:szCs w:val="21"/>
                <w:lang w:val="zh-TW" w:eastAsia="zh-TW"/>
              </w:rPr>
              <w:t>33</w:t>
            </w:r>
            <w:r>
              <w:rPr>
                <w:rFonts w:hint="eastAsia" w:ascii="华文仿宋" w:hAnsi="华文仿宋" w:eastAsia="华文仿宋" w:cs="Times New Roman"/>
                <w:kern w:val="0"/>
                <w:sz w:val="21"/>
                <w:szCs w:val="21"/>
                <w:lang w:val="zh-TW" w:eastAsia="zh-TW"/>
              </w:rPr>
              <w:t>号文</w:t>
            </w:r>
            <w:r>
              <w:rPr>
                <w:rFonts w:hint="eastAsia" w:ascii="华文仿宋" w:hAnsi="华文仿宋" w:eastAsia="华文仿宋" w:cs="Times New Roman"/>
                <w:kern w:val="0"/>
                <w:sz w:val="21"/>
                <w:szCs w:val="21"/>
                <w:lang w:val="zh-TW"/>
              </w:rPr>
              <w:t>》</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rPr>
              <w:t>《关于做好地方政府专项债券发行及项目配套融资工作的通知》</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kern w:val="0"/>
                <w:sz w:val="21"/>
                <w:szCs w:val="21"/>
                <w:lang w:val="zh-TW"/>
              </w:rPr>
              <w:t>《财库〔</w:t>
            </w:r>
            <w:r>
              <w:rPr>
                <w:rFonts w:ascii="华文仿宋" w:hAnsi="华文仿宋" w:eastAsia="华文仿宋"/>
                <w:kern w:val="0"/>
                <w:sz w:val="21"/>
                <w:szCs w:val="21"/>
                <w:lang w:val="zh-TW" w:eastAsia="zh-TW"/>
              </w:rPr>
              <w:t>20</w:t>
            </w:r>
            <w:r>
              <w:rPr>
                <w:rFonts w:ascii="华文仿宋" w:hAnsi="华文仿宋" w:eastAsia="PMingLiU"/>
                <w:kern w:val="0"/>
                <w:sz w:val="21"/>
                <w:szCs w:val="21"/>
                <w:lang w:val="zh-TW" w:eastAsia="zh-TW"/>
              </w:rPr>
              <w:t>20</w:t>
            </w:r>
            <w:r>
              <w:rPr>
                <w:rFonts w:hint="eastAsia" w:ascii="华文仿宋" w:hAnsi="华文仿宋" w:eastAsia="华文仿宋"/>
                <w:kern w:val="0"/>
                <w:sz w:val="21"/>
                <w:szCs w:val="21"/>
                <w:lang w:val="zh-TW"/>
              </w:rPr>
              <w:t>〕43号文》</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kern w:val="0"/>
                <w:sz w:val="21"/>
                <w:szCs w:val="21"/>
              </w:rPr>
              <w:t>《地方政府债券发行管理办法》</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1084"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eastAsia="zh-TW"/>
              </w:rPr>
              <w:t>《法律意见书》</w:t>
            </w:r>
          </w:p>
        </w:tc>
        <w:tc>
          <w:tcPr>
            <w:tcW w:w="5789" w:type="dxa"/>
            <w:shd w:val="clear" w:color="auto" w:fill="FFFFFF"/>
            <w:tcMar>
              <w:top w:w="80" w:type="dxa"/>
              <w:left w:w="80" w:type="dxa"/>
              <w:bottom w:w="80" w:type="dxa"/>
              <w:right w:w="80" w:type="dxa"/>
            </w:tcMar>
            <w:vAlign w:val="center"/>
          </w:tcPr>
          <w:p>
            <w:pPr>
              <w:widowControl/>
              <w:spacing w:line="276" w:lineRule="auto"/>
              <w:jc w:val="left"/>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rPr>
              <w:t>广东金桥百信律师事务所出具的《广东金桥百信律师事务所关于</w:t>
            </w:r>
            <w:r>
              <w:rPr>
                <w:rFonts w:hint="eastAsia" w:ascii="华文仿宋" w:hAnsi="华文仿宋" w:eastAsia="华文仿宋" w:cs="宋体"/>
                <w:kern w:val="0"/>
                <w:sz w:val="21"/>
                <w:szCs w:val="21"/>
                <w:u w:color="000000"/>
                <w:lang w:eastAsia="zh-CN"/>
              </w:rPr>
              <w:t>云浮市云安区绿色建材产业园基础设施配套项目</w:t>
            </w:r>
            <w:r>
              <w:rPr>
                <w:rFonts w:hint="eastAsia" w:ascii="华文仿宋" w:hAnsi="华文仿宋" w:eastAsia="华文仿宋" w:cs="Times New Roman"/>
                <w:kern w:val="0"/>
                <w:sz w:val="21"/>
                <w:szCs w:val="21"/>
              </w:rPr>
              <w:t>之</w:t>
            </w:r>
            <w:r>
              <w:rPr>
                <w:rFonts w:hint="eastAsia" w:ascii="华文仿宋" w:hAnsi="华文仿宋" w:eastAsia="华文仿宋" w:cs="Times New Roman"/>
                <w:kern w:val="0"/>
                <w:sz w:val="21"/>
                <w:szCs w:val="21"/>
                <w:lang w:val="zh-TW"/>
              </w:rPr>
              <w:t>法律意见书》</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1084"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cs="Times New Roman"/>
                <w:kern w:val="0"/>
                <w:sz w:val="21"/>
                <w:szCs w:val="21"/>
                <w:lang w:val="zh-TW"/>
              </w:rPr>
              <w:t>《专项评价报告》</w:t>
            </w:r>
          </w:p>
        </w:tc>
        <w:tc>
          <w:tcPr>
            <w:tcW w:w="5789" w:type="dxa"/>
            <w:shd w:val="clear" w:color="auto" w:fill="FFFFFF"/>
            <w:tcMar>
              <w:top w:w="80" w:type="dxa"/>
              <w:left w:w="80" w:type="dxa"/>
              <w:bottom w:w="80" w:type="dxa"/>
              <w:right w:w="80" w:type="dxa"/>
            </w:tcMar>
            <w:vAlign w:val="center"/>
          </w:tcPr>
          <w:p>
            <w:pPr>
              <w:widowControl/>
              <w:spacing w:line="276" w:lineRule="auto"/>
              <w:jc w:val="left"/>
              <w:rPr>
                <w:rFonts w:ascii="华文仿宋" w:hAnsi="华文仿宋" w:eastAsia="华文仿宋" w:cs="Times New Roman"/>
                <w:kern w:val="0"/>
                <w:sz w:val="21"/>
                <w:szCs w:val="21"/>
                <w:lang w:val="zh-TW"/>
              </w:rPr>
            </w:pPr>
            <w:r>
              <w:rPr>
                <w:rFonts w:hint="eastAsia" w:ascii="华文仿宋" w:hAnsi="华文仿宋" w:eastAsia="华文仿宋"/>
                <w:kern w:val="0"/>
                <w:sz w:val="21"/>
                <w:szCs w:val="21"/>
                <w:lang w:val="zh-TW"/>
              </w:rPr>
              <w:t>深圳市恒昇会计师事务所（普通合伙）</w:t>
            </w:r>
            <w:r>
              <w:rPr>
                <w:rFonts w:hint="eastAsia" w:ascii="华文仿宋" w:hAnsi="华文仿宋" w:eastAsia="华文仿宋" w:cs="Times New Roman"/>
                <w:kern w:val="0"/>
                <w:sz w:val="21"/>
                <w:szCs w:val="21"/>
                <w:lang w:val="zh-TW"/>
              </w:rPr>
              <w:t>出具的</w:t>
            </w:r>
            <w:r>
              <w:rPr>
                <w:rFonts w:hint="eastAsia" w:ascii="华文仿宋" w:hAnsi="华文仿宋" w:eastAsia="华文仿宋"/>
                <w:kern w:val="0"/>
                <w:sz w:val="21"/>
                <w:szCs w:val="21"/>
                <w:lang w:val="zh-TW"/>
              </w:rPr>
              <w:t>深圳市恒昇会计师事务所（普通合伙）</w:t>
            </w:r>
            <w:r>
              <w:rPr>
                <w:rFonts w:hint="eastAsia" w:ascii="华文仿宋" w:hAnsi="华文仿宋" w:eastAsia="华文仿宋" w:cs="Times New Roman"/>
                <w:kern w:val="0"/>
                <w:sz w:val="21"/>
                <w:szCs w:val="21"/>
                <w:lang w:val="zh-TW"/>
              </w:rPr>
              <w:t>关于</w:t>
            </w:r>
            <w:r>
              <w:rPr>
                <w:rFonts w:hint="eastAsia" w:ascii="华文仿宋" w:hAnsi="华文仿宋" w:eastAsia="华文仿宋" w:cs="宋体"/>
                <w:kern w:val="0"/>
                <w:sz w:val="21"/>
                <w:szCs w:val="21"/>
                <w:u w:color="000000"/>
                <w:lang w:eastAsia="zh-CN"/>
              </w:rPr>
              <w:t>云浮市云安区绿色建材产业园基础设施配套项目</w:t>
            </w:r>
            <w:r>
              <w:rPr>
                <w:rFonts w:hint="eastAsia" w:ascii="华文仿宋" w:hAnsi="华文仿宋" w:eastAsia="华文仿宋" w:cs="Times New Roman"/>
                <w:kern w:val="0"/>
                <w:sz w:val="21"/>
                <w:szCs w:val="21"/>
                <w:lang w:val="zh-TW"/>
              </w:rPr>
              <w:t>收益与融资自求平衡测算评价报告》</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eastAsia="zh-TW"/>
              </w:rPr>
              <w:t>本所</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rPr>
              <w:t>广东金桥百信律师事务所</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5"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eastAsia="zh-TW"/>
              </w:rPr>
              <w:t>元</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eastAsia="zh-TW"/>
              </w:rPr>
              <w:t>人民币元</w:t>
            </w:r>
          </w:p>
        </w:tc>
      </w:tr>
    </w:tbl>
    <w:p>
      <w:pPr>
        <w:spacing w:line="360" w:lineRule="auto"/>
        <w:rPr>
          <w:rFonts w:ascii="华文仿宋" w:hAnsi="华文仿宋" w:eastAsia="华文仿宋"/>
        </w:rPr>
      </w:pPr>
    </w:p>
    <w:p>
      <w:pPr>
        <w:pStyle w:val="3"/>
        <w:rPr>
          <w:rFonts w:ascii="华文仿宋" w:hAnsi="华文仿宋" w:eastAsia="华文仿宋"/>
          <w:sz w:val="24"/>
          <w:szCs w:val="24"/>
          <w:lang w:val="zh-TW"/>
        </w:rPr>
      </w:pPr>
      <w:bookmarkStart w:id="9" w:name="_Toc340692992"/>
      <w:r>
        <w:rPr>
          <w:rFonts w:hint="eastAsia" w:ascii="华文仿宋" w:hAnsi="华文仿宋" w:eastAsia="华文仿宋"/>
          <w:lang w:val="zh-TW"/>
        </w:rPr>
        <w:t xml:space="preserve">   </w:t>
      </w:r>
      <w:r>
        <w:rPr>
          <w:rFonts w:hint="eastAsia" w:ascii="华文仿宋" w:hAnsi="华文仿宋" w:eastAsia="华文仿宋"/>
          <w:sz w:val="24"/>
          <w:szCs w:val="24"/>
          <w:lang w:val="zh-TW"/>
        </w:rPr>
        <w:t xml:space="preserve"> </w:t>
      </w:r>
      <w:bookmarkStart w:id="10" w:name="_Toc340924800"/>
      <w:bookmarkStart w:id="11" w:name="_Toc20605499"/>
      <w:bookmarkStart w:id="12" w:name="_Toc47346121"/>
      <w:r>
        <w:rPr>
          <w:rFonts w:hint="eastAsia" w:ascii="华文仿宋" w:hAnsi="华文仿宋" w:eastAsia="华文仿宋"/>
          <w:sz w:val="24"/>
          <w:szCs w:val="24"/>
          <w:lang w:val="zh-TW"/>
        </w:rPr>
        <w:t>二、律师声明事项</w:t>
      </w:r>
      <w:bookmarkEnd w:id="9"/>
      <w:bookmarkEnd w:id="10"/>
      <w:bookmarkEnd w:id="11"/>
      <w:bookmarkEnd w:id="12"/>
    </w:p>
    <w:p>
      <w:pPr>
        <w:spacing w:line="360" w:lineRule="auto"/>
        <w:ind w:firstLine="720" w:firstLineChars="300"/>
        <w:rPr>
          <w:rFonts w:ascii="华文仿宋" w:hAnsi="华文仿宋" w:eastAsia="华文仿宋"/>
          <w:lang w:val="zh-TW"/>
        </w:rPr>
      </w:pPr>
      <w:r>
        <w:rPr>
          <w:rFonts w:hint="eastAsia" w:ascii="华文仿宋" w:hAnsi="华文仿宋" w:eastAsia="华文仿宋"/>
          <w:lang w:val="zh-TW"/>
        </w:rPr>
        <w:t>本所及经办律师就为“</w:t>
      </w:r>
      <w:r>
        <w:rPr>
          <w:rFonts w:hint="eastAsia" w:ascii="华文仿宋" w:hAnsi="华文仿宋" w:eastAsia="华文仿宋" w:cs="宋体"/>
          <w:kern w:val="0"/>
          <w:u w:color="000000"/>
          <w:lang w:eastAsia="zh-CN"/>
        </w:rPr>
        <w:t>云浮市云安区绿色建材产业园基础设施配套项目</w:t>
      </w:r>
      <w:r>
        <w:rPr>
          <w:rFonts w:hint="eastAsia" w:ascii="华文仿宋" w:hAnsi="华文仿宋" w:eastAsia="华文仿宋"/>
          <w:lang w:val="zh-TW"/>
        </w:rPr>
        <w:t>”</w:t>
      </w:r>
      <w:r>
        <w:rPr>
          <w:rFonts w:hint="eastAsia" w:ascii="华文仿宋" w:hAnsi="华文仿宋" w:eastAsia="华文仿宋" w:cs="宋体"/>
          <w:color w:val="000000"/>
          <w:kern w:val="0"/>
        </w:rPr>
        <w:t xml:space="preserve"> 政府专项债券发行事项</w:t>
      </w:r>
      <w:r>
        <w:rPr>
          <w:rFonts w:hint="eastAsia" w:ascii="华文仿宋" w:hAnsi="华文仿宋" w:eastAsia="华文仿宋"/>
          <w:lang w:val="zh-TW"/>
        </w:rPr>
        <w:t>出具法律意见书的相关事宜声明如下：</w:t>
      </w:r>
    </w:p>
    <w:p>
      <w:pPr>
        <w:spacing w:line="360" w:lineRule="auto"/>
        <w:rPr>
          <w:rFonts w:ascii="华文仿宋" w:hAnsi="华文仿宋" w:eastAsia="华文仿宋" w:cs="宋体"/>
        </w:rPr>
      </w:pPr>
      <w:r>
        <w:rPr>
          <w:rFonts w:hint="eastAsia" w:ascii="华文仿宋" w:hAnsi="华文仿宋" w:eastAsia="华文仿宋"/>
          <w:lang w:val="zh-TW"/>
        </w:rPr>
        <w:t xml:space="preserve">    （一）本所及经办律师根据《预算法》、国发〔</w:t>
      </w:r>
      <w:r>
        <w:rPr>
          <w:rFonts w:ascii="华文仿宋" w:hAnsi="华文仿宋" w:eastAsia="华文仿宋"/>
          <w:lang w:val="zh-TW"/>
        </w:rPr>
        <w:t>2014</w:t>
      </w:r>
      <w:r>
        <w:rPr>
          <w:rFonts w:hint="eastAsia" w:ascii="华文仿宋" w:hAnsi="华文仿宋" w:eastAsia="华文仿宋"/>
          <w:lang w:val="zh-TW"/>
        </w:rPr>
        <w:t>〕</w:t>
      </w:r>
      <w:r>
        <w:rPr>
          <w:rFonts w:ascii="华文仿宋" w:hAnsi="华文仿宋" w:eastAsia="华文仿宋"/>
          <w:lang w:val="zh-TW"/>
        </w:rPr>
        <w:t>43</w:t>
      </w:r>
      <w:r>
        <w:rPr>
          <w:rFonts w:hint="eastAsia" w:ascii="华文仿宋" w:hAnsi="华文仿宋" w:eastAsia="华文仿宋"/>
          <w:lang w:val="zh-TW"/>
        </w:rPr>
        <w:t>号文、财预〔</w:t>
      </w:r>
      <w:r>
        <w:rPr>
          <w:rFonts w:ascii="华文仿宋" w:hAnsi="华文仿宋" w:eastAsia="华文仿宋"/>
          <w:lang w:val="zh-TW"/>
        </w:rPr>
        <w:t>2017</w:t>
      </w:r>
      <w:r>
        <w:rPr>
          <w:rFonts w:hint="eastAsia" w:ascii="华文仿宋" w:hAnsi="华文仿宋" w:eastAsia="华文仿宋"/>
          <w:lang w:val="zh-TW"/>
        </w:rPr>
        <w:t>〕</w:t>
      </w:r>
      <w:r>
        <w:rPr>
          <w:rFonts w:ascii="华文仿宋" w:hAnsi="华文仿宋" w:eastAsia="华文仿宋"/>
          <w:lang w:val="zh-TW"/>
        </w:rPr>
        <w:t>89</w:t>
      </w:r>
      <w:r>
        <w:rPr>
          <w:rFonts w:hint="eastAsia" w:ascii="华文仿宋" w:hAnsi="华文仿宋" w:eastAsia="华文仿宋"/>
          <w:lang w:val="zh-TW"/>
        </w:rPr>
        <w:t>号文、财预〔</w:t>
      </w:r>
      <w:r>
        <w:rPr>
          <w:rFonts w:ascii="华文仿宋" w:hAnsi="华文仿宋" w:eastAsia="华文仿宋"/>
          <w:lang w:val="zh-TW"/>
        </w:rPr>
        <w:t>2015</w:t>
      </w:r>
      <w:r>
        <w:rPr>
          <w:rFonts w:hint="eastAsia" w:ascii="华文仿宋" w:hAnsi="华文仿宋" w:eastAsia="华文仿宋"/>
          <w:lang w:val="zh-TW"/>
        </w:rPr>
        <w:t>〕</w:t>
      </w:r>
      <w:r>
        <w:rPr>
          <w:rFonts w:ascii="华文仿宋" w:hAnsi="华文仿宋" w:eastAsia="华文仿宋"/>
          <w:lang w:val="zh-TW"/>
        </w:rPr>
        <w:t>2</w:t>
      </w:r>
      <w:r>
        <w:rPr>
          <w:rFonts w:hint="eastAsia" w:ascii="华文仿宋" w:hAnsi="华文仿宋" w:eastAsia="华文仿宋"/>
          <w:lang w:val="zh-TW"/>
        </w:rPr>
        <w:t>2</w:t>
      </w:r>
      <w:r>
        <w:rPr>
          <w:rFonts w:ascii="华文仿宋" w:hAnsi="华文仿宋" w:eastAsia="华文仿宋"/>
          <w:lang w:val="zh-TW"/>
        </w:rPr>
        <w:t>5</w:t>
      </w:r>
      <w:r>
        <w:rPr>
          <w:rFonts w:hint="eastAsia" w:ascii="华文仿宋" w:hAnsi="华文仿宋" w:eastAsia="华文仿宋"/>
          <w:lang w:val="zh-TW"/>
        </w:rPr>
        <w:t>号文、厅字〔2019〕33号文、</w:t>
      </w:r>
      <w:bookmarkStart w:id="13" w:name="_Hlk59722088"/>
      <w:r>
        <w:rPr>
          <w:rFonts w:hint="eastAsia" w:ascii="华文仿宋" w:hAnsi="华文仿宋" w:eastAsia="华文仿宋"/>
          <w:lang w:val="zh-TW"/>
        </w:rPr>
        <w:t>财库〔2020〕43号文</w:t>
      </w:r>
      <w:bookmarkEnd w:id="13"/>
      <w:r>
        <w:rPr>
          <w:rFonts w:hint="eastAsia" w:ascii="华文仿宋" w:hAnsi="华文仿宋" w:eastAsia="华文仿宋"/>
          <w:lang w:val="zh-TW"/>
        </w:rPr>
        <w:t>等有关规定及本《法律意见书》出具日以前已经发生或者存在的事实，严格履行了法定职责，遵循了勤勉尽责和诚实信用原则，进行了充分的核查验证，保证本《法律意见书》所认定的事实真实、准确、完整，所发表的结论性意见合法、准确，不存在虚假记载、误导性陈述或者重大遗漏。</w:t>
      </w:r>
    </w:p>
    <w:p>
      <w:pPr>
        <w:spacing w:line="360" w:lineRule="auto"/>
        <w:rPr>
          <w:rFonts w:ascii="华文仿宋" w:hAnsi="华文仿宋" w:eastAsia="华文仿宋" w:cs="宋体"/>
          <w:lang w:val="zh-TW"/>
        </w:rPr>
      </w:pPr>
      <w:r>
        <w:rPr>
          <w:rFonts w:hint="eastAsia" w:ascii="华文仿宋" w:hAnsi="华文仿宋" w:eastAsia="华文仿宋"/>
          <w:lang w:val="zh-TW"/>
        </w:rPr>
        <w:t xml:space="preserve">    （二）本所律师进行上述核查验证，已经得到项目主体及项目中介的以下承诺及声明，并以该等承诺、声明作为出具本法律意见书的前提：保证其向本所提供的为出具本法律意见书必需的原始书面材料、副本材料或陈述均真实、合法、有效，不存在虚假记载、误导性陈述及重大遗漏，保证其向本所提供的有关副本材料或复印件与原件一致，保证对本所提供的文件和材料的真实性、准确性和完整性承担个别和连带的法律责任。</w:t>
      </w:r>
    </w:p>
    <w:p>
      <w:pPr>
        <w:spacing w:line="360" w:lineRule="auto"/>
        <w:rPr>
          <w:rFonts w:ascii="华文仿宋" w:hAnsi="华文仿宋" w:eastAsia="华文仿宋" w:cs="宋体"/>
          <w:lang w:val="zh-TW"/>
        </w:rPr>
      </w:pPr>
      <w:r>
        <w:rPr>
          <w:rFonts w:hint="eastAsia" w:ascii="华文仿宋" w:hAnsi="华文仿宋" w:eastAsia="华文仿宋" w:cs="宋体"/>
          <w:lang w:val="zh-TW"/>
        </w:rPr>
        <w:t xml:space="preserve">    </w:t>
      </w:r>
      <w:r>
        <w:rPr>
          <w:rFonts w:hint="eastAsia" w:ascii="华文仿宋" w:hAnsi="华文仿宋" w:eastAsia="华文仿宋"/>
          <w:lang w:val="zh-TW"/>
        </w:rPr>
        <w:t>（三）对于出具本法律意见书中的至关重要而又无法得到独立证据支持的事实，本所律师依赖于有关政府部门、公司或者其他有关单位的证明文件以及与本次债券有关的其他中介机构出具的书面报告和专业意见就该等事实发表法律意见。</w:t>
      </w:r>
    </w:p>
    <w:p>
      <w:pPr>
        <w:spacing w:line="360" w:lineRule="auto"/>
        <w:rPr>
          <w:rFonts w:ascii="华文仿宋" w:hAnsi="华文仿宋" w:eastAsia="华文仿宋" w:cs="宋体"/>
          <w:lang w:val="zh-TW"/>
        </w:rPr>
      </w:pPr>
      <w:r>
        <w:rPr>
          <w:rFonts w:hint="eastAsia" w:ascii="华文仿宋" w:hAnsi="华文仿宋" w:eastAsia="华文仿宋"/>
          <w:lang w:val="zh-TW"/>
        </w:rPr>
        <w:t xml:space="preserve">    （四）在本法律意见书中，本所律师仅根据本法律意见书出具之日现行有效的法律、法规、规章等相关规范性文件的明确要求，对本次发债的合法性及对本次发债有重大影响的法律问题发表法律意见，但对于实施方案、会计审计、评级、评估、投资决策等专业事项，本法律意见书只作引用且不发表法律意见。本所律师在本法律意见书中对有关实施方案、会计报表、审计、评级报告、评估报告等文件中某些数据和结论的引述，并不意味着本所律师对该等数据和相关结论的合法性、真实性和准确性做出任何明示或默示的担保或保证，对于该等文件及其所涉内容，本所律师依法并不具备进行核查和做出评价的适当资格。</w:t>
      </w:r>
    </w:p>
    <w:p>
      <w:pPr>
        <w:spacing w:line="360" w:lineRule="auto"/>
        <w:ind w:firstLine="360"/>
        <w:rPr>
          <w:rFonts w:ascii="华文仿宋" w:hAnsi="华文仿宋" w:eastAsia="华文仿宋"/>
          <w:lang w:val="zh-TW"/>
        </w:rPr>
      </w:pPr>
      <w:r>
        <w:rPr>
          <w:rFonts w:hint="eastAsia" w:ascii="华文仿宋" w:hAnsi="华文仿宋" w:eastAsia="华文仿宋"/>
          <w:lang w:val="zh-TW"/>
        </w:rPr>
        <w:t xml:space="preserve"> （五）在本法律意见书中，本所律师对与法律相关的业务事项，履行了法律专业人士特别的注意义务；对于其他业务事项，履行了普通人一般的注意义务。</w:t>
      </w:r>
    </w:p>
    <w:p>
      <w:pPr>
        <w:spacing w:line="360" w:lineRule="auto"/>
        <w:rPr>
          <w:rFonts w:ascii="华文仿宋" w:hAnsi="华文仿宋" w:eastAsia="华文仿宋"/>
          <w:lang w:val="zh-TW"/>
        </w:rPr>
      </w:pPr>
      <w:r>
        <w:rPr>
          <w:rFonts w:hint="eastAsia" w:ascii="华文仿宋" w:hAnsi="华文仿宋" w:eastAsia="华文仿宋" w:cs="宋体"/>
        </w:rPr>
        <w:t xml:space="preserve">    （六）</w:t>
      </w:r>
      <w:r>
        <w:rPr>
          <w:rFonts w:hint="eastAsia" w:ascii="华文仿宋" w:hAnsi="华文仿宋" w:eastAsia="华文仿宋"/>
          <w:lang w:val="zh-TW"/>
        </w:rPr>
        <w:t>本法律意见书仅供本次发行债券之目的使用，未经本所及本所律师书面同意，本法律意见书不得用作其他任何用途，或由任何其他人予以引用。</w:t>
      </w:r>
    </w:p>
    <w:p>
      <w:pPr>
        <w:spacing w:line="360" w:lineRule="auto"/>
        <w:rPr>
          <w:rFonts w:ascii="华文仿宋" w:hAnsi="华文仿宋" w:eastAsia="华文仿宋" w:cs="宋体"/>
        </w:rPr>
      </w:pPr>
    </w:p>
    <w:p>
      <w:pPr>
        <w:spacing w:line="360" w:lineRule="auto"/>
        <w:rPr>
          <w:rFonts w:ascii="华文仿宋" w:hAnsi="华文仿宋" w:eastAsia="华文仿宋"/>
          <w:lang w:val="zh-TW"/>
        </w:rPr>
      </w:pPr>
      <w:r>
        <w:rPr>
          <w:rFonts w:hint="eastAsia" w:ascii="华文仿宋" w:hAnsi="华文仿宋" w:eastAsia="华文仿宋" w:cs="宋体"/>
        </w:rPr>
        <w:t xml:space="preserve">       </w:t>
      </w:r>
      <w:r>
        <w:rPr>
          <w:rFonts w:hint="eastAsia" w:ascii="华文仿宋" w:hAnsi="华文仿宋" w:eastAsia="华文仿宋"/>
          <w:lang w:val="zh-TW"/>
        </w:rPr>
        <w:t>本法律意见书经本所经办律师签字并加盖本所印章后生效。本法律意见书正本一式叁份，无副本，各正本具有同等法律效力。</w:t>
      </w:r>
    </w:p>
    <w:p>
      <w:pPr>
        <w:widowControl/>
        <w:jc w:val="left"/>
        <w:rPr>
          <w:rFonts w:ascii="华文仿宋" w:hAnsi="华文仿宋" w:eastAsia="华文仿宋"/>
          <w:lang w:val="zh-TW"/>
        </w:rPr>
      </w:pPr>
      <w:r>
        <w:rPr>
          <w:rFonts w:ascii="华文仿宋" w:hAnsi="华文仿宋" w:eastAsia="华文仿宋"/>
          <w:lang w:val="zh-TW"/>
        </w:rPr>
        <w:br w:type="page"/>
      </w:r>
    </w:p>
    <w:p>
      <w:pPr>
        <w:pStyle w:val="3"/>
        <w:spacing w:line="360" w:lineRule="auto"/>
        <w:jc w:val="center"/>
        <w:rPr>
          <w:rFonts w:ascii="华文仿宋" w:hAnsi="华文仿宋" w:eastAsia="华文仿宋"/>
          <w:sz w:val="36"/>
          <w:szCs w:val="36"/>
          <w:lang w:val="zh-TW"/>
        </w:rPr>
      </w:pPr>
      <w:bookmarkStart w:id="14" w:name="_Toc340692993"/>
      <w:bookmarkStart w:id="15" w:name="_Toc47346122"/>
      <w:bookmarkStart w:id="16" w:name="_Toc3"/>
      <w:bookmarkStart w:id="17" w:name="_Toc20605500"/>
      <w:bookmarkStart w:id="18" w:name="_Toc340924801"/>
      <w:r>
        <w:rPr>
          <w:rFonts w:hint="eastAsia" w:ascii="华文仿宋" w:hAnsi="华文仿宋" w:eastAsia="华文仿宋"/>
          <w:sz w:val="36"/>
          <w:szCs w:val="36"/>
          <w:lang w:val="zh-TW"/>
        </w:rPr>
        <w:t>第二部分</w:t>
      </w:r>
      <w:r>
        <w:rPr>
          <w:rFonts w:ascii="华文仿宋" w:hAnsi="华文仿宋" w:eastAsia="华文仿宋"/>
          <w:sz w:val="36"/>
          <w:szCs w:val="36"/>
        </w:rPr>
        <w:t xml:space="preserve">  </w:t>
      </w:r>
      <w:r>
        <w:rPr>
          <w:rFonts w:hint="eastAsia" w:ascii="华文仿宋" w:hAnsi="华文仿宋" w:eastAsia="华文仿宋"/>
          <w:sz w:val="36"/>
          <w:szCs w:val="36"/>
          <w:lang w:val="zh-TW"/>
        </w:rPr>
        <w:t>正文</w:t>
      </w:r>
      <w:bookmarkEnd w:id="14"/>
      <w:bookmarkEnd w:id="15"/>
      <w:bookmarkEnd w:id="16"/>
      <w:bookmarkEnd w:id="17"/>
      <w:bookmarkEnd w:id="18"/>
    </w:p>
    <w:p>
      <w:pPr>
        <w:pStyle w:val="4"/>
        <w:numPr>
          <w:ilvl w:val="0"/>
          <w:numId w:val="1"/>
        </w:numPr>
        <w:spacing w:line="360" w:lineRule="auto"/>
        <w:rPr>
          <w:rFonts w:ascii="华文仿宋" w:hAnsi="华文仿宋" w:eastAsia="华文仿宋"/>
          <w:sz w:val="24"/>
          <w:szCs w:val="24"/>
          <w:u w:color="000000"/>
        </w:rPr>
      </w:pPr>
      <w:bookmarkStart w:id="19" w:name="_Toc20605501"/>
      <w:bookmarkStart w:id="20" w:name="_Toc47346123"/>
      <w:r>
        <w:rPr>
          <w:rFonts w:hint="eastAsia" w:ascii="华文仿宋" w:hAnsi="华文仿宋" w:eastAsia="华文仿宋"/>
          <w:sz w:val="24"/>
          <w:szCs w:val="24"/>
          <w:u w:color="000000"/>
        </w:rPr>
        <w:t>本项目组织实施建设机构</w:t>
      </w:r>
      <w:bookmarkEnd w:id="19"/>
      <w:bookmarkEnd w:id="20"/>
    </w:p>
    <w:p>
      <w:pPr>
        <w:widowControl/>
        <w:spacing w:line="360" w:lineRule="auto"/>
        <w:ind w:firstLine="555"/>
        <w:rPr>
          <w:rFonts w:ascii="华文仿宋" w:hAnsi="华文仿宋" w:eastAsia="华文仿宋" w:cs="Times New Roman"/>
        </w:rPr>
      </w:pPr>
      <w:r>
        <w:rPr>
          <w:rFonts w:hint="eastAsia" w:ascii="华文仿宋" w:hAnsi="华文仿宋" w:eastAsia="华文仿宋" w:cs="Times New Roman"/>
        </w:rPr>
        <w:t>经本所核查，</w:t>
      </w:r>
      <w:r>
        <w:rPr>
          <w:rFonts w:hint="eastAsia" w:ascii="华文仿宋" w:hAnsi="华文仿宋" w:eastAsia="华文仿宋" w:cs="宋体"/>
          <w:kern w:val="0"/>
          <w:u w:color="000000"/>
          <w:lang w:eastAsia="zh-CN"/>
        </w:rPr>
        <w:t>云浮市云安区绿色建材产业园基础设施配套项目</w:t>
      </w:r>
      <w:r>
        <w:rPr>
          <w:rFonts w:hint="eastAsia" w:ascii="华文仿宋" w:hAnsi="华文仿宋" w:eastAsia="华文仿宋" w:cs="Times New Roman"/>
        </w:rPr>
        <w:t>的项目单位为</w:t>
      </w:r>
      <w:r>
        <w:rPr>
          <w:rFonts w:hint="eastAsia" w:ascii="华文仿宋" w:hAnsi="华文仿宋" w:eastAsia="华文仿宋" w:cs="Times New Roman"/>
          <w:lang w:eastAsia="zh-CN"/>
        </w:rPr>
        <w:t>云浮市云安区国有资产管理服务中心</w:t>
      </w:r>
      <w:r>
        <w:rPr>
          <w:rFonts w:hint="eastAsia" w:ascii="华文仿宋" w:hAnsi="华文仿宋" w:eastAsia="华文仿宋" w:cs="Times New Roman"/>
        </w:rPr>
        <w:t>，根据</w:t>
      </w:r>
      <w:r>
        <w:rPr>
          <w:rFonts w:hint="eastAsia" w:ascii="华文仿宋" w:hAnsi="华文仿宋" w:eastAsia="华文仿宋" w:cs="Times New Roman"/>
          <w:lang w:eastAsia="zh-CN"/>
        </w:rPr>
        <w:t>云浮市云安区国有资产管理服务中心</w:t>
      </w:r>
      <w:r>
        <w:rPr>
          <w:rFonts w:hint="eastAsia" w:ascii="华文仿宋" w:hAnsi="华文仿宋" w:eastAsia="华文仿宋" w:cs="Times New Roman"/>
        </w:rPr>
        <w:t>持有的《事业单位法人证书》并经本所律师核查</w:t>
      </w:r>
      <w:r>
        <w:rPr>
          <w:rFonts w:hint="eastAsia" w:ascii="华文仿宋" w:hAnsi="华文仿宋" w:eastAsia="华文仿宋" w:cs="仿宋"/>
        </w:rPr>
        <w:t>，该单位</w:t>
      </w:r>
      <w:r>
        <w:rPr>
          <w:rFonts w:hint="eastAsia" w:ascii="华文仿宋" w:hAnsi="华文仿宋" w:eastAsia="华文仿宋" w:cs="Times New Roman"/>
        </w:rPr>
        <w:t>基本信息如下:</w:t>
      </w:r>
    </w:p>
    <w:tbl>
      <w:tblPr>
        <w:tblStyle w:val="11"/>
        <w:tblW w:w="9283" w:type="dxa"/>
        <w:jc w:val="center"/>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7"/>
        <w:gridCol w:w="6616"/>
      </w:tblGrid>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58" w:hRule="atLeast"/>
          <w:jc w:val="center"/>
        </w:trPr>
        <w:tc>
          <w:tcPr>
            <w:tcW w:w="2667" w:type="dxa"/>
            <w:shd w:val="clear" w:color="auto" w:fill="D8D8D8" w:themeFill="background1" w:themeFillShade="D9"/>
            <w:vAlign w:val="center"/>
          </w:tcPr>
          <w:p>
            <w:pPr>
              <w:pStyle w:val="19"/>
              <w:spacing w:line="360" w:lineRule="auto"/>
              <w:ind w:firstLine="0"/>
              <w:jc w:val="center"/>
              <w:rPr>
                <w:rFonts w:hint="default" w:ascii="华文仿宋" w:hAnsi="华文仿宋" w:eastAsia="华文仿宋"/>
                <w:b/>
                <w:sz w:val="21"/>
                <w:szCs w:val="21"/>
                <w:lang w:val="zh-TW" w:eastAsia="zh-TW"/>
              </w:rPr>
            </w:pPr>
            <w:r>
              <w:rPr>
                <w:rFonts w:ascii="华文仿宋" w:hAnsi="华文仿宋" w:eastAsia="华文仿宋"/>
                <w:b/>
                <w:sz w:val="21"/>
                <w:szCs w:val="21"/>
                <w:lang w:val="zh-TW" w:eastAsia="zh-TW"/>
              </w:rPr>
              <w:t>名称</w:t>
            </w:r>
          </w:p>
        </w:tc>
        <w:tc>
          <w:tcPr>
            <w:tcW w:w="6616" w:type="dxa"/>
            <w:vAlign w:val="center"/>
          </w:tcPr>
          <w:p>
            <w:pPr>
              <w:pStyle w:val="19"/>
              <w:spacing w:line="360" w:lineRule="auto"/>
              <w:ind w:firstLine="0"/>
              <w:rPr>
                <w:rFonts w:hint="default" w:ascii="华文仿宋" w:hAnsi="华文仿宋" w:eastAsia="华文仿宋"/>
                <w:sz w:val="21"/>
                <w:szCs w:val="21"/>
              </w:rPr>
            </w:pPr>
            <w:r>
              <w:rPr>
                <w:rFonts w:hint="default" w:ascii="华文仿宋" w:hAnsi="华文仿宋" w:eastAsia="华文仿宋"/>
                <w:sz w:val="21"/>
                <w:szCs w:val="21"/>
              </w:rPr>
              <w:t>云浮市云安区国有资产管理服务中心</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58" w:hRule="atLeast"/>
          <w:jc w:val="center"/>
        </w:trPr>
        <w:tc>
          <w:tcPr>
            <w:tcW w:w="2667" w:type="dxa"/>
            <w:shd w:val="clear" w:color="auto" w:fill="D8D8D8" w:themeFill="background1" w:themeFillShade="D9"/>
            <w:vAlign w:val="center"/>
          </w:tcPr>
          <w:p>
            <w:pPr>
              <w:spacing w:line="360" w:lineRule="auto"/>
              <w:jc w:val="center"/>
              <w:rPr>
                <w:rFonts w:ascii="华文仿宋" w:hAnsi="华文仿宋" w:eastAsia="华文仿宋"/>
                <w:b/>
                <w:bCs/>
                <w:sz w:val="21"/>
                <w:szCs w:val="21"/>
              </w:rPr>
            </w:pPr>
            <w:r>
              <w:rPr>
                <w:rFonts w:hint="eastAsia" w:ascii="华文仿宋" w:hAnsi="华文仿宋" w:eastAsia="华文仿宋"/>
                <w:b/>
                <w:bCs/>
                <w:sz w:val="21"/>
                <w:szCs w:val="21"/>
              </w:rPr>
              <w:t>统一社会信用代码</w:t>
            </w:r>
          </w:p>
        </w:tc>
        <w:tc>
          <w:tcPr>
            <w:tcW w:w="6616" w:type="dxa"/>
            <w:vAlign w:val="center"/>
          </w:tcPr>
          <w:p>
            <w:pPr>
              <w:pStyle w:val="19"/>
              <w:spacing w:line="360" w:lineRule="auto"/>
              <w:ind w:firstLine="0"/>
              <w:rPr>
                <w:rFonts w:hint="default" w:ascii="华文仿宋" w:hAnsi="华文仿宋" w:eastAsia="华文仿宋"/>
                <w:sz w:val="21"/>
                <w:szCs w:val="21"/>
              </w:rPr>
            </w:pPr>
            <w:r>
              <w:rPr>
                <w:rFonts w:hint="default" w:ascii="华文仿宋" w:hAnsi="华文仿宋" w:eastAsia="华文仿宋"/>
                <w:sz w:val="21"/>
                <w:szCs w:val="21"/>
              </w:rPr>
              <w:t>12445303746288282G</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58" w:hRule="atLeast"/>
          <w:jc w:val="center"/>
        </w:trPr>
        <w:tc>
          <w:tcPr>
            <w:tcW w:w="2667" w:type="dxa"/>
            <w:shd w:val="clear" w:color="auto" w:fill="D8D8D8" w:themeFill="background1" w:themeFillShade="D9"/>
            <w:vAlign w:val="center"/>
          </w:tcPr>
          <w:p>
            <w:pPr>
              <w:spacing w:line="360" w:lineRule="auto"/>
              <w:jc w:val="center"/>
              <w:rPr>
                <w:rFonts w:ascii="华文仿宋" w:hAnsi="华文仿宋" w:eastAsia="华文仿宋"/>
                <w:b/>
                <w:bCs/>
                <w:sz w:val="21"/>
                <w:szCs w:val="21"/>
              </w:rPr>
            </w:pPr>
            <w:r>
              <w:rPr>
                <w:rFonts w:hint="eastAsia" w:ascii="华文仿宋" w:hAnsi="华文仿宋" w:eastAsia="华文仿宋"/>
                <w:b/>
                <w:bCs/>
                <w:sz w:val="21"/>
                <w:szCs w:val="21"/>
              </w:rPr>
              <w:t>宗旨和范围</w:t>
            </w:r>
          </w:p>
        </w:tc>
        <w:tc>
          <w:tcPr>
            <w:tcW w:w="6616" w:type="dxa"/>
            <w:vAlign w:val="center"/>
          </w:tcPr>
          <w:p>
            <w:pPr>
              <w:pStyle w:val="19"/>
              <w:spacing w:line="360" w:lineRule="auto"/>
              <w:ind w:firstLine="0"/>
              <w:rPr>
                <w:rFonts w:hint="default" w:ascii="华文仿宋" w:hAnsi="华文仿宋" w:eastAsia="华文仿宋"/>
                <w:sz w:val="21"/>
                <w:szCs w:val="21"/>
              </w:rPr>
            </w:pPr>
            <w:r>
              <w:rPr>
                <w:rFonts w:hint="default" w:ascii="华文仿宋" w:hAnsi="华文仿宋" w:eastAsia="华文仿宋"/>
                <w:sz w:val="21"/>
                <w:szCs w:val="21"/>
              </w:rPr>
              <w:t>根据云安区政府授权，依照《中华人民共和国公司法》和 《中华人民共和国企业国有资产法》等法律、法规以及区政府有关规定履行岀资人职责；拟订国有企业国有资产管理制度，依法指导监督国有企业国有资产管理工作；承担监督所监管企业国有资产保值增值的责任；负责所监管企业工资分配管理工作，对所监管企业负责人进行任免、考核，建立健全的选人、用人机制，完善经营者激励和约束制度。</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2667" w:type="dxa"/>
            <w:shd w:val="clear" w:color="auto" w:fill="D8D8D8" w:themeFill="background1" w:themeFillShade="D9"/>
            <w:vAlign w:val="center"/>
          </w:tcPr>
          <w:p>
            <w:pPr>
              <w:spacing w:line="360" w:lineRule="auto"/>
              <w:jc w:val="center"/>
              <w:rPr>
                <w:rFonts w:ascii="华文仿宋" w:hAnsi="华文仿宋" w:eastAsia="华文仿宋"/>
                <w:b/>
                <w:bCs/>
                <w:sz w:val="21"/>
                <w:szCs w:val="21"/>
              </w:rPr>
            </w:pPr>
            <w:r>
              <w:rPr>
                <w:rFonts w:hint="eastAsia" w:ascii="华文仿宋" w:hAnsi="华文仿宋" w:eastAsia="华文仿宋"/>
                <w:b/>
                <w:bCs/>
                <w:sz w:val="21"/>
                <w:szCs w:val="21"/>
              </w:rPr>
              <w:t>住所</w:t>
            </w:r>
          </w:p>
        </w:tc>
        <w:tc>
          <w:tcPr>
            <w:tcW w:w="6616" w:type="dxa"/>
            <w:vAlign w:val="center"/>
          </w:tcPr>
          <w:p>
            <w:pPr>
              <w:pStyle w:val="19"/>
              <w:spacing w:line="360" w:lineRule="auto"/>
              <w:ind w:firstLine="0"/>
              <w:rPr>
                <w:rFonts w:hint="default" w:ascii="华文仿宋" w:hAnsi="华文仿宋" w:eastAsia="华文仿宋"/>
                <w:sz w:val="21"/>
                <w:szCs w:val="21"/>
              </w:rPr>
            </w:pPr>
            <w:r>
              <w:rPr>
                <w:rFonts w:hint="default" w:ascii="华文仿宋" w:hAnsi="华文仿宋" w:eastAsia="华文仿宋"/>
                <w:sz w:val="21"/>
                <w:szCs w:val="21"/>
              </w:rPr>
              <w:t>云安区白沙塘行政区财政大楼内</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58" w:hRule="atLeast"/>
          <w:jc w:val="center"/>
        </w:trPr>
        <w:tc>
          <w:tcPr>
            <w:tcW w:w="2667" w:type="dxa"/>
            <w:shd w:val="clear" w:color="auto" w:fill="D8D8D8" w:themeFill="background1" w:themeFillShade="D9"/>
            <w:vAlign w:val="center"/>
          </w:tcPr>
          <w:p>
            <w:pPr>
              <w:spacing w:line="360" w:lineRule="auto"/>
              <w:jc w:val="center"/>
              <w:rPr>
                <w:rFonts w:ascii="华文仿宋" w:hAnsi="华文仿宋" w:eastAsia="华文仿宋"/>
                <w:b/>
                <w:bCs/>
                <w:sz w:val="21"/>
                <w:szCs w:val="21"/>
              </w:rPr>
            </w:pPr>
            <w:r>
              <w:rPr>
                <w:rFonts w:hint="eastAsia" w:ascii="华文仿宋" w:hAnsi="华文仿宋" w:eastAsia="华文仿宋"/>
                <w:b/>
                <w:bCs/>
                <w:sz w:val="21"/>
                <w:szCs w:val="21"/>
              </w:rPr>
              <w:t>法定代表人</w:t>
            </w:r>
          </w:p>
        </w:tc>
        <w:tc>
          <w:tcPr>
            <w:tcW w:w="6616" w:type="dxa"/>
            <w:vAlign w:val="center"/>
          </w:tcPr>
          <w:p>
            <w:pPr>
              <w:pStyle w:val="19"/>
              <w:spacing w:line="360" w:lineRule="auto"/>
              <w:ind w:firstLine="0"/>
              <w:rPr>
                <w:rFonts w:hint="default" w:ascii="华文仿宋" w:hAnsi="华文仿宋" w:eastAsia="华文仿宋"/>
                <w:sz w:val="21"/>
                <w:szCs w:val="21"/>
              </w:rPr>
            </w:pPr>
            <w:r>
              <w:rPr>
                <w:rFonts w:hint="default" w:ascii="华文仿宋" w:hAnsi="华文仿宋" w:eastAsia="华文仿宋"/>
                <w:sz w:val="21"/>
                <w:szCs w:val="21"/>
              </w:rPr>
              <w:t>梁柳盛</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58" w:hRule="atLeast"/>
          <w:jc w:val="center"/>
        </w:trPr>
        <w:tc>
          <w:tcPr>
            <w:tcW w:w="2667" w:type="dxa"/>
            <w:shd w:val="clear" w:color="auto" w:fill="D8D8D8" w:themeFill="background1" w:themeFillShade="D9"/>
            <w:vAlign w:val="center"/>
          </w:tcPr>
          <w:p>
            <w:pPr>
              <w:spacing w:line="360" w:lineRule="auto"/>
              <w:jc w:val="center"/>
              <w:rPr>
                <w:rFonts w:ascii="华文仿宋" w:hAnsi="华文仿宋" w:eastAsia="华文仿宋"/>
                <w:b/>
                <w:bCs/>
                <w:sz w:val="21"/>
                <w:szCs w:val="21"/>
              </w:rPr>
            </w:pPr>
            <w:r>
              <w:rPr>
                <w:rFonts w:hint="eastAsia" w:ascii="华文仿宋" w:hAnsi="华文仿宋" w:eastAsia="华文仿宋"/>
                <w:b/>
                <w:bCs/>
                <w:sz w:val="21"/>
                <w:szCs w:val="21"/>
              </w:rPr>
              <w:t>经费来源</w:t>
            </w:r>
          </w:p>
        </w:tc>
        <w:tc>
          <w:tcPr>
            <w:tcW w:w="6616" w:type="dxa"/>
            <w:vAlign w:val="center"/>
          </w:tcPr>
          <w:p>
            <w:pPr>
              <w:pStyle w:val="19"/>
              <w:spacing w:line="360" w:lineRule="auto"/>
              <w:ind w:firstLine="0"/>
              <w:rPr>
                <w:rFonts w:hint="default" w:ascii="华文仿宋" w:hAnsi="华文仿宋" w:eastAsia="华文仿宋"/>
                <w:sz w:val="21"/>
                <w:szCs w:val="21"/>
              </w:rPr>
            </w:pPr>
            <w:r>
              <w:rPr>
                <w:rFonts w:hint="default" w:ascii="华文仿宋" w:hAnsi="华文仿宋" w:eastAsia="华文仿宋"/>
                <w:sz w:val="21"/>
                <w:szCs w:val="21"/>
              </w:rPr>
              <w:t xml:space="preserve">财政补助一类 </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58" w:hRule="atLeast"/>
          <w:jc w:val="center"/>
        </w:trPr>
        <w:tc>
          <w:tcPr>
            <w:tcW w:w="2667" w:type="dxa"/>
            <w:shd w:val="clear" w:color="auto" w:fill="D8D8D8" w:themeFill="background1" w:themeFillShade="D9"/>
            <w:vAlign w:val="center"/>
          </w:tcPr>
          <w:p>
            <w:pPr>
              <w:spacing w:line="360" w:lineRule="auto"/>
              <w:jc w:val="center"/>
              <w:rPr>
                <w:rFonts w:ascii="华文仿宋" w:hAnsi="华文仿宋" w:eastAsia="华文仿宋"/>
                <w:b/>
                <w:bCs/>
                <w:sz w:val="21"/>
                <w:szCs w:val="21"/>
              </w:rPr>
            </w:pPr>
            <w:r>
              <w:rPr>
                <w:rFonts w:hint="eastAsia" w:ascii="华文仿宋" w:hAnsi="华文仿宋" w:eastAsia="华文仿宋"/>
                <w:b/>
                <w:bCs/>
                <w:sz w:val="21"/>
                <w:szCs w:val="21"/>
              </w:rPr>
              <w:t>开办资金</w:t>
            </w:r>
          </w:p>
        </w:tc>
        <w:tc>
          <w:tcPr>
            <w:tcW w:w="6616" w:type="dxa"/>
            <w:vAlign w:val="center"/>
          </w:tcPr>
          <w:p>
            <w:pPr>
              <w:pStyle w:val="19"/>
              <w:spacing w:line="360" w:lineRule="auto"/>
              <w:ind w:firstLine="0"/>
              <w:rPr>
                <w:rFonts w:hint="default" w:ascii="华文仿宋" w:hAnsi="华文仿宋" w:eastAsia="华文仿宋"/>
                <w:sz w:val="21"/>
                <w:szCs w:val="21"/>
              </w:rPr>
            </w:pPr>
            <w:r>
              <w:rPr>
                <w:rFonts w:hint="eastAsia" w:ascii="华文仿宋" w:hAnsi="华文仿宋" w:eastAsia="华文仿宋"/>
                <w:sz w:val="21"/>
                <w:szCs w:val="21"/>
                <w:lang w:val="en-US" w:eastAsia="zh-CN"/>
              </w:rPr>
              <w:t>5</w:t>
            </w:r>
            <w:r>
              <w:rPr>
                <w:rFonts w:ascii="华文仿宋" w:hAnsi="华文仿宋" w:eastAsia="华文仿宋"/>
                <w:sz w:val="21"/>
                <w:szCs w:val="21"/>
              </w:rPr>
              <w:t>万元</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58" w:hRule="atLeast"/>
          <w:jc w:val="center"/>
        </w:trPr>
        <w:tc>
          <w:tcPr>
            <w:tcW w:w="2667" w:type="dxa"/>
            <w:shd w:val="clear" w:color="auto" w:fill="D8D8D8" w:themeFill="background1" w:themeFillShade="D9"/>
            <w:vAlign w:val="center"/>
          </w:tcPr>
          <w:p>
            <w:pPr>
              <w:spacing w:line="360" w:lineRule="auto"/>
              <w:jc w:val="center"/>
              <w:rPr>
                <w:rFonts w:ascii="华文仿宋" w:hAnsi="华文仿宋" w:eastAsia="华文仿宋"/>
                <w:b/>
                <w:bCs/>
                <w:sz w:val="21"/>
                <w:szCs w:val="21"/>
              </w:rPr>
            </w:pPr>
            <w:r>
              <w:rPr>
                <w:rFonts w:hint="eastAsia" w:ascii="华文仿宋" w:hAnsi="华文仿宋" w:eastAsia="华文仿宋"/>
                <w:b/>
                <w:bCs/>
                <w:sz w:val="21"/>
                <w:szCs w:val="21"/>
              </w:rPr>
              <w:t>举办单位</w:t>
            </w:r>
          </w:p>
        </w:tc>
        <w:tc>
          <w:tcPr>
            <w:tcW w:w="6616" w:type="dxa"/>
            <w:vAlign w:val="center"/>
          </w:tcPr>
          <w:p>
            <w:pPr>
              <w:pStyle w:val="19"/>
              <w:spacing w:line="360" w:lineRule="auto"/>
              <w:ind w:firstLine="0"/>
              <w:rPr>
                <w:rFonts w:hint="default" w:ascii="华文仿宋" w:hAnsi="华文仿宋" w:eastAsia="华文仿宋"/>
                <w:sz w:val="21"/>
                <w:szCs w:val="21"/>
              </w:rPr>
            </w:pPr>
            <w:r>
              <w:rPr>
                <w:rFonts w:hint="default" w:ascii="华文仿宋" w:hAnsi="华文仿宋" w:eastAsia="华文仿宋"/>
                <w:sz w:val="21"/>
                <w:szCs w:val="21"/>
              </w:rPr>
              <w:t>云浮市云安区财政局</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58" w:hRule="atLeast"/>
          <w:jc w:val="center"/>
        </w:trPr>
        <w:tc>
          <w:tcPr>
            <w:tcW w:w="2667" w:type="dxa"/>
            <w:shd w:val="clear" w:color="auto" w:fill="D8D8D8" w:themeFill="background1" w:themeFillShade="D9"/>
            <w:vAlign w:val="center"/>
          </w:tcPr>
          <w:p>
            <w:pPr>
              <w:spacing w:line="360" w:lineRule="auto"/>
              <w:jc w:val="center"/>
              <w:rPr>
                <w:rFonts w:ascii="华文仿宋" w:hAnsi="华文仿宋" w:eastAsia="华文仿宋"/>
                <w:b/>
                <w:bCs/>
                <w:sz w:val="21"/>
                <w:szCs w:val="21"/>
              </w:rPr>
            </w:pPr>
            <w:r>
              <w:rPr>
                <w:rFonts w:hint="eastAsia" w:ascii="华文仿宋" w:hAnsi="华文仿宋" w:eastAsia="华文仿宋"/>
                <w:b/>
                <w:bCs/>
                <w:sz w:val="21"/>
                <w:szCs w:val="21"/>
              </w:rPr>
              <w:t>有效期</w:t>
            </w:r>
          </w:p>
        </w:tc>
        <w:tc>
          <w:tcPr>
            <w:tcW w:w="6616" w:type="dxa"/>
            <w:vAlign w:val="center"/>
          </w:tcPr>
          <w:p>
            <w:pPr>
              <w:pStyle w:val="19"/>
              <w:spacing w:line="360" w:lineRule="auto"/>
              <w:ind w:firstLine="0"/>
              <w:rPr>
                <w:rFonts w:hint="default" w:ascii="华文仿宋" w:hAnsi="华文仿宋" w:eastAsia="华文仿宋"/>
                <w:sz w:val="21"/>
                <w:szCs w:val="21"/>
              </w:rPr>
            </w:pPr>
            <w:r>
              <w:rPr>
                <w:rFonts w:hint="default" w:ascii="华文仿宋" w:hAnsi="华文仿宋" w:eastAsia="华文仿宋"/>
                <w:sz w:val="21"/>
                <w:szCs w:val="21"/>
              </w:rPr>
              <w:t>自 2021年0</w:t>
            </w:r>
            <w:r>
              <w:rPr>
                <w:rFonts w:hint="eastAsia" w:ascii="华文仿宋" w:hAnsi="华文仿宋" w:eastAsia="华文仿宋"/>
                <w:sz w:val="21"/>
                <w:szCs w:val="21"/>
                <w:lang w:val="en-US" w:eastAsia="zh-CN"/>
              </w:rPr>
              <w:t>5</w:t>
            </w:r>
            <w:r>
              <w:rPr>
                <w:rFonts w:hint="default" w:ascii="华文仿宋" w:hAnsi="华文仿宋" w:eastAsia="华文仿宋"/>
                <w:sz w:val="21"/>
                <w:szCs w:val="21"/>
              </w:rPr>
              <w:t>月2</w:t>
            </w:r>
            <w:r>
              <w:rPr>
                <w:rFonts w:hint="eastAsia" w:ascii="华文仿宋" w:hAnsi="华文仿宋" w:eastAsia="华文仿宋"/>
                <w:sz w:val="21"/>
                <w:szCs w:val="21"/>
                <w:lang w:val="en-US" w:eastAsia="zh-CN"/>
              </w:rPr>
              <w:t>6</w:t>
            </w:r>
            <w:r>
              <w:rPr>
                <w:rFonts w:hint="default" w:ascii="华文仿宋" w:hAnsi="华文仿宋" w:eastAsia="华文仿宋"/>
                <w:sz w:val="21"/>
                <w:szCs w:val="21"/>
              </w:rPr>
              <w:t>日 至 2026年0</w:t>
            </w:r>
            <w:r>
              <w:rPr>
                <w:rFonts w:hint="eastAsia" w:ascii="华文仿宋" w:hAnsi="华文仿宋" w:eastAsia="华文仿宋"/>
                <w:sz w:val="21"/>
                <w:szCs w:val="21"/>
                <w:lang w:val="en-US" w:eastAsia="zh-CN"/>
              </w:rPr>
              <w:t>5</w:t>
            </w:r>
            <w:r>
              <w:rPr>
                <w:rFonts w:hint="default" w:ascii="华文仿宋" w:hAnsi="华文仿宋" w:eastAsia="华文仿宋"/>
                <w:sz w:val="21"/>
                <w:szCs w:val="21"/>
              </w:rPr>
              <w:t>月2</w:t>
            </w:r>
            <w:r>
              <w:rPr>
                <w:rFonts w:hint="eastAsia" w:ascii="华文仿宋" w:hAnsi="华文仿宋" w:eastAsia="华文仿宋"/>
                <w:sz w:val="21"/>
                <w:szCs w:val="21"/>
                <w:lang w:val="en-US" w:eastAsia="zh-CN"/>
              </w:rPr>
              <w:t>5</w:t>
            </w:r>
            <w:r>
              <w:rPr>
                <w:rFonts w:hint="default" w:ascii="华文仿宋" w:hAnsi="华文仿宋" w:eastAsia="华文仿宋"/>
                <w:sz w:val="21"/>
                <w:szCs w:val="21"/>
              </w:rPr>
              <w:t>日</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58" w:hRule="atLeast"/>
          <w:jc w:val="center"/>
        </w:trPr>
        <w:tc>
          <w:tcPr>
            <w:tcW w:w="2667" w:type="dxa"/>
            <w:shd w:val="clear" w:color="auto" w:fill="D8D8D8" w:themeFill="background1" w:themeFillShade="D9"/>
            <w:vAlign w:val="center"/>
          </w:tcPr>
          <w:p>
            <w:pPr>
              <w:spacing w:line="360" w:lineRule="auto"/>
              <w:jc w:val="center"/>
              <w:rPr>
                <w:rFonts w:ascii="华文仿宋" w:hAnsi="华文仿宋" w:eastAsia="华文仿宋"/>
                <w:b/>
                <w:bCs/>
                <w:sz w:val="21"/>
                <w:szCs w:val="21"/>
              </w:rPr>
            </w:pPr>
            <w:r>
              <w:rPr>
                <w:rFonts w:hint="eastAsia" w:ascii="华文仿宋" w:hAnsi="华文仿宋" w:eastAsia="华文仿宋"/>
                <w:b/>
                <w:bCs/>
                <w:sz w:val="21"/>
                <w:szCs w:val="21"/>
              </w:rPr>
              <w:t>登记管理机关</w:t>
            </w:r>
          </w:p>
        </w:tc>
        <w:tc>
          <w:tcPr>
            <w:tcW w:w="6616" w:type="dxa"/>
            <w:vAlign w:val="center"/>
          </w:tcPr>
          <w:p>
            <w:pPr>
              <w:pStyle w:val="19"/>
              <w:spacing w:line="360" w:lineRule="auto"/>
              <w:ind w:firstLine="0"/>
              <w:rPr>
                <w:rFonts w:hint="default" w:ascii="华文仿宋" w:hAnsi="华文仿宋" w:eastAsia="华文仿宋"/>
                <w:sz w:val="21"/>
                <w:szCs w:val="21"/>
              </w:rPr>
            </w:pPr>
            <w:r>
              <w:rPr>
                <w:rFonts w:hint="eastAsia" w:ascii="华文仿宋" w:hAnsi="华文仿宋" w:eastAsia="华文仿宋"/>
                <w:sz w:val="21"/>
                <w:szCs w:val="21"/>
              </w:rPr>
              <w:t>云浮市云安区事业单位登记管理局</w:t>
            </w:r>
          </w:p>
        </w:tc>
      </w:tr>
    </w:tbl>
    <w:p>
      <w:pPr>
        <w:widowControl/>
        <w:spacing w:line="360" w:lineRule="auto"/>
        <w:rPr>
          <w:rFonts w:ascii="华文仿宋" w:hAnsi="华文仿宋" w:eastAsia="华文仿宋" w:cs="Times New Roman"/>
        </w:rPr>
      </w:pP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480" w:firstLineChars="200"/>
        <w:rPr>
          <w:rFonts w:ascii="华文仿宋" w:hAnsi="华文仿宋" w:eastAsia="华文仿宋" w:cs="宋体"/>
          <w:b/>
          <w:kern w:val="0"/>
          <w:u w:color="000000"/>
        </w:rPr>
      </w:pPr>
      <w:r>
        <w:rPr>
          <w:rFonts w:hint="eastAsia" w:ascii="华文仿宋" w:hAnsi="华文仿宋" w:eastAsia="华文仿宋" w:cs="宋体"/>
          <w:b/>
          <w:kern w:val="0"/>
          <w:u w:color="000000"/>
        </w:rPr>
        <w:t>本所认为，</w:t>
      </w:r>
      <w:r>
        <w:rPr>
          <w:rFonts w:hint="eastAsia" w:ascii="华文仿宋" w:hAnsi="华文仿宋" w:eastAsia="华文仿宋" w:cs="宋体"/>
          <w:b/>
          <w:kern w:val="0"/>
          <w:u w:color="000000"/>
          <w:lang w:eastAsia="zh-CN"/>
        </w:rPr>
        <w:t>云浮市云安区国有资产管理服务中心</w:t>
      </w:r>
      <w:r>
        <w:rPr>
          <w:rFonts w:hint="eastAsia" w:ascii="华文仿宋" w:hAnsi="华文仿宋" w:eastAsia="华文仿宋" w:cs="宋体"/>
          <w:b/>
          <w:kern w:val="0"/>
          <w:u w:color="000000"/>
        </w:rPr>
        <w:t>是依据中华人民共和国法律设立并合法存续的事业单位，有权作为本项目的组织实施机构。</w:t>
      </w:r>
    </w:p>
    <w:p>
      <w:pPr>
        <w:pStyle w:val="3"/>
        <w:rPr>
          <w:rFonts w:ascii="华文仿宋" w:hAnsi="华文仿宋" w:eastAsia="华文仿宋"/>
          <w:sz w:val="24"/>
          <w:szCs w:val="24"/>
          <w:u w:color="000000"/>
        </w:rPr>
      </w:pPr>
      <w:r>
        <w:rPr>
          <w:rFonts w:hint="eastAsia" w:ascii="华文仿宋" w:hAnsi="华文仿宋" w:eastAsia="华文仿宋"/>
          <w:sz w:val="24"/>
          <w:szCs w:val="24"/>
          <w:u w:color="000000"/>
        </w:rPr>
        <w:t xml:space="preserve">    </w:t>
      </w:r>
      <w:bookmarkStart w:id="21" w:name="_Toc47346124"/>
      <w:bookmarkStart w:id="22" w:name="_Toc20605502"/>
      <w:r>
        <w:rPr>
          <w:rFonts w:hint="eastAsia" w:ascii="华文仿宋" w:hAnsi="华文仿宋" w:eastAsia="华文仿宋"/>
          <w:sz w:val="24"/>
          <w:szCs w:val="24"/>
          <w:u w:color="000000"/>
        </w:rPr>
        <w:t>二、本期债券发行对应的项目情况</w:t>
      </w:r>
      <w:bookmarkEnd w:id="21"/>
      <w:bookmarkEnd w:id="22"/>
    </w:p>
    <w:p>
      <w:pPr>
        <w:widowControl/>
        <w:spacing w:line="360" w:lineRule="auto"/>
        <w:ind w:firstLine="480" w:firstLineChars="200"/>
        <w:rPr>
          <w:rFonts w:ascii="华文仿宋" w:hAnsi="华文仿宋" w:eastAsia="华文仿宋" w:cs="宋体"/>
          <w:kern w:val="0"/>
        </w:rPr>
      </w:pPr>
      <w:r>
        <w:rPr>
          <w:rFonts w:hint="eastAsia" w:ascii="华文仿宋" w:hAnsi="华文仿宋" w:eastAsia="华文仿宋" w:cs="Times New Roman"/>
        </w:rPr>
        <w:t>经本所核查，本项目所涉及的项目情况如下：</w:t>
      </w:r>
    </w:p>
    <w:tbl>
      <w:tblPr>
        <w:tblStyle w:val="11"/>
        <w:tblW w:w="0" w:type="auto"/>
        <w:jc w:val="center"/>
        <w:tblLayout w:type="fixed"/>
        <w:tblCellMar>
          <w:top w:w="0" w:type="dxa"/>
          <w:left w:w="108" w:type="dxa"/>
          <w:bottom w:w="0" w:type="dxa"/>
          <w:right w:w="108" w:type="dxa"/>
        </w:tblCellMar>
      </w:tblPr>
      <w:tblGrid>
        <w:gridCol w:w="2620"/>
        <w:gridCol w:w="5800"/>
      </w:tblGrid>
      <w:tr>
        <w:tblPrEx>
          <w:tblCellMar>
            <w:top w:w="0" w:type="dxa"/>
            <w:left w:w="108" w:type="dxa"/>
            <w:bottom w:w="0" w:type="dxa"/>
            <w:right w:w="108" w:type="dxa"/>
          </w:tblCellMar>
        </w:tblPrEx>
        <w:trPr>
          <w:trHeight w:val="642" w:hRule="atLeast"/>
          <w:jc w:val="center"/>
        </w:trPr>
        <w:tc>
          <w:tcPr>
            <w:tcW w:w="262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cs="宋体"/>
                <w:b/>
                <w:kern w:val="0"/>
                <w:sz w:val="21"/>
                <w:szCs w:val="21"/>
              </w:rPr>
            </w:pPr>
            <w:r>
              <w:rPr>
                <w:rFonts w:hint="eastAsia" w:ascii="华文仿宋" w:hAnsi="华文仿宋" w:eastAsia="华文仿宋" w:cs="宋体"/>
                <w:b/>
                <w:kern w:val="0"/>
                <w:sz w:val="21"/>
                <w:szCs w:val="21"/>
              </w:rPr>
              <w:t>项目名称</w:t>
            </w:r>
          </w:p>
        </w:tc>
        <w:tc>
          <w:tcPr>
            <w:tcW w:w="5800" w:type="dxa"/>
            <w:tcBorders>
              <w:top w:val="single" w:color="auto" w:sz="4" w:space="0"/>
              <w:left w:val="nil"/>
              <w:bottom w:val="single" w:color="auto" w:sz="4" w:space="0"/>
              <w:right w:val="single" w:color="auto" w:sz="4" w:space="0"/>
            </w:tcBorders>
            <w:vAlign w:val="center"/>
          </w:tcPr>
          <w:p>
            <w:pPr>
              <w:widowControl/>
              <w:jc w:val="center"/>
              <w:rPr>
                <w:rFonts w:hint="eastAsia" w:ascii="华文仿宋" w:hAnsi="华文仿宋" w:eastAsia="华文仿宋" w:cs="宋体"/>
                <w:kern w:val="0"/>
                <w:sz w:val="21"/>
                <w:szCs w:val="21"/>
                <w:lang w:eastAsia="zh-CN"/>
              </w:rPr>
            </w:pPr>
            <w:r>
              <w:rPr>
                <w:rFonts w:hint="eastAsia" w:ascii="华文仿宋" w:hAnsi="华文仿宋" w:eastAsia="华文仿宋" w:cs="宋体"/>
                <w:kern w:val="0"/>
                <w:sz w:val="21"/>
                <w:szCs w:val="21"/>
                <w:u w:color="000000"/>
                <w:lang w:eastAsia="zh-CN"/>
              </w:rPr>
              <w:t>云浮市云安区绿色建材产业园基础设施配套项目</w:t>
            </w:r>
          </w:p>
        </w:tc>
      </w:tr>
      <w:tr>
        <w:tblPrEx>
          <w:tblCellMar>
            <w:top w:w="0" w:type="dxa"/>
            <w:left w:w="108" w:type="dxa"/>
            <w:bottom w:w="0" w:type="dxa"/>
            <w:right w:w="108" w:type="dxa"/>
          </w:tblCellMar>
        </w:tblPrEx>
        <w:trPr>
          <w:trHeight w:val="642" w:hRule="atLeast"/>
          <w:jc w:val="center"/>
        </w:trPr>
        <w:tc>
          <w:tcPr>
            <w:tcW w:w="2620" w:type="dxa"/>
            <w:tcBorders>
              <w:top w:val="nil"/>
              <w:left w:val="single" w:color="auto" w:sz="4" w:space="0"/>
              <w:bottom w:val="single" w:color="auto" w:sz="4" w:space="0"/>
              <w:right w:val="single" w:color="auto" w:sz="4" w:space="0"/>
            </w:tcBorders>
            <w:vAlign w:val="center"/>
          </w:tcPr>
          <w:p>
            <w:pPr>
              <w:widowControl/>
              <w:jc w:val="center"/>
              <w:rPr>
                <w:rFonts w:ascii="华文仿宋" w:hAnsi="华文仿宋" w:eastAsia="华文仿宋" w:cs="宋体"/>
                <w:b/>
                <w:kern w:val="0"/>
                <w:sz w:val="21"/>
                <w:szCs w:val="21"/>
              </w:rPr>
            </w:pPr>
            <w:r>
              <w:rPr>
                <w:rFonts w:hint="eastAsia" w:ascii="华文仿宋" w:hAnsi="华文仿宋" w:eastAsia="华文仿宋" w:cs="宋体"/>
                <w:b/>
                <w:kern w:val="0"/>
                <w:sz w:val="21"/>
                <w:szCs w:val="21"/>
              </w:rPr>
              <w:t>项目总投资</w:t>
            </w:r>
          </w:p>
        </w:tc>
        <w:tc>
          <w:tcPr>
            <w:tcW w:w="5800" w:type="dxa"/>
            <w:tcBorders>
              <w:top w:val="single" w:color="auto" w:sz="4" w:space="0"/>
              <w:left w:val="nil"/>
              <w:bottom w:val="single" w:color="auto" w:sz="4" w:space="0"/>
              <w:right w:val="single" w:color="auto" w:sz="4" w:space="0"/>
            </w:tcBorders>
            <w:vAlign w:val="center"/>
          </w:tcPr>
          <w:p>
            <w:pPr>
              <w:widowControl/>
              <w:jc w:val="center"/>
              <w:rPr>
                <w:rFonts w:ascii="华文仿宋" w:hAnsi="华文仿宋" w:eastAsia="华文仿宋" w:cs="Times New Roman"/>
                <w:color w:val="000000" w:themeColor="text1"/>
                <w:sz w:val="21"/>
                <w:szCs w:val="21"/>
                <w14:textFill>
                  <w14:solidFill>
                    <w14:schemeClr w14:val="tx1"/>
                  </w14:solidFill>
                </w14:textFill>
              </w:rPr>
            </w:pPr>
            <w:r>
              <w:rPr>
                <w:rFonts w:hint="eastAsia" w:ascii="华文仿宋" w:hAnsi="华文仿宋" w:eastAsia="华文仿宋" w:cs="Times New Roman"/>
                <w:color w:val="000000" w:themeColor="text1"/>
                <w:sz w:val="21"/>
                <w:szCs w:val="21"/>
                <w:lang w:val="en-US" w:eastAsia="zh-CN"/>
                <w14:textFill>
                  <w14:solidFill>
                    <w14:schemeClr w14:val="tx1"/>
                  </w14:solidFill>
                </w14:textFill>
              </w:rPr>
              <w:t>279,516.7708</w:t>
            </w:r>
            <w:r>
              <w:rPr>
                <w:rFonts w:hint="eastAsia" w:ascii="华文仿宋" w:hAnsi="华文仿宋" w:eastAsia="华文仿宋" w:cs="Times New Roman"/>
                <w:color w:val="000000" w:themeColor="text1"/>
                <w:sz w:val="21"/>
                <w:szCs w:val="21"/>
                <w14:textFill>
                  <w14:solidFill>
                    <w14:schemeClr w14:val="tx1"/>
                  </w14:solidFill>
                </w14:textFill>
              </w:rPr>
              <w:t>万元</w:t>
            </w:r>
          </w:p>
        </w:tc>
      </w:tr>
      <w:tr>
        <w:tblPrEx>
          <w:tblCellMar>
            <w:top w:w="0" w:type="dxa"/>
            <w:left w:w="108" w:type="dxa"/>
            <w:bottom w:w="0" w:type="dxa"/>
            <w:right w:w="108" w:type="dxa"/>
          </w:tblCellMar>
        </w:tblPrEx>
        <w:trPr>
          <w:trHeight w:val="641" w:hRule="atLeast"/>
          <w:jc w:val="center"/>
        </w:trPr>
        <w:tc>
          <w:tcPr>
            <w:tcW w:w="2620" w:type="dxa"/>
            <w:tcBorders>
              <w:top w:val="nil"/>
              <w:left w:val="single" w:color="auto" w:sz="4" w:space="0"/>
              <w:bottom w:val="single" w:color="auto" w:sz="4" w:space="0"/>
              <w:right w:val="single" w:color="auto" w:sz="4" w:space="0"/>
            </w:tcBorders>
            <w:vAlign w:val="center"/>
          </w:tcPr>
          <w:p>
            <w:pPr>
              <w:widowControl/>
              <w:jc w:val="center"/>
              <w:rPr>
                <w:rFonts w:ascii="华文仿宋" w:hAnsi="华文仿宋" w:eastAsia="华文仿宋" w:cs="宋体"/>
                <w:b/>
                <w:kern w:val="0"/>
                <w:sz w:val="21"/>
                <w:szCs w:val="21"/>
              </w:rPr>
            </w:pPr>
            <w:r>
              <w:rPr>
                <w:rFonts w:hint="eastAsia" w:ascii="华文仿宋" w:hAnsi="华文仿宋" w:eastAsia="华文仿宋" w:cs="宋体"/>
                <w:b/>
                <w:kern w:val="0"/>
                <w:sz w:val="21"/>
                <w:szCs w:val="21"/>
              </w:rPr>
              <w:t>项目情况概述</w:t>
            </w:r>
          </w:p>
        </w:tc>
        <w:tc>
          <w:tcPr>
            <w:tcW w:w="5800" w:type="dxa"/>
            <w:tcBorders>
              <w:top w:val="single" w:color="auto" w:sz="4" w:space="0"/>
              <w:left w:val="nil"/>
              <w:bottom w:val="single" w:color="auto" w:sz="4" w:space="0"/>
              <w:right w:val="single" w:color="auto" w:sz="4" w:space="0"/>
            </w:tcBorders>
            <w:vAlign w:val="center"/>
          </w:tcPr>
          <w:p>
            <w:pPr>
              <w:widowControl/>
              <w:numPr>
                <w:ilvl w:val="0"/>
                <w:numId w:val="2"/>
              </w:numPr>
              <w:ind w:left="0" w:firstLine="420" w:firstLineChars="20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省道S537线（云安区段）细友石场至湾边村段改建工程，项目总投资67032</w:t>
            </w:r>
            <w:r>
              <w:rPr>
                <w:rFonts w:hint="eastAsia" w:ascii="华文仿宋" w:hAnsi="华文仿宋" w:eastAsia="华文仿宋" w:cs="宋体"/>
                <w:color w:val="000000"/>
                <w:kern w:val="0"/>
                <w:sz w:val="21"/>
                <w:szCs w:val="21"/>
                <w:lang w:val="en-US" w:eastAsia="zh-CN"/>
              </w:rPr>
              <w:t>.</w:t>
            </w:r>
            <w:r>
              <w:rPr>
                <w:rFonts w:hint="eastAsia" w:ascii="华文仿宋" w:hAnsi="华文仿宋" w:eastAsia="华文仿宋" w:cs="宋体"/>
                <w:color w:val="000000"/>
                <w:kern w:val="0"/>
                <w:sz w:val="21"/>
                <w:szCs w:val="21"/>
              </w:rPr>
              <w:t>73万元。</w:t>
            </w:r>
          </w:p>
          <w:p>
            <w:pPr>
              <w:widowControl/>
              <w:numPr>
                <w:ilvl w:val="0"/>
                <w:numId w:val="2"/>
              </w:numPr>
              <w:ind w:left="0" w:firstLine="420" w:firstLineChars="20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云浮装配式绿色建筑及配套项目，项目总投资56100万元。</w:t>
            </w:r>
          </w:p>
          <w:p>
            <w:pPr>
              <w:pStyle w:val="2"/>
              <w:numPr>
                <w:ilvl w:val="0"/>
                <w:numId w:val="2"/>
              </w:numPr>
              <w:ind w:left="0" w:firstLine="420" w:firstLineChars="200"/>
              <w:rPr>
                <w:rFonts w:hint="default" w:ascii="华文仿宋" w:hAnsi="华文仿宋" w:eastAsia="华文仿宋" w:cs="宋体"/>
                <w:sz w:val="21"/>
                <w:szCs w:val="21"/>
              </w:rPr>
            </w:pPr>
            <w:r>
              <w:rPr>
                <w:rFonts w:hint="eastAsia" w:ascii="华文仿宋" w:hAnsi="华文仿宋" w:eastAsia="华文仿宋" w:cs="宋体"/>
                <w:sz w:val="21"/>
                <w:szCs w:val="21"/>
              </w:rPr>
              <w:t>云浮市云安区绿色建材基地配套工程一期</w:t>
            </w:r>
            <w:r>
              <w:rPr>
                <w:rFonts w:ascii="华文仿宋" w:hAnsi="华文仿宋" w:eastAsia="华文仿宋" w:cs="宋体"/>
                <w:sz w:val="21"/>
                <w:szCs w:val="21"/>
              </w:rPr>
              <w:t>，项目总投资</w:t>
            </w:r>
            <w:r>
              <w:rPr>
                <w:rFonts w:hint="eastAsia" w:ascii="华文仿宋" w:hAnsi="华文仿宋" w:eastAsia="华文仿宋" w:cs="宋体"/>
                <w:sz w:val="21"/>
                <w:szCs w:val="21"/>
              </w:rPr>
              <w:t>84400</w:t>
            </w:r>
            <w:r>
              <w:rPr>
                <w:rFonts w:ascii="华文仿宋" w:hAnsi="华文仿宋" w:eastAsia="华文仿宋" w:cs="宋体"/>
                <w:sz w:val="21"/>
                <w:szCs w:val="21"/>
              </w:rPr>
              <w:t>万元。</w:t>
            </w:r>
          </w:p>
          <w:p>
            <w:pPr>
              <w:pStyle w:val="2"/>
              <w:numPr>
                <w:ilvl w:val="0"/>
                <w:numId w:val="2"/>
              </w:numPr>
              <w:ind w:left="0" w:firstLine="420" w:firstLineChars="200"/>
              <w:rPr>
                <w:rFonts w:hint="default" w:ascii="华文仿宋" w:hAnsi="华文仿宋" w:eastAsia="华文仿宋" w:cs="宋体"/>
                <w:sz w:val="21"/>
                <w:szCs w:val="21"/>
              </w:rPr>
            </w:pPr>
            <w:r>
              <w:rPr>
                <w:rFonts w:hint="eastAsia" w:ascii="华文仿宋" w:hAnsi="华文仿宋" w:eastAsia="华文仿宋" w:cs="宋体"/>
                <w:sz w:val="21"/>
                <w:szCs w:val="21"/>
              </w:rPr>
              <w:t>云浮市云安区都杨镇麦洲桥危旧桥梁改造工程</w:t>
            </w:r>
            <w:r>
              <w:rPr>
                <w:rFonts w:ascii="华文仿宋" w:hAnsi="华文仿宋" w:eastAsia="华文仿宋" w:cs="宋体"/>
                <w:sz w:val="21"/>
                <w:szCs w:val="21"/>
              </w:rPr>
              <w:t>，项目总投资</w:t>
            </w:r>
            <w:r>
              <w:rPr>
                <w:rFonts w:hint="eastAsia" w:ascii="华文仿宋" w:hAnsi="华文仿宋" w:eastAsia="华文仿宋" w:cs="宋体"/>
                <w:sz w:val="21"/>
                <w:szCs w:val="21"/>
              </w:rPr>
              <w:t>346.6184</w:t>
            </w:r>
            <w:r>
              <w:rPr>
                <w:rFonts w:ascii="华文仿宋" w:hAnsi="华文仿宋" w:eastAsia="华文仿宋" w:cs="宋体"/>
                <w:sz w:val="21"/>
                <w:szCs w:val="21"/>
              </w:rPr>
              <w:t>万元。</w:t>
            </w:r>
          </w:p>
          <w:p>
            <w:pPr>
              <w:pStyle w:val="2"/>
              <w:numPr>
                <w:ilvl w:val="0"/>
                <w:numId w:val="2"/>
              </w:numPr>
              <w:ind w:left="0" w:firstLine="420" w:firstLineChars="200"/>
              <w:rPr>
                <w:rFonts w:hint="default" w:ascii="华文仿宋" w:hAnsi="华文仿宋" w:eastAsia="华文仿宋" w:cs="宋体"/>
                <w:sz w:val="21"/>
                <w:szCs w:val="21"/>
              </w:rPr>
            </w:pPr>
            <w:r>
              <w:rPr>
                <w:rFonts w:hint="eastAsia" w:ascii="华文仿宋" w:hAnsi="华文仿宋" w:eastAsia="华文仿宋" w:cs="宋体"/>
                <w:sz w:val="21"/>
                <w:szCs w:val="21"/>
              </w:rPr>
              <w:t>县道X825线云安区都杨镇桃坪段四升三改建工程</w:t>
            </w:r>
            <w:r>
              <w:rPr>
                <w:rFonts w:ascii="华文仿宋" w:hAnsi="华文仿宋" w:eastAsia="华文仿宋" w:cs="宋体"/>
                <w:sz w:val="21"/>
                <w:szCs w:val="21"/>
              </w:rPr>
              <w:t>，项目总投资</w:t>
            </w:r>
            <w:r>
              <w:rPr>
                <w:rFonts w:hint="eastAsia" w:ascii="华文仿宋" w:hAnsi="华文仿宋" w:eastAsia="华文仿宋" w:cs="宋体"/>
                <w:sz w:val="21"/>
                <w:szCs w:val="21"/>
              </w:rPr>
              <w:t>546.9612</w:t>
            </w:r>
            <w:r>
              <w:rPr>
                <w:rFonts w:ascii="华文仿宋" w:hAnsi="华文仿宋" w:eastAsia="华文仿宋" w:cs="宋体"/>
                <w:sz w:val="21"/>
                <w:szCs w:val="21"/>
              </w:rPr>
              <w:t>万元。</w:t>
            </w:r>
          </w:p>
          <w:p>
            <w:pPr>
              <w:pStyle w:val="2"/>
              <w:numPr>
                <w:ilvl w:val="0"/>
                <w:numId w:val="2"/>
              </w:numPr>
              <w:ind w:left="0" w:firstLine="420" w:firstLineChars="200"/>
              <w:rPr>
                <w:rFonts w:hint="default" w:ascii="华文仿宋" w:hAnsi="华文仿宋" w:eastAsia="华文仿宋" w:cs="宋体"/>
                <w:sz w:val="21"/>
                <w:szCs w:val="21"/>
              </w:rPr>
            </w:pPr>
            <w:r>
              <w:rPr>
                <w:rFonts w:hint="eastAsia" w:ascii="华文仿宋" w:hAnsi="华文仿宋" w:eastAsia="华文仿宋" w:cs="宋体"/>
                <w:sz w:val="21"/>
                <w:szCs w:val="21"/>
              </w:rPr>
              <w:t>云安区都杨云祥大道（一期）、广盛路路面改造工程</w:t>
            </w:r>
            <w:r>
              <w:rPr>
                <w:rFonts w:ascii="华文仿宋" w:hAnsi="华文仿宋" w:eastAsia="华文仿宋" w:cs="宋体"/>
                <w:sz w:val="21"/>
                <w:szCs w:val="21"/>
              </w:rPr>
              <w:t>，项目总投资</w:t>
            </w:r>
            <w:r>
              <w:rPr>
                <w:rFonts w:hint="eastAsia" w:ascii="华文仿宋" w:hAnsi="华文仿宋" w:eastAsia="华文仿宋" w:cs="宋体"/>
                <w:color w:val="000000"/>
                <w:kern w:val="0"/>
                <w:sz w:val="21"/>
                <w:szCs w:val="21"/>
              </w:rPr>
              <w:t>1719</w:t>
            </w:r>
            <w:r>
              <w:rPr>
                <w:rFonts w:hint="eastAsia" w:ascii="华文仿宋" w:hAnsi="华文仿宋" w:eastAsia="华文仿宋" w:cs="宋体"/>
                <w:color w:val="000000"/>
                <w:kern w:val="0"/>
                <w:sz w:val="21"/>
                <w:szCs w:val="21"/>
                <w:lang w:val="en-US" w:eastAsia="zh-CN"/>
              </w:rPr>
              <w:t>0.2</w:t>
            </w:r>
            <w:r>
              <w:rPr>
                <w:rFonts w:hint="eastAsia" w:ascii="华文仿宋" w:hAnsi="华文仿宋" w:eastAsia="华文仿宋" w:cs="宋体"/>
                <w:color w:val="000000"/>
                <w:kern w:val="0"/>
                <w:sz w:val="21"/>
                <w:szCs w:val="21"/>
              </w:rPr>
              <w:t>4</w:t>
            </w:r>
            <w:r>
              <w:rPr>
                <w:rFonts w:ascii="华文仿宋" w:hAnsi="华文仿宋" w:eastAsia="华文仿宋" w:cs="宋体"/>
                <w:sz w:val="21"/>
                <w:szCs w:val="21"/>
              </w:rPr>
              <w:t>万元。</w:t>
            </w:r>
          </w:p>
          <w:p>
            <w:pPr>
              <w:pStyle w:val="2"/>
              <w:numPr>
                <w:ilvl w:val="0"/>
                <w:numId w:val="2"/>
              </w:numPr>
              <w:ind w:left="0" w:firstLine="420" w:firstLineChars="200"/>
              <w:rPr>
                <w:rFonts w:hint="default" w:ascii="华文仿宋" w:hAnsi="华文仿宋" w:eastAsia="华文仿宋" w:cs="宋体"/>
                <w:sz w:val="21"/>
                <w:szCs w:val="21"/>
              </w:rPr>
            </w:pPr>
            <w:r>
              <w:rPr>
                <w:rFonts w:hint="eastAsia" w:ascii="华文仿宋" w:hAnsi="华文仿宋" w:eastAsia="华文仿宋" w:cs="宋体"/>
                <w:sz w:val="21"/>
                <w:szCs w:val="21"/>
              </w:rPr>
              <w:t>省道S537线 (云安区段 )凤凰坳至细友石场段改建工程</w:t>
            </w:r>
            <w:r>
              <w:rPr>
                <w:rFonts w:ascii="华文仿宋" w:hAnsi="华文仿宋" w:eastAsia="华文仿宋" w:cs="宋体"/>
                <w:sz w:val="21"/>
                <w:szCs w:val="21"/>
              </w:rPr>
              <w:t>，项目总投资</w:t>
            </w:r>
            <w:r>
              <w:rPr>
                <w:rFonts w:hint="eastAsia" w:ascii="华文仿宋" w:hAnsi="华文仿宋" w:eastAsia="华文仿宋" w:cs="宋体"/>
                <w:sz w:val="21"/>
                <w:szCs w:val="21"/>
              </w:rPr>
              <w:t>53560.65</w:t>
            </w:r>
            <w:r>
              <w:rPr>
                <w:rFonts w:hint="eastAsia" w:ascii="华文仿宋" w:hAnsi="华文仿宋" w:eastAsia="华文仿宋" w:cs="宋体"/>
                <w:sz w:val="21"/>
                <w:szCs w:val="21"/>
                <w:lang w:val="en-US" w:eastAsia="zh-CN"/>
              </w:rPr>
              <w:t>00</w:t>
            </w:r>
            <w:r>
              <w:rPr>
                <w:rFonts w:ascii="华文仿宋" w:hAnsi="华文仿宋" w:eastAsia="华文仿宋" w:cs="宋体"/>
                <w:sz w:val="21"/>
                <w:szCs w:val="21"/>
              </w:rPr>
              <w:t>万元。</w:t>
            </w:r>
          </w:p>
          <w:p>
            <w:pPr>
              <w:pStyle w:val="2"/>
              <w:numPr>
                <w:ilvl w:val="0"/>
                <w:numId w:val="2"/>
              </w:numPr>
              <w:ind w:left="0" w:firstLine="420" w:firstLineChars="200"/>
              <w:rPr>
                <w:rFonts w:hint="default" w:ascii="华文仿宋" w:hAnsi="华文仿宋" w:eastAsia="华文仿宋" w:cs="宋体"/>
                <w:sz w:val="21"/>
                <w:szCs w:val="21"/>
              </w:rPr>
            </w:pPr>
            <w:r>
              <w:rPr>
                <w:rFonts w:hint="eastAsia" w:ascii="华文仿宋" w:hAnsi="华文仿宋" w:eastAsia="华文仿宋" w:cs="宋体"/>
                <w:sz w:val="21"/>
                <w:szCs w:val="21"/>
              </w:rPr>
              <w:t>云浮市云安区S537线K51+852-K67+400段路况提升专项养护工程</w:t>
            </w:r>
            <w:r>
              <w:rPr>
                <w:rFonts w:ascii="华文仿宋" w:hAnsi="华文仿宋" w:eastAsia="华文仿宋" w:cs="宋体"/>
                <w:sz w:val="21"/>
                <w:szCs w:val="21"/>
              </w:rPr>
              <w:t>，项目总投资</w:t>
            </w:r>
            <w:r>
              <w:rPr>
                <w:rFonts w:hint="eastAsia" w:ascii="华文仿宋" w:hAnsi="华文仿宋" w:eastAsia="华文仿宋" w:cs="宋体"/>
                <w:sz w:val="21"/>
                <w:szCs w:val="21"/>
              </w:rPr>
              <w:t>339.5712</w:t>
            </w:r>
            <w:r>
              <w:rPr>
                <w:rFonts w:ascii="华文仿宋" w:hAnsi="华文仿宋" w:eastAsia="华文仿宋" w:cs="宋体"/>
                <w:sz w:val="21"/>
                <w:szCs w:val="21"/>
              </w:rPr>
              <w:t>万元。</w:t>
            </w:r>
          </w:p>
        </w:tc>
      </w:tr>
    </w:tbl>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华文仿宋" w:hAnsi="华文仿宋" w:eastAsia="华文仿宋" w:cs="宋体"/>
          <w:kern w:val="0"/>
          <w:u w:color="000000"/>
        </w:rPr>
      </w:pP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480" w:firstLineChars="200"/>
        <w:rPr>
          <w:rFonts w:hint="eastAsia" w:ascii="华文仿宋" w:hAnsi="华文仿宋" w:eastAsia="华文仿宋" w:cs="宋体"/>
          <w:kern w:val="0"/>
          <w:u w:color="000000"/>
        </w:rPr>
      </w:pPr>
      <w:r>
        <w:rPr>
          <w:rFonts w:hint="eastAsia" w:ascii="华文仿宋" w:hAnsi="华文仿宋" w:eastAsia="华文仿宋" w:cs="Times New Roman"/>
        </w:rPr>
        <w:t>根据《2024年广东省政府专项债券（五期）</w:t>
      </w:r>
      <w:r>
        <w:rPr>
          <w:rFonts w:hint="eastAsia" w:ascii="华文仿宋" w:hAnsi="华文仿宋" w:eastAsia="华文仿宋" w:cs="Times New Roman"/>
          <w:highlight w:val="none"/>
          <w:lang w:eastAsia="zh-CN"/>
        </w:rPr>
        <w:t>云浮市云安区绿色建材产业园基础设施配套项目</w:t>
      </w:r>
      <w:r>
        <w:rPr>
          <w:rFonts w:hint="eastAsia" w:ascii="华文仿宋" w:hAnsi="华文仿宋" w:eastAsia="华文仿宋" w:cs="Times New Roman"/>
          <w:highlight w:val="none"/>
        </w:rPr>
        <w:t>募投报告》</w:t>
      </w:r>
      <w:r>
        <w:rPr>
          <w:rFonts w:hint="eastAsia" w:ascii="华文仿宋" w:hAnsi="华文仿宋" w:eastAsia="华文仿宋" w:cs="宋体"/>
          <w:kern w:val="0"/>
          <w:u w:color="000000"/>
        </w:rPr>
        <w:t>的相关内容，并经本所律师核查，</w:t>
      </w:r>
      <w:r>
        <w:rPr>
          <w:rFonts w:hint="eastAsia" w:ascii="华文仿宋" w:hAnsi="华文仿宋" w:eastAsia="华文仿宋" w:cs="宋体"/>
          <w:kern w:val="0"/>
          <w:u w:color="000000"/>
          <w:lang w:eastAsia="zh-CN"/>
        </w:rPr>
        <w:t>云浮市云安区绿色建材产业园基础设施配套项目</w:t>
      </w:r>
      <w:r>
        <w:rPr>
          <w:rFonts w:hint="eastAsia" w:ascii="华文仿宋" w:hAnsi="华文仿宋" w:eastAsia="华文仿宋" w:cs="宋体"/>
          <w:kern w:val="0"/>
          <w:u w:color="000000"/>
        </w:rPr>
        <w:t>包含了</w:t>
      </w:r>
      <w:r>
        <w:rPr>
          <w:rFonts w:hint="eastAsia" w:ascii="华文仿宋" w:hAnsi="华文仿宋" w:eastAsia="华文仿宋" w:cs="宋体"/>
          <w:kern w:val="0"/>
          <w:u w:color="000000"/>
          <w:lang w:eastAsia="zh-CN"/>
        </w:rPr>
        <w:t>8个子项目</w:t>
      </w:r>
      <w:r>
        <w:rPr>
          <w:rFonts w:hint="eastAsia" w:ascii="华文仿宋" w:hAnsi="华文仿宋" w:eastAsia="华文仿宋" w:cs="宋体"/>
          <w:kern w:val="0"/>
          <w:u w:color="000000"/>
        </w:rPr>
        <w:t>，上述</w:t>
      </w:r>
      <w:r>
        <w:rPr>
          <w:rFonts w:hint="eastAsia" w:ascii="华文仿宋" w:hAnsi="华文仿宋" w:eastAsia="华文仿宋" w:cs="宋体"/>
          <w:kern w:val="0"/>
          <w:u w:color="000000"/>
          <w:lang w:eastAsia="zh-CN"/>
        </w:rPr>
        <w:t>8个子项目</w:t>
      </w:r>
      <w:r>
        <w:rPr>
          <w:rFonts w:hint="eastAsia" w:ascii="华文仿宋" w:hAnsi="华文仿宋" w:eastAsia="华文仿宋" w:cs="宋体"/>
          <w:kern w:val="0"/>
          <w:u w:color="000000"/>
        </w:rPr>
        <w:t>的基本情况如下：</w:t>
      </w:r>
    </w:p>
    <w:p>
      <w:pPr>
        <w:pStyle w:val="2"/>
      </w:pPr>
    </w:p>
    <w:tbl>
      <w:tblPr>
        <w:tblStyle w:val="12"/>
        <w:tblW w:w="11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988"/>
        <w:gridCol w:w="3522"/>
        <w:gridCol w:w="2872"/>
        <w:gridCol w:w="2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b/>
                <w:bCs/>
                <w:kern w:val="0"/>
                <w:sz w:val="21"/>
                <w:szCs w:val="21"/>
                <w:u w:color="000000"/>
              </w:rPr>
            </w:pPr>
            <w:r>
              <w:rPr>
                <w:rFonts w:hint="eastAsia" w:ascii="华文仿宋" w:hAnsi="华文仿宋" w:eastAsia="华文仿宋" w:cs="宋体"/>
                <w:b/>
                <w:bCs/>
                <w:kern w:val="0"/>
                <w:sz w:val="21"/>
                <w:szCs w:val="21"/>
                <w:u w:color="000000"/>
              </w:rPr>
              <w:t>序号</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b/>
                <w:bCs/>
                <w:kern w:val="0"/>
                <w:sz w:val="21"/>
                <w:szCs w:val="21"/>
                <w:u w:color="000000"/>
              </w:rPr>
            </w:pPr>
            <w:r>
              <w:rPr>
                <w:rFonts w:hint="eastAsia" w:ascii="华文仿宋" w:hAnsi="华文仿宋" w:eastAsia="华文仿宋" w:cs="宋体"/>
                <w:b/>
                <w:bCs/>
                <w:kern w:val="0"/>
                <w:sz w:val="21"/>
                <w:szCs w:val="21"/>
                <w:u w:color="000000"/>
              </w:rPr>
              <w:t>名称</w:t>
            </w:r>
          </w:p>
        </w:tc>
        <w:tc>
          <w:tcPr>
            <w:tcW w:w="3522"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b/>
                <w:bCs/>
                <w:kern w:val="0"/>
                <w:sz w:val="21"/>
                <w:szCs w:val="21"/>
                <w:u w:color="000000"/>
              </w:rPr>
            </w:pPr>
            <w:r>
              <w:rPr>
                <w:rFonts w:hint="eastAsia" w:ascii="华文仿宋" w:hAnsi="华文仿宋" w:eastAsia="华文仿宋" w:cs="宋体"/>
                <w:b/>
                <w:bCs/>
                <w:kern w:val="0"/>
                <w:sz w:val="21"/>
                <w:szCs w:val="21"/>
                <w:u w:color="000000"/>
              </w:rPr>
              <w:t>项目立项情况</w:t>
            </w:r>
          </w:p>
        </w:tc>
        <w:tc>
          <w:tcPr>
            <w:tcW w:w="2872"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b/>
                <w:bCs/>
                <w:kern w:val="0"/>
                <w:sz w:val="21"/>
                <w:szCs w:val="21"/>
                <w:u w:color="000000"/>
              </w:rPr>
            </w:pPr>
            <w:r>
              <w:rPr>
                <w:rFonts w:hint="eastAsia" w:ascii="华文仿宋" w:hAnsi="华文仿宋" w:eastAsia="华文仿宋" w:cs="宋体"/>
                <w:b/>
                <w:bCs/>
                <w:kern w:val="0"/>
                <w:sz w:val="21"/>
                <w:szCs w:val="21"/>
                <w:u w:color="000000"/>
              </w:rPr>
              <w:t>项目情况概述</w:t>
            </w:r>
          </w:p>
        </w:tc>
        <w:tc>
          <w:tcPr>
            <w:tcW w:w="2150" w:type="dxa"/>
            <w:vAlign w:val="center"/>
          </w:tcPr>
          <w:p>
            <w:pPr>
              <w:widowControl/>
              <w:tabs>
                <w:tab w:val="left" w:pos="55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b/>
                <w:bCs/>
                <w:kern w:val="0"/>
                <w:sz w:val="21"/>
                <w:szCs w:val="21"/>
                <w:u w:color="000000"/>
              </w:rPr>
            </w:pPr>
            <w:r>
              <w:rPr>
                <w:rFonts w:hint="eastAsia" w:ascii="华文仿宋" w:hAnsi="华文仿宋" w:eastAsia="华文仿宋" w:cs="宋体"/>
                <w:b/>
                <w:bCs/>
                <w:kern w:val="0"/>
                <w:sz w:val="21"/>
                <w:szCs w:val="21"/>
                <w:u w:color="000000"/>
              </w:rPr>
              <w:t>项目总投资（万元）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b/>
                <w:bCs/>
                <w:kern w:val="0"/>
                <w:sz w:val="21"/>
                <w:szCs w:val="21"/>
                <w:u w:color="000000"/>
              </w:rPr>
            </w:pPr>
            <w:r>
              <w:rPr>
                <w:rFonts w:hint="eastAsia" w:ascii="华文仿宋" w:hAnsi="华文仿宋" w:eastAsia="华文仿宋" w:cs="宋体"/>
                <w:kern w:val="0"/>
                <w:sz w:val="21"/>
                <w:szCs w:val="21"/>
                <w:u w:color="000000"/>
              </w:rPr>
              <w:t>1</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省道S537线（云安区段）细友石场至湾边村段改建工程</w:t>
            </w:r>
          </w:p>
        </w:tc>
        <w:tc>
          <w:tcPr>
            <w:tcW w:w="3522" w:type="dxa"/>
          </w:tcPr>
          <w:p>
            <w:pPr>
              <w:pStyle w:val="20"/>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本项目已取得《关于省道S537线（云安区段）细友石场至湾边村段改建工程项目</w:t>
            </w:r>
            <w:r>
              <w:rPr>
                <w:rFonts w:hint="eastAsia" w:ascii="华文仿宋" w:hAnsi="华文仿宋" w:eastAsia="华文仿宋" w:cs="宋体"/>
                <w:color w:val="000000"/>
                <w:kern w:val="0"/>
                <w:sz w:val="21"/>
                <w:szCs w:val="21"/>
                <w:lang w:val="en-US" w:eastAsia="zh-CN"/>
              </w:rPr>
              <w:t>建议书</w:t>
            </w:r>
            <w:r>
              <w:rPr>
                <w:rFonts w:hint="eastAsia" w:ascii="华文仿宋" w:hAnsi="华文仿宋" w:eastAsia="华文仿宋" w:cs="宋体"/>
                <w:color w:val="000000"/>
                <w:kern w:val="0"/>
                <w:sz w:val="21"/>
                <w:szCs w:val="21"/>
              </w:rPr>
              <w:t>的批复》（</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178</w:t>
            </w:r>
            <w:r>
              <w:rPr>
                <w:rFonts w:hint="eastAsia" w:ascii="华文仿宋" w:hAnsi="华文仿宋" w:eastAsia="华文仿宋" w:cs="宋体"/>
                <w:color w:val="000000"/>
                <w:kern w:val="0"/>
                <w:sz w:val="21"/>
                <w:szCs w:val="21"/>
              </w:rPr>
              <w:t>号）。</w:t>
            </w:r>
          </w:p>
          <w:p>
            <w:pPr>
              <w:pStyle w:val="20"/>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本项目已取得《关于省道S537线（云安区段）细友石场至湾边村段改建工程</w:t>
            </w:r>
            <w:r>
              <w:rPr>
                <w:rFonts w:hint="eastAsia" w:ascii="华文仿宋" w:hAnsi="华文仿宋" w:eastAsia="华文仿宋" w:cs="宋体"/>
                <w:color w:val="000000"/>
                <w:kern w:val="0"/>
                <w:sz w:val="21"/>
                <w:szCs w:val="21"/>
                <w:lang w:val="en-US" w:eastAsia="zh-CN"/>
              </w:rPr>
              <w:t>项目可行性研究报告的</w:t>
            </w:r>
            <w:r>
              <w:rPr>
                <w:rFonts w:hint="eastAsia" w:ascii="华文仿宋" w:hAnsi="华文仿宋" w:eastAsia="华文仿宋" w:cs="宋体"/>
                <w:color w:val="000000"/>
                <w:kern w:val="0"/>
                <w:sz w:val="21"/>
                <w:szCs w:val="21"/>
              </w:rPr>
              <w:t>批复》（</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241</w:t>
            </w:r>
            <w:r>
              <w:rPr>
                <w:rFonts w:hint="eastAsia" w:ascii="华文仿宋" w:hAnsi="华文仿宋" w:eastAsia="华文仿宋" w:cs="宋体"/>
                <w:color w:val="000000"/>
                <w:kern w:val="0"/>
                <w:sz w:val="21"/>
                <w:szCs w:val="21"/>
              </w:rPr>
              <w:t>号）。</w:t>
            </w:r>
          </w:p>
          <w:p>
            <w:pPr>
              <w:pStyle w:val="20"/>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本项目已取得《关于同意变更省道 S537 线（云安区段）细友石场至湾边村段改建工程建设内容及规模的复函》（</w:t>
            </w:r>
            <w:r>
              <w:rPr>
                <w:rFonts w:hint="eastAsia" w:ascii="华文仿宋" w:hAnsi="华文仿宋" w:eastAsia="华文仿宋" w:cs="宋体"/>
                <w:color w:val="000000"/>
                <w:kern w:val="0"/>
                <w:sz w:val="21"/>
                <w:szCs w:val="21"/>
                <w:lang w:val="en-US" w:eastAsia="zh-CN"/>
              </w:rPr>
              <w:t>云安区府办函</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169</w:t>
            </w:r>
            <w:r>
              <w:rPr>
                <w:rFonts w:hint="eastAsia" w:ascii="华文仿宋" w:hAnsi="华文仿宋" w:eastAsia="华文仿宋" w:cs="宋体"/>
                <w:color w:val="000000"/>
                <w:kern w:val="0"/>
                <w:sz w:val="21"/>
                <w:szCs w:val="21"/>
              </w:rPr>
              <w:t>号）。</w:t>
            </w:r>
          </w:p>
          <w:p>
            <w:pPr>
              <w:pStyle w:val="20"/>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本项目已取得《关于省道S537线（云安区段）细友石场至湾边村段改建工程</w:t>
            </w:r>
            <w:r>
              <w:rPr>
                <w:rFonts w:hint="eastAsia" w:ascii="华文仿宋" w:hAnsi="华文仿宋" w:eastAsia="华文仿宋" w:cs="宋体"/>
                <w:color w:val="000000"/>
                <w:kern w:val="0"/>
                <w:sz w:val="21"/>
                <w:szCs w:val="21"/>
                <w:lang w:val="en-US" w:eastAsia="zh-CN"/>
              </w:rPr>
              <w:t>项目可行性研究报告变更的复函</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72</w:t>
            </w:r>
            <w:r>
              <w:rPr>
                <w:rFonts w:hint="eastAsia" w:ascii="华文仿宋" w:hAnsi="华文仿宋" w:eastAsia="华文仿宋" w:cs="宋体"/>
                <w:color w:val="000000"/>
                <w:kern w:val="0"/>
                <w:sz w:val="21"/>
                <w:szCs w:val="21"/>
              </w:rPr>
              <w:t>号）。</w:t>
            </w:r>
          </w:p>
          <w:p>
            <w:pPr>
              <w:pStyle w:val="20"/>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本项目已取得《云浮市交通运输局关于省道 S537 线（云安区段）细友石场至湾边村段改建工程两阶段初步设计的批复》</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云交许决</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30011</w:t>
            </w:r>
            <w:r>
              <w:rPr>
                <w:rFonts w:hint="eastAsia" w:ascii="华文仿宋" w:hAnsi="华文仿宋" w:eastAsia="华文仿宋" w:cs="宋体"/>
                <w:color w:val="000000"/>
                <w:kern w:val="0"/>
                <w:sz w:val="21"/>
                <w:szCs w:val="21"/>
              </w:rPr>
              <w:t>号）。</w:t>
            </w:r>
          </w:p>
          <w:p>
            <w:pPr>
              <w:pStyle w:val="20"/>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本项目已取得《关于省道S537线（云安区段）细友石场至湾边村段改建工程</w:t>
            </w:r>
            <w:r>
              <w:rPr>
                <w:rFonts w:hint="eastAsia" w:ascii="华文仿宋" w:hAnsi="华文仿宋" w:eastAsia="华文仿宋" w:cs="宋体"/>
                <w:color w:val="000000"/>
                <w:kern w:val="0"/>
                <w:sz w:val="21"/>
                <w:szCs w:val="21"/>
                <w:lang w:val="en-US" w:eastAsia="zh-CN"/>
              </w:rPr>
              <w:t>项目初步设计概算的</w:t>
            </w:r>
            <w:r>
              <w:rPr>
                <w:rFonts w:hint="eastAsia" w:ascii="华文仿宋" w:hAnsi="华文仿宋" w:eastAsia="华文仿宋" w:cs="宋体"/>
                <w:color w:val="000000"/>
                <w:kern w:val="0"/>
                <w:sz w:val="21"/>
                <w:szCs w:val="21"/>
              </w:rPr>
              <w:t>批复》（</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88</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省 道S537线 (云 安区段 )细友</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lang w:eastAsia="zh-CN"/>
              </w:rPr>
            </w:pPr>
            <w:r>
              <w:rPr>
                <w:rFonts w:hint="eastAsia" w:ascii="华文仿宋" w:hAnsi="华文仿宋" w:eastAsia="华文仿宋" w:cs="宋体"/>
                <w:color w:val="000000"/>
                <w:kern w:val="0"/>
                <w:sz w:val="21"/>
                <w:szCs w:val="21"/>
              </w:rPr>
              <w:t>石场至湾边村段改建工程项 目推荐线拟采用双向四车道一级公路标准,设计速度60公里/小时,路基宽度19米 ,具体组成为:土路肩0.75米×2+硬 路肩0.75米 ×2+行车道2× 3.5米×2+左侧路缘带0.5米×2+中 央分隔带1米 。路线全长9.767公里,占地572.79亩 ,其中,大桥 2158.4m/6座 ,中桥 72米/1座 ,涵洞26道 。全线挖方共75.65万立方米,填方共40.89万立方米</w:t>
            </w:r>
            <w:r>
              <w:rPr>
                <w:rFonts w:hint="eastAsia" w:ascii="华文仿宋" w:hAnsi="华文仿宋" w:eastAsia="华文仿宋" w:cs="宋体"/>
                <w:color w:val="000000"/>
                <w:kern w:val="0"/>
                <w:sz w:val="21"/>
                <w:szCs w:val="21"/>
                <w:lang w:eastAsia="zh-CN"/>
              </w:rPr>
              <w:t>。</w:t>
            </w:r>
          </w:p>
        </w:tc>
        <w:tc>
          <w:tcPr>
            <w:tcW w:w="2150" w:type="dxa"/>
          </w:tcPr>
          <w:p>
            <w:pPr>
              <w:pStyle w:val="2"/>
              <w:jc w:val="center"/>
            </w:pPr>
            <w:r>
              <w:rPr>
                <w:rFonts w:hint="eastAsia" w:ascii="华文仿宋" w:hAnsi="华文仿宋" w:eastAsia="华文仿宋" w:cs="宋体"/>
                <w:color w:val="000000"/>
                <w:kern w:val="0"/>
                <w:sz w:val="21"/>
                <w:szCs w:val="21"/>
              </w:rPr>
              <w:t>6703</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21"/>
                <w:szCs w:val="21"/>
                <w:u w:color="000000"/>
              </w:rPr>
            </w:pPr>
            <w:r>
              <w:rPr>
                <w:rFonts w:hint="eastAsia" w:ascii="华文仿宋" w:hAnsi="华文仿宋" w:eastAsia="华文仿宋" w:cs="宋体"/>
                <w:kern w:val="0"/>
                <w:sz w:val="21"/>
                <w:szCs w:val="21"/>
                <w:u w:color="000000"/>
              </w:rPr>
              <w:t>2</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云浮装配式绿色建筑及配套项目</w:t>
            </w:r>
          </w:p>
        </w:tc>
        <w:tc>
          <w:tcPr>
            <w:tcW w:w="3522" w:type="dxa"/>
          </w:tcPr>
          <w:p>
            <w:pPr>
              <w:pStyle w:val="20"/>
              <w:widowControl/>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本项目已取得《关于同意开展云浮装配式绿色建筑及配套项目立项工作的复函》。</w:t>
            </w:r>
          </w:p>
          <w:p>
            <w:pPr>
              <w:pStyle w:val="20"/>
              <w:widowControl/>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本项目已取得《关于云浮装配式绿色建筑及配套项目</w:t>
            </w:r>
            <w:r>
              <w:rPr>
                <w:rFonts w:hint="eastAsia" w:ascii="华文仿宋" w:hAnsi="华文仿宋" w:eastAsia="华文仿宋" w:cs="宋体"/>
                <w:color w:val="000000"/>
                <w:kern w:val="0"/>
                <w:sz w:val="21"/>
                <w:szCs w:val="21"/>
                <w:lang w:val="en-US" w:eastAsia="zh-CN"/>
              </w:rPr>
              <w:t>项目建议书的</w:t>
            </w:r>
            <w:r>
              <w:rPr>
                <w:rFonts w:hint="eastAsia" w:ascii="华文仿宋" w:hAnsi="华文仿宋" w:eastAsia="华文仿宋" w:cs="宋体"/>
                <w:color w:val="000000"/>
                <w:kern w:val="0"/>
                <w:sz w:val="21"/>
                <w:szCs w:val="21"/>
              </w:rPr>
              <w:t>批复》（</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199</w:t>
            </w:r>
            <w:r>
              <w:rPr>
                <w:rFonts w:hint="eastAsia" w:ascii="华文仿宋" w:hAnsi="华文仿宋" w:eastAsia="华文仿宋" w:cs="宋体"/>
                <w:color w:val="000000"/>
                <w:kern w:val="0"/>
                <w:sz w:val="21"/>
                <w:szCs w:val="21"/>
              </w:rPr>
              <w:t>号）。</w:t>
            </w:r>
          </w:p>
          <w:p>
            <w:pPr>
              <w:pStyle w:val="20"/>
              <w:widowControl/>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本项目已取得《关于云浮装配式绿色建筑及配套项目</w:t>
            </w:r>
            <w:r>
              <w:rPr>
                <w:rFonts w:hint="eastAsia" w:ascii="华文仿宋" w:hAnsi="华文仿宋" w:eastAsia="华文仿宋" w:cs="宋体"/>
                <w:color w:val="000000"/>
                <w:kern w:val="0"/>
                <w:sz w:val="21"/>
                <w:szCs w:val="21"/>
                <w:lang w:val="en-US" w:eastAsia="zh-CN"/>
              </w:rPr>
              <w:t>可行性研究报告的</w:t>
            </w:r>
            <w:r>
              <w:rPr>
                <w:rFonts w:hint="eastAsia" w:ascii="华文仿宋" w:hAnsi="华文仿宋" w:eastAsia="华文仿宋" w:cs="宋体"/>
                <w:color w:val="000000"/>
                <w:kern w:val="0"/>
                <w:sz w:val="21"/>
                <w:szCs w:val="21"/>
              </w:rPr>
              <w:t>批复》（</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231</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项目开发总用地面积600亩，规模总建筑面积319680m²。主要建设装配式绿色建筑生产基地和配套区域，包括标准厂房317680m²,公共配套设施约2000m²,配套建设约1.5km园区道路，4000m²停车场。</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56100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21"/>
                <w:szCs w:val="21"/>
                <w:u w:color="000000"/>
              </w:rPr>
            </w:pPr>
            <w:r>
              <w:rPr>
                <w:rFonts w:hint="eastAsia" w:ascii="华文仿宋" w:hAnsi="华文仿宋" w:eastAsia="华文仿宋" w:cs="宋体"/>
                <w:kern w:val="0"/>
                <w:sz w:val="21"/>
                <w:szCs w:val="21"/>
                <w:u w:color="000000"/>
              </w:rPr>
              <w:t>3</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云浮市云安区绿色建材基地配套工程一期</w:t>
            </w:r>
          </w:p>
        </w:tc>
        <w:tc>
          <w:tcPr>
            <w:tcW w:w="3522" w:type="dxa"/>
          </w:tcPr>
          <w:p>
            <w:pPr>
              <w:pStyle w:val="20"/>
              <w:widowControl/>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本项目已取得《关于同意开展云浮绿色矿业生产基地建设项目（一期）立项工作的复函》。</w:t>
            </w:r>
          </w:p>
          <w:p>
            <w:pPr>
              <w:pStyle w:val="20"/>
              <w:widowControl/>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本项目已取得《关于云浮</w:t>
            </w:r>
            <w:r>
              <w:rPr>
                <w:rFonts w:hint="eastAsia" w:ascii="华文仿宋" w:hAnsi="华文仿宋" w:eastAsia="华文仿宋" w:cs="宋体"/>
                <w:color w:val="000000"/>
                <w:kern w:val="0"/>
                <w:sz w:val="21"/>
                <w:szCs w:val="21"/>
                <w:lang w:val="en-US" w:eastAsia="zh-CN"/>
              </w:rPr>
              <w:t>绿色矿业生产基地建设项目（一期）建议书的</w:t>
            </w:r>
            <w:r>
              <w:rPr>
                <w:rFonts w:hint="eastAsia" w:ascii="华文仿宋" w:hAnsi="华文仿宋" w:eastAsia="华文仿宋" w:cs="宋体"/>
                <w:color w:val="000000"/>
                <w:kern w:val="0"/>
                <w:sz w:val="21"/>
                <w:szCs w:val="21"/>
              </w:rPr>
              <w:t>批复》（</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201</w:t>
            </w:r>
            <w:r>
              <w:rPr>
                <w:rFonts w:hint="eastAsia" w:ascii="华文仿宋" w:hAnsi="华文仿宋" w:eastAsia="华文仿宋" w:cs="宋体"/>
                <w:color w:val="000000"/>
                <w:kern w:val="0"/>
                <w:sz w:val="21"/>
                <w:szCs w:val="21"/>
              </w:rPr>
              <w:t>号）。</w:t>
            </w:r>
          </w:p>
          <w:p>
            <w:pPr>
              <w:pStyle w:val="20"/>
              <w:widowControl/>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本项目已取得《关于云浮</w:t>
            </w:r>
            <w:r>
              <w:rPr>
                <w:rFonts w:hint="eastAsia" w:ascii="华文仿宋" w:hAnsi="华文仿宋" w:eastAsia="华文仿宋" w:cs="宋体"/>
                <w:color w:val="000000"/>
                <w:kern w:val="0"/>
                <w:sz w:val="21"/>
                <w:szCs w:val="21"/>
                <w:lang w:val="en-US" w:eastAsia="zh-CN"/>
              </w:rPr>
              <w:t>绿色矿业生产基地建设项目（一期）可行性研究报告的</w:t>
            </w:r>
            <w:r>
              <w:rPr>
                <w:rFonts w:hint="eastAsia" w:ascii="华文仿宋" w:hAnsi="华文仿宋" w:eastAsia="华文仿宋" w:cs="宋体"/>
                <w:color w:val="000000"/>
                <w:kern w:val="0"/>
                <w:sz w:val="21"/>
                <w:szCs w:val="21"/>
              </w:rPr>
              <w:t>批复》（</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207</w:t>
            </w:r>
            <w:r>
              <w:rPr>
                <w:rFonts w:hint="eastAsia" w:ascii="华文仿宋" w:hAnsi="华文仿宋" w:eastAsia="华文仿宋" w:cs="宋体"/>
                <w:color w:val="000000"/>
                <w:kern w:val="0"/>
                <w:sz w:val="21"/>
                <w:szCs w:val="21"/>
              </w:rPr>
              <w:t>号）。</w:t>
            </w:r>
          </w:p>
          <w:p>
            <w:pPr>
              <w:pStyle w:val="20"/>
              <w:widowControl/>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本项目已取得《关于云浮</w:t>
            </w:r>
            <w:r>
              <w:rPr>
                <w:rFonts w:hint="eastAsia" w:ascii="华文仿宋" w:hAnsi="华文仿宋" w:eastAsia="华文仿宋" w:cs="宋体"/>
                <w:color w:val="000000"/>
                <w:kern w:val="0"/>
                <w:sz w:val="21"/>
                <w:szCs w:val="21"/>
                <w:lang w:val="en-US" w:eastAsia="zh-CN"/>
              </w:rPr>
              <w:t>绿色矿业生产基地建设项目（一期）项目名称变更的复函</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232</w:t>
            </w:r>
            <w:r>
              <w:rPr>
                <w:rFonts w:hint="eastAsia" w:ascii="华文仿宋" w:hAnsi="华文仿宋" w:eastAsia="华文仿宋" w:cs="宋体"/>
                <w:color w:val="000000"/>
                <w:kern w:val="0"/>
                <w:sz w:val="21"/>
                <w:szCs w:val="21"/>
              </w:rPr>
              <w:t>号）。</w:t>
            </w:r>
          </w:p>
          <w:p>
            <w:pPr>
              <w:pStyle w:val="20"/>
              <w:widowControl/>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本项目已取得《关于云浮</w:t>
            </w:r>
            <w:r>
              <w:rPr>
                <w:rFonts w:hint="eastAsia" w:ascii="华文仿宋" w:hAnsi="华文仿宋" w:eastAsia="华文仿宋" w:cs="宋体"/>
                <w:color w:val="000000"/>
                <w:kern w:val="0"/>
                <w:sz w:val="21"/>
                <w:szCs w:val="21"/>
                <w:lang w:val="en-US" w:eastAsia="zh-CN"/>
              </w:rPr>
              <w:t>绿色矿业生产基地建设项目（一期）可行性研究报告项目名称变更的复函</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237</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项目占地面积570亩，建筑面积377400m²。主要建设五大功能区域，包括石料生产基地配套区、绿色建材生产区、绿色建材研发及检测中心、物流仓储服务中心、生产生活配套服务区。括标准厂房223019m²,检测、研发与办公用房48450m²,仓储用房50000m²,生产生活服务用房54506m²,公共配套设施约1425m²,园区道路约1.5km,停车场6840m²。</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84400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21"/>
                <w:szCs w:val="21"/>
                <w:u w:color="000000"/>
              </w:rPr>
            </w:pPr>
            <w:r>
              <w:rPr>
                <w:rFonts w:hint="eastAsia" w:ascii="华文仿宋" w:hAnsi="华文仿宋" w:eastAsia="华文仿宋" w:cs="宋体"/>
                <w:kern w:val="0"/>
                <w:sz w:val="21"/>
                <w:szCs w:val="21"/>
                <w:u w:color="000000"/>
              </w:rPr>
              <w:t>4</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云浮市云安区都杨镇麦洲桥危旧桥梁改造工程</w:t>
            </w:r>
          </w:p>
        </w:tc>
        <w:tc>
          <w:tcPr>
            <w:tcW w:w="3522" w:type="dxa"/>
          </w:tcPr>
          <w:p>
            <w:pPr>
              <w:pStyle w:val="20"/>
              <w:widowControl/>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本项目已取得《关于同意实施云浮市云安区都杨镇麦洲桥危旧桥梁改造工程的复函》（云安区府办函〔202</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〕2</w:t>
            </w:r>
            <w:r>
              <w:rPr>
                <w:rFonts w:hint="eastAsia" w:ascii="华文仿宋" w:hAnsi="华文仿宋" w:eastAsia="华文仿宋" w:cs="宋体"/>
                <w:color w:val="000000"/>
                <w:kern w:val="0"/>
                <w:sz w:val="21"/>
                <w:szCs w:val="21"/>
                <w:lang w:val="en-US" w:eastAsia="zh-CN"/>
              </w:rPr>
              <w:t>61</w:t>
            </w:r>
            <w:r>
              <w:rPr>
                <w:rFonts w:hint="eastAsia" w:ascii="华文仿宋" w:hAnsi="华文仿宋" w:eastAsia="华文仿宋" w:cs="宋体"/>
                <w:color w:val="000000"/>
                <w:kern w:val="0"/>
                <w:sz w:val="21"/>
                <w:szCs w:val="21"/>
              </w:rPr>
              <w:t>号）。</w:t>
            </w:r>
          </w:p>
          <w:p>
            <w:pPr>
              <w:pStyle w:val="20"/>
              <w:widowControl/>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本项目已取得《关于云浮市云安区都杨镇麦洲桥危旧桥梁改造工程</w:t>
            </w:r>
            <w:r>
              <w:rPr>
                <w:rFonts w:hint="eastAsia" w:ascii="华文仿宋" w:hAnsi="华文仿宋" w:eastAsia="华文仿宋" w:cs="宋体"/>
                <w:color w:val="000000"/>
                <w:kern w:val="0"/>
                <w:sz w:val="21"/>
                <w:szCs w:val="21"/>
                <w:lang w:val="en-US" w:eastAsia="zh-CN"/>
              </w:rPr>
              <w:t>施工图设计的批复</w:t>
            </w:r>
            <w:r>
              <w:rPr>
                <w:rFonts w:hint="eastAsia" w:ascii="华文仿宋" w:hAnsi="华文仿宋" w:eastAsia="华文仿宋" w:cs="宋体"/>
                <w:color w:val="000000"/>
                <w:kern w:val="0"/>
                <w:sz w:val="21"/>
                <w:szCs w:val="21"/>
              </w:rPr>
              <w:t>》（云安区</w:t>
            </w:r>
            <w:r>
              <w:rPr>
                <w:rFonts w:hint="eastAsia" w:ascii="华文仿宋" w:hAnsi="华文仿宋" w:eastAsia="华文仿宋" w:cs="宋体"/>
                <w:color w:val="000000"/>
                <w:kern w:val="0"/>
                <w:sz w:val="21"/>
                <w:szCs w:val="21"/>
                <w:lang w:val="en-US" w:eastAsia="zh-CN"/>
              </w:rPr>
              <w:t>交复</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91</w:t>
            </w:r>
            <w:r>
              <w:rPr>
                <w:rFonts w:hint="eastAsia" w:ascii="华文仿宋" w:hAnsi="华文仿宋" w:eastAsia="华文仿宋" w:cs="宋体"/>
                <w:color w:val="000000"/>
                <w:kern w:val="0"/>
                <w:sz w:val="21"/>
                <w:szCs w:val="21"/>
              </w:rPr>
              <w:t>号）。</w:t>
            </w:r>
          </w:p>
          <w:p>
            <w:pPr>
              <w:pStyle w:val="20"/>
              <w:widowControl/>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本项目已取得《关于云浮市云安区都杨镇麦洲桥危旧桥梁改造工程</w:t>
            </w:r>
            <w:r>
              <w:rPr>
                <w:rFonts w:hint="eastAsia" w:ascii="华文仿宋" w:hAnsi="华文仿宋" w:eastAsia="华文仿宋" w:cs="宋体"/>
                <w:color w:val="000000"/>
                <w:kern w:val="0"/>
                <w:sz w:val="21"/>
                <w:szCs w:val="21"/>
                <w:lang w:val="en-US" w:eastAsia="zh-CN"/>
              </w:rPr>
              <w:t>项目初步设计概算的批复</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220</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拆除旧桥，结合路线技术标准和排洪要求在原桥位改建新桥，新建桥梁中心桩号为</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lang w:eastAsia="zh-CN"/>
              </w:rPr>
            </w:pPr>
            <w:r>
              <w:rPr>
                <w:rFonts w:hint="eastAsia" w:ascii="华文仿宋" w:hAnsi="华文仿宋" w:eastAsia="华文仿宋" w:cs="宋体"/>
                <w:color w:val="000000"/>
                <w:kern w:val="0"/>
                <w:sz w:val="21"/>
                <w:szCs w:val="21"/>
              </w:rPr>
              <w:t>K0+114.500,起点桩号为K0+87.99,终点桩号为K0+141.010</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桥长53.02m。上部结构采用3x16m现浇实心板；下部构造为：桥台采用桩柱式桥台，设2根D120cm桩基础；桥墩采用D100cm双圆柱式墩配D120cm桩基础。桥梁宽为8.5m</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拆除原有桥梁54.0m/1座。对麦洲桥拆除新建后作接线道路设计，路线起点桩号为K0+000.000,终点桩号为K0+174.212,线路全长174.212m</w:t>
            </w:r>
            <w:r>
              <w:rPr>
                <w:rFonts w:hint="eastAsia" w:ascii="华文仿宋" w:hAnsi="华文仿宋" w:eastAsia="华文仿宋" w:cs="宋体"/>
                <w:color w:val="000000"/>
                <w:kern w:val="0"/>
                <w:sz w:val="21"/>
                <w:szCs w:val="21"/>
                <w:lang w:eastAsia="zh-CN"/>
              </w:rPr>
              <w:t>。</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346.6184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21"/>
                <w:szCs w:val="21"/>
                <w:u w:color="000000"/>
              </w:rPr>
            </w:pPr>
            <w:r>
              <w:rPr>
                <w:rFonts w:hint="eastAsia" w:ascii="华文仿宋" w:hAnsi="华文仿宋" w:eastAsia="华文仿宋" w:cs="宋体"/>
                <w:kern w:val="0"/>
                <w:sz w:val="21"/>
                <w:szCs w:val="21"/>
                <w:u w:color="000000"/>
              </w:rPr>
              <w:t>5</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县道X825线云安区都杨镇桃坪段四升三改建工程</w:t>
            </w:r>
          </w:p>
        </w:tc>
        <w:tc>
          <w:tcPr>
            <w:tcW w:w="3522" w:type="dxa"/>
          </w:tcPr>
          <w:p>
            <w:pPr>
              <w:pStyle w:val="20"/>
              <w:widowControl/>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highlight w:val="none"/>
              </w:rPr>
            </w:pPr>
            <w:r>
              <w:rPr>
                <w:rFonts w:hint="eastAsia" w:ascii="华文仿宋" w:hAnsi="华文仿宋" w:eastAsia="华文仿宋" w:cs="宋体"/>
                <w:color w:val="000000"/>
                <w:kern w:val="0"/>
                <w:sz w:val="21"/>
                <w:szCs w:val="21"/>
              </w:rPr>
              <w:t>本项目已取得《关于县道X825线云安区都杨镇桃坪段四升三改建工程</w:t>
            </w:r>
            <w:r>
              <w:rPr>
                <w:rFonts w:hint="eastAsia" w:ascii="华文仿宋" w:hAnsi="华文仿宋" w:eastAsia="华文仿宋" w:cs="宋体"/>
                <w:color w:val="000000"/>
                <w:kern w:val="0"/>
                <w:sz w:val="21"/>
                <w:szCs w:val="21"/>
                <w:lang w:val="en-US" w:eastAsia="zh-CN"/>
              </w:rPr>
              <w:t>项目初步设计概算的批复</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highlight w:val="none"/>
              </w:rPr>
              <w:t>〔202</w:t>
            </w:r>
            <w:r>
              <w:rPr>
                <w:rFonts w:hint="eastAsia" w:ascii="华文仿宋" w:hAnsi="华文仿宋" w:eastAsia="华文仿宋" w:cs="宋体"/>
                <w:color w:val="000000"/>
                <w:kern w:val="0"/>
                <w:sz w:val="21"/>
                <w:szCs w:val="21"/>
                <w:highlight w:val="none"/>
                <w:lang w:val="en-US" w:eastAsia="zh-CN"/>
              </w:rPr>
              <w:t>2</w:t>
            </w:r>
            <w:r>
              <w:rPr>
                <w:rFonts w:hint="eastAsia" w:ascii="华文仿宋" w:hAnsi="华文仿宋" w:eastAsia="华文仿宋" w:cs="宋体"/>
                <w:color w:val="000000"/>
                <w:kern w:val="0"/>
                <w:sz w:val="21"/>
                <w:szCs w:val="21"/>
                <w:highlight w:val="none"/>
              </w:rPr>
              <w:t>〕</w:t>
            </w:r>
            <w:r>
              <w:rPr>
                <w:rFonts w:hint="eastAsia" w:ascii="华文仿宋" w:hAnsi="华文仿宋" w:eastAsia="华文仿宋" w:cs="宋体"/>
                <w:color w:val="000000"/>
                <w:kern w:val="0"/>
                <w:sz w:val="21"/>
                <w:szCs w:val="21"/>
                <w:highlight w:val="none"/>
                <w:lang w:val="en-US" w:eastAsia="zh-CN"/>
              </w:rPr>
              <w:t>10</w:t>
            </w:r>
            <w:r>
              <w:rPr>
                <w:rFonts w:hint="eastAsia" w:ascii="华文仿宋" w:hAnsi="华文仿宋" w:eastAsia="华文仿宋" w:cs="宋体"/>
                <w:color w:val="000000"/>
                <w:kern w:val="0"/>
                <w:sz w:val="21"/>
                <w:szCs w:val="21"/>
                <w:highlight w:val="none"/>
              </w:rPr>
              <w:t>6号）。</w:t>
            </w:r>
          </w:p>
          <w:p>
            <w:pPr>
              <w:pStyle w:val="20"/>
              <w:widowControl/>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highlight w:val="none"/>
              </w:rPr>
              <w:t>本项目已取得《关于同意实施县道 X825 线云安区都杨镇桃坪段四升三改建工程建设的复函》（</w:t>
            </w:r>
            <w:r>
              <w:rPr>
                <w:rFonts w:hint="eastAsia" w:ascii="华文仿宋" w:hAnsi="华文仿宋" w:eastAsia="华文仿宋" w:cs="宋体"/>
                <w:color w:val="000000"/>
                <w:kern w:val="0"/>
                <w:sz w:val="21"/>
                <w:szCs w:val="21"/>
                <w:highlight w:val="none"/>
                <w:lang w:val="en-US" w:eastAsia="zh-CN"/>
              </w:rPr>
              <w:t>云安区府办函</w:t>
            </w:r>
            <w:r>
              <w:rPr>
                <w:rFonts w:hint="eastAsia" w:ascii="华文仿宋" w:hAnsi="华文仿宋" w:eastAsia="华文仿宋" w:cs="宋体"/>
                <w:color w:val="000000"/>
                <w:kern w:val="0"/>
                <w:sz w:val="21"/>
                <w:szCs w:val="21"/>
                <w:highlight w:val="none"/>
              </w:rPr>
              <w:t>〔202</w:t>
            </w:r>
            <w:r>
              <w:rPr>
                <w:rFonts w:hint="eastAsia" w:ascii="华文仿宋" w:hAnsi="华文仿宋" w:eastAsia="华文仿宋" w:cs="宋体"/>
                <w:color w:val="000000"/>
                <w:kern w:val="0"/>
                <w:sz w:val="21"/>
                <w:szCs w:val="21"/>
                <w:highlight w:val="none"/>
                <w:lang w:val="en-US" w:eastAsia="zh-CN"/>
              </w:rPr>
              <w:t>2</w:t>
            </w:r>
            <w:r>
              <w:rPr>
                <w:rFonts w:hint="eastAsia" w:ascii="华文仿宋" w:hAnsi="华文仿宋" w:eastAsia="华文仿宋" w:cs="宋体"/>
                <w:color w:val="000000"/>
                <w:kern w:val="0"/>
                <w:sz w:val="21"/>
                <w:szCs w:val="21"/>
                <w:highlight w:val="none"/>
              </w:rPr>
              <w:t>〕</w:t>
            </w:r>
            <w:r>
              <w:rPr>
                <w:rFonts w:hint="eastAsia" w:ascii="华文仿宋" w:hAnsi="华文仿宋" w:eastAsia="华文仿宋" w:cs="宋体"/>
                <w:color w:val="000000"/>
                <w:kern w:val="0"/>
                <w:sz w:val="21"/>
                <w:szCs w:val="21"/>
                <w:highlight w:val="none"/>
                <w:lang w:val="en-US" w:eastAsia="zh-CN"/>
              </w:rPr>
              <w:t>198</w:t>
            </w:r>
            <w:r>
              <w:rPr>
                <w:rFonts w:hint="eastAsia" w:ascii="华文仿宋" w:hAnsi="华文仿宋" w:eastAsia="华文仿宋" w:cs="宋体"/>
                <w:color w:val="000000"/>
                <w:kern w:val="0"/>
                <w:sz w:val="21"/>
                <w:szCs w:val="21"/>
                <w:highlight w:val="none"/>
              </w:rPr>
              <w:t>号）</w:t>
            </w:r>
            <w:r>
              <w:rPr>
                <w:rFonts w:hint="eastAsia" w:ascii="华文仿宋" w:hAnsi="华文仿宋" w:eastAsia="华文仿宋" w:cs="宋体"/>
                <w:color w:val="000000"/>
                <w:kern w:val="0"/>
                <w:sz w:val="21"/>
                <w:szCs w:val="21"/>
                <w:highlight w:val="none"/>
                <w:lang w:eastAsia="zh-CN"/>
              </w:rPr>
              <w:t>。</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lang w:eastAsia="zh-CN"/>
              </w:rPr>
            </w:pPr>
            <w:r>
              <w:rPr>
                <w:rFonts w:hint="eastAsia" w:ascii="华文仿宋" w:hAnsi="华文仿宋" w:eastAsia="华文仿宋" w:cs="宋体"/>
                <w:color w:val="000000"/>
                <w:kern w:val="0"/>
                <w:sz w:val="21"/>
                <w:szCs w:val="21"/>
              </w:rPr>
              <w:t>工程位于云浮市云安区都杨镇境内，路线起点位于云安区云城区交界处，设计起点桩号K9+842;路线终点抵达都杨镇桃坪，设计终点桩号为K11+601;路线设计长度1.759km,采用三级公路标准进行建设，设计速度采用30公里/小时；路基标准横断面为：7.5m=0.5m(土路肩)+2×3.25m(车行道)+0.5m(土路肩);桥涵设计汽车荷载等级：公路-Ⅱ级。路面工程5277m²,增设热熔型标线105.54m</w:t>
            </w:r>
            <w:r>
              <w:rPr>
                <w:rFonts w:hint="eastAsia" w:ascii="华文仿宋" w:hAnsi="华文仿宋" w:eastAsia="华文仿宋" w:cs="宋体"/>
                <w:color w:val="000000"/>
                <w:kern w:val="0"/>
                <w:sz w:val="21"/>
                <w:szCs w:val="21"/>
                <w:vertAlign w:val="superscript"/>
              </w:rPr>
              <w:t>2</w:t>
            </w:r>
            <w:r>
              <w:rPr>
                <w:rFonts w:hint="eastAsia" w:ascii="华文仿宋" w:hAnsi="华文仿宋" w:eastAsia="华文仿宋" w:cs="宋体"/>
                <w:color w:val="000000"/>
                <w:kern w:val="0"/>
                <w:sz w:val="21"/>
                <w:szCs w:val="21"/>
              </w:rPr>
              <w:t>;路基挖方30242.00m</w:t>
            </w:r>
            <w:r>
              <w:rPr>
                <w:rFonts w:hint="eastAsia" w:ascii="华文仿宋" w:hAnsi="华文仿宋" w:eastAsia="华文仿宋" w:cs="宋体"/>
                <w:color w:val="000000"/>
                <w:kern w:val="0"/>
                <w:sz w:val="21"/>
                <w:szCs w:val="21"/>
                <w:vertAlign w:val="superscript"/>
              </w:rPr>
              <w:t>3</w:t>
            </w:r>
            <w:r>
              <w:rPr>
                <w:rFonts w:hint="eastAsia" w:ascii="华文仿宋" w:hAnsi="华文仿宋" w:eastAsia="华文仿宋" w:cs="宋体"/>
                <w:color w:val="000000"/>
                <w:kern w:val="0"/>
                <w:sz w:val="21"/>
                <w:szCs w:val="21"/>
              </w:rPr>
              <w:t>,回填方2986.00m</w:t>
            </w:r>
            <w:r>
              <w:rPr>
                <w:rFonts w:hint="eastAsia" w:ascii="华文仿宋" w:hAnsi="华文仿宋" w:eastAsia="华文仿宋" w:cs="宋体"/>
                <w:color w:val="000000"/>
                <w:kern w:val="0"/>
                <w:sz w:val="21"/>
                <w:szCs w:val="21"/>
                <w:vertAlign w:val="superscript"/>
              </w:rPr>
              <w:t>3</w:t>
            </w:r>
            <w:r>
              <w:rPr>
                <w:rFonts w:hint="eastAsia" w:ascii="华文仿宋" w:hAnsi="华文仿宋" w:eastAsia="华文仿宋" w:cs="宋体"/>
                <w:color w:val="000000"/>
                <w:kern w:val="0"/>
                <w:sz w:val="21"/>
                <w:szCs w:val="21"/>
              </w:rPr>
              <w:t>,路基防护挖方三维网植草16968.60m²,挖方喷播植草348.20m</w:t>
            </w:r>
            <w:r>
              <w:rPr>
                <w:rFonts w:hint="eastAsia" w:ascii="华文仿宋" w:hAnsi="华文仿宋" w:eastAsia="华文仿宋" w:cs="宋体"/>
                <w:color w:val="000000"/>
                <w:kern w:val="0"/>
                <w:sz w:val="21"/>
                <w:szCs w:val="21"/>
                <w:vertAlign w:val="superscript"/>
              </w:rPr>
              <w:t>2</w:t>
            </w:r>
            <w:r>
              <w:rPr>
                <w:rFonts w:hint="eastAsia" w:ascii="华文仿宋" w:hAnsi="华文仿宋" w:eastAsia="华文仿宋" w:cs="宋体"/>
                <w:color w:val="000000"/>
                <w:kern w:val="0"/>
                <w:sz w:val="21"/>
                <w:szCs w:val="21"/>
              </w:rPr>
              <w:t>;路基浆砌片石排水沟1610.00m;重建钢筋混凝土圆管涵8.48m,建钢筋混凝土盖板涵16.92m;临时交通设水马100个，红蓝太阳能闪爆灯2盏，施工牌2套，限速及解除限速牌2套等</w:t>
            </w:r>
            <w:r>
              <w:rPr>
                <w:rFonts w:hint="eastAsia" w:ascii="华文仿宋" w:hAnsi="华文仿宋" w:eastAsia="华文仿宋" w:cs="宋体"/>
                <w:color w:val="000000"/>
                <w:kern w:val="0"/>
                <w:sz w:val="21"/>
                <w:szCs w:val="21"/>
                <w:lang w:eastAsia="zh-CN"/>
              </w:rPr>
              <w:t>。</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546.9612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21"/>
                <w:szCs w:val="21"/>
                <w:u w:color="000000"/>
              </w:rPr>
            </w:pPr>
            <w:r>
              <w:rPr>
                <w:rFonts w:hint="eastAsia" w:ascii="华文仿宋" w:hAnsi="华文仿宋" w:eastAsia="华文仿宋" w:cs="宋体"/>
                <w:kern w:val="0"/>
                <w:sz w:val="21"/>
                <w:szCs w:val="21"/>
                <w:u w:color="000000"/>
              </w:rPr>
              <w:t>6</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云安区都杨云祥大道（一期）、广盛路路面改造工程</w:t>
            </w:r>
          </w:p>
        </w:tc>
        <w:tc>
          <w:tcPr>
            <w:tcW w:w="3522" w:type="dxa"/>
          </w:tcPr>
          <w:p>
            <w:pPr>
              <w:pStyle w:val="20"/>
              <w:widowControl/>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5" w:leftChars="0" w:hanging="425"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本项目已取得《关于同意实施云安区都杨云祥大道（一期）、广盛路路面改造工程的复函》（云安区府办函〔2023〕</w:t>
            </w:r>
            <w:r>
              <w:rPr>
                <w:rFonts w:hint="eastAsia" w:ascii="华文仿宋" w:hAnsi="华文仿宋" w:eastAsia="华文仿宋" w:cs="宋体"/>
                <w:color w:val="000000"/>
                <w:kern w:val="0"/>
                <w:sz w:val="21"/>
                <w:szCs w:val="21"/>
                <w:lang w:val="en-US" w:eastAsia="zh-CN"/>
              </w:rPr>
              <w:t>104</w:t>
            </w:r>
            <w:r>
              <w:rPr>
                <w:rFonts w:hint="eastAsia" w:ascii="华文仿宋" w:hAnsi="华文仿宋" w:eastAsia="华文仿宋" w:cs="宋体"/>
                <w:color w:val="000000"/>
                <w:kern w:val="0"/>
                <w:sz w:val="21"/>
                <w:szCs w:val="21"/>
              </w:rPr>
              <w:t>号）。</w:t>
            </w:r>
          </w:p>
          <w:p>
            <w:pPr>
              <w:pStyle w:val="20"/>
              <w:widowControl/>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5" w:leftChars="0" w:hanging="425"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本项目已取得《关于云安区都杨云祥大道（一期）、广盛路路面改造工程</w:t>
            </w:r>
            <w:r>
              <w:rPr>
                <w:rFonts w:hint="eastAsia" w:ascii="华文仿宋" w:hAnsi="华文仿宋" w:eastAsia="华文仿宋" w:cs="宋体"/>
                <w:color w:val="000000"/>
                <w:kern w:val="0"/>
                <w:sz w:val="21"/>
                <w:szCs w:val="21"/>
                <w:lang w:val="en-US" w:eastAsia="zh-CN"/>
              </w:rPr>
              <w:t>项目建议书</w:t>
            </w:r>
            <w:r>
              <w:rPr>
                <w:rFonts w:hint="eastAsia" w:ascii="华文仿宋" w:hAnsi="华文仿宋" w:eastAsia="华文仿宋" w:cs="宋体"/>
                <w:color w:val="000000"/>
                <w:kern w:val="0"/>
                <w:sz w:val="21"/>
                <w:szCs w:val="21"/>
              </w:rPr>
              <w:t>的批复》（</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〔2023〕</w:t>
            </w:r>
            <w:r>
              <w:rPr>
                <w:rFonts w:hint="eastAsia" w:ascii="华文仿宋" w:hAnsi="华文仿宋" w:eastAsia="华文仿宋" w:cs="宋体"/>
                <w:color w:val="000000"/>
                <w:kern w:val="0"/>
                <w:sz w:val="21"/>
                <w:szCs w:val="21"/>
                <w:lang w:val="en-US" w:eastAsia="zh-CN"/>
              </w:rPr>
              <w:t>45</w:t>
            </w:r>
            <w:r>
              <w:rPr>
                <w:rFonts w:hint="eastAsia" w:ascii="华文仿宋" w:hAnsi="华文仿宋" w:eastAsia="华文仿宋" w:cs="宋体"/>
                <w:color w:val="000000"/>
                <w:kern w:val="0"/>
                <w:sz w:val="21"/>
                <w:szCs w:val="21"/>
              </w:rPr>
              <w:t>号）。</w:t>
            </w:r>
          </w:p>
          <w:p>
            <w:pPr>
              <w:pStyle w:val="20"/>
              <w:widowControl/>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5" w:leftChars="0" w:hanging="425"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本项目已取得《关于云安区都杨云祥大道（一期）、广盛路路面改造工程</w:t>
            </w:r>
            <w:r>
              <w:rPr>
                <w:rFonts w:hint="eastAsia" w:ascii="华文仿宋" w:hAnsi="华文仿宋" w:eastAsia="华文仿宋" w:cs="宋体"/>
                <w:color w:val="000000"/>
                <w:kern w:val="0"/>
                <w:sz w:val="21"/>
                <w:szCs w:val="21"/>
                <w:lang w:val="en-US" w:eastAsia="zh-CN"/>
              </w:rPr>
              <w:t>可行性研究报告</w:t>
            </w:r>
            <w:r>
              <w:rPr>
                <w:rFonts w:hint="eastAsia" w:ascii="华文仿宋" w:hAnsi="华文仿宋" w:eastAsia="华文仿宋" w:cs="宋体"/>
                <w:color w:val="000000"/>
                <w:kern w:val="0"/>
                <w:sz w:val="21"/>
                <w:szCs w:val="21"/>
              </w:rPr>
              <w:t>的批复》（</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〔2023〕</w:t>
            </w:r>
            <w:r>
              <w:rPr>
                <w:rFonts w:hint="eastAsia" w:ascii="华文仿宋" w:hAnsi="华文仿宋" w:eastAsia="华文仿宋" w:cs="宋体"/>
                <w:color w:val="000000"/>
                <w:kern w:val="0"/>
                <w:sz w:val="21"/>
                <w:szCs w:val="21"/>
                <w:lang w:val="en-US" w:eastAsia="zh-CN"/>
              </w:rPr>
              <w:t>46</w:t>
            </w:r>
            <w:r>
              <w:rPr>
                <w:rFonts w:hint="eastAsia" w:ascii="华文仿宋" w:hAnsi="华文仿宋" w:eastAsia="华文仿宋" w:cs="宋体"/>
                <w:color w:val="000000"/>
                <w:kern w:val="0"/>
                <w:sz w:val="21"/>
                <w:szCs w:val="21"/>
              </w:rPr>
              <w:t>号）。</w:t>
            </w:r>
          </w:p>
          <w:p>
            <w:pPr>
              <w:pStyle w:val="20"/>
              <w:widowControl/>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5" w:leftChars="0" w:hanging="425"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本项目已取得《关于云安区都杨云祥大道 (一期 )、 广盛路路面改造工程初步设计概算的批复》（</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〔2023〕</w:t>
            </w:r>
            <w:r>
              <w:rPr>
                <w:rFonts w:hint="eastAsia" w:ascii="华文仿宋" w:hAnsi="华文仿宋" w:eastAsia="华文仿宋" w:cs="宋体"/>
                <w:color w:val="000000"/>
                <w:kern w:val="0"/>
                <w:sz w:val="21"/>
                <w:szCs w:val="21"/>
                <w:lang w:val="en-US" w:eastAsia="zh-CN"/>
              </w:rPr>
              <w:t>56</w:t>
            </w:r>
            <w:r>
              <w:rPr>
                <w:rFonts w:hint="eastAsia" w:ascii="华文仿宋" w:hAnsi="华文仿宋" w:eastAsia="华文仿宋" w:cs="宋体"/>
                <w:color w:val="000000"/>
                <w:kern w:val="0"/>
                <w:sz w:val="21"/>
                <w:szCs w:val="21"/>
              </w:rPr>
              <w:t>号）。</w:t>
            </w:r>
          </w:p>
          <w:p>
            <w:pPr>
              <w:pStyle w:val="20"/>
              <w:widowControl/>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5" w:leftChars="0" w:hanging="425"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w:t>
            </w:r>
            <w:r>
              <w:rPr>
                <w:rFonts w:hint="eastAsia" w:ascii="华文仿宋" w:hAnsi="华文仿宋" w:eastAsia="华文仿宋" w:cs="宋体"/>
                <w:color w:val="000000"/>
                <w:kern w:val="0"/>
                <w:sz w:val="21"/>
                <w:szCs w:val="21"/>
                <w:lang w:val="en-US" w:eastAsia="zh-CN"/>
              </w:rPr>
              <w:t>建筑工程施工许可证</w:t>
            </w:r>
            <w:r>
              <w:rPr>
                <w:rFonts w:hint="eastAsia" w:ascii="华文仿宋" w:hAnsi="华文仿宋" w:eastAsia="华文仿宋" w:cs="宋体"/>
                <w:color w:val="000000"/>
                <w:kern w:val="0"/>
                <w:sz w:val="21"/>
                <w:szCs w:val="21"/>
              </w:rPr>
              <w:t>》（445323202311230102）。</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项 目位于云浮市云安区都杨云祥大道、广盛路,主要内容为现状路面升级改造</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不 改变原道路性质、等级、使用功能及后续管理。建设内容包括</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道路工程、交通工程、桥梁工程、排水工程及绿化工程等。具体如下:1.云祥大道(一 期 )本 次升级改造起点位于云安区与云城区交界处</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升级改造终点位于西江路交叉 口。其中云安区大石岭至宝能段1.78km属于县道x867线 ,云安区六塘村至宝能段长度7.7公里属于省道S265线。K0+000-K3+520段 红线宽度为20m,为双向四车道</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设计车速为40km/h;K3+120-K9+580.944段 红线宽度为29m</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为双向六车道</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设计车速为60km/h。 云祥大道改造长度约为9.58km。</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lang w:eastAsia="zh-CN"/>
              </w:rPr>
            </w:pPr>
            <w:r>
              <w:rPr>
                <w:rFonts w:hint="eastAsia" w:ascii="华文仿宋" w:hAnsi="华文仿宋" w:eastAsia="华文仿宋" w:cs="宋体"/>
                <w:color w:val="000000"/>
                <w:kern w:val="0"/>
                <w:sz w:val="21"/>
                <w:szCs w:val="21"/>
              </w:rPr>
              <w:t>主要改造内容包括: (1)机动车道铣刨加铺沥青及路面修复</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(2)交叉口加宽改造</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 xml:space="preserve"> (3)边坡现状边坡治理; (4)更换中央绿化带侧石; (5)完 善标线及沿线标识标志、路 口信号灯系统升级改造; (6)部 分路段路侧新建排水沟及现状排水沟清淤</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(7)路 口低洼位置新建雨水口及雨水连接管</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 xml:space="preserve"> (8)局部新建污水管及污水一体化提升泵站</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 xml:space="preserve"> (9)绿化修复。2.广盛路本次升级改造起点位于云祥大道交叉 口,终 点位于汕湛高速云浮新区收费站西侧。改造长度约3.45km,双 向六车道,红 线宽度40m。主要改造内容包括</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(1)机动车道铣刨加铺沥青及路面修复</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(2)更换中央绿化带及侧绿化带侧石; (3)人 行道及非机动车车道修复; (4)完善标线及更换指示牌反光膜</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 xml:space="preserve"> (5)雨水口提升改造</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 xml:space="preserve"> (6)绿化修复</w:t>
            </w:r>
            <w:r>
              <w:rPr>
                <w:rFonts w:hint="eastAsia" w:ascii="华文仿宋" w:hAnsi="华文仿宋" w:eastAsia="华文仿宋" w:cs="宋体"/>
                <w:color w:val="000000"/>
                <w:kern w:val="0"/>
                <w:sz w:val="21"/>
                <w:szCs w:val="21"/>
                <w:lang w:eastAsia="zh-CN"/>
              </w:rPr>
              <w:t>。</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1719</w:t>
            </w:r>
            <w:r>
              <w:rPr>
                <w:rFonts w:hint="eastAsia" w:ascii="华文仿宋" w:hAnsi="华文仿宋" w:eastAsia="华文仿宋" w:cs="宋体"/>
                <w:color w:val="000000"/>
                <w:kern w:val="0"/>
                <w:sz w:val="21"/>
                <w:szCs w:val="21"/>
                <w:lang w:val="en-US" w:eastAsia="zh-CN"/>
              </w:rPr>
              <w:t>0.2</w:t>
            </w:r>
            <w:r>
              <w:rPr>
                <w:rFonts w:hint="eastAsia" w:ascii="华文仿宋" w:hAnsi="华文仿宋" w:eastAsia="华文仿宋" w:cs="宋体"/>
                <w:color w:val="000000"/>
                <w:kern w:val="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21"/>
                <w:szCs w:val="21"/>
                <w:u w:color="000000"/>
              </w:rPr>
            </w:pPr>
            <w:r>
              <w:rPr>
                <w:rFonts w:hint="eastAsia" w:ascii="华文仿宋" w:hAnsi="华文仿宋" w:eastAsia="华文仿宋" w:cs="宋体"/>
                <w:kern w:val="0"/>
                <w:sz w:val="21"/>
                <w:szCs w:val="21"/>
                <w:u w:color="000000"/>
              </w:rPr>
              <w:t>7</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省道S537线 (云安区段 )凤凰坳至细友石场段改建工程</w:t>
            </w:r>
          </w:p>
        </w:tc>
        <w:tc>
          <w:tcPr>
            <w:tcW w:w="3522" w:type="dxa"/>
          </w:tcPr>
          <w:p>
            <w:pPr>
              <w:pStyle w:val="20"/>
              <w:widowControl/>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本项目已取得《关于省道S537线 (云安区段 )凤凰坳至细友石场段改建工程项目建议书的批复》（云安发改投审〔202</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163</w:t>
            </w:r>
            <w:r>
              <w:rPr>
                <w:rFonts w:hint="eastAsia" w:ascii="华文仿宋" w:hAnsi="华文仿宋" w:eastAsia="华文仿宋" w:cs="宋体"/>
                <w:color w:val="000000"/>
                <w:kern w:val="0"/>
                <w:sz w:val="21"/>
                <w:szCs w:val="21"/>
              </w:rPr>
              <w:t>号）。</w:t>
            </w:r>
          </w:p>
          <w:p>
            <w:pPr>
              <w:pStyle w:val="20"/>
              <w:widowControl/>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本项目已取得《关于省道S537线 (云安区段 )凤凰坳至细友石场段改建工程项 目可行性研究报告的批复》（云安发改投审〔202</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238</w:t>
            </w:r>
            <w:r>
              <w:rPr>
                <w:rFonts w:hint="eastAsia" w:ascii="华文仿宋" w:hAnsi="华文仿宋" w:eastAsia="华文仿宋" w:cs="宋体"/>
                <w:color w:val="000000"/>
                <w:kern w:val="0"/>
                <w:sz w:val="21"/>
                <w:szCs w:val="21"/>
              </w:rPr>
              <w:t>号）</w:t>
            </w:r>
            <w:r>
              <w:rPr>
                <w:rFonts w:hint="eastAsia" w:ascii="华文仿宋" w:hAnsi="华文仿宋" w:eastAsia="华文仿宋" w:cs="宋体"/>
                <w:color w:val="000000"/>
                <w:kern w:val="0"/>
                <w:sz w:val="21"/>
                <w:szCs w:val="21"/>
                <w:lang w:eastAsia="zh-CN"/>
              </w:rPr>
              <w:t>。</w:t>
            </w:r>
          </w:p>
          <w:p>
            <w:pPr>
              <w:pStyle w:val="20"/>
              <w:widowControl/>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本项目已取得《云浮市交通运输局关于省道S537线（云安区段）凤凰坳至细友石场段改建工程两阶段初步设计的批复》（云</w:t>
            </w:r>
            <w:r>
              <w:rPr>
                <w:rFonts w:hint="eastAsia" w:ascii="华文仿宋" w:hAnsi="华文仿宋" w:eastAsia="华文仿宋" w:cs="宋体"/>
                <w:color w:val="000000"/>
                <w:kern w:val="0"/>
                <w:sz w:val="21"/>
                <w:szCs w:val="21"/>
                <w:lang w:val="en-US" w:eastAsia="zh-CN"/>
              </w:rPr>
              <w:t>交许决</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30010</w:t>
            </w:r>
            <w:r>
              <w:rPr>
                <w:rFonts w:hint="eastAsia" w:ascii="华文仿宋" w:hAnsi="华文仿宋" w:eastAsia="华文仿宋" w:cs="宋体"/>
                <w:color w:val="000000"/>
                <w:kern w:val="0"/>
                <w:sz w:val="21"/>
                <w:szCs w:val="21"/>
              </w:rPr>
              <w:t>号）</w:t>
            </w:r>
            <w:r>
              <w:rPr>
                <w:rFonts w:hint="eastAsia" w:ascii="华文仿宋" w:hAnsi="华文仿宋" w:eastAsia="华文仿宋" w:cs="宋体"/>
                <w:color w:val="000000"/>
                <w:kern w:val="0"/>
                <w:sz w:val="21"/>
                <w:szCs w:val="21"/>
                <w:lang w:eastAsia="zh-CN"/>
              </w:rPr>
              <w:t>。</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sz w:val="21"/>
                <w:szCs w:val="21"/>
              </w:rPr>
              <w:t>线路起点位于云浮市云安区与云城 区交界处的凤凰坳</w:t>
            </w:r>
            <w:r>
              <w:rPr>
                <w:rFonts w:hint="eastAsia" w:ascii="华文仿宋" w:hAnsi="华文仿宋" w:eastAsia="华文仿宋" w:cs="宋体"/>
                <w:color w:val="000000"/>
                <w:sz w:val="21"/>
                <w:szCs w:val="21"/>
                <w:lang w:eastAsia="zh-CN"/>
              </w:rPr>
              <w:t>，</w:t>
            </w:r>
            <w:r>
              <w:rPr>
                <w:rFonts w:hint="eastAsia" w:ascii="华文仿宋" w:hAnsi="华文仿宋" w:eastAsia="华文仿宋" w:cs="宋体"/>
                <w:color w:val="000000"/>
                <w:sz w:val="21"/>
                <w:szCs w:val="21"/>
              </w:rPr>
              <w:t>与省道S537线 (云城区段 )改建工程终点顺接,设 计起点桩号K25+423</w:t>
            </w:r>
            <w:r>
              <w:rPr>
                <w:rFonts w:hint="eastAsia" w:ascii="华文仿宋" w:hAnsi="华文仿宋" w:eastAsia="华文仿宋" w:cs="宋体"/>
                <w:color w:val="000000"/>
                <w:sz w:val="21"/>
                <w:szCs w:val="21"/>
                <w:lang w:eastAsia="zh-CN"/>
              </w:rPr>
              <w:t>；</w:t>
            </w:r>
            <w:r>
              <w:rPr>
                <w:rFonts w:hint="eastAsia" w:ascii="华文仿宋" w:hAnsi="华文仿宋" w:eastAsia="华文仿宋" w:cs="宋体"/>
                <w:color w:val="000000"/>
                <w:sz w:val="21"/>
                <w:szCs w:val="21"/>
              </w:rPr>
              <w:t>路线终点位于细友石场处</w:t>
            </w:r>
            <w:r>
              <w:rPr>
                <w:rFonts w:hint="eastAsia" w:ascii="华文仿宋" w:hAnsi="华文仿宋" w:eastAsia="华文仿宋" w:cs="宋体"/>
                <w:color w:val="000000"/>
                <w:sz w:val="21"/>
                <w:szCs w:val="21"/>
                <w:lang w:eastAsia="zh-CN"/>
              </w:rPr>
              <w:t>，</w:t>
            </w:r>
            <w:r>
              <w:rPr>
                <w:rFonts w:hint="eastAsia" w:ascii="华文仿宋" w:hAnsi="华文仿宋" w:eastAsia="华文仿宋" w:cs="宋体"/>
                <w:color w:val="000000"/>
                <w:sz w:val="21"/>
                <w:szCs w:val="21"/>
              </w:rPr>
              <w:t>与省道S537线既有道路顺接</w:t>
            </w:r>
            <w:r>
              <w:rPr>
                <w:rFonts w:hint="eastAsia" w:ascii="华文仿宋" w:hAnsi="华文仿宋" w:eastAsia="华文仿宋" w:cs="宋体"/>
                <w:color w:val="000000"/>
                <w:sz w:val="21"/>
                <w:szCs w:val="21"/>
                <w:lang w:eastAsia="zh-CN"/>
              </w:rPr>
              <w:t>，</w:t>
            </w:r>
            <w:r>
              <w:rPr>
                <w:rFonts w:hint="eastAsia" w:ascii="华文仿宋" w:hAnsi="华文仿宋" w:eastAsia="华文仿宋" w:cs="宋体"/>
                <w:color w:val="000000"/>
                <w:sz w:val="21"/>
                <w:szCs w:val="21"/>
              </w:rPr>
              <w:t>设计终点桩号为K33+723,全长8.3公里</w:t>
            </w:r>
            <w:r>
              <w:rPr>
                <w:rFonts w:hint="eastAsia" w:ascii="华文仿宋" w:hAnsi="华文仿宋" w:eastAsia="华文仿宋" w:cs="宋体"/>
                <w:color w:val="000000"/>
                <w:sz w:val="21"/>
                <w:szCs w:val="21"/>
                <w:lang w:eastAsia="zh-CN"/>
              </w:rPr>
              <w:t>，</w:t>
            </w:r>
            <w:r>
              <w:rPr>
                <w:rFonts w:hint="eastAsia" w:ascii="华文仿宋" w:hAnsi="华文仿宋" w:eastAsia="华文仿宋" w:cs="宋体"/>
                <w:color w:val="000000"/>
                <w:sz w:val="21"/>
                <w:szCs w:val="21"/>
              </w:rPr>
              <w:t xml:space="preserve">采用一级公路双向四车道标准进行建设,设计速度60公里/小 </w:t>
            </w:r>
            <w:r>
              <w:rPr>
                <w:rFonts w:hint="eastAsia" w:ascii="华文仿宋" w:hAnsi="华文仿宋" w:eastAsia="华文仿宋" w:cs="宋体"/>
                <w:color w:val="000000"/>
                <w:sz w:val="21"/>
                <w:szCs w:val="21"/>
                <w:lang w:eastAsia="zh-CN"/>
              </w:rPr>
              <w:t>；</w:t>
            </w:r>
            <w:r>
              <w:rPr>
                <w:rFonts w:hint="eastAsia" w:ascii="华文仿宋" w:hAnsi="华文仿宋" w:eastAsia="华文仿宋" w:cs="宋体"/>
                <w:color w:val="000000"/>
                <w:sz w:val="21"/>
                <w:szCs w:val="21"/>
              </w:rPr>
              <w:t>路基宽19米</w:t>
            </w:r>
            <w:r>
              <w:rPr>
                <w:rFonts w:hint="eastAsia" w:ascii="华文仿宋" w:hAnsi="华文仿宋" w:eastAsia="华文仿宋" w:cs="宋体"/>
                <w:color w:val="000000"/>
                <w:sz w:val="21"/>
                <w:szCs w:val="21"/>
                <w:lang w:eastAsia="zh-CN"/>
              </w:rPr>
              <w:t>，</w:t>
            </w:r>
            <w:r>
              <w:rPr>
                <w:rFonts w:hint="eastAsia" w:ascii="华文仿宋" w:hAnsi="华文仿宋" w:eastAsia="华文仿宋" w:cs="宋体"/>
                <w:color w:val="000000"/>
                <w:sz w:val="21"/>
                <w:szCs w:val="21"/>
              </w:rPr>
              <w:t xml:space="preserve">路面宽14米 </w:t>
            </w:r>
            <w:r>
              <w:rPr>
                <w:rFonts w:hint="eastAsia" w:ascii="华文仿宋" w:hAnsi="华文仿宋" w:eastAsia="华文仿宋" w:cs="宋体"/>
                <w:color w:val="000000"/>
                <w:sz w:val="21"/>
                <w:szCs w:val="21"/>
                <w:lang w:eastAsia="zh-CN"/>
              </w:rPr>
              <w:t>；</w:t>
            </w:r>
            <w:r>
              <w:rPr>
                <w:rFonts w:hint="eastAsia" w:ascii="华文仿宋" w:hAnsi="华文仿宋" w:eastAsia="华文仿宋" w:cs="宋体"/>
                <w:color w:val="000000"/>
                <w:sz w:val="21"/>
                <w:szCs w:val="21"/>
              </w:rPr>
              <w:t>桥涵设计汽车荷载等级:公路一I级 。</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highlight w:val="none"/>
              </w:rPr>
              <w:t>53560.65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21"/>
                <w:szCs w:val="21"/>
                <w:u w:color="000000"/>
              </w:rPr>
            </w:pPr>
            <w:r>
              <w:rPr>
                <w:rFonts w:hint="eastAsia" w:ascii="华文仿宋" w:hAnsi="华文仿宋" w:eastAsia="华文仿宋" w:cs="宋体"/>
                <w:kern w:val="0"/>
                <w:sz w:val="21"/>
                <w:szCs w:val="21"/>
                <w:u w:color="000000"/>
              </w:rPr>
              <w:t>8</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云浮市云安区S537线K51+852-K67+400段路况提升专项养护工程</w:t>
            </w:r>
          </w:p>
        </w:tc>
        <w:tc>
          <w:tcPr>
            <w:tcW w:w="3522" w:type="dxa"/>
          </w:tcPr>
          <w:p>
            <w:pPr>
              <w:pStyle w:val="20"/>
              <w:widowControl/>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本项目已取得《关于云浮市云安区S537线K51+852-K67+400段路况提升专项养护</w:t>
            </w:r>
            <w:r>
              <w:rPr>
                <w:rFonts w:hint="eastAsia" w:ascii="华文仿宋" w:hAnsi="华文仿宋" w:eastAsia="华文仿宋" w:cs="宋体"/>
                <w:color w:val="000000"/>
                <w:kern w:val="0"/>
                <w:sz w:val="21"/>
                <w:szCs w:val="21"/>
                <w:lang w:val="en-US" w:eastAsia="zh-CN"/>
              </w:rPr>
              <w:t>853-</w:t>
            </w:r>
            <w:r>
              <w:rPr>
                <w:rFonts w:hint="eastAsia" w:ascii="华文仿宋" w:hAnsi="华文仿宋" w:eastAsia="华文仿宋" w:cs="宋体"/>
                <w:color w:val="000000"/>
                <w:kern w:val="0"/>
                <w:sz w:val="21"/>
                <w:szCs w:val="21"/>
              </w:rPr>
              <w:t>工程</w:t>
            </w:r>
            <w:r>
              <w:rPr>
                <w:rFonts w:hint="eastAsia" w:ascii="华文仿宋" w:hAnsi="华文仿宋" w:eastAsia="华文仿宋" w:cs="宋体"/>
                <w:color w:val="000000"/>
                <w:kern w:val="0"/>
                <w:sz w:val="21"/>
                <w:szCs w:val="21"/>
                <w:lang w:val="en-US" w:eastAsia="zh-CN"/>
              </w:rPr>
              <w:t>的复函</w:t>
            </w:r>
            <w:r>
              <w:rPr>
                <w:rFonts w:hint="eastAsia" w:ascii="华文仿宋" w:hAnsi="华文仿宋" w:eastAsia="华文仿宋" w:cs="宋体"/>
                <w:color w:val="000000"/>
                <w:kern w:val="0"/>
                <w:sz w:val="21"/>
                <w:szCs w:val="21"/>
              </w:rPr>
              <w:t>》（云安区府办函〔2023〕</w:t>
            </w:r>
            <w:r>
              <w:rPr>
                <w:rFonts w:hint="eastAsia" w:ascii="华文仿宋" w:hAnsi="华文仿宋" w:eastAsia="华文仿宋" w:cs="宋体"/>
                <w:color w:val="000000"/>
                <w:kern w:val="0"/>
                <w:sz w:val="21"/>
                <w:szCs w:val="21"/>
                <w:lang w:val="en-US" w:eastAsia="zh-CN"/>
              </w:rPr>
              <w:t>52</w:t>
            </w:r>
            <w:r>
              <w:rPr>
                <w:rFonts w:hint="eastAsia" w:ascii="华文仿宋" w:hAnsi="华文仿宋" w:eastAsia="华文仿宋" w:cs="宋体"/>
                <w:color w:val="000000"/>
                <w:kern w:val="0"/>
                <w:sz w:val="21"/>
                <w:szCs w:val="21"/>
              </w:rPr>
              <w:t>号）。</w:t>
            </w:r>
          </w:p>
          <w:p>
            <w:pPr>
              <w:pStyle w:val="20"/>
              <w:widowControl/>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本项目已取得《关于云浮市云安区S537线K51+852～K67+400段路况提升专项养护工程施工图设计的批复》（云安区</w:t>
            </w:r>
            <w:r>
              <w:rPr>
                <w:rFonts w:hint="eastAsia" w:ascii="华文仿宋" w:hAnsi="华文仿宋" w:eastAsia="华文仿宋" w:cs="宋体"/>
                <w:color w:val="000000"/>
                <w:kern w:val="0"/>
                <w:sz w:val="21"/>
                <w:szCs w:val="21"/>
                <w:lang w:val="en-US" w:eastAsia="zh-CN"/>
              </w:rPr>
              <w:t>交复</w:t>
            </w:r>
            <w:r>
              <w:rPr>
                <w:rFonts w:hint="eastAsia" w:ascii="华文仿宋" w:hAnsi="华文仿宋" w:eastAsia="华文仿宋" w:cs="宋体"/>
                <w:color w:val="000000"/>
                <w:kern w:val="0"/>
                <w:sz w:val="21"/>
                <w:szCs w:val="21"/>
              </w:rPr>
              <w:t>〔2023〕</w:t>
            </w:r>
            <w:r>
              <w:rPr>
                <w:rFonts w:hint="eastAsia" w:ascii="华文仿宋" w:hAnsi="华文仿宋" w:eastAsia="华文仿宋" w:cs="宋体"/>
                <w:color w:val="000000"/>
                <w:kern w:val="0"/>
                <w:sz w:val="21"/>
                <w:szCs w:val="21"/>
                <w:lang w:val="en-US" w:eastAsia="zh-CN"/>
              </w:rPr>
              <w:t>35</w:t>
            </w:r>
            <w:r>
              <w:rPr>
                <w:rFonts w:hint="eastAsia" w:ascii="华文仿宋" w:hAnsi="华文仿宋" w:eastAsia="华文仿宋" w:cs="宋体"/>
                <w:color w:val="000000"/>
                <w:kern w:val="0"/>
                <w:sz w:val="21"/>
                <w:szCs w:val="21"/>
              </w:rPr>
              <w:t>号）。</w:t>
            </w:r>
          </w:p>
          <w:p>
            <w:pPr>
              <w:pStyle w:val="20"/>
              <w:widowControl/>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本项目已取得《预算审核报告》（审核编号：Q20230011）。</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sz w:val="21"/>
                <w:szCs w:val="21"/>
              </w:rPr>
              <w:t>对该路段的破损面板进行修补，水沟进行清淤、路基滑塌处理整治、损坏波形护栏进行换板修复，及其它设施修复。</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339.5712</w:t>
            </w:r>
          </w:p>
        </w:tc>
      </w:tr>
    </w:tbl>
    <w:p>
      <w:pPr>
        <w:pStyle w:val="2"/>
        <w:spacing w:line="360" w:lineRule="auto"/>
        <w:rPr>
          <w:rFonts w:hint="default"/>
        </w:rPr>
      </w:pP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480" w:firstLineChars="200"/>
        <w:rPr>
          <w:rFonts w:ascii="华文仿宋" w:hAnsi="华文仿宋" w:eastAsia="华文仿宋" w:cs="宋体"/>
          <w:b/>
          <w:bCs/>
          <w:kern w:val="0"/>
          <w:u w:color="000000"/>
        </w:rPr>
      </w:pPr>
      <w:r>
        <w:rPr>
          <w:rFonts w:hint="eastAsia" w:ascii="华文仿宋" w:hAnsi="华文仿宋" w:eastAsia="华文仿宋" w:cs="宋体"/>
          <w:b/>
          <w:bCs/>
          <w:kern w:val="0"/>
          <w:u w:color="000000"/>
        </w:rPr>
        <w:t>综上，本所认为，本期债券发行对应的项目由</w:t>
      </w:r>
      <w:r>
        <w:rPr>
          <w:rFonts w:hint="eastAsia" w:ascii="华文仿宋" w:hAnsi="华文仿宋" w:eastAsia="华文仿宋" w:cs="宋体"/>
          <w:b/>
          <w:bCs/>
          <w:kern w:val="0"/>
          <w:u w:color="000000"/>
          <w:lang w:eastAsia="zh-CN"/>
        </w:rPr>
        <w:t>8个子项目</w:t>
      </w:r>
      <w:r>
        <w:rPr>
          <w:rFonts w:hint="eastAsia" w:ascii="华文仿宋" w:hAnsi="华文仿宋" w:eastAsia="华文仿宋" w:cs="宋体"/>
          <w:b/>
          <w:bCs/>
          <w:kern w:val="0"/>
          <w:u w:color="000000"/>
        </w:rPr>
        <w:t>组成，</w:t>
      </w:r>
      <w:r>
        <w:rPr>
          <w:rFonts w:hint="eastAsia" w:ascii="华文仿宋" w:hAnsi="华文仿宋" w:eastAsia="华文仿宋" w:cs="宋体"/>
          <w:b/>
          <w:bCs/>
          <w:kern w:val="0"/>
          <w:u w:color="000000"/>
          <w:lang w:val="en-US" w:eastAsia="zh-CN"/>
        </w:rPr>
        <w:t>多个</w:t>
      </w:r>
      <w:r>
        <w:rPr>
          <w:rFonts w:hint="eastAsia" w:ascii="华文仿宋" w:hAnsi="华文仿宋" w:eastAsia="华文仿宋" w:cs="宋体"/>
          <w:b/>
          <w:bCs/>
          <w:kern w:val="0"/>
          <w:highlight w:val="none"/>
          <w:u w:color="000000"/>
          <w:lang w:eastAsia="zh-CN"/>
        </w:rPr>
        <w:t>子项目</w:t>
      </w:r>
      <w:r>
        <w:rPr>
          <w:rFonts w:hint="eastAsia" w:ascii="华文仿宋" w:hAnsi="华文仿宋" w:eastAsia="华文仿宋" w:cs="宋体"/>
          <w:b/>
          <w:bCs/>
          <w:kern w:val="0"/>
          <w:highlight w:val="none"/>
          <w:u w:color="000000"/>
        </w:rPr>
        <w:t>已</w:t>
      </w:r>
      <w:r>
        <w:rPr>
          <w:rFonts w:hint="eastAsia" w:ascii="华文仿宋" w:hAnsi="华文仿宋" w:eastAsia="华文仿宋" w:cs="宋体"/>
          <w:b/>
          <w:bCs/>
          <w:kern w:val="0"/>
          <w:highlight w:val="none"/>
          <w:u w:color="000000"/>
          <w:lang w:val="en-US" w:eastAsia="zh-CN"/>
        </w:rPr>
        <w:t>取得可行性研究报告的批复</w:t>
      </w:r>
      <w:r>
        <w:rPr>
          <w:rFonts w:hint="eastAsia" w:ascii="华文仿宋" w:hAnsi="华文仿宋" w:eastAsia="华文仿宋" w:cs="宋体"/>
          <w:b/>
          <w:bCs/>
          <w:kern w:val="0"/>
          <w:highlight w:val="none"/>
          <w:u w:color="000000"/>
        </w:rPr>
        <w:t>，</w:t>
      </w:r>
      <w:r>
        <w:rPr>
          <w:rFonts w:hint="eastAsia" w:ascii="华文仿宋" w:hAnsi="华文仿宋" w:eastAsia="华文仿宋" w:cs="宋体"/>
          <w:b/>
          <w:bCs/>
          <w:kern w:val="0"/>
          <w:u w:color="000000"/>
        </w:rPr>
        <w:t>有实施项目的资金需求。</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480" w:firstLineChars="200"/>
        <w:rPr>
          <w:rFonts w:ascii="华文仿宋" w:hAnsi="华文仿宋" w:eastAsia="华文仿宋" w:cs="宋体"/>
          <w:kern w:val="0"/>
          <w:u w:color="000000"/>
        </w:rPr>
      </w:pPr>
    </w:p>
    <w:p>
      <w:pPr>
        <w:pStyle w:val="3"/>
        <w:rPr>
          <w:rFonts w:ascii="华文仿宋" w:hAnsi="华文仿宋" w:eastAsia="华文仿宋"/>
          <w:sz w:val="24"/>
          <w:szCs w:val="24"/>
          <w:u w:color="000000"/>
        </w:rPr>
      </w:pPr>
      <w:r>
        <w:rPr>
          <w:rFonts w:hint="eastAsia" w:ascii="华文仿宋" w:hAnsi="华文仿宋" w:eastAsia="华文仿宋"/>
          <w:sz w:val="24"/>
          <w:szCs w:val="24"/>
          <w:u w:color="000000"/>
        </w:rPr>
        <w:t xml:space="preserve">    </w:t>
      </w:r>
      <w:bookmarkStart w:id="23" w:name="_Toc20605503"/>
      <w:bookmarkStart w:id="24" w:name="_Toc47346125"/>
      <w:r>
        <w:rPr>
          <w:rFonts w:hint="eastAsia" w:ascii="华文仿宋" w:hAnsi="华文仿宋" w:eastAsia="华文仿宋"/>
          <w:sz w:val="24"/>
          <w:szCs w:val="24"/>
          <w:u w:color="000000"/>
        </w:rPr>
        <w:t>三、本项目收益与融资自求平衡</w:t>
      </w:r>
      <w:bookmarkEnd w:id="23"/>
      <w:bookmarkEnd w:id="24"/>
    </w:p>
    <w:p>
      <w:pPr>
        <w:widowControl/>
        <w:tabs>
          <w:tab w:val="left" w:pos="900"/>
        </w:tabs>
        <w:autoSpaceDE w:val="0"/>
        <w:autoSpaceDN w:val="0"/>
        <w:adjustRightInd w:val="0"/>
        <w:spacing w:line="360" w:lineRule="auto"/>
        <w:ind w:firstLine="480"/>
        <w:rPr>
          <w:rFonts w:ascii="华文仿宋" w:hAnsi="华文仿宋" w:eastAsia="华文仿宋" w:cs="宋体"/>
          <w:kern w:val="0"/>
          <w:u w:color="000000"/>
        </w:rPr>
      </w:pPr>
      <w:r>
        <w:rPr>
          <w:rFonts w:hint="eastAsia" w:ascii="华文仿宋" w:hAnsi="华文仿宋" w:eastAsia="华文仿宋" w:cs="宋体"/>
          <w:kern w:val="0"/>
          <w:u w:color="000000"/>
        </w:rPr>
        <w:t>深圳市恒昇会计师事务所（普通合伙）就本次政府专项债券发行出具了《专项评价报告》。《专项评价报告》认为：“本期债券项目收益预测及其所依据的各项假设前提下，本次评价的本期债券项目预期收益对应的政府性基金收入或专项收入能够合理保障偿还融资本金和利息，实现项目收益和融资自求平衡”。</w:t>
      </w:r>
    </w:p>
    <w:p>
      <w:pPr>
        <w:widowControl/>
        <w:tabs>
          <w:tab w:val="left" w:pos="900"/>
        </w:tabs>
        <w:autoSpaceDE w:val="0"/>
        <w:autoSpaceDN w:val="0"/>
        <w:adjustRightInd w:val="0"/>
        <w:spacing w:line="360" w:lineRule="auto"/>
        <w:ind w:firstLine="480"/>
        <w:rPr>
          <w:rFonts w:ascii="华文仿宋" w:hAnsi="华文仿宋" w:eastAsia="华文仿宋" w:cs="宋体"/>
          <w:color w:val="000000"/>
          <w:kern w:val="0"/>
          <w:u w:color="000000"/>
        </w:rPr>
      </w:pPr>
      <w:r>
        <w:rPr>
          <w:rFonts w:hint="eastAsia" w:ascii="华文仿宋" w:hAnsi="华文仿宋" w:eastAsia="华文仿宋" w:cs="宋体"/>
          <w:color w:val="000000"/>
          <w:kern w:val="0"/>
          <w:u w:color="000000"/>
        </w:rPr>
        <w:t>经本所律师核查，深圳市恒昇会计师事务所（普通合伙）现持有《营业执照》（统一社会信用代码：91440300MA5GDUGR</w:t>
      </w:r>
      <w:r>
        <w:rPr>
          <w:rFonts w:ascii="华文仿宋" w:hAnsi="华文仿宋" w:eastAsia="华文仿宋" w:cs="宋体"/>
          <w:color w:val="000000"/>
          <w:kern w:val="0"/>
          <w:u w:color="000000"/>
        </w:rPr>
        <w:t>6Q</w:t>
      </w:r>
      <w:r>
        <w:rPr>
          <w:rFonts w:hint="eastAsia" w:ascii="华文仿宋" w:hAnsi="华文仿宋" w:eastAsia="华文仿宋" w:cs="宋体"/>
          <w:color w:val="000000"/>
          <w:kern w:val="0"/>
          <w:u w:color="000000"/>
        </w:rPr>
        <w:t>）和《会计师事务所执业许可证》（执业证书编号：47470</w:t>
      </w:r>
      <w:r>
        <w:rPr>
          <w:rFonts w:ascii="华文仿宋" w:hAnsi="华文仿宋" w:eastAsia="华文仿宋" w:cs="宋体"/>
          <w:color w:val="000000"/>
          <w:kern w:val="0"/>
          <w:u w:color="000000"/>
        </w:rPr>
        <w:t>338</w:t>
      </w:r>
      <w:r>
        <w:rPr>
          <w:rFonts w:hint="eastAsia" w:ascii="华文仿宋" w:hAnsi="华文仿宋" w:eastAsia="华文仿宋" w:cs="宋体"/>
          <w:color w:val="000000"/>
          <w:kern w:val="0"/>
          <w:u w:color="000000"/>
        </w:rPr>
        <w:t>），截至本《法律意见书》出具之日合法存续。</w:t>
      </w:r>
    </w:p>
    <w:p>
      <w:pPr>
        <w:widowControl/>
        <w:tabs>
          <w:tab w:val="left" w:pos="900"/>
        </w:tabs>
        <w:autoSpaceDE w:val="0"/>
        <w:autoSpaceDN w:val="0"/>
        <w:adjustRightInd w:val="0"/>
        <w:spacing w:line="360" w:lineRule="auto"/>
        <w:ind w:firstLine="480"/>
        <w:rPr>
          <w:rFonts w:ascii="华文仿宋" w:hAnsi="华文仿宋" w:eastAsia="华文仿宋" w:cs="宋体"/>
          <w:color w:val="000000"/>
          <w:kern w:val="0"/>
          <w:u w:color="000000"/>
        </w:rPr>
      </w:pPr>
      <w:r>
        <w:rPr>
          <w:rFonts w:hint="eastAsia" w:ascii="华文仿宋" w:hAnsi="华文仿宋" w:eastAsia="华文仿宋" w:cs="宋体"/>
          <w:color w:val="000000"/>
          <w:kern w:val="0"/>
          <w:u w:color="000000"/>
        </w:rPr>
        <w:t>综上，本所认为，本项目符合《关于试点发展项目收益与融资自求平衡的地方政府专项债券品种的通知》（财预〔2017〕89号）及《关于印发《地方政府专项债务预算管理办法》的通知》（财预〔2016〕155号）第七条“专项债务收支应当按照对应的政府性基金收入、专项收入实现项目收支平衡”的规定。</w:t>
      </w:r>
    </w:p>
    <w:p>
      <w:pPr>
        <w:widowControl/>
        <w:tabs>
          <w:tab w:val="left" w:pos="900"/>
        </w:tabs>
        <w:autoSpaceDE w:val="0"/>
        <w:autoSpaceDN w:val="0"/>
        <w:adjustRightInd w:val="0"/>
        <w:spacing w:line="360" w:lineRule="auto"/>
        <w:ind w:firstLine="480"/>
        <w:rPr>
          <w:rFonts w:ascii="华文仿宋" w:hAnsi="华文仿宋" w:eastAsia="华文仿宋" w:cs="宋体"/>
          <w:kern w:val="0"/>
          <w:u w:color="000000"/>
        </w:rPr>
      </w:pPr>
    </w:p>
    <w:p>
      <w:pPr>
        <w:pStyle w:val="3"/>
        <w:rPr>
          <w:rFonts w:ascii="华文仿宋" w:hAnsi="华文仿宋" w:eastAsia="华文仿宋"/>
          <w:sz w:val="24"/>
          <w:szCs w:val="24"/>
          <w:u w:color="000000"/>
        </w:rPr>
      </w:pPr>
      <w:r>
        <w:rPr>
          <w:rFonts w:hint="eastAsia" w:ascii="华文仿宋" w:hAnsi="华文仿宋" w:eastAsia="华文仿宋"/>
          <w:sz w:val="24"/>
          <w:szCs w:val="24"/>
          <w:u w:color="000000"/>
        </w:rPr>
        <w:t xml:space="preserve">    </w:t>
      </w:r>
      <w:bookmarkStart w:id="25" w:name="_Toc47346126"/>
      <w:bookmarkStart w:id="26" w:name="_Toc20605504"/>
      <w:r>
        <w:rPr>
          <w:rFonts w:hint="eastAsia" w:ascii="华文仿宋" w:hAnsi="华文仿宋" w:eastAsia="华文仿宋"/>
          <w:sz w:val="24"/>
          <w:szCs w:val="24"/>
          <w:u w:color="000000"/>
        </w:rPr>
        <w:t>四、项目风险及风险控制措施</w:t>
      </w:r>
      <w:bookmarkEnd w:id="25"/>
      <w:bookmarkEnd w:id="26"/>
    </w:p>
    <w:p>
      <w:pPr>
        <w:widowControl/>
        <w:tabs>
          <w:tab w:val="left" w:pos="900"/>
        </w:tabs>
        <w:autoSpaceDE w:val="0"/>
        <w:autoSpaceDN w:val="0"/>
        <w:adjustRightInd w:val="0"/>
        <w:spacing w:line="360" w:lineRule="auto"/>
        <w:ind w:firstLine="480" w:firstLineChars="200"/>
        <w:rPr>
          <w:rFonts w:ascii="华文仿宋" w:hAnsi="华文仿宋" w:eastAsia="华文仿宋" w:cs="宋体"/>
          <w:kern w:val="0"/>
          <w:u w:color="000000"/>
        </w:rPr>
      </w:pPr>
      <w:r>
        <w:rPr>
          <w:rFonts w:hint="eastAsia" w:ascii="华文仿宋" w:hAnsi="华文仿宋" w:eastAsia="华文仿宋" w:cs="宋体"/>
          <w:kern w:val="0"/>
          <w:u w:color="000000"/>
        </w:rPr>
        <w:t>（一）潜在风险</w:t>
      </w:r>
    </w:p>
    <w:p>
      <w:pPr>
        <w:widowControl/>
        <w:tabs>
          <w:tab w:val="left" w:pos="900"/>
        </w:tabs>
        <w:autoSpaceDE w:val="0"/>
        <w:autoSpaceDN w:val="0"/>
        <w:adjustRightInd w:val="0"/>
        <w:spacing w:line="360" w:lineRule="auto"/>
        <w:ind w:firstLine="480" w:firstLineChars="200"/>
        <w:rPr>
          <w:rFonts w:ascii="华文仿宋" w:hAnsi="华文仿宋" w:eastAsia="华文仿宋" w:cs="宋体"/>
          <w:kern w:val="0"/>
          <w:u w:color="000000"/>
        </w:rPr>
      </w:pPr>
      <w:r>
        <w:rPr>
          <w:rFonts w:hint="eastAsia" w:ascii="华文仿宋" w:hAnsi="华文仿宋" w:eastAsia="华文仿宋" w:cs="宋体"/>
          <w:kern w:val="0"/>
          <w:u w:color="000000"/>
        </w:rPr>
        <w:t>项目可能存在潜在的工程实施风险、组织及管理风险、财务及融资风险、收益实现规模与预期存在差异的风险、收益专项用于偿债的操作风险、利率波动风险。</w:t>
      </w:r>
    </w:p>
    <w:p>
      <w:pPr>
        <w:widowControl/>
        <w:tabs>
          <w:tab w:val="left" w:pos="900"/>
        </w:tabs>
        <w:autoSpaceDE w:val="0"/>
        <w:autoSpaceDN w:val="0"/>
        <w:adjustRightInd w:val="0"/>
        <w:spacing w:line="360" w:lineRule="auto"/>
        <w:ind w:firstLine="480" w:firstLineChars="200"/>
        <w:rPr>
          <w:rFonts w:ascii="华文仿宋" w:hAnsi="华文仿宋" w:eastAsia="华文仿宋" w:cs="宋体"/>
          <w:kern w:val="0"/>
          <w:u w:color="000000"/>
        </w:rPr>
      </w:pPr>
      <w:r>
        <w:rPr>
          <w:rFonts w:hint="eastAsia" w:ascii="华文仿宋" w:hAnsi="华文仿宋" w:eastAsia="华文仿宋" w:cs="宋体"/>
          <w:kern w:val="0"/>
          <w:u w:color="000000"/>
        </w:rPr>
        <w:t>（二）还款保障情况</w:t>
      </w:r>
    </w:p>
    <w:p>
      <w:pPr>
        <w:widowControl/>
        <w:tabs>
          <w:tab w:val="left" w:pos="900"/>
        </w:tabs>
        <w:autoSpaceDE w:val="0"/>
        <w:autoSpaceDN w:val="0"/>
        <w:adjustRightInd w:val="0"/>
        <w:spacing w:line="360" w:lineRule="auto"/>
        <w:ind w:firstLine="480" w:firstLineChars="200"/>
        <w:rPr>
          <w:rFonts w:ascii="华文仿宋" w:hAnsi="华文仿宋" w:eastAsia="华文仿宋" w:cs="宋体"/>
          <w:b/>
          <w:kern w:val="0"/>
          <w:u w:color="000000"/>
        </w:rPr>
      </w:pPr>
      <w:r>
        <w:rPr>
          <w:rFonts w:hint="eastAsia" w:ascii="华文仿宋" w:hAnsi="华文仿宋" w:eastAsia="华文仿宋" w:cs="宋体"/>
          <w:kern w:val="0"/>
          <w:u w:color="000000"/>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华文仿宋" w:hAnsi="华文仿宋" w:eastAsia="华文仿宋" w:cs="宋体"/>
          <w:kern w:val="0"/>
          <w:u w:color="000000"/>
        </w:rPr>
      </w:pPr>
    </w:p>
    <w:p>
      <w:pPr>
        <w:pStyle w:val="3"/>
        <w:rPr>
          <w:rFonts w:ascii="华文仿宋" w:hAnsi="华文仿宋" w:eastAsia="华文仿宋"/>
          <w:sz w:val="24"/>
          <w:szCs w:val="24"/>
          <w:u w:color="000000"/>
        </w:rPr>
      </w:pPr>
      <w:r>
        <w:rPr>
          <w:rFonts w:hint="eastAsia" w:ascii="华文仿宋" w:hAnsi="华文仿宋" w:eastAsia="华文仿宋"/>
          <w:sz w:val="24"/>
          <w:szCs w:val="24"/>
          <w:u w:color="000000"/>
        </w:rPr>
        <w:t xml:space="preserve">    </w:t>
      </w:r>
      <w:bookmarkStart w:id="27" w:name="_Toc20605505"/>
      <w:bookmarkStart w:id="28" w:name="_Toc47346127"/>
      <w:r>
        <w:rPr>
          <w:rFonts w:hint="eastAsia" w:ascii="华文仿宋" w:hAnsi="华文仿宋" w:eastAsia="华文仿宋"/>
          <w:sz w:val="24"/>
          <w:szCs w:val="24"/>
          <w:u w:color="000000"/>
        </w:rPr>
        <w:t>五、结论意见</w:t>
      </w:r>
      <w:bookmarkEnd w:id="27"/>
      <w:bookmarkEnd w:id="28"/>
    </w:p>
    <w:p>
      <w:pPr>
        <w:widowControl/>
        <w:tabs>
          <w:tab w:val="left" w:pos="360"/>
        </w:tabs>
        <w:autoSpaceDE w:val="0"/>
        <w:autoSpaceDN w:val="0"/>
        <w:adjustRightInd w:val="0"/>
        <w:spacing w:line="360" w:lineRule="auto"/>
        <w:ind w:firstLine="480"/>
        <w:jc w:val="left"/>
        <w:rPr>
          <w:rFonts w:ascii="华文仿宋" w:hAnsi="华文仿宋" w:eastAsia="华文仿宋" w:cs="宋体"/>
          <w:kern w:val="0"/>
          <w:u w:color="000000"/>
        </w:rPr>
      </w:pPr>
      <w:r>
        <w:rPr>
          <w:rFonts w:hint="eastAsia" w:ascii="华文仿宋" w:hAnsi="华文仿宋" w:eastAsia="华文仿宋" w:cs="宋体"/>
          <w:kern w:val="0"/>
          <w:u w:color="000000"/>
        </w:rPr>
        <w:t>综上所述，本所律师认为：</w:t>
      </w:r>
      <w:r>
        <w:rPr>
          <w:rFonts w:hint="eastAsia" w:ascii="华文仿宋" w:hAnsi="华文仿宋" w:eastAsia="华文仿宋" w:cs="Times New Roman"/>
          <w:lang w:eastAsia="zh-CN"/>
        </w:rPr>
        <w:t>云浮市云安区国有资产管理服务中心</w:t>
      </w:r>
      <w:r>
        <w:rPr>
          <w:rFonts w:hint="eastAsia" w:ascii="华文仿宋" w:hAnsi="华文仿宋" w:eastAsia="华文仿宋" w:cs="宋体"/>
          <w:kern w:val="0"/>
          <w:u w:color="000000"/>
        </w:rPr>
        <w:t>系本项目的组织实施机构；</w:t>
      </w:r>
      <w:r>
        <w:rPr>
          <w:rFonts w:hint="eastAsia" w:ascii="华文仿宋" w:hAnsi="华文仿宋" w:eastAsia="华文仿宋" w:cs="Times New Roman"/>
          <w:lang w:eastAsia="zh-CN"/>
        </w:rPr>
        <w:t>本项目由8个子项目组成，</w:t>
      </w:r>
      <w:r>
        <w:rPr>
          <w:rFonts w:hint="eastAsia" w:ascii="华文仿宋" w:hAnsi="华文仿宋" w:eastAsia="华文仿宋" w:cs="Times New Roman"/>
          <w:lang w:val="en-US" w:eastAsia="zh-CN"/>
        </w:rPr>
        <w:t>多个</w:t>
      </w:r>
      <w:r>
        <w:rPr>
          <w:rFonts w:hint="eastAsia" w:ascii="华文仿宋" w:hAnsi="华文仿宋" w:eastAsia="华文仿宋" w:cs="Times New Roman"/>
          <w:lang w:eastAsia="zh-CN"/>
        </w:rPr>
        <w:t>子项目已</w:t>
      </w:r>
      <w:r>
        <w:rPr>
          <w:rFonts w:hint="eastAsia" w:ascii="华文仿宋" w:hAnsi="华文仿宋" w:eastAsia="华文仿宋" w:cs="Times New Roman"/>
          <w:lang w:val="en-US" w:eastAsia="zh-CN"/>
        </w:rPr>
        <w:t>取得可行性研究报告的批复</w:t>
      </w:r>
      <w:r>
        <w:rPr>
          <w:rFonts w:hint="eastAsia" w:ascii="华文仿宋" w:hAnsi="华文仿宋" w:eastAsia="华文仿宋" w:cs="Times New Roman"/>
          <w:lang w:eastAsia="zh-CN"/>
        </w:rPr>
        <w:t>；</w:t>
      </w:r>
      <w:r>
        <w:rPr>
          <w:rFonts w:hint="eastAsia" w:ascii="华文仿宋" w:hAnsi="华文仿宋" w:eastAsia="华文仿宋" w:cs="宋体"/>
          <w:kern w:val="0"/>
          <w:u w:color="000000"/>
        </w:rPr>
        <w:t>本项目可实现项目收益和融资自求平衡；</w:t>
      </w:r>
      <w:r>
        <w:rPr>
          <w:rFonts w:hint="eastAsia" w:ascii="华文仿宋" w:hAnsi="华文仿宋" w:eastAsia="华文仿宋" w:cs="Times New Roman"/>
          <w:lang w:eastAsia="zh-CN"/>
        </w:rPr>
        <w:t>云浮市云安区国有资产管理服务中心</w:t>
      </w:r>
      <w:r>
        <w:rPr>
          <w:rFonts w:hint="eastAsia" w:ascii="华文仿宋" w:hAnsi="华文仿宋" w:eastAsia="华文仿宋" w:cs="宋体"/>
          <w:kern w:val="0"/>
          <w:u w:color="000000"/>
        </w:rPr>
        <w:t>应当根据《关于试点发展项目收益与融资自求平衡的地方政府专项债券品种的通知》（财预〔</w:t>
      </w:r>
      <w:r>
        <w:rPr>
          <w:rFonts w:ascii="华文仿宋" w:hAnsi="华文仿宋" w:eastAsia="华文仿宋" w:cs="宋体"/>
          <w:kern w:val="0"/>
          <w:u w:color="000000"/>
        </w:rPr>
        <w:t>2017</w:t>
      </w:r>
      <w:r>
        <w:rPr>
          <w:rFonts w:hint="eastAsia" w:ascii="华文仿宋" w:hAnsi="华文仿宋" w:eastAsia="华文仿宋" w:cs="宋体"/>
          <w:kern w:val="0"/>
          <w:u w:color="000000"/>
        </w:rPr>
        <w:t>〕</w:t>
      </w:r>
      <w:r>
        <w:rPr>
          <w:rFonts w:ascii="华文仿宋" w:hAnsi="华文仿宋" w:eastAsia="华文仿宋" w:cs="宋体"/>
          <w:kern w:val="0"/>
          <w:u w:color="000000"/>
        </w:rPr>
        <w:t>89</w:t>
      </w:r>
      <w:r>
        <w:rPr>
          <w:rFonts w:hint="eastAsia" w:ascii="华文仿宋" w:hAnsi="华文仿宋" w:eastAsia="华文仿宋" w:cs="宋体"/>
          <w:kern w:val="0"/>
          <w:u w:color="000000"/>
        </w:rPr>
        <w:t>号）、《财政部关于对地方政府债务实行限额管理的实施意见》（财预〔2015〕225号）、《国务院关于加强地方政府性债务管理的意见》（国发〔2014〕43号）的要求，将债券项目筹集的资金，专项用于本项目。</w:t>
      </w:r>
    </w:p>
    <w:p>
      <w:pPr>
        <w:widowControl/>
        <w:tabs>
          <w:tab w:val="left" w:pos="360"/>
        </w:tabs>
        <w:autoSpaceDE w:val="0"/>
        <w:autoSpaceDN w:val="0"/>
        <w:adjustRightInd w:val="0"/>
        <w:spacing w:line="360" w:lineRule="auto"/>
        <w:ind w:firstLine="480"/>
        <w:jc w:val="left"/>
      </w:pPr>
      <w:r>
        <w:rPr>
          <w:rFonts w:hint="eastAsia" w:ascii="华文仿宋" w:hAnsi="华文仿宋" w:eastAsia="华文仿宋" w:cs="宋体"/>
          <w:kern w:val="0"/>
          <w:u w:color="000000"/>
        </w:rPr>
        <w:t>（本页以下无正文）</w:t>
      </w:r>
    </w:p>
    <w:sectPr>
      <w:pgSz w:w="12240" w:h="15840"/>
      <w:pgMar w:top="1270" w:right="1689" w:bottom="1270" w:left="1689" w:header="720" w:footer="720" w:gutter="0"/>
      <w:pgNumType w:start="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华文仿宋">
    <w:panose1 w:val="02010600040101010101"/>
    <w:charset w:val="86"/>
    <w:family w:val="auto"/>
    <w:pitch w:val="default"/>
    <w:sig w:usb0="00000287" w:usb1="080F0000" w:usb2="00000000" w:usb3="00000000" w:csb0="0004009F" w:csb1="DFD70000"/>
  </w:font>
  <w:font w:name="方正仿宋_GBK">
    <w:altName w:val="微软雅黑"/>
    <w:panose1 w:val="00000000000000000000"/>
    <w:charset w:val="86"/>
    <w:family w:val="script"/>
    <w:pitch w:val="default"/>
    <w:sig w:usb0="00000000" w:usb1="00000000" w:usb2="00000000" w:usb3="00000000" w:csb0="00040000" w:csb1="00000000"/>
  </w:font>
  <w:font w:name="PMingLiU">
    <w:panose1 w:val="02020500000000000000"/>
    <w:charset w:val="88"/>
    <w:family w:val="roman"/>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8</w:t>
    </w:r>
    <w:r>
      <w:rPr>
        <w:rStyle w:val="14"/>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B82FB1"/>
    <w:multiLevelType w:val="multilevel"/>
    <w:tmpl w:val="B7B82FB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F248B8D"/>
    <w:multiLevelType w:val="singleLevel"/>
    <w:tmpl w:val="CF248B8D"/>
    <w:lvl w:ilvl="0" w:tentative="0">
      <w:start w:val="1"/>
      <w:numFmt w:val="decimal"/>
      <w:lvlText w:val="%1."/>
      <w:lvlJc w:val="left"/>
      <w:pPr>
        <w:ind w:left="425" w:hanging="425"/>
      </w:pPr>
      <w:rPr>
        <w:rFonts w:hint="default"/>
      </w:rPr>
    </w:lvl>
  </w:abstractNum>
  <w:abstractNum w:abstractNumId="2">
    <w:nsid w:val="EC0BA3BC"/>
    <w:multiLevelType w:val="multilevel"/>
    <w:tmpl w:val="EC0BA3B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DEB2C3C"/>
    <w:multiLevelType w:val="singleLevel"/>
    <w:tmpl w:val="EDEB2C3C"/>
    <w:lvl w:ilvl="0" w:tentative="0">
      <w:start w:val="1"/>
      <w:numFmt w:val="decimal"/>
      <w:lvlText w:val="%1."/>
      <w:lvlJc w:val="left"/>
      <w:pPr>
        <w:ind w:left="425" w:hanging="425"/>
      </w:pPr>
      <w:rPr>
        <w:rFonts w:hint="default"/>
      </w:rPr>
    </w:lvl>
  </w:abstractNum>
  <w:abstractNum w:abstractNumId="4">
    <w:nsid w:val="FE48B392"/>
    <w:multiLevelType w:val="multilevel"/>
    <w:tmpl w:val="FE48B3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1E7377E"/>
    <w:multiLevelType w:val="multilevel"/>
    <w:tmpl w:val="01E7377E"/>
    <w:lvl w:ilvl="0" w:tentative="0">
      <w:start w:val="1"/>
      <w:numFmt w:val="japaneseCounting"/>
      <w:lvlText w:val="%1、"/>
      <w:lvlJc w:val="left"/>
      <w:pPr>
        <w:ind w:left="1220" w:hanging="720"/>
      </w:pPr>
      <w:rPr>
        <w:rFonts w:hint="default"/>
        <w:b/>
      </w:rPr>
    </w:lvl>
    <w:lvl w:ilvl="1" w:tentative="0">
      <w:start w:val="1"/>
      <w:numFmt w:val="lowerLetter"/>
      <w:lvlText w:val="%2)"/>
      <w:lvlJc w:val="left"/>
      <w:pPr>
        <w:ind w:left="1340" w:hanging="420"/>
      </w:pPr>
    </w:lvl>
    <w:lvl w:ilvl="2" w:tentative="0">
      <w:start w:val="1"/>
      <w:numFmt w:val="lowerRoman"/>
      <w:lvlText w:val="%3."/>
      <w:lvlJc w:val="right"/>
      <w:pPr>
        <w:ind w:left="1760" w:hanging="420"/>
      </w:pPr>
    </w:lvl>
    <w:lvl w:ilvl="3" w:tentative="0">
      <w:start w:val="1"/>
      <w:numFmt w:val="decimal"/>
      <w:lvlText w:val="%4."/>
      <w:lvlJc w:val="left"/>
      <w:pPr>
        <w:ind w:left="420" w:hanging="420"/>
      </w:pPr>
    </w:lvl>
    <w:lvl w:ilvl="4" w:tentative="0">
      <w:start w:val="1"/>
      <w:numFmt w:val="lowerLetter"/>
      <w:lvlText w:val="%5)"/>
      <w:lvlJc w:val="left"/>
      <w:pPr>
        <w:ind w:left="2600" w:hanging="420"/>
      </w:pPr>
    </w:lvl>
    <w:lvl w:ilvl="5" w:tentative="0">
      <w:start w:val="1"/>
      <w:numFmt w:val="lowerRoman"/>
      <w:lvlText w:val="%6."/>
      <w:lvlJc w:val="right"/>
      <w:pPr>
        <w:ind w:left="3020" w:hanging="420"/>
      </w:pPr>
    </w:lvl>
    <w:lvl w:ilvl="6" w:tentative="0">
      <w:start w:val="1"/>
      <w:numFmt w:val="decimal"/>
      <w:lvlText w:val="%7."/>
      <w:lvlJc w:val="left"/>
      <w:pPr>
        <w:ind w:left="420" w:hanging="420"/>
      </w:pPr>
    </w:lvl>
    <w:lvl w:ilvl="7" w:tentative="0">
      <w:start w:val="1"/>
      <w:numFmt w:val="lowerLetter"/>
      <w:lvlText w:val="%8)"/>
      <w:lvlJc w:val="left"/>
      <w:pPr>
        <w:ind w:left="3860" w:hanging="420"/>
      </w:pPr>
    </w:lvl>
    <w:lvl w:ilvl="8" w:tentative="0">
      <w:start w:val="1"/>
      <w:numFmt w:val="lowerRoman"/>
      <w:lvlText w:val="%9."/>
      <w:lvlJc w:val="right"/>
      <w:pPr>
        <w:ind w:left="4280" w:hanging="420"/>
      </w:pPr>
    </w:lvl>
  </w:abstractNum>
  <w:abstractNum w:abstractNumId="6">
    <w:nsid w:val="33B67F5F"/>
    <w:multiLevelType w:val="multilevel"/>
    <w:tmpl w:val="33B67F5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CB83323"/>
    <w:multiLevelType w:val="multilevel"/>
    <w:tmpl w:val="4CB8332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7BD8B5E"/>
    <w:multiLevelType w:val="multilevel"/>
    <w:tmpl w:val="57BD8B5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31DF2BE"/>
    <w:multiLevelType w:val="multilevel"/>
    <w:tmpl w:val="631DF2B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3"/>
  </w:num>
  <w:num w:numId="3">
    <w:abstractNumId w:val="6"/>
  </w:num>
  <w:num w:numId="4">
    <w:abstractNumId w:val="9"/>
  </w:num>
  <w:num w:numId="5">
    <w:abstractNumId w:val="2"/>
  </w:num>
  <w:num w:numId="6">
    <w:abstractNumId w:val="4"/>
  </w:num>
  <w:num w:numId="7">
    <w:abstractNumId w:val="0"/>
  </w:num>
  <w:num w:numId="8">
    <w:abstractNumId w:val="1"/>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0ZjFlYWUyODk2YTAzMjI2MDUzNGM4YTExODg3MjMifQ=="/>
  </w:docVars>
  <w:rsids>
    <w:rsidRoot w:val="0061566D"/>
    <w:rsid w:val="0000170C"/>
    <w:rsid w:val="00010FD4"/>
    <w:rsid w:val="00060816"/>
    <w:rsid w:val="000A0218"/>
    <w:rsid w:val="000C4006"/>
    <w:rsid w:val="000D4277"/>
    <w:rsid w:val="000F4632"/>
    <w:rsid w:val="000F5880"/>
    <w:rsid w:val="001074B8"/>
    <w:rsid w:val="00155FB5"/>
    <w:rsid w:val="001E3C37"/>
    <w:rsid w:val="00211E19"/>
    <w:rsid w:val="0026391C"/>
    <w:rsid w:val="002F4268"/>
    <w:rsid w:val="003152A0"/>
    <w:rsid w:val="003221E6"/>
    <w:rsid w:val="003264A5"/>
    <w:rsid w:val="0034290B"/>
    <w:rsid w:val="003C4206"/>
    <w:rsid w:val="004C0DFB"/>
    <w:rsid w:val="00504D8A"/>
    <w:rsid w:val="005971B5"/>
    <w:rsid w:val="005C50C3"/>
    <w:rsid w:val="006048F1"/>
    <w:rsid w:val="0061566D"/>
    <w:rsid w:val="006A2256"/>
    <w:rsid w:val="006E1985"/>
    <w:rsid w:val="006F6D11"/>
    <w:rsid w:val="007670B4"/>
    <w:rsid w:val="00774A14"/>
    <w:rsid w:val="00781851"/>
    <w:rsid w:val="007D7894"/>
    <w:rsid w:val="007E250F"/>
    <w:rsid w:val="00826216"/>
    <w:rsid w:val="00831704"/>
    <w:rsid w:val="0085029E"/>
    <w:rsid w:val="008F6A83"/>
    <w:rsid w:val="0090454D"/>
    <w:rsid w:val="00942979"/>
    <w:rsid w:val="00990831"/>
    <w:rsid w:val="00996526"/>
    <w:rsid w:val="009B02B9"/>
    <w:rsid w:val="00A61A84"/>
    <w:rsid w:val="00A718B9"/>
    <w:rsid w:val="00AB27B3"/>
    <w:rsid w:val="00AE79BF"/>
    <w:rsid w:val="00B2018C"/>
    <w:rsid w:val="00B56E24"/>
    <w:rsid w:val="00B6617E"/>
    <w:rsid w:val="00BA492E"/>
    <w:rsid w:val="00BC0DD0"/>
    <w:rsid w:val="00C47166"/>
    <w:rsid w:val="00CD6F63"/>
    <w:rsid w:val="00CD7DC0"/>
    <w:rsid w:val="00D23C2E"/>
    <w:rsid w:val="00DB4901"/>
    <w:rsid w:val="00DF1F59"/>
    <w:rsid w:val="00E76AA6"/>
    <w:rsid w:val="00E91E5E"/>
    <w:rsid w:val="00F1412C"/>
    <w:rsid w:val="00F22434"/>
    <w:rsid w:val="00F36874"/>
    <w:rsid w:val="00F52681"/>
    <w:rsid w:val="00FF4E58"/>
    <w:rsid w:val="0104314B"/>
    <w:rsid w:val="03993F72"/>
    <w:rsid w:val="094873B2"/>
    <w:rsid w:val="0A8C6210"/>
    <w:rsid w:val="100A5794"/>
    <w:rsid w:val="11A20B5E"/>
    <w:rsid w:val="12B831F2"/>
    <w:rsid w:val="164E6A70"/>
    <w:rsid w:val="169C7F0D"/>
    <w:rsid w:val="17B374D2"/>
    <w:rsid w:val="19287EE0"/>
    <w:rsid w:val="193F7D58"/>
    <w:rsid w:val="1C8166F6"/>
    <w:rsid w:val="1CE00EEA"/>
    <w:rsid w:val="1DB17EE2"/>
    <w:rsid w:val="227B0906"/>
    <w:rsid w:val="241E3944"/>
    <w:rsid w:val="2646174C"/>
    <w:rsid w:val="2789089D"/>
    <w:rsid w:val="28D92C2A"/>
    <w:rsid w:val="2A4B64C1"/>
    <w:rsid w:val="2BA84618"/>
    <w:rsid w:val="2D244DEC"/>
    <w:rsid w:val="30AC5ED6"/>
    <w:rsid w:val="31572824"/>
    <w:rsid w:val="321B7CF6"/>
    <w:rsid w:val="333472C1"/>
    <w:rsid w:val="39073C7C"/>
    <w:rsid w:val="3A273188"/>
    <w:rsid w:val="3A7D2360"/>
    <w:rsid w:val="3A976D23"/>
    <w:rsid w:val="3BA55463"/>
    <w:rsid w:val="3C294452"/>
    <w:rsid w:val="3CAE4890"/>
    <w:rsid w:val="3D8B5960"/>
    <w:rsid w:val="43107404"/>
    <w:rsid w:val="46C65B59"/>
    <w:rsid w:val="47C805DE"/>
    <w:rsid w:val="49DB29DA"/>
    <w:rsid w:val="4A930494"/>
    <w:rsid w:val="4AB30E56"/>
    <w:rsid w:val="4AD13C17"/>
    <w:rsid w:val="4F3977BB"/>
    <w:rsid w:val="5125229E"/>
    <w:rsid w:val="51F84A92"/>
    <w:rsid w:val="539C52E6"/>
    <w:rsid w:val="549B36EE"/>
    <w:rsid w:val="560548FC"/>
    <w:rsid w:val="58E10AA2"/>
    <w:rsid w:val="5BD071D1"/>
    <w:rsid w:val="5E316028"/>
    <w:rsid w:val="5E436B91"/>
    <w:rsid w:val="67943681"/>
    <w:rsid w:val="67DC569D"/>
    <w:rsid w:val="697563C2"/>
    <w:rsid w:val="6EA56666"/>
    <w:rsid w:val="6FE3114C"/>
    <w:rsid w:val="71DA3CAC"/>
    <w:rsid w:val="724063E2"/>
    <w:rsid w:val="737D42EC"/>
    <w:rsid w:val="7660387E"/>
    <w:rsid w:val="774A7690"/>
    <w:rsid w:val="79992BD9"/>
    <w:rsid w:val="7A953ACC"/>
    <w:rsid w:val="7BC3396D"/>
    <w:rsid w:val="7C11633D"/>
    <w:rsid w:val="7E576F8D"/>
    <w:rsid w:val="7F4D21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3">
    <w:name w:val="heading 1"/>
    <w:basedOn w:val="1"/>
    <w:next w:val="1"/>
    <w:link w:val="15"/>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autoRedefine/>
    <w:unhideWhenUsed/>
    <w:qFormat/>
    <w:uiPriority w:val="99"/>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5">
    <w:name w:val="Balloon Text"/>
    <w:basedOn w:val="1"/>
    <w:link w:val="22"/>
    <w:autoRedefine/>
    <w:semiHidden/>
    <w:unhideWhenUsed/>
    <w:qFormat/>
    <w:uiPriority w:val="99"/>
    <w:rPr>
      <w:sz w:val="18"/>
      <w:szCs w:val="18"/>
    </w:r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autoRedefine/>
    <w:unhideWhenUsed/>
    <w:qFormat/>
    <w:uiPriority w:val="39"/>
    <w:pPr>
      <w:tabs>
        <w:tab w:val="right" w:leader="dot" w:pos="8630"/>
      </w:tabs>
      <w:spacing w:before="120" w:line="360" w:lineRule="auto"/>
      <w:jc w:val="left"/>
    </w:pPr>
    <w:rPr>
      <w:rFonts w:ascii="黑体" w:hAnsi="黑体" w:eastAsia="黑体"/>
      <w:b/>
      <w:lang w:val="zh-TW" w:eastAsia="zh-TW"/>
    </w:rPr>
  </w:style>
  <w:style w:type="paragraph" w:styleId="9">
    <w:name w:val="toc 2"/>
    <w:basedOn w:val="1"/>
    <w:next w:val="1"/>
    <w:autoRedefine/>
    <w:unhideWhenUsed/>
    <w:qFormat/>
    <w:uiPriority w:val="39"/>
    <w:pPr>
      <w:ind w:left="240"/>
      <w:jc w:val="left"/>
    </w:pPr>
    <w:rPr>
      <w:b/>
      <w:sz w:val="22"/>
      <w:szCs w:val="22"/>
    </w:rPr>
  </w:style>
  <w:style w:type="paragraph" w:styleId="10">
    <w:name w:val="Normal (Web)"/>
    <w:basedOn w:val="1"/>
    <w:autoRedefine/>
    <w:semiHidden/>
    <w:unhideWhenUsed/>
    <w:qFormat/>
    <w:uiPriority w:val="99"/>
    <w:pPr>
      <w:spacing w:beforeAutospacing="1" w:afterAutospacing="1"/>
      <w:jc w:val="left"/>
    </w:pPr>
    <w:rPr>
      <w:rFonts w:cs="Times New Roman"/>
      <w:kern w:val="0"/>
    </w:rPr>
  </w:style>
  <w:style w:type="table" w:styleId="12">
    <w:name w:val="Table Grid"/>
    <w:basedOn w:val="1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autoRedefine/>
    <w:unhideWhenUsed/>
    <w:qFormat/>
    <w:uiPriority w:val="99"/>
  </w:style>
  <w:style w:type="character" w:customStyle="1" w:styleId="15">
    <w:name w:val="标题 1 字符"/>
    <w:basedOn w:val="13"/>
    <w:link w:val="3"/>
    <w:autoRedefine/>
    <w:qFormat/>
    <w:uiPriority w:val="9"/>
    <w:rPr>
      <w:b/>
      <w:bCs/>
      <w:kern w:val="44"/>
      <w:sz w:val="44"/>
      <w:szCs w:val="44"/>
      <w:lang w:val="en-US"/>
    </w:rPr>
  </w:style>
  <w:style w:type="character" w:customStyle="1" w:styleId="16">
    <w:name w:val="标题 2 字符"/>
    <w:basedOn w:val="13"/>
    <w:link w:val="4"/>
    <w:autoRedefine/>
    <w:qFormat/>
    <w:uiPriority w:val="9"/>
    <w:rPr>
      <w:rFonts w:asciiTheme="majorHAnsi" w:hAnsiTheme="majorHAnsi" w:eastAsiaTheme="majorEastAsia" w:cstheme="majorBidi"/>
      <w:b/>
      <w:bCs/>
      <w:kern w:val="2"/>
      <w:sz w:val="32"/>
      <w:szCs w:val="32"/>
      <w:lang w:val="en-US"/>
    </w:rPr>
  </w:style>
  <w:style w:type="character" w:customStyle="1" w:styleId="17">
    <w:name w:val="页脚 字符"/>
    <w:basedOn w:val="13"/>
    <w:link w:val="6"/>
    <w:autoRedefine/>
    <w:qFormat/>
    <w:uiPriority w:val="99"/>
    <w:rPr>
      <w:kern w:val="2"/>
      <w:sz w:val="18"/>
      <w:szCs w:val="18"/>
      <w:lang w:val="en-US"/>
    </w:rPr>
  </w:style>
  <w:style w:type="table" w:customStyle="1" w:styleId="18">
    <w:name w:val="Table Normal1"/>
    <w:autoRedefine/>
    <w:qFormat/>
    <w:uiPriority w:val="0"/>
    <w:rPr>
      <w:rFonts w:eastAsia="Arial Unicode MS"/>
    </w:rPr>
    <w:tblPr>
      <w:tblCellMar>
        <w:top w:w="0" w:type="dxa"/>
        <w:left w:w="0" w:type="dxa"/>
        <w:bottom w:w="0" w:type="dxa"/>
        <w:right w:w="0" w:type="dxa"/>
      </w:tblCellMar>
    </w:tblPr>
  </w:style>
  <w:style w:type="paragraph" w:customStyle="1" w:styleId="19">
    <w:name w:val="纯文本1"/>
    <w:autoRedefine/>
    <w:qFormat/>
    <w:uiPriority w:val="0"/>
    <w:pPr>
      <w:widowControl w:val="0"/>
      <w:spacing w:line="500" w:lineRule="exact"/>
      <w:ind w:firstLine="200"/>
      <w:jc w:val="both"/>
    </w:pPr>
    <w:rPr>
      <w:rFonts w:hint="eastAsia" w:ascii="Arial Unicode MS" w:hAnsi="Arial Unicode MS" w:eastAsia="宋体" w:cs="Arial Unicode MS"/>
      <w:color w:val="000000"/>
      <w:kern w:val="2"/>
      <w:sz w:val="24"/>
      <w:szCs w:val="24"/>
      <w:u w:color="000000"/>
      <w:lang w:val="en-US" w:eastAsia="zh-CN" w:bidi="ar-SA"/>
    </w:rPr>
  </w:style>
  <w:style w:type="paragraph" w:styleId="20">
    <w:name w:val="List Paragraph"/>
    <w:basedOn w:val="1"/>
    <w:autoRedefine/>
    <w:qFormat/>
    <w:uiPriority w:val="34"/>
    <w:pPr>
      <w:ind w:firstLine="420" w:firstLineChars="200"/>
    </w:pPr>
  </w:style>
  <w:style w:type="paragraph" w:customStyle="1" w:styleId="21">
    <w:name w:val="Normal1"/>
    <w:autoRedefine/>
    <w:qFormat/>
    <w:uiPriority w:val="0"/>
    <w:pPr>
      <w:widowControl w:val="0"/>
      <w:jc w:val="both"/>
    </w:pPr>
    <w:rPr>
      <w:rFonts w:hint="eastAsia" w:ascii="Times New Roman" w:hAnsi="Times New Roman" w:eastAsia="宋体" w:cs="Times New Roman"/>
      <w:kern w:val="2"/>
      <w:sz w:val="21"/>
      <w:lang w:val="en-US" w:eastAsia="zh-CN" w:bidi="ar-SA"/>
    </w:rPr>
  </w:style>
  <w:style w:type="character" w:customStyle="1" w:styleId="22">
    <w:name w:val="批注框文本 字符"/>
    <w:basedOn w:val="13"/>
    <w:link w:val="5"/>
    <w:autoRedefine/>
    <w:semiHidden/>
    <w:qFormat/>
    <w:uiPriority w:val="99"/>
    <w:rPr>
      <w:kern w:val="2"/>
      <w:sz w:val="18"/>
      <w:szCs w:val="18"/>
      <w:lang w:val="en-US"/>
    </w:rPr>
  </w:style>
  <w:style w:type="character" w:customStyle="1" w:styleId="23">
    <w:name w:val="页眉 字符"/>
    <w:basedOn w:val="13"/>
    <w:link w:val="7"/>
    <w:autoRedefine/>
    <w:qFormat/>
    <w:uiPriority w:val="99"/>
    <w:rPr>
      <w:kern w:val="2"/>
      <w:sz w:val="18"/>
      <w:szCs w:val="18"/>
    </w:rPr>
  </w:style>
  <w:style w:type="table" w:customStyle="1" w:styleId="24">
    <w:name w:val="Table Normal"/>
    <w:autoRedefine/>
    <w:qFormat/>
    <w:uiPriority w:val="0"/>
    <w:rPr>
      <w:rFonts w:eastAsia="Arial Unicode M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D0BB5-FE39-4276-B9BF-0AE06711E79A}">
  <ds:schemaRefs/>
</ds:datastoreItem>
</file>

<file path=docProps/app.xml><?xml version="1.0" encoding="utf-8"?>
<Properties xmlns="http://schemas.openxmlformats.org/officeDocument/2006/extended-properties" xmlns:vt="http://schemas.openxmlformats.org/officeDocument/2006/docPropsVTypes">
  <Template>Normal</Template>
  <Pages>11</Pages>
  <Words>942</Words>
  <Characters>5376</Characters>
  <Lines>44</Lines>
  <Paragraphs>12</Paragraphs>
  <TotalTime>11</TotalTime>
  <ScaleCrop>false</ScaleCrop>
  <LinksUpToDate>false</LinksUpToDate>
  <CharactersWithSpaces>6306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2021-07-28T03:48:00Z</dcterms:created>
  <dc:creator>Aidan Guo</dc:creator>
  <cp:lastModifiedBy>Alicia颜文字</cp:lastModifiedBy>
  <cp:lastPrinted>2023-08-17T10:27:00Z</cp:lastPrinted>
  <dcterms:modified xsi:type="dcterms:W3CDTF">2024-01-17T07:07:46Z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27DCA625F69F4DE2BB895B6F7E19212A_13</vt:lpwstr>
  </property>
</Properties>
</file>