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E8352">
      <w:pPr>
        <w:ind w:left="2" w:leftChars="-2" w:hanging="7" w:hangingChars="3"/>
        <w:jc w:val="center"/>
      </w:pPr>
    </w:p>
    <w:p w14:paraId="20F0C3C6">
      <w:pPr>
        <w:ind w:left="2" w:leftChars="-2" w:hanging="7" w:hangingChars="3"/>
        <w:jc w:val="center"/>
      </w:pPr>
    </w:p>
    <w:p w14:paraId="4F933475">
      <w:pPr>
        <w:ind w:left="2" w:leftChars="-2" w:hanging="7" w:hangingChars="3"/>
        <w:jc w:val="center"/>
      </w:pPr>
    </w:p>
    <w:p w14:paraId="5D5048D0">
      <w:pPr>
        <w:ind w:left="2" w:leftChars="-2" w:hanging="7" w:hangingChars="3"/>
        <w:jc w:val="center"/>
      </w:pPr>
    </w:p>
    <w:p w14:paraId="6C064B5F">
      <w:pPr>
        <w:ind w:left="2" w:leftChars="-2" w:hanging="7" w:hangingChars="3"/>
        <w:jc w:val="center"/>
      </w:pPr>
    </w:p>
    <w:p w14:paraId="4886665C">
      <w:pPr>
        <w:widowControl/>
        <w:spacing w:line="460" w:lineRule="exact"/>
        <w:ind w:left="6" w:leftChars="-2" w:right="36" w:rightChars="15" w:hanging="11" w:hangingChars="3"/>
        <w:jc w:val="center"/>
        <w:rPr>
          <w:rFonts w:hint="eastAsia" w:ascii="华文中宋" w:hAnsi="华文中宋" w:eastAsia="华文中宋" w:cs="宋体"/>
          <w:spacing w:val="30"/>
          <w:kern w:val="0"/>
          <w:sz w:val="32"/>
          <w:szCs w:val="32"/>
        </w:rPr>
      </w:pPr>
      <w:r>
        <w:rPr>
          <w:rFonts w:hint="eastAsia" w:ascii="华文中宋" w:hAnsi="华文中宋" w:eastAsia="华文中宋" w:cs="宋体"/>
          <w:spacing w:val="30"/>
          <w:kern w:val="0"/>
          <w:sz w:val="32"/>
          <w:szCs w:val="32"/>
        </w:rPr>
        <w:t>北京大成（广州）律师事务所</w:t>
      </w:r>
    </w:p>
    <w:p w14:paraId="6711B228">
      <w:pPr>
        <w:widowControl/>
        <w:spacing w:line="460" w:lineRule="exact"/>
        <w:ind w:left="6" w:leftChars="-2" w:right="36" w:rightChars="15" w:hanging="11" w:hangingChars="3"/>
        <w:jc w:val="center"/>
        <w:rPr>
          <w:rFonts w:hint="eastAsia" w:ascii="华文中宋" w:hAnsi="华文中宋" w:eastAsia="华文中宋" w:cs="宋体"/>
          <w:spacing w:val="30"/>
          <w:kern w:val="0"/>
          <w:sz w:val="32"/>
          <w:szCs w:val="32"/>
        </w:rPr>
      </w:pPr>
      <w:bookmarkStart w:id="0" w:name="_Toc15537"/>
      <w:bookmarkStart w:id="1" w:name="_Toc32236"/>
      <w:bookmarkStart w:id="2" w:name="_Toc25580"/>
      <w:bookmarkStart w:id="3" w:name="_Toc14791"/>
      <w:r>
        <w:rPr>
          <w:rFonts w:hint="eastAsia" w:ascii="华文中宋" w:hAnsi="华文中宋" w:eastAsia="华文中宋" w:cs="宋体"/>
          <w:spacing w:val="30"/>
          <w:kern w:val="0"/>
          <w:sz w:val="32"/>
          <w:szCs w:val="32"/>
        </w:rPr>
        <w:t>关于</w:t>
      </w:r>
      <w:bookmarkEnd w:id="0"/>
      <w:bookmarkEnd w:id="1"/>
      <w:bookmarkEnd w:id="2"/>
      <w:bookmarkEnd w:id="3"/>
    </w:p>
    <w:p w14:paraId="2CECA776">
      <w:pPr>
        <w:widowControl/>
        <w:spacing w:line="460" w:lineRule="exact"/>
        <w:ind w:left="6" w:leftChars="-2" w:right="36" w:rightChars="15" w:hanging="11" w:hangingChars="3"/>
        <w:jc w:val="center"/>
        <w:rPr>
          <w:rFonts w:hint="eastAsia" w:ascii="华文中宋" w:hAnsi="华文中宋" w:eastAsia="华文中宋" w:cs="宋体"/>
          <w:spacing w:val="30"/>
          <w:kern w:val="0"/>
          <w:sz w:val="32"/>
          <w:szCs w:val="32"/>
        </w:rPr>
      </w:pPr>
      <w:r>
        <w:rPr>
          <w:rFonts w:hint="eastAsia" w:ascii="华文中宋" w:hAnsi="华文中宋" w:eastAsia="华文中宋" w:cs="宋体"/>
          <w:spacing w:val="30"/>
          <w:kern w:val="0"/>
          <w:sz w:val="32"/>
          <w:szCs w:val="32"/>
          <w:lang w:eastAsia="zh-CN"/>
        </w:rPr>
        <w:t>广州市花都区城市管理数字化与数据要素应用建设项目</w:t>
      </w:r>
      <w:r>
        <w:rPr>
          <w:rFonts w:hint="eastAsia" w:ascii="华文中宋" w:hAnsi="华文中宋" w:eastAsia="华文中宋" w:cs="宋体"/>
          <w:spacing w:val="30"/>
          <w:kern w:val="0"/>
          <w:sz w:val="32"/>
          <w:szCs w:val="32"/>
        </w:rPr>
        <w:t>之</w:t>
      </w:r>
    </w:p>
    <w:p w14:paraId="0DE1282C">
      <w:pPr>
        <w:widowControl/>
        <w:tabs>
          <w:tab w:val="left" w:pos="6660"/>
          <w:tab w:val="left" w:pos="7020"/>
        </w:tabs>
        <w:spacing w:before="190" w:beforeLines="50" w:line="360" w:lineRule="auto"/>
        <w:ind w:left="-5" w:leftChars="-2" w:firstLine="0" w:firstLineChars="0"/>
        <w:jc w:val="center"/>
        <w:rPr>
          <w:rFonts w:hint="eastAsia" w:ascii="华文中宋" w:hAnsi="华文中宋" w:eastAsia="华文中宋" w:cs="宋体"/>
          <w:spacing w:val="100"/>
          <w:kern w:val="0"/>
          <w:sz w:val="56"/>
          <w:szCs w:val="56"/>
        </w:rPr>
      </w:pPr>
      <w:r>
        <w:rPr>
          <w:rFonts w:hint="eastAsia" w:ascii="华文中宋" w:hAnsi="华文中宋" w:eastAsia="华文中宋" w:cs="宋体"/>
          <w:spacing w:val="100"/>
          <w:kern w:val="0"/>
          <w:sz w:val="56"/>
          <w:szCs w:val="56"/>
        </w:rPr>
        <w:t>法律意见书</w:t>
      </w:r>
    </w:p>
    <w:p w14:paraId="11CECC58">
      <w:pPr>
        <w:spacing w:line="240" w:lineRule="auto"/>
        <w:ind w:left="2" w:leftChars="-2" w:hanging="7" w:hangingChars="3"/>
        <w:jc w:val="center"/>
      </w:pPr>
    </w:p>
    <w:p w14:paraId="458213D3">
      <w:pPr>
        <w:ind w:left="2" w:leftChars="-2" w:hanging="7" w:hangingChars="3"/>
        <w:jc w:val="center"/>
      </w:pPr>
    </w:p>
    <w:p w14:paraId="2A3F66E9">
      <w:pPr>
        <w:ind w:left="2" w:leftChars="-2" w:hanging="7" w:hangingChars="3"/>
        <w:jc w:val="center"/>
      </w:pPr>
    </w:p>
    <w:p w14:paraId="5D5BC9A4">
      <w:pPr>
        <w:ind w:left="2" w:leftChars="-2" w:hanging="7" w:hangingChars="3"/>
        <w:jc w:val="center"/>
      </w:pPr>
    </w:p>
    <w:p w14:paraId="25537FFB">
      <w:pPr>
        <w:ind w:left="2" w:leftChars="-2" w:hanging="7" w:hangingChars="3"/>
        <w:jc w:val="center"/>
      </w:pPr>
    </w:p>
    <w:p w14:paraId="0F618D23">
      <w:pPr>
        <w:ind w:left="2" w:leftChars="-2" w:hanging="7" w:hangingChars="3"/>
        <w:jc w:val="center"/>
      </w:pPr>
    </w:p>
    <w:p w14:paraId="2C704019">
      <w:pPr>
        <w:ind w:left="2" w:leftChars="-2" w:hanging="7" w:hangingChars="3"/>
        <w:jc w:val="center"/>
      </w:pPr>
    </w:p>
    <w:p w14:paraId="6957C463">
      <w:pPr>
        <w:ind w:left="2" w:leftChars="-2" w:hanging="7" w:hangingChars="3"/>
        <w:jc w:val="center"/>
      </w:pPr>
    </w:p>
    <w:p w14:paraId="67160AD7">
      <w:pPr>
        <w:ind w:left="2" w:leftChars="-2" w:hanging="7" w:hangingChars="3"/>
        <w:jc w:val="center"/>
      </w:pPr>
    </w:p>
    <w:p w14:paraId="53AAC421">
      <w:pPr>
        <w:ind w:left="2" w:leftChars="-2" w:hanging="7" w:hangingChars="3"/>
        <w:jc w:val="center"/>
      </w:pPr>
    </w:p>
    <w:p w14:paraId="593300A6">
      <w:pPr>
        <w:spacing w:line="240" w:lineRule="atLeast"/>
        <w:ind w:left="2" w:leftChars="-2" w:hanging="7" w:hangingChars="3"/>
        <w:jc w:val="center"/>
      </w:pPr>
    </w:p>
    <w:p w14:paraId="14ACD845">
      <w:pPr>
        <w:ind w:left="2" w:leftChars="-2" w:hanging="7" w:hangingChars="3"/>
        <w:jc w:val="center"/>
      </w:pPr>
    </w:p>
    <w:p w14:paraId="45F17B20">
      <w:pPr>
        <w:ind w:left="6" w:leftChars="-2" w:hanging="11" w:hangingChars="3"/>
        <w:jc w:val="center"/>
        <w:rPr>
          <w:rFonts w:hint="eastAsia" w:ascii="华文中宋" w:hAnsi="华文中宋" w:eastAsia="华文中宋"/>
          <w:b/>
          <w:spacing w:val="30"/>
          <w:sz w:val="32"/>
          <w:szCs w:val="32"/>
        </w:rPr>
      </w:pPr>
      <w:r>
        <w:rPr>
          <w:rFonts w:hint="eastAsia" w:ascii="华文中宋" w:hAnsi="华文中宋" w:eastAsia="华文中宋"/>
          <w:b/>
          <w:spacing w:val="30"/>
          <w:sz w:val="32"/>
          <w:szCs w:val="32"/>
        </w:rPr>
        <w:t>北京</w:t>
      </w:r>
      <w:r>
        <w:rPr>
          <w:rFonts w:ascii="华文中宋" w:hAnsi="华文中宋" w:eastAsia="华文中宋"/>
          <w:b/>
          <w:spacing w:val="30"/>
          <w:sz w:val="32"/>
          <w:szCs w:val="32"/>
        </w:rPr>
        <w:t>大成</w:t>
      </w:r>
      <w:r>
        <w:rPr>
          <w:rFonts w:hint="eastAsia" w:ascii="华文中宋" w:hAnsi="华文中宋" w:eastAsia="华文中宋"/>
          <w:b/>
          <w:spacing w:val="30"/>
          <w:sz w:val="32"/>
          <w:szCs w:val="32"/>
        </w:rPr>
        <w:t>（广州）</w:t>
      </w:r>
      <w:r>
        <w:rPr>
          <w:rFonts w:ascii="华文中宋" w:hAnsi="华文中宋" w:eastAsia="华文中宋"/>
          <w:b/>
          <w:spacing w:val="30"/>
          <w:sz w:val="32"/>
          <w:szCs w:val="32"/>
        </w:rPr>
        <w:t>律师事务所</w:t>
      </w:r>
    </w:p>
    <w:p w14:paraId="5C0D4CF8">
      <w:pPr>
        <w:spacing w:line="260" w:lineRule="exact"/>
        <w:ind w:left="1" w:leftChars="-2" w:hanging="6" w:hangingChars="3"/>
        <w:jc w:val="center"/>
        <w:rPr>
          <w:rFonts w:ascii="Times New Roman" w:hAnsi="Times New Roman" w:eastAsia="华文中宋" w:cs="Times New Roman"/>
          <w:sz w:val="20"/>
          <w:szCs w:val="20"/>
        </w:rPr>
      </w:pPr>
    </w:p>
    <w:p w14:paraId="054EB7D7">
      <w:pPr>
        <w:spacing w:line="260" w:lineRule="exact"/>
        <w:ind w:left="1" w:leftChars="-2" w:hanging="6" w:hangingChars="3"/>
        <w:jc w:val="center"/>
        <w:rPr>
          <w:rFonts w:ascii="Times New Roman" w:hAnsi="Times New Roman" w:eastAsia="华文中宋" w:cs="Times New Roman"/>
          <w:sz w:val="20"/>
          <w:szCs w:val="20"/>
        </w:rPr>
      </w:pPr>
    </w:p>
    <w:p w14:paraId="37EF5C3E">
      <w:pPr>
        <w:spacing w:line="260" w:lineRule="exact"/>
        <w:ind w:left="1" w:leftChars="-2" w:hanging="6" w:hangingChars="3"/>
        <w:jc w:val="center"/>
        <w:rPr>
          <w:rFonts w:ascii="Times New Roman" w:hAnsi="Times New Roman" w:eastAsia="华文中宋" w:cs="Times New Roman"/>
          <w:sz w:val="20"/>
          <w:szCs w:val="20"/>
        </w:rPr>
      </w:pPr>
    </w:p>
    <w:p w14:paraId="74B285A5">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广东省广州市</w:t>
      </w:r>
      <w:r>
        <w:rPr>
          <w:rFonts w:hint="eastAsia" w:ascii="Times New Roman" w:hAnsi="Times New Roman" w:eastAsia="华文中宋" w:cs="Times New Roman"/>
          <w:sz w:val="20"/>
          <w:szCs w:val="20"/>
        </w:rPr>
        <w:t>海珠</w:t>
      </w:r>
      <w:r>
        <w:rPr>
          <w:rFonts w:ascii="Times New Roman" w:hAnsi="Times New Roman" w:eastAsia="华文中宋" w:cs="Times New Roman"/>
          <w:sz w:val="20"/>
          <w:szCs w:val="20"/>
        </w:rPr>
        <w:t>区珠江新城珠江东路6号广州周大福金融中心14-15层（邮编：510623）</w:t>
      </w:r>
    </w:p>
    <w:p w14:paraId="7FBE03F2">
      <w:pPr>
        <w:spacing w:line="260" w:lineRule="exact"/>
        <w:ind w:left="1" w:leftChars="-2" w:hanging="6" w:hangingChars="3"/>
        <w:jc w:val="center"/>
        <w:rPr>
          <w:rFonts w:hint="eastAsia" w:ascii="Times New Roman" w:hAnsi="Times New Roman" w:eastAsia="华文中宋" w:cs="Times New Roman"/>
          <w:sz w:val="20"/>
          <w:szCs w:val="20"/>
          <w:lang w:val="en-US" w:eastAsia="zh-CN"/>
        </w:rPr>
      </w:pPr>
      <w:r>
        <w:rPr>
          <w:rFonts w:ascii="Times New Roman" w:hAnsi="Times New Roman" w:eastAsia="华文中宋" w:cs="Times New Roman"/>
          <w:sz w:val="20"/>
          <w:szCs w:val="20"/>
        </w:rPr>
        <w:t>14</w:t>
      </w:r>
      <w:r>
        <w:rPr>
          <w:rFonts w:hint="eastAsia" w:ascii="Times New Roman" w:hAnsi="Times New Roman" w:eastAsia="华文中宋" w:cs="Times New Roman"/>
          <w:sz w:val="20"/>
          <w:szCs w:val="20"/>
          <w:lang w:val="en-US" w:eastAsia="zh-CN"/>
        </w:rPr>
        <w:t xml:space="preserve">/F </w:t>
      </w:r>
      <w:r>
        <w:rPr>
          <w:rFonts w:ascii="Times New Roman" w:hAnsi="Times New Roman" w:eastAsia="华文中宋" w:cs="Times New Roman"/>
          <w:sz w:val="20"/>
          <w:szCs w:val="20"/>
        </w:rPr>
        <w:t>15/F</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CTF</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Finance</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Centre</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Plaza</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No.6</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Zhujiang</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East</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Road</w:t>
      </w:r>
    </w:p>
    <w:p w14:paraId="37AA689B">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Zhujiang</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New</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Town</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Tianhe</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District</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Guangzhou510623</w:t>
      </w:r>
      <w:r>
        <w:rPr>
          <w:rFonts w:hint="eastAsia" w:ascii="Times New Roman" w:hAnsi="Times New Roman" w:eastAsia="华文中宋" w:cs="Times New Roman"/>
          <w:sz w:val="20"/>
          <w:szCs w:val="20"/>
          <w:lang w:val="en-US" w:eastAsia="zh-CN"/>
        </w:rPr>
        <w:t xml:space="preserve"> </w:t>
      </w:r>
      <w:r>
        <w:rPr>
          <w:rFonts w:ascii="Times New Roman" w:hAnsi="Times New Roman" w:eastAsia="华文中宋" w:cs="Times New Roman"/>
          <w:sz w:val="20"/>
          <w:szCs w:val="20"/>
        </w:rPr>
        <w:t>China</w:t>
      </w:r>
    </w:p>
    <w:p w14:paraId="1F7BC85E">
      <w:pPr>
        <w:spacing w:line="260" w:lineRule="exact"/>
        <w:ind w:left="1" w:leftChars="-2" w:hanging="6" w:hangingChars="3"/>
        <w:jc w:val="center"/>
        <w:rPr>
          <w:rFonts w:ascii="Times New Roman" w:hAnsi="Times New Roman" w:eastAsia="华文中宋" w:cs="Times New Roman"/>
          <w:sz w:val="20"/>
          <w:szCs w:val="20"/>
        </w:rPr>
      </w:pPr>
      <w:r>
        <w:rPr>
          <w:rFonts w:ascii="Times New Roman" w:hAnsi="Times New Roman" w:eastAsia="华文中宋" w:cs="Times New Roman"/>
          <w:sz w:val="20"/>
          <w:szCs w:val="20"/>
        </w:rPr>
        <w:t>Tel:+8620-85277000Fax:+8620-85277002</w:t>
      </w:r>
    </w:p>
    <w:p w14:paraId="6AC2919E">
      <w:pPr>
        <w:widowControl/>
        <w:spacing w:line="240" w:lineRule="auto"/>
        <w:ind w:firstLine="0" w:firstLineChars="0"/>
        <w:jc w:val="left"/>
        <w:rPr>
          <w:rFonts w:eastAsia="华文中宋" w:cs="Times New Roman"/>
          <w:sz w:val="20"/>
          <w:szCs w:val="20"/>
        </w:rPr>
      </w:pPr>
      <w:r>
        <w:rPr>
          <w:rFonts w:eastAsia="华文中宋" w:cs="Times New Roman"/>
          <w:sz w:val="20"/>
          <w:szCs w:val="20"/>
        </w:rPr>
        <w:br w:type="page"/>
      </w:r>
    </w:p>
    <w:p w14:paraId="45594193">
      <w:pPr>
        <w:spacing w:line="260" w:lineRule="exact"/>
        <w:ind w:left="1" w:leftChars="-2" w:hanging="6" w:hangingChars="3"/>
        <w:rPr>
          <w:rFonts w:eastAsia="华文中宋" w:cs="Times New Roman"/>
          <w:sz w:val="20"/>
          <w:szCs w:val="20"/>
        </w:rPr>
      </w:pPr>
    </w:p>
    <w:sdt>
      <w:sdtPr>
        <w:rPr>
          <w:rFonts w:ascii="宋体" w:hAnsi="宋体"/>
          <w:szCs w:val="24"/>
        </w:rPr>
        <w:id w:val="147480031"/>
        <w15:color w:val="DBDBDB"/>
        <w:docPartObj>
          <w:docPartGallery w:val="Table of Contents"/>
          <w:docPartUnique/>
        </w:docPartObj>
      </w:sdtPr>
      <w:sdtEndPr>
        <w:rPr>
          <w:rFonts w:ascii="宋体" w:hAnsi="宋体" w:cs="Times New Roman"/>
          <w:kern w:val="0"/>
          <w:szCs w:val="24"/>
        </w:rPr>
      </w:sdtEndPr>
      <w:sdtContent>
        <w:p w14:paraId="0C3582D1">
          <w:pPr>
            <w:spacing w:before="190" w:beforeLines="50" w:after="190" w:afterLines="50" w:line="240" w:lineRule="auto"/>
            <w:ind w:firstLine="0" w:firstLineChars="0"/>
            <w:jc w:val="center"/>
          </w:pPr>
          <w:r>
            <w:rPr>
              <w:rFonts w:ascii="Times New Roman" w:hAnsi="Times New Roman" w:cs="Times New Roman"/>
              <w:b/>
              <w:bCs/>
              <w:sz w:val="36"/>
              <w:szCs w:val="36"/>
            </w:rPr>
            <w:t>目录</w:t>
          </w:r>
        </w:p>
        <w:p w14:paraId="7BE83A4E">
          <w:pPr>
            <w:spacing w:before="190" w:beforeLines="50" w:after="190" w:afterLines="50" w:line="240" w:lineRule="auto"/>
            <w:ind w:firstLine="0" w:firstLineChars="0"/>
            <w:jc w:val="center"/>
          </w:pPr>
        </w:p>
        <w:p w14:paraId="1711ACE3">
          <w:pPr>
            <w:pStyle w:val="12"/>
            <w:tabs>
              <w:tab w:val="right" w:leader="dot" w:pos="8303"/>
            </w:tabs>
            <w:snapToGrid w:val="0"/>
            <w:spacing w:before="190" w:beforeLines="50" w:after="190" w:afterLines="50" w:line="240" w:lineRule="auto"/>
            <w:ind w:firstLine="602"/>
            <w:rPr>
              <w:rFonts w:ascii="Times New Roman" w:hAnsi="Times New Roman" w:cs="Times New Roman"/>
            </w:rPr>
          </w:pPr>
          <w:r>
            <w:rPr>
              <w:rFonts w:ascii="Times New Roman" w:hAnsi="Times New Roman" w:cs="Times New Roman"/>
              <w:b/>
              <w:kern w:val="0"/>
              <w:sz w:val="30"/>
              <w:szCs w:val="30"/>
            </w:rPr>
            <w:fldChar w:fldCharType="begin"/>
          </w:r>
          <w:r>
            <w:rPr>
              <w:rFonts w:ascii="Times New Roman" w:hAnsi="Times New Roman" w:cs="Times New Roman"/>
              <w:b/>
              <w:kern w:val="0"/>
              <w:sz w:val="30"/>
              <w:szCs w:val="30"/>
            </w:rPr>
            <w:instrText xml:space="preserve">TOC \o "1-3" \h \u </w:instrText>
          </w:r>
          <w:r>
            <w:rPr>
              <w:rFonts w:ascii="Times New Roman" w:hAnsi="Times New Roman" w:cs="Times New Roman"/>
              <w:b/>
              <w:kern w:val="0"/>
              <w:sz w:val="30"/>
              <w:szCs w:val="30"/>
            </w:rPr>
            <w:fldChar w:fldCharType="separate"/>
          </w:r>
          <w:r>
            <w:fldChar w:fldCharType="begin"/>
          </w:r>
          <w:r>
            <w:instrText xml:space="preserve"> HYPERLINK \l "_Toc31648" </w:instrText>
          </w:r>
          <w:r>
            <w:fldChar w:fldCharType="separate"/>
          </w:r>
          <w:r>
            <w:rPr>
              <w:rFonts w:ascii="Times New Roman" w:hAnsi="Times New Roman" w:cs="Times New Roman"/>
            </w:rPr>
            <w:t>释义</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_Toc31648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1C223F55">
          <w:pPr>
            <w:pStyle w:val="12"/>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"_Toc12729" </w:instrText>
          </w:r>
          <w:r>
            <w:fldChar w:fldCharType="separate"/>
          </w:r>
          <w:r>
            <w:rPr>
              <w:rFonts w:ascii="Times New Roman" w:hAnsi="Times New Roman" w:cs="Times New Roman"/>
            </w:rPr>
            <w:t>一、发行主体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_Toc12729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68E46290">
          <w:pPr>
            <w:pStyle w:val="12"/>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"_Toc244" </w:instrText>
          </w:r>
          <w:r>
            <w:fldChar w:fldCharType="separate"/>
          </w:r>
          <w:r>
            <w:rPr>
              <w:rFonts w:ascii="Times New Roman" w:hAnsi="Times New Roman" w:cs="Times New Roman"/>
            </w:rPr>
            <w:t>二、主管部门及实施主体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_Toc244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1CA6217B">
          <w:pPr>
            <w:pStyle w:val="12"/>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"_Toc5473" </w:instrText>
          </w:r>
          <w:r>
            <w:fldChar w:fldCharType="separate"/>
          </w:r>
          <w:r>
            <w:rPr>
              <w:rFonts w:ascii="Times New Roman" w:hAnsi="Times New Roman" w:cs="Times New Roman"/>
            </w:rPr>
            <w:t>三、本次债券发行对应的募投项目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_Toc5473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14:paraId="2C5F2621">
          <w:pPr>
            <w:pStyle w:val="12"/>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"_Toc3503" </w:instrText>
          </w:r>
          <w:r>
            <w:fldChar w:fldCharType="separate"/>
          </w:r>
          <w:r>
            <w:rPr>
              <w:rFonts w:ascii="Times New Roman" w:hAnsi="Times New Roman" w:cs="Times New Roman"/>
            </w:rPr>
            <w:t>四、项目公益性及收益与融资平衡情况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_Toc3503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14:paraId="59468D8A">
          <w:pPr>
            <w:pStyle w:val="12"/>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"_Toc4148" </w:instrText>
          </w:r>
          <w:r>
            <w:fldChar w:fldCharType="separate"/>
          </w:r>
          <w:r>
            <w:rPr>
              <w:rFonts w:ascii="Times New Roman" w:hAnsi="Times New Roman" w:cs="Times New Roman"/>
            </w:rPr>
            <w:t>五、发行文件及发行服务机构</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_Toc4148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14:paraId="02B0C0E7">
          <w:pPr>
            <w:pStyle w:val="12"/>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"_Toc25030" </w:instrText>
          </w:r>
          <w:r>
            <w:fldChar w:fldCharType="separate"/>
          </w:r>
          <w:r>
            <w:rPr>
              <w:rFonts w:ascii="Times New Roman" w:hAnsi="Times New Roman" w:cs="Times New Roman"/>
            </w:rPr>
            <w:t>六、项目风险提示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_Toc25030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fldChar w:fldCharType="end"/>
          </w:r>
        </w:p>
        <w:p w14:paraId="51E50242">
          <w:pPr>
            <w:pStyle w:val="12"/>
            <w:tabs>
              <w:tab w:val="right" w:leader="dot" w:pos="8303"/>
            </w:tabs>
            <w:snapToGrid w:val="0"/>
            <w:spacing w:before="190" w:beforeLines="50" w:after="190" w:afterLines="50" w:line="240" w:lineRule="auto"/>
            <w:ind w:firstLine="480"/>
            <w:rPr>
              <w:rFonts w:ascii="Times New Roman" w:hAnsi="Times New Roman" w:cs="Times New Roman"/>
            </w:rPr>
          </w:pPr>
          <w:r>
            <w:fldChar w:fldCharType="begin"/>
          </w:r>
          <w:r>
            <w:instrText xml:space="preserve"> HYPERLINK \l "_Toc20321" </w:instrText>
          </w:r>
          <w:r>
            <w:fldChar w:fldCharType="separate"/>
          </w:r>
          <w:r>
            <w:rPr>
              <w:rFonts w:ascii="Times New Roman" w:hAnsi="Times New Roman" w:cs="Times New Roman"/>
            </w:rPr>
            <w:t>七、总体结论性意见</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_Toc20321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fldChar w:fldCharType="end"/>
          </w:r>
        </w:p>
        <w:p w14:paraId="59947B7D">
          <w:pPr>
            <w:widowControl/>
            <w:snapToGrid w:val="0"/>
            <w:spacing w:before="190" w:beforeLines="50" w:after="190" w:afterLines="50" w:line="240" w:lineRule="auto"/>
            <w:ind w:firstLine="0" w:firstLineChars="0"/>
            <w:jc w:val="center"/>
            <w:rPr>
              <w:rFonts w:hint="eastAsia" w:ascii="宋体" w:hAnsi="宋体" w:cs="Times New Roman"/>
              <w:b/>
              <w:kern w:val="0"/>
              <w:szCs w:val="24"/>
            </w:rPr>
          </w:pPr>
          <w:r>
            <w:rPr>
              <w:rFonts w:ascii="Times New Roman" w:hAnsi="Times New Roman" w:cs="Times New Roman"/>
              <w:kern w:val="0"/>
              <w:szCs w:val="30"/>
            </w:rPr>
            <w:fldChar w:fldCharType="end"/>
          </w:r>
        </w:p>
      </w:sdtContent>
    </w:sdt>
    <w:p w14:paraId="30524F44">
      <w:pPr>
        <w:widowControl/>
        <w:spacing w:line="240" w:lineRule="auto"/>
        <w:ind w:firstLine="0" w:firstLineChars="0"/>
        <w:jc w:val="center"/>
        <w:rPr>
          <w:rFonts w:hint="eastAsia" w:ascii="宋体" w:hAnsi="宋体" w:cs="Times New Roman"/>
          <w:b/>
          <w:kern w:val="0"/>
          <w:szCs w:val="24"/>
        </w:rPr>
      </w:pPr>
    </w:p>
    <w:p w14:paraId="60B7A9E9">
      <w:pPr>
        <w:widowControl/>
        <w:spacing w:line="240" w:lineRule="auto"/>
        <w:ind w:firstLine="0" w:firstLineChars="0"/>
        <w:jc w:val="left"/>
        <w:rPr>
          <w:rFonts w:ascii="Times New Roman" w:hAnsi="Times New Roman" w:cs="Times New Roman"/>
          <w:b/>
          <w:kern w:val="0"/>
          <w:szCs w:val="24"/>
        </w:rPr>
      </w:pPr>
      <w:bookmarkStart w:id="4" w:name="_Toc484030683"/>
      <w:bookmarkStart w:id="5" w:name="_Toc92377674"/>
      <w:bookmarkStart w:id="6" w:name="_Toc15071"/>
      <w:bookmarkStart w:id="7" w:name="_Toc118210116"/>
      <w:bookmarkStart w:id="8" w:name="_Toc22950"/>
      <w:bookmarkStart w:id="9" w:name="_Toc29459"/>
      <w:bookmarkStart w:id="10" w:name="_Toc120719494"/>
      <w:bookmarkStart w:id="11" w:name="_Toc29048"/>
      <w:bookmarkStart w:id="12" w:name="_Toc30999"/>
      <w:bookmarkStart w:id="13" w:name="_Toc11562"/>
      <w:bookmarkStart w:id="14" w:name="_Toc12417"/>
      <w:bookmarkStart w:id="15" w:name="_Toc17931"/>
      <w:bookmarkStart w:id="16" w:name="_Toc483925173"/>
      <w:bookmarkStart w:id="17" w:name="_Toc22693"/>
      <w:r>
        <w:rPr>
          <w:rFonts w:ascii="Times New Roman" w:hAnsi="Times New Roman"/>
          <w:szCs w:val="24"/>
        </w:rPr>
        <w:br w:type="page"/>
      </w:r>
    </w:p>
    <w:p w14:paraId="00FE310E">
      <w:pPr>
        <w:pStyle w:val="3"/>
        <w:ind w:firstLine="0" w:firstLineChars="0"/>
        <w:jc w:val="center"/>
      </w:pPr>
      <w:bookmarkStart w:id="18" w:name="_Toc22868"/>
      <w:bookmarkStart w:id="19" w:name="_Toc31648"/>
      <w:r>
        <w:t>释义</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AC9EA8">
      <w:pPr>
        <w:spacing w:before="190" w:beforeLines="50" w:after="190" w:afterLines="50" w:line="360" w:lineRule="auto"/>
        <w:ind w:firstLine="480"/>
        <w:rPr>
          <w:rFonts w:ascii="Times New Roman" w:hAnsi="Times New Roman"/>
        </w:rPr>
      </w:pPr>
      <w:r>
        <w:rPr>
          <w:rFonts w:ascii="Times New Roman" w:hAnsi="Times New Roman"/>
        </w:rPr>
        <w:t>在本《法律意见书》中，除非文义另有所指，下列左栏中的术语或简称对应右栏中的全称或含义：</w:t>
      </w:r>
    </w:p>
    <w:tbl>
      <w:tblPr>
        <w:tblStyle w:val="17"/>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4"/>
        <w:gridCol w:w="646"/>
        <w:gridCol w:w="4826"/>
      </w:tblGrid>
      <w:tr w14:paraId="4CF85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864" w:type="dxa"/>
            <w:tcBorders>
              <w:top w:val="single" w:color="auto" w:sz="4" w:space="0"/>
            </w:tcBorders>
            <w:vAlign w:val="center"/>
          </w:tcPr>
          <w:p w14:paraId="234F7232">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中国</w:t>
            </w:r>
          </w:p>
        </w:tc>
        <w:tc>
          <w:tcPr>
            <w:tcW w:w="646" w:type="dxa"/>
            <w:tcBorders>
              <w:top w:val="single" w:color="auto" w:sz="4" w:space="0"/>
            </w:tcBorders>
            <w:vAlign w:val="center"/>
          </w:tcPr>
          <w:p w14:paraId="39DC9B01">
            <w:pPr>
              <w:pStyle w:val="7"/>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tcBorders>
              <w:top w:val="single" w:color="auto" w:sz="4" w:space="0"/>
            </w:tcBorders>
            <w:vAlign w:val="center"/>
          </w:tcPr>
          <w:p w14:paraId="5F334559">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中华人民共和国</w:t>
            </w:r>
          </w:p>
        </w:tc>
      </w:tr>
      <w:tr w14:paraId="038C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864" w:type="dxa"/>
            <w:tcBorders>
              <w:top w:val="single" w:color="auto" w:sz="4" w:space="0"/>
            </w:tcBorders>
            <w:vAlign w:val="center"/>
          </w:tcPr>
          <w:p w14:paraId="6D364C24">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财政部</w:t>
            </w:r>
          </w:p>
        </w:tc>
        <w:tc>
          <w:tcPr>
            <w:tcW w:w="646" w:type="dxa"/>
            <w:tcBorders>
              <w:top w:val="single" w:color="auto" w:sz="4" w:space="0"/>
            </w:tcBorders>
            <w:vAlign w:val="center"/>
          </w:tcPr>
          <w:p w14:paraId="57140001">
            <w:pPr>
              <w:pStyle w:val="7"/>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tcBorders>
              <w:top w:val="single" w:color="auto" w:sz="4" w:space="0"/>
            </w:tcBorders>
            <w:vAlign w:val="center"/>
          </w:tcPr>
          <w:p w14:paraId="35511B2D">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中华人民共和国财政部</w:t>
            </w:r>
          </w:p>
        </w:tc>
      </w:tr>
      <w:tr w14:paraId="5CA56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864" w:type="dxa"/>
            <w:tcBorders>
              <w:top w:val="single" w:color="auto" w:sz="4" w:space="0"/>
            </w:tcBorders>
            <w:vAlign w:val="center"/>
          </w:tcPr>
          <w:p w14:paraId="3D650257">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发行人/发行主体</w:t>
            </w:r>
          </w:p>
        </w:tc>
        <w:tc>
          <w:tcPr>
            <w:tcW w:w="646" w:type="dxa"/>
            <w:tcBorders>
              <w:top w:val="single" w:color="auto" w:sz="4" w:space="0"/>
            </w:tcBorders>
            <w:vAlign w:val="center"/>
          </w:tcPr>
          <w:p w14:paraId="6717A59C">
            <w:pPr>
              <w:pStyle w:val="7"/>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tcBorders>
              <w:top w:val="single" w:color="auto" w:sz="4" w:space="0"/>
            </w:tcBorders>
            <w:vAlign w:val="center"/>
          </w:tcPr>
          <w:p w14:paraId="113941FE">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广东省人民政府</w:t>
            </w:r>
          </w:p>
        </w:tc>
      </w:tr>
      <w:tr w14:paraId="791D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511884ED">
            <w:pPr>
              <w:pStyle w:val="7"/>
              <w:spacing w:before="190" w:beforeLines="50" w:after="190" w:afterLines="50" w:line="240" w:lineRule="auto"/>
              <w:ind w:left="0" w:firstLine="0" w:firstLineChars="0"/>
              <w:jc w:val="both"/>
              <w:rPr>
                <w:rFonts w:hint="eastAsia"/>
                <w:kern w:val="2"/>
                <w:highlight w:val="yellow"/>
                <w:lang w:eastAsia="zh-CN"/>
              </w:rPr>
            </w:pPr>
            <w:r>
              <w:rPr>
                <w:rFonts w:hint="eastAsia"/>
                <w:kern w:val="2"/>
                <w:lang w:eastAsia="zh-CN"/>
              </w:rPr>
              <w:t>贵方</w:t>
            </w:r>
          </w:p>
        </w:tc>
        <w:tc>
          <w:tcPr>
            <w:tcW w:w="646" w:type="dxa"/>
            <w:vAlign w:val="center"/>
          </w:tcPr>
          <w:p w14:paraId="34B069FD">
            <w:pPr>
              <w:pStyle w:val="7"/>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6EDEEC58">
            <w:pPr>
              <w:pStyle w:val="7"/>
              <w:spacing w:before="190" w:beforeLines="50" w:after="190" w:afterLines="50" w:line="240" w:lineRule="auto"/>
              <w:ind w:left="0" w:firstLine="0" w:firstLineChars="0"/>
              <w:jc w:val="both"/>
              <w:rPr>
                <w:rFonts w:hint="eastAsia"/>
                <w:kern w:val="2"/>
                <w:highlight w:val="yellow"/>
                <w:lang w:eastAsia="zh-CN"/>
              </w:rPr>
            </w:pPr>
            <w:r>
              <w:rPr>
                <w:rFonts w:hint="eastAsia"/>
                <w:kern w:val="2"/>
                <w:lang w:eastAsia="zh-CN"/>
              </w:rPr>
              <w:t>广州市财政局</w:t>
            </w:r>
          </w:p>
        </w:tc>
      </w:tr>
      <w:tr w14:paraId="2F32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0922E687">
            <w:pPr>
              <w:pStyle w:val="7"/>
              <w:spacing w:before="190" w:beforeLines="50" w:after="190" w:afterLines="50" w:line="240" w:lineRule="auto"/>
              <w:ind w:left="0" w:firstLine="0" w:firstLineChars="0"/>
              <w:jc w:val="both"/>
              <w:rPr>
                <w:rFonts w:hint="default"/>
                <w:kern w:val="2"/>
                <w:lang w:val="en-US" w:eastAsia="zh-CN"/>
              </w:rPr>
            </w:pPr>
            <w:r>
              <w:rPr>
                <w:rFonts w:hint="eastAsia"/>
                <w:kern w:val="2"/>
                <w:lang w:val="en-US" w:eastAsia="zh-CN"/>
              </w:rPr>
              <w:t>花都政务服务和数据管理局</w:t>
            </w:r>
          </w:p>
        </w:tc>
        <w:tc>
          <w:tcPr>
            <w:tcW w:w="646" w:type="dxa"/>
            <w:vAlign w:val="center"/>
          </w:tcPr>
          <w:p w14:paraId="1AF290E7">
            <w:pPr>
              <w:pStyle w:val="7"/>
              <w:spacing w:before="190" w:beforeLines="50" w:after="190" w:afterLines="50" w:line="240" w:lineRule="auto"/>
              <w:ind w:left="0" w:firstLine="0" w:firstLineChars="0"/>
              <w:jc w:val="center"/>
              <w:rPr>
                <w:rFonts w:hint="eastAsia"/>
                <w:kern w:val="2"/>
                <w:lang w:eastAsia="zh-CN"/>
              </w:rPr>
            </w:pPr>
            <w:r>
              <w:rPr>
                <w:kern w:val="2"/>
                <w:lang w:eastAsia="zh-CN"/>
              </w:rPr>
              <w:t>指</w:t>
            </w:r>
          </w:p>
        </w:tc>
        <w:tc>
          <w:tcPr>
            <w:tcW w:w="4826" w:type="dxa"/>
            <w:vAlign w:val="center"/>
          </w:tcPr>
          <w:p w14:paraId="66ADA8CF">
            <w:pPr>
              <w:pStyle w:val="7"/>
              <w:spacing w:before="190" w:beforeLines="50" w:after="190" w:afterLines="50" w:line="240" w:lineRule="auto"/>
              <w:ind w:left="0" w:firstLine="0" w:firstLineChars="0"/>
              <w:jc w:val="both"/>
              <w:rPr>
                <w:rFonts w:hint="default"/>
                <w:kern w:val="2"/>
                <w:lang w:val="en-US" w:eastAsia="zh-CN"/>
              </w:rPr>
            </w:pPr>
            <w:r>
              <w:rPr>
                <w:rFonts w:hint="eastAsia"/>
                <w:kern w:val="2"/>
                <w:lang w:eastAsia="zh-CN"/>
              </w:rPr>
              <w:t>广州市</w:t>
            </w:r>
            <w:r>
              <w:rPr>
                <w:rFonts w:hint="eastAsia"/>
                <w:kern w:val="2"/>
                <w:lang w:val="en-US" w:eastAsia="zh-CN"/>
              </w:rPr>
              <w:t>花都区政务服务和数据管理局</w:t>
            </w:r>
          </w:p>
        </w:tc>
      </w:tr>
      <w:tr w14:paraId="3ED1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34692A67">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募投项目/本项目</w:t>
            </w:r>
          </w:p>
        </w:tc>
        <w:tc>
          <w:tcPr>
            <w:tcW w:w="646" w:type="dxa"/>
            <w:vAlign w:val="center"/>
          </w:tcPr>
          <w:p w14:paraId="418C7514">
            <w:pPr>
              <w:pStyle w:val="7"/>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44745AEE">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广州市花都区城市管理数字化与数据要素应用建设项目</w:t>
            </w:r>
          </w:p>
        </w:tc>
      </w:tr>
      <w:tr w14:paraId="6500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79E0C7DE">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《实施方案》</w:t>
            </w:r>
          </w:p>
        </w:tc>
        <w:tc>
          <w:tcPr>
            <w:tcW w:w="646" w:type="dxa"/>
            <w:vAlign w:val="center"/>
          </w:tcPr>
          <w:p w14:paraId="3F60885C">
            <w:pPr>
              <w:pStyle w:val="7"/>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755BFCDF">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《广州市花都区城市管理数字化与数据要素应用建设项目实施方案》</w:t>
            </w:r>
          </w:p>
        </w:tc>
      </w:tr>
      <w:tr w14:paraId="004D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7097709F">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《评价报告》</w:t>
            </w:r>
          </w:p>
        </w:tc>
        <w:tc>
          <w:tcPr>
            <w:tcW w:w="646" w:type="dxa"/>
            <w:vAlign w:val="center"/>
          </w:tcPr>
          <w:p w14:paraId="7CC864B7">
            <w:pPr>
              <w:pStyle w:val="7"/>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2ECCC27C">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广州市光领有限责任会计师事务所出具的《报告》</w:t>
            </w:r>
          </w:p>
        </w:tc>
      </w:tr>
      <w:tr w14:paraId="46BB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4306D686">
            <w:pPr>
              <w:pStyle w:val="7"/>
              <w:spacing w:before="190" w:beforeLines="50" w:after="190" w:afterLines="50" w:line="240" w:lineRule="auto"/>
              <w:ind w:left="0" w:firstLine="0" w:firstLineChars="0"/>
              <w:jc w:val="both"/>
              <w:rPr>
                <w:rFonts w:hint="eastAsia"/>
                <w:kern w:val="2"/>
                <w:lang w:eastAsia="zh-CN"/>
              </w:rPr>
            </w:pPr>
            <w:r>
              <w:rPr>
                <w:kern w:val="2"/>
                <w:lang w:eastAsia="zh-CN"/>
              </w:rPr>
              <w:t>本所及/或本所律师</w:t>
            </w:r>
          </w:p>
        </w:tc>
        <w:tc>
          <w:tcPr>
            <w:tcW w:w="646" w:type="dxa"/>
            <w:vAlign w:val="center"/>
          </w:tcPr>
          <w:p w14:paraId="7860A5C6">
            <w:pPr>
              <w:pStyle w:val="7"/>
              <w:spacing w:before="190" w:beforeLines="50" w:after="190" w:afterLines="50" w:line="240" w:lineRule="auto"/>
              <w:ind w:left="0" w:firstLine="0" w:firstLineChars="0"/>
              <w:jc w:val="center"/>
              <w:rPr>
                <w:rFonts w:hint="eastAsia"/>
                <w:kern w:val="2"/>
                <w:lang w:eastAsia="zh-CN"/>
              </w:rPr>
            </w:pPr>
            <w:r>
              <w:rPr>
                <w:kern w:val="2"/>
                <w:lang w:eastAsia="zh-CN"/>
              </w:rPr>
              <w:t>指</w:t>
            </w:r>
          </w:p>
        </w:tc>
        <w:tc>
          <w:tcPr>
            <w:tcW w:w="4826" w:type="dxa"/>
            <w:vAlign w:val="center"/>
          </w:tcPr>
          <w:p w14:paraId="2EC49604">
            <w:pPr>
              <w:pStyle w:val="7"/>
              <w:spacing w:before="190" w:beforeLines="50" w:after="190" w:afterLines="50" w:line="240" w:lineRule="auto"/>
              <w:ind w:left="0" w:firstLine="0" w:firstLineChars="0"/>
              <w:jc w:val="both"/>
              <w:rPr>
                <w:rFonts w:hint="eastAsia"/>
                <w:kern w:val="2"/>
                <w:lang w:eastAsia="zh-CN"/>
              </w:rPr>
            </w:pPr>
            <w:r>
              <w:rPr>
                <w:kern w:val="2"/>
                <w:lang w:eastAsia="zh-CN"/>
              </w:rPr>
              <w:t>北京大成（广州）律师事务所及/或其经办律师</w:t>
            </w:r>
          </w:p>
        </w:tc>
      </w:tr>
      <w:tr w14:paraId="1DEF9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3072BAF5">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光领会计所</w:t>
            </w:r>
          </w:p>
        </w:tc>
        <w:tc>
          <w:tcPr>
            <w:tcW w:w="646" w:type="dxa"/>
            <w:vAlign w:val="center"/>
          </w:tcPr>
          <w:p w14:paraId="3C7B1A00">
            <w:pPr>
              <w:pStyle w:val="7"/>
              <w:spacing w:before="190" w:beforeLines="50" w:after="190" w:afterLines="50" w:line="240" w:lineRule="auto"/>
              <w:ind w:left="0" w:firstLine="0" w:firstLineChars="0"/>
              <w:jc w:val="center"/>
              <w:rPr>
                <w:rFonts w:hint="eastAsia"/>
                <w:kern w:val="2"/>
                <w:lang w:eastAsia="zh-CN"/>
              </w:rPr>
            </w:pPr>
            <w:r>
              <w:rPr>
                <w:rFonts w:hint="eastAsia"/>
                <w:kern w:val="2"/>
                <w:lang w:eastAsia="zh-CN"/>
              </w:rPr>
              <w:t>指</w:t>
            </w:r>
          </w:p>
        </w:tc>
        <w:tc>
          <w:tcPr>
            <w:tcW w:w="4826" w:type="dxa"/>
            <w:vAlign w:val="center"/>
          </w:tcPr>
          <w:p w14:paraId="59A15966">
            <w:pPr>
              <w:pStyle w:val="7"/>
              <w:spacing w:before="190" w:beforeLines="50" w:after="190" w:afterLines="50" w:line="240" w:lineRule="auto"/>
              <w:ind w:left="0" w:firstLine="0" w:firstLineChars="0"/>
              <w:jc w:val="both"/>
              <w:rPr>
                <w:rFonts w:hint="eastAsia"/>
                <w:kern w:val="2"/>
                <w:lang w:eastAsia="zh-CN"/>
              </w:rPr>
            </w:pPr>
            <w:r>
              <w:rPr>
                <w:rFonts w:hint="eastAsia"/>
                <w:kern w:val="2"/>
                <w:lang w:eastAsia="zh-CN"/>
              </w:rPr>
              <w:t>广州市光领有限责任会计师事务所</w:t>
            </w:r>
          </w:p>
        </w:tc>
      </w:tr>
      <w:tr w14:paraId="1ED0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64" w:type="dxa"/>
            <w:vAlign w:val="center"/>
          </w:tcPr>
          <w:p w14:paraId="0AA8B1E5">
            <w:pPr>
              <w:pStyle w:val="7"/>
              <w:spacing w:before="190" w:beforeLines="50" w:after="190" w:afterLines="50" w:line="240" w:lineRule="auto"/>
              <w:ind w:left="0" w:firstLine="0" w:firstLineChars="0"/>
              <w:jc w:val="both"/>
              <w:rPr>
                <w:rFonts w:hint="eastAsia"/>
                <w:kern w:val="2"/>
                <w:lang w:eastAsia="zh-CN"/>
              </w:rPr>
            </w:pPr>
            <w:r>
              <w:rPr>
                <w:kern w:val="2"/>
                <w:lang w:eastAsia="zh-CN"/>
              </w:rPr>
              <w:t>元、万元</w:t>
            </w:r>
            <w:r>
              <w:rPr>
                <w:rFonts w:hint="eastAsia"/>
                <w:kern w:val="2"/>
                <w:lang w:eastAsia="zh-CN"/>
              </w:rPr>
              <w:t>、亿元</w:t>
            </w:r>
          </w:p>
        </w:tc>
        <w:tc>
          <w:tcPr>
            <w:tcW w:w="646" w:type="dxa"/>
            <w:vAlign w:val="center"/>
          </w:tcPr>
          <w:p w14:paraId="04BD6381">
            <w:pPr>
              <w:pStyle w:val="7"/>
              <w:spacing w:before="190" w:beforeLines="50" w:after="190" w:afterLines="50" w:line="240" w:lineRule="auto"/>
              <w:ind w:left="0" w:firstLine="0" w:firstLineChars="0"/>
              <w:jc w:val="center"/>
              <w:rPr>
                <w:rFonts w:hint="eastAsia"/>
                <w:kern w:val="2"/>
                <w:lang w:eastAsia="zh-CN"/>
              </w:rPr>
            </w:pPr>
            <w:r>
              <w:rPr>
                <w:kern w:val="2"/>
                <w:lang w:eastAsia="zh-CN"/>
              </w:rPr>
              <w:t>指</w:t>
            </w:r>
          </w:p>
        </w:tc>
        <w:tc>
          <w:tcPr>
            <w:tcW w:w="4826" w:type="dxa"/>
            <w:vAlign w:val="center"/>
          </w:tcPr>
          <w:p w14:paraId="709F0003">
            <w:pPr>
              <w:pStyle w:val="7"/>
              <w:spacing w:before="190" w:beforeLines="50" w:after="190" w:afterLines="50" w:line="240" w:lineRule="auto"/>
              <w:ind w:left="0" w:firstLine="0" w:firstLineChars="0"/>
              <w:jc w:val="both"/>
              <w:rPr>
                <w:rFonts w:hint="eastAsia"/>
                <w:kern w:val="2"/>
                <w:lang w:eastAsia="zh-CN"/>
              </w:rPr>
            </w:pPr>
            <w:r>
              <w:rPr>
                <w:kern w:val="2"/>
                <w:lang w:eastAsia="zh-CN"/>
              </w:rPr>
              <w:t>人民币元、人民币万元</w:t>
            </w:r>
            <w:r>
              <w:rPr>
                <w:rFonts w:hint="eastAsia"/>
                <w:kern w:val="2"/>
                <w:lang w:eastAsia="zh-CN"/>
              </w:rPr>
              <w:t>、</w:t>
            </w:r>
            <w:r>
              <w:rPr>
                <w:kern w:val="2"/>
                <w:lang w:eastAsia="zh-CN"/>
              </w:rPr>
              <w:t>人民币</w:t>
            </w:r>
            <w:r>
              <w:rPr>
                <w:rFonts w:hint="eastAsia"/>
                <w:kern w:val="2"/>
                <w:lang w:eastAsia="zh-CN"/>
              </w:rPr>
              <w:t>亿元</w:t>
            </w:r>
          </w:p>
        </w:tc>
      </w:tr>
    </w:tbl>
    <w:p w14:paraId="3A90FC46">
      <w:pPr>
        <w:widowControl/>
        <w:spacing w:line="240" w:lineRule="auto"/>
        <w:ind w:firstLine="0" w:firstLineChars="0"/>
        <w:jc w:val="left"/>
        <w:rPr>
          <w:rFonts w:hint="eastAsia" w:ascii="宋体" w:hAnsi="宋体" w:cs="Times New Roman"/>
          <w:b/>
          <w:kern w:val="0"/>
          <w:sz w:val="30"/>
          <w:szCs w:val="30"/>
        </w:rPr>
      </w:pPr>
      <w:r>
        <w:rPr>
          <w:rFonts w:ascii="宋体" w:hAnsi="宋体" w:cs="Times New Roman"/>
          <w:b/>
          <w:kern w:val="0"/>
          <w:sz w:val="30"/>
          <w:szCs w:val="30"/>
        </w:rPr>
        <w:br w:type="page"/>
      </w:r>
    </w:p>
    <w:p w14:paraId="672AE1FE">
      <w:pPr>
        <w:widowControl/>
        <w:spacing w:line="240" w:lineRule="auto"/>
        <w:ind w:firstLine="0" w:firstLineChars="0"/>
        <w:jc w:val="center"/>
        <w:rPr>
          <w:rFonts w:hint="eastAsia" w:ascii="宋体" w:hAnsi="宋体" w:cs="Times New Roman"/>
          <w:b/>
          <w:kern w:val="0"/>
          <w:sz w:val="30"/>
          <w:szCs w:val="30"/>
        </w:rPr>
      </w:pPr>
      <w:r>
        <w:rPr>
          <w:rFonts w:ascii="宋体" w:hAnsi="宋体" w:cs="Times New Roman"/>
          <w:b/>
          <w:kern w:val="0"/>
          <w:sz w:val="30"/>
          <w:szCs w:val="30"/>
        </w:rPr>
        <w:t>北京大成</w:t>
      </w:r>
      <w:r>
        <w:rPr>
          <w:rFonts w:hint="eastAsia" w:ascii="宋体" w:hAnsi="宋体" w:cs="Times New Roman"/>
          <w:b/>
          <w:kern w:val="0"/>
          <w:sz w:val="30"/>
          <w:szCs w:val="30"/>
        </w:rPr>
        <w:t>（广州）</w:t>
      </w:r>
      <w:r>
        <w:rPr>
          <w:rFonts w:ascii="宋体" w:hAnsi="宋体" w:cs="Times New Roman"/>
          <w:b/>
          <w:kern w:val="0"/>
          <w:sz w:val="30"/>
          <w:szCs w:val="30"/>
        </w:rPr>
        <w:t>律师事务所</w:t>
      </w:r>
    </w:p>
    <w:p w14:paraId="732CC1EF">
      <w:pPr>
        <w:widowControl/>
        <w:spacing w:line="240" w:lineRule="auto"/>
        <w:ind w:firstLine="0" w:firstLineChars="0"/>
        <w:jc w:val="center"/>
        <w:rPr>
          <w:rFonts w:hint="eastAsia" w:ascii="宋体" w:hAnsi="宋体" w:cs="Times New Roman"/>
          <w:b/>
          <w:kern w:val="0"/>
          <w:sz w:val="30"/>
          <w:szCs w:val="30"/>
        </w:rPr>
      </w:pPr>
      <w:r>
        <w:rPr>
          <w:rFonts w:hint="eastAsia" w:ascii="宋体" w:hAnsi="宋体" w:cs="Times New Roman"/>
          <w:b/>
          <w:kern w:val="0"/>
          <w:sz w:val="30"/>
          <w:szCs w:val="30"/>
        </w:rPr>
        <w:t>关于</w:t>
      </w:r>
      <w:r>
        <w:rPr>
          <w:rFonts w:hint="eastAsia" w:ascii="宋体" w:hAnsi="宋体" w:cs="Times New Roman"/>
          <w:b/>
          <w:kern w:val="0"/>
          <w:sz w:val="30"/>
          <w:szCs w:val="30"/>
          <w:lang w:eastAsia="zh-CN"/>
        </w:rPr>
        <w:t>广州市花都区城市管理数字化与数据要素应用建设项目</w:t>
      </w:r>
      <w:r>
        <w:rPr>
          <w:rFonts w:hint="eastAsia" w:ascii="宋体" w:hAnsi="宋体" w:cs="Times New Roman"/>
          <w:b/>
          <w:kern w:val="0"/>
          <w:sz w:val="30"/>
          <w:szCs w:val="30"/>
        </w:rPr>
        <w:t>之</w:t>
      </w:r>
    </w:p>
    <w:p w14:paraId="1718E6E9">
      <w:pPr>
        <w:widowControl/>
        <w:spacing w:line="240" w:lineRule="auto"/>
        <w:ind w:firstLine="0" w:firstLineChars="0"/>
        <w:jc w:val="center"/>
        <w:rPr>
          <w:rFonts w:hint="eastAsia" w:ascii="宋体" w:hAnsi="宋体" w:cs="Times New Roman"/>
          <w:kern w:val="0"/>
          <w:szCs w:val="24"/>
        </w:rPr>
      </w:pPr>
      <w:r>
        <w:rPr>
          <w:rFonts w:hint="eastAsia" w:ascii="宋体" w:hAnsi="宋体" w:cs="Times New Roman"/>
          <w:b/>
          <w:kern w:val="0"/>
          <w:sz w:val="30"/>
          <w:szCs w:val="30"/>
        </w:rPr>
        <w:t>法律意见书</w:t>
      </w:r>
    </w:p>
    <w:p w14:paraId="315F4081">
      <w:pPr>
        <w:pStyle w:val="7"/>
        <w:spacing w:before="190" w:beforeLines="50" w:after="190" w:afterLines="50" w:line="360" w:lineRule="auto"/>
        <w:ind w:left="0" w:firstLine="0" w:firstLineChars="0"/>
        <w:jc w:val="both"/>
        <w:rPr>
          <w:rFonts w:ascii="Times New Roman" w:hAnsi="Times New Roman"/>
          <w:b/>
          <w:bCs/>
          <w:lang w:eastAsia="zh-CN"/>
        </w:rPr>
      </w:pPr>
      <w:r>
        <w:rPr>
          <w:rFonts w:ascii="Times New Roman" w:hAnsi="Times New Roman"/>
          <w:b/>
          <w:bCs/>
          <w:lang w:eastAsia="zh-CN"/>
        </w:rPr>
        <w:t>致：</w:t>
      </w:r>
      <w:r>
        <w:rPr>
          <w:rFonts w:hint="eastAsia"/>
          <w:b/>
          <w:bCs/>
          <w:kern w:val="2"/>
          <w:lang w:eastAsia="zh-CN"/>
        </w:rPr>
        <w:t>广州市财政局</w:t>
      </w:r>
    </w:p>
    <w:p w14:paraId="2E3A4FC2">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根据《中华人民共和国预算法》、《国务院关于加强地方政府性债务管理的意见》（国发〔2014〕43号）、《关于对地方政府债务实行限额管理的实施意见》（财预〔2015〕225号）、《地方政府专项债务预算管理办法》（财预〔2016〕155号）、《关于试点发展项目收益与融资自求平衡的地方政府专项债券品种的通知》（财预〔2017〕89号）、《关于做好地方政府专项债券发行工作的意见》（财库〔2018〕72号）、《财政部关于做好地方政府债券发行工作的意见》（财库〔2019〕23号）、《关于进一步做好地方政府债券发行工作的意见》（财库〔2020〕36号）、《关于印发〈地方政府债券发行管理办法〉的通知》（财库〔2020〕43号）、《关于加快地方政府专项债券发行使用有关工作的通知》（财预〔2020〕94号）、《财政部关于印发〈地方政府专项债券项目资金绩效管理办法〉的通知》（财预〔2021〕61号）等法律、法规及规范性文件的有关规定，北京大成（广州）律师事务所（以下简称“本所”）作为本项目专项债券（以下简称“本次债券发行”）专项法律顾问，按照律师行业公认的业务标准、道德规范和勤勉尽责精神，就本次债券发行事宜，出具本法律意见书。</w:t>
      </w:r>
    </w:p>
    <w:p w14:paraId="0E12967A">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为出具本法律意见书，本所特作出如下声明和假设：</w:t>
      </w:r>
    </w:p>
    <w:p w14:paraId="7A23875B">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1.</w:t>
      </w:r>
      <w:r>
        <w:rPr>
          <w:rFonts w:hint="eastAsia" w:ascii="Times New Roman" w:hAnsi="Times New Roman"/>
          <w:szCs w:val="24"/>
        </w:rPr>
        <w:tab/>
      </w:r>
      <w:r>
        <w:rPr>
          <w:rFonts w:hint="eastAsia" w:ascii="Times New Roman" w:hAnsi="Times New Roman"/>
          <w:szCs w:val="24"/>
        </w:rPr>
        <w:t>贵方业已向本所提供了本所认为制作法律意见书所必需的原始书面材料、副本材料、复印材料、确认函或证明及口头证言，其所提供的文件和材料是真实、准确、完整和有效的，并无隐瞒记载、虚假陈述和重大遗漏之处，且文件材料为副本或复印件的，其与原件一致和相符。</w:t>
      </w:r>
    </w:p>
    <w:p w14:paraId="400CA160">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2.</w:t>
      </w:r>
      <w:r>
        <w:rPr>
          <w:rFonts w:hint="eastAsia" w:ascii="Times New Roman" w:hAnsi="Times New Roman"/>
          <w:szCs w:val="24"/>
        </w:rPr>
        <w:tab/>
      </w:r>
      <w:r>
        <w:rPr>
          <w:rFonts w:hint="eastAsia" w:ascii="Times New Roman" w:hAnsi="Times New Roman"/>
          <w:szCs w:val="24"/>
        </w:rPr>
        <w:t>对本法律意见书至关重要而又无法得到独立证据支持的事实，本所律师有赖于有关政府部门、贵方或者其他有关机构、人员出具的证明文件或提供的证言，或者政府部门官方网站的检索信息作为制作本法律意见书的依据。</w:t>
      </w:r>
    </w:p>
    <w:p w14:paraId="3F97A855">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3.</w:t>
      </w:r>
      <w:r>
        <w:rPr>
          <w:rFonts w:hint="eastAsia" w:ascii="Times New Roman" w:hAnsi="Times New Roman"/>
          <w:szCs w:val="24"/>
        </w:rPr>
        <w:tab/>
      </w:r>
      <w:r>
        <w:rPr>
          <w:rFonts w:hint="eastAsia" w:ascii="Times New Roman" w:hAnsi="Times New Roman"/>
          <w:szCs w:val="24"/>
        </w:rPr>
        <w:t>本所在本法律意见书中仅就与本项目有关的法律问题发表意见，且仅根据现行中国法律发表法律意见，并不依据任何中国境外法律发表法律意见，不对有关信用评级、会计、审计、资产评估、财务分析、投资决策、业务发展等法律之外的专业事项发表意见；本所在本法律意见书中对于有关报表、业务报告、财务审计和资产评估等文件中的某些数据和结论的引用，并不意味着本所对这些数据和结论的真实性和准确性做出任何明示或默示的保证，对于该等内容本所及本所律师无核查和</w:t>
      </w:r>
      <w:r>
        <w:rPr>
          <w:rFonts w:hint="eastAsia" w:ascii="Times New Roman" w:hAnsi="Times New Roman"/>
          <w:szCs w:val="24"/>
          <w:lang w:val="en-US" w:eastAsia="zh-CN"/>
        </w:rPr>
        <w:t>作出</w:t>
      </w:r>
      <w:r>
        <w:rPr>
          <w:rFonts w:hint="eastAsia" w:ascii="Times New Roman" w:hAnsi="Times New Roman"/>
          <w:szCs w:val="24"/>
        </w:rPr>
        <w:t>判断的适当资格。</w:t>
      </w:r>
    </w:p>
    <w:p w14:paraId="38219128">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4.</w:t>
      </w:r>
      <w:r>
        <w:rPr>
          <w:rFonts w:hint="eastAsia" w:ascii="Times New Roman" w:hAnsi="Times New Roman"/>
          <w:szCs w:val="24"/>
        </w:rPr>
        <w:tab/>
      </w:r>
      <w:r>
        <w:rPr>
          <w:rFonts w:hint="eastAsia" w:ascii="Times New Roman" w:hAnsi="Times New Roman"/>
          <w:szCs w:val="24"/>
        </w:rPr>
        <w:t>本法律意见书仅本次债券发行之目的使用，除非事先取得本所律师的书面授权，任何单位和个人均不得将本法律意见书或其任何部分用作其他任何目的。</w:t>
      </w:r>
    </w:p>
    <w:p w14:paraId="7ACA81EC">
      <w:pPr>
        <w:spacing w:before="190" w:beforeLines="50" w:after="190" w:afterLines="50" w:line="360" w:lineRule="auto"/>
        <w:ind w:firstLine="480"/>
        <w:contextualSpacing/>
        <w:rPr>
          <w:rFonts w:ascii="Times New Roman" w:hAnsi="Times New Roman"/>
          <w:szCs w:val="24"/>
        </w:rPr>
      </w:pPr>
      <w:r>
        <w:rPr>
          <w:rFonts w:hint="eastAsia" w:ascii="Times New Roman" w:hAnsi="Times New Roman"/>
          <w:szCs w:val="24"/>
        </w:rPr>
        <w:t>基于上述声明，本所律师在对贵方提供的有关文件和事实进行核查和验证的基础上，现出具法律意见书如下。</w:t>
      </w:r>
      <w:bookmarkStart w:id="20" w:name="_Toc5971"/>
      <w:bookmarkStart w:id="21" w:name="_Toc13131"/>
      <w:bookmarkStart w:id="22" w:name="_Toc16551"/>
      <w:bookmarkStart w:id="23" w:name="_Toc24077"/>
      <w:bookmarkStart w:id="24" w:name="_Toc14931"/>
    </w:p>
    <w:p w14:paraId="45E72522">
      <w:pPr>
        <w:spacing w:before="190" w:beforeLines="50" w:after="190" w:afterLines="50" w:line="360" w:lineRule="auto"/>
        <w:ind w:firstLine="480"/>
        <w:rPr>
          <w:rFonts w:ascii="Times New Roman" w:hAnsi="Times New Roman"/>
          <w:szCs w:val="24"/>
        </w:rPr>
      </w:pPr>
    </w:p>
    <w:p w14:paraId="4F88607E">
      <w:pPr>
        <w:widowControl/>
        <w:spacing w:line="240" w:lineRule="auto"/>
        <w:ind w:firstLine="0" w:firstLineChars="0"/>
        <w:jc w:val="left"/>
        <w:rPr>
          <w:rFonts w:ascii="Times New Roman" w:hAnsi="Times New Roman"/>
          <w:szCs w:val="24"/>
        </w:rPr>
      </w:pPr>
      <w:r>
        <w:rPr>
          <w:rFonts w:ascii="Times New Roman" w:hAnsi="Times New Roman"/>
          <w:szCs w:val="24"/>
        </w:rPr>
        <w:br w:type="page"/>
      </w:r>
    </w:p>
    <w:p w14:paraId="3DEAA521">
      <w:pPr>
        <w:pStyle w:val="3"/>
      </w:pPr>
      <w:bookmarkStart w:id="25" w:name="_Toc12729"/>
      <w:bookmarkStart w:id="26" w:name="_Toc1055"/>
      <w:r>
        <w:rPr>
          <w:rFonts w:hint="eastAsia"/>
        </w:rPr>
        <w:t>一、发行主体</w:t>
      </w:r>
      <w:bookmarkEnd w:id="20"/>
      <w:bookmarkEnd w:id="21"/>
      <w:bookmarkEnd w:id="22"/>
      <w:bookmarkEnd w:id="23"/>
      <w:bookmarkEnd w:id="24"/>
      <w:bookmarkEnd w:id="25"/>
      <w:bookmarkEnd w:id="26"/>
    </w:p>
    <w:p w14:paraId="6DCDB748">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《中华人民共和国预算法》第三十五条规定，经国务院批准的省、自治区、直辖市的预算中必需的建设投资的部分资金，可以在国务院确定的限额内，通过发行地方政府债券举借债务的方式筹措。</w:t>
      </w:r>
    </w:p>
    <w:p w14:paraId="07FD2C43">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《关于对地方政府债务实行限额管理的实施意见》</w:t>
      </w:r>
      <w:r>
        <w:rPr>
          <w:rFonts w:hint="eastAsia" w:ascii="Times New Roman" w:hAnsi="Times New Roman" w:cs="Times New Roman"/>
          <w:szCs w:val="24"/>
        </w:rPr>
        <w:t>（</w:t>
      </w:r>
      <w:r>
        <w:rPr>
          <w:rFonts w:ascii="Times New Roman" w:hAnsi="Times New Roman" w:cs="Times New Roman"/>
          <w:szCs w:val="24"/>
        </w:rPr>
        <w:t>财预〔2015〕225号</w:t>
      </w:r>
      <w:r>
        <w:rPr>
          <w:rFonts w:hint="eastAsia" w:ascii="Times New Roman" w:hAnsi="Times New Roman" w:cs="Times New Roman"/>
          <w:szCs w:val="24"/>
        </w:rPr>
        <w:t>）</w:t>
      </w:r>
      <w:r>
        <w:rPr>
          <w:rFonts w:ascii="Times New Roman" w:hAnsi="Times New Roman" w:cs="Times New Roman"/>
          <w:szCs w:val="24"/>
        </w:rPr>
        <w:t>第一条第（二）款规定，市县级政府确需举借债务的，依照经批准的限额提出本地区当年政府债务举借和使用计划，列入预算调整方案，报本级人大常委会批准，报省级政府备案并由省级政府代为举借。</w:t>
      </w:r>
    </w:p>
    <w:p w14:paraId="1697B76C">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《地方政府专项债务预算管理办法》（财预〔2016〕155号）第四条规定，省、自治区、直辖市政府为专项债券的发行主体。</w:t>
      </w:r>
    </w:p>
    <w:p w14:paraId="55645CBC">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根据上述相关规定，市县级政府确需举借相关专项债务的，依法由省级政府代为分类发行专项债券、转贷市县使用。因此，本次债券发行主体为广东省人民政府。</w:t>
      </w:r>
    </w:p>
    <w:p w14:paraId="06468279">
      <w:pPr>
        <w:spacing w:before="190" w:beforeLines="50" w:after="190" w:afterLines="50" w:line="360" w:lineRule="auto"/>
        <w:ind w:firstLine="480"/>
        <w:rPr>
          <w:rFonts w:ascii="Times New Roman" w:hAnsi="Times New Roman" w:cs="Times New Roman"/>
          <w:szCs w:val="24"/>
        </w:rPr>
      </w:pPr>
    </w:p>
    <w:p w14:paraId="5A081E31">
      <w:pPr>
        <w:pStyle w:val="3"/>
      </w:pPr>
      <w:bookmarkStart w:id="27" w:name="_Toc27395"/>
      <w:bookmarkStart w:id="28" w:name="_Toc31037"/>
      <w:bookmarkStart w:id="29" w:name="_Toc22310"/>
      <w:bookmarkStart w:id="30" w:name="_Toc13324"/>
      <w:bookmarkStart w:id="31" w:name="_Toc6198"/>
      <w:bookmarkStart w:id="32" w:name="_Toc22380"/>
      <w:bookmarkStart w:id="33" w:name="_Toc18412"/>
      <w:bookmarkStart w:id="34" w:name="_Toc244"/>
      <w:bookmarkStart w:id="35" w:name="_Toc14366"/>
      <w:bookmarkStart w:id="36" w:name="_Toc7923"/>
      <w:bookmarkStart w:id="37" w:name="_Toc6556"/>
      <w:r>
        <w:t>二、</w:t>
      </w:r>
      <w:r>
        <w:rPr>
          <w:rFonts w:hint="eastAsia"/>
        </w:rPr>
        <w:t>主管部门及</w:t>
      </w:r>
      <w:r>
        <w:t>实施主体</w:t>
      </w:r>
      <w:bookmarkEnd w:id="27"/>
      <w:bookmarkEnd w:id="28"/>
      <w:bookmarkEnd w:id="29"/>
      <w:bookmarkEnd w:id="30"/>
      <w:bookmarkEnd w:id="31"/>
      <w:bookmarkEnd w:id="32"/>
      <w:bookmarkEnd w:id="33"/>
      <w:bookmarkEnd w:id="34"/>
      <w:bookmarkEnd w:id="35"/>
      <w:bookmarkEnd w:id="36"/>
      <w:bookmarkEnd w:id="37"/>
    </w:p>
    <w:p w14:paraId="1C998678">
      <w:pPr>
        <w:spacing w:before="50" w:after="50" w:line="360" w:lineRule="auto"/>
        <w:ind w:firstLine="480"/>
        <w:rPr>
          <w:rFonts w:hint="eastAsia" w:ascii="Times New Roman" w:hAnsi="Times New Roman" w:eastAsia="宋体" w:cs="Times New Roman"/>
          <w:szCs w:val="24"/>
          <w:lang w:eastAsia="zh-CN"/>
        </w:rPr>
      </w:pPr>
      <w:r>
        <w:rPr>
          <w:rFonts w:ascii="Times New Roman" w:hAnsi="Times New Roman" w:cs="Times New Roman"/>
          <w:szCs w:val="24"/>
        </w:rPr>
        <w:t>根据</w:t>
      </w:r>
      <w:r>
        <w:rPr>
          <w:rFonts w:hint="eastAsia" w:ascii="Times New Roman" w:hAnsi="Times New Roman" w:cs="Times New Roman"/>
          <w:szCs w:val="24"/>
        </w:rPr>
        <w:t>《实施方案》、《</w:t>
      </w:r>
      <w:bookmarkStart w:id="38" w:name="OLE_LINK3"/>
      <w:r>
        <w:rPr>
          <w:rFonts w:hint="eastAsia" w:ascii="Times New Roman" w:hAnsi="Times New Roman" w:cs="Times New Roman"/>
          <w:szCs w:val="24"/>
        </w:rPr>
        <w:t>关于</w:t>
      </w:r>
      <w:r>
        <w:rPr>
          <w:rFonts w:hint="eastAsia" w:ascii="Times New Roman" w:hAnsi="Times New Roman" w:cs="Times New Roman"/>
          <w:szCs w:val="24"/>
          <w:lang w:eastAsia="zh-CN"/>
        </w:rPr>
        <w:t>广州市花都区城市管理数字化与数据要素应用建设项目</w:t>
      </w:r>
      <w:r>
        <w:rPr>
          <w:rFonts w:hint="eastAsia" w:ascii="Times New Roman" w:hAnsi="Times New Roman" w:cs="Times New Roman"/>
          <w:szCs w:val="24"/>
        </w:rPr>
        <w:t>可行性研究报告的复函</w:t>
      </w:r>
      <w:bookmarkEnd w:id="38"/>
      <w:r>
        <w:rPr>
          <w:rFonts w:hint="eastAsia" w:ascii="Times New Roman" w:hAnsi="Times New Roman" w:cs="Times New Roman"/>
          <w:szCs w:val="24"/>
        </w:rPr>
        <w:t>》</w:t>
      </w:r>
      <w:r>
        <w:rPr>
          <w:rFonts w:ascii="Times New Roman" w:hAnsi="Times New Roman" w:cs="Times New Roman"/>
          <w:szCs w:val="24"/>
        </w:rPr>
        <w:t>（</w:t>
      </w:r>
      <w:r>
        <w:rPr>
          <w:rFonts w:hint="eastAsia" w:ascii="Times New Roman" w:hAnsi="Times New Roman" w:cs="Times New Roman"/>
          <w:szCs w:val="24"/>
          <w:lang w:val="en-US"/>
        </w:rPr>
        <w:t>花数字办函</w:t>
      </w:r>
      <w:r>
        <w:rPr>
          <w:rFonts w:hint="default" w:ascii="Times New Roman" w:hAnsi="Times New Roman" w:cs="Times New Roman"/>
          <w:szCs w:val="24"/>
          <w:lang w:val="zh-CN" w:eastAsia="zh-CN"/>
        </w:rPr>
        <w:t>〔202</w:t>
      </w:r>
      <w:r>
        <w:rPr>
          <w:rFonts w:hint="eastAsia" w:ascii="Times New Roman" w:hAnsi="Times New Roman" w:cs="Times New Roman"/>
          <w:szCs w:val="24"/>
          <w:lang w:val="zh-CN" w:eastAsia="zh-CN"/>
        </w:rPr>
        <w:t>4</w:t>
      </w:r>
      <w:r>
        <w:rPr>
          <w:rFonts w:hint="default" w:ascii="Times New Roman" w:hAnsi="Times New Roman" w:cs="Times New Roman"/>
          <w:szCs w:val="24"/>
          <w:lang w:val="zh-CN" w:eastAsia="zh-CN"/>
        </w:rPr>
        <w:t>〕</w:t>
      </w:r>
      <w:r>
        <w:rPr>
          <w:rFonts w:hint="eastAsia" w:ascii="Times New Roman" w:hAnsi="Times New Roman" w:cs="Times New Roman"/>
          <w:szCs w:val="24"/>
          <w:lang w:val="en-US" w:eastAsia="zh-CN"/>
        </w:rPr>
        <w:t>10</w:t>
      </w:r>
      <w:r>
        <w:rPr>
          <w:rFonts w:hint="default" w:ascii="Times New Roman" w:hAnsi="Times New Roman" w:cs="Times New Roman"/>
          <w:szCs w:val="24"/>
          <w:lang w:val="zh-CN"/>
        </w:rPr>
        <w:t>号</w:t>
      </w:r>
      <w:r>
        <w:rPr>
          <w:rFonts w:hint="eastAsia" w:ascii="Times New Roman" w:hAnsi="Times New Roman" w:cs="Times New Roman"/>
          <w:szCs w:val="24"/>
          <w:lang w:eastAsia="zh-CN"/>
        </w:rPr>
        <w:t>，</w:t>
      </w:r>
      <w:r>
        <w:rPr>
          <w:rFonts w:hint="eastAsia" w:ascii="Times New Roman" w:hAnsi="Times New Roman" w:cs="Times New Roman"/>
          <w:szCs w:val="24"/>
        </w:rPr>
        <w:t>以下简称《项目可研复函》</w:t>
      </w:r>
      <w:r>
        <w:rPr>
          <w:rFonts w:ascii="Times New Roman" w:hAnsi="Times New Roman" w:cs="Times New Roman"/>
          <w:szCs w:val="24"/>
        </w:rPr>
        <w:t>），本次债券发行</w:t>
      </w:r>
      <w:r>
        <w:rPr>
          <w:rFonts w:hint="eastAsia" w:ascii="Times New Roman" w:hAnsi="Times New Roman" w:cs="Times New Roman"/>
          <w:szCs w:val="24"/>
        </w:rPr>
        <w:t>对应的募投项目的主管部门及实施主体</w:t>
      </w:r>
      <w:r>
        <w:rPr>
          <w:rFonts w:hint="eastAsia" w:ascii="Times New Roman" w:hAnsi="Times New Roman" w:cs="Times New Roman"/>
          <w:szCs w:val="24"/>
          <w:lang w:val="en-US" w:eastAsia="zh-CN"/>
        </w:rPr>
        <w:t>均为</w:t>
      </w:r>
      <w:r>
        <w:rPr>
          <w:rFonts w:hint="eastAsia" w:ascii="Times New Roman" w:hAnsi="Times New Roman" w:cs="Times New Roman"/>
          <w:szCs w:val="24"/>
          <w:lang w:eastAsia="zh-CN"/>
        </w:rPr>
        <w:t>广州市花都区政务服务和数据管理局。</w:t>
      </w:r>
    </w:p>
    <w:p w14:paraId="54056334">
      <w:pPr>
        <w:numPr>
          <w:ilvl w:val="0"/>
          <w:numId w:val="0"/>
        </w:numPr>
        <w:spacing w:before="50" w:after="50" w:line="360" w:lineRule="auto"/>
        <w:ind w:firstLine="480" w:firstLineChars="200"/>
        <w:rPr>
          <w:rFonts w:hint="eastAsia" w:ascii="Times New Roman" w:hAnsi="Times New Roman" w:cs="Times New Roman"/>
          <w:b/>
          <w:bCs/>
          <w:szCs w:val="24"/>
        </w:rPr>
      </w:pPr>
      <w:r>
        <w:rPr>
          <w:rFonts w:ascii="Times New Roman" w:hAnsi="Times New Roman" w:cs="Times New Roman"/>
          <w:szCs w:val="24"/>
        </w:rPr>
        <w:t>经本所律师于202</w:t>
      </w:r>
      <w:r>
        <w:rPr>
          <w:rFonts w:hint="eastAsia" w:ascii="Times New Roman" w:hAnsi="Times New Roman" w:cs="Times New Roman"/>
          <w:szCs w:val="24"/>
        </w:rPr>
        <w:t>4</w:t>
      </w:r>
      <w:r>
        <w:rPr>
          <w:rFonts w:ascii="Times New Roman" w:hAnsi="Times New Roman" w:cs="Times New Roman"/>
          <w:szCs w:val="24"/>
        </w:rPr>
        <w:t>年</w:t>
      </w:r>
      <w:r>
        <w:rPr>
          <w:rFonts w:hint="eastAsia" w:ascii="Times New Roman" w:hAnsi="Times New Roman" w:cs="Times New Roman"/>
          <w:szCs w:val="24"/>
          <w:lang w:eastAsia="zh-CN"/>
        </w:rPr>
        <w:t>8月1</w:t>
      </w:r>
      <w:r>
        <w:rPr>
          <w:rFonts w:hint="eastAsia" w:ascii="Times New Roman" w:hAnsi="Times New Roman" w:cs="Times New Roman"/>
          <w:szCs w:val="24"/>
          <w:lang w:val="en-US" w:eastAsia="zh-CN"/>
        </w:rPr>
        <w:t>6</w:t>
      </w:r>
      <w:r>
        <w:rPr>
          <w:rFonts w:hint="eastAsia" w:ascii="Times New Roman" w:hAnsi="Times New Roman" w:cs="Times New Roman"/>
          <w:szCs w:val="24"/>
          <w:lang w:eastAsia="zh-CN"/>
        </w:rPr>
        <w:t>日</w:t>
      </w:r>
      <w:r>
        <w:rPr>
          <w:rFonts w:ascii="Times New Roman" w:hAnsi="Times New Roman" w:cs="Times New Roman"/>
          <w:szCs w:val="24"/>
        </w:rPr>
        <w:t>登录全国组织机构统一社会信用代码公示查询平台（https://www.cods.org.cn/gscx/）</w:t>
      </w:r>
      <w:r>
        <w:rPr>
          <w:rFonts w:hint="eastAsia" w:ascii="Times New Roman" w:hAnsi="Times New Roman" w:cs="Times New Roman"/>
          <w:szCs w:val="24"/>
        </w:rPr>
        <w:t>等网站</w:t>
      </w:r>
      <w:r>
        <w:rPr>
          <w:rFonts w:ascii="Times New Roman" w:hAnsi="Times New Roman" w:cs="Times New Roman"/>
          <w:szCs w:val="24"/>
        </w:rPr>
        <w:t>进行核查</w:t>
      </w:r>
      <w:r>
        <w:rPr>
          <w:rFonts w:hint="eastAsia" w:ascii="Times New Roman" w:hAnsi="Times New Roman" w:cs="Times New Roman"/>
          <w:szCs w:val="24"/>
          <w:lang w:eastAsia="zh-Hans"/>
        </w:rPr>
        <w:t>，</w:t>
      </w:r>
      <w:r>
        <w:rPr>
          <w:rFonts w:hint="eastAsia" w:ascii="Times New Roman" w:hAnsi="Times New Roman" w:cs="Times New Roman"/>
          <w:szCs w:val="24"/>
          <w:lang w:eastAsia="zh-CN"/>
        </w:rPr>
        <w:t>花都政务服务和数据管理局</w:t>
      </w:r>
      <w:r>
        <w:rPr>
          <w:rFonts w:ascii="Times New Roman" w:hAnsi="Times New Roman" w:cs="Times New Roman"/>
          <w:szCs w:val="24"/>
        </w:rPr>
        <w:t>作为</w:t>
      </w:r>
      <w:r>
        <w:rPr>
          <w:rFonts w:hint="eastAsia" w:ascii="Times New Roman" w:hAnsi="Times New Roman" w:cs="Times New Roman"/>
          <w:szCs w:val="24"/>
        </w:rPr>
        <w:t>募投</w:t>
      </w:r>
      <w:r>
        <w:rPr>
          <w:rFonts w:ascii="Times New Roman" w:hAnsi="Times New Roman" w:cs="Times New Roman"/>
          <w:szCs w:val="24"/>
        </w:rPr>
        <w:t>项目的</w:t>
      </w:r>
      <w:r>
        <w:rPr>
          <w:rFonts w:hint="eastAsia" w:ascii="Times New Roman" w:hAnsi="Times New Roman" w:cs="Times New Roman"/>
          <w:szCs w:val="24"/>
        </w:rPr>
        <w:t>主管部门</w:t>
      </w:r>
      <w:r>
        <w:rPr>
          <w:rFonts w:hint="eastAsia" w:ascii="Times New Roman" w:hAnsi="Times New Roman" w:cs="Times New Roman"/>
          <w:szCs w:val="24"/>
          <w:lang w:val="en-US" w:eastAsia="zh-CN"/>
        </w:rPr>
        <w:t>及实施主体</w:t>
      </w:r>
      <w:r>
        <w:rPr>
          <w:rFonts w:ascii="Times New Roman" w:hAnsi="Times New Roman" w:cs="Times New Roman"/>
          <w:szCs w:val="24"/>
        </w:rPr>
        <w:t>，其基本信息如下：</w:t>
      </w:r>
    </w:p>
    <w:tbl>
      <w:tblPr>
        <w:tblStyle w:val="17"/>
        <w:tblW w:w="8529"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6385"/>
      </w:tblGrid>
      <w:tr w14:paraId="32C9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vAlign w:val="center"/>
          </w:tcPr>
          <w:p w14:paraId="06444D04">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名称</w:t>
            </w:r>
          </w:p>
        </w:tc>
        <w:tc>
          <w:tcPr>
            <w:tcW w:w="6385" w:type="dxa"/>
            <w:vAlign w:val="center"/>
          </w:tcPr>
          <w:p w14:paraId="054B3F57">
            <w:pPr>
              <w:spacing w:before="190" w:beforeLines="50" w:after="190" w:afterLines="50" w:line="240" w:lineRule="auto"/>
              <w:ind w:firstLine="0" w:firstLineChars="0"/>
              <w:jc w:val="center"/>
              <w:rPr>
                <w:rFonts w:hint="eastAsia" w:ascii="Times New Roman" w:hAnsi="Times New Roman" w:eastAsia="宋体" w:cs="Times New Roman"/>
                <w:sz w:val="21"/>
                <w:lang w:eastAsia="zh-CN"/>
              </w:rPr>
            </w:pPr>
            <w:r>
              <w:rPr>
                <w:rFonts w:hint="eastAsia" w:ascii="Times New Roman" w:hAnsi="Times New Roman" w:cs="Times New Roman"/>
                <w:sz w:val="21"/>
                <w:lang w:eastAsia="zh-CN"/>
              </w:rPr>
              <w:t>广州市花都区政务服务和数据管理局</w:t>
            </w:r>
          </w:p>
        </w:tc>
      </w:tr>
      <w:tr w14:paraId="79611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vAlign w:val="center"/>
          </w:tcPr>
          <w:p w14:paraId="7AECC45C">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统一社会信用代码</w:t>
            </w:r>
          </w:p>
        </w:tc>
        <w:tc>
          <w:tcPr>
            <w:tcW w:w="6385" w:type="dxa"/>
            <w:vAlign w:val="center"/>
          </w:tcPr>
          <w:p w14:paraId="6835F767">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11440114MB2E486760</w:t>
            </w:r>
          </w:p>
        </w:tc>
      </w:tr>
      <w:tr w14:paraId="36CE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vAlign w:val="center"/>
          </w:tcPr>
          <w:p w14:paraId="63BE64AD">
            <w:pPr>
              <w:spacing w:before="190" w:beforeLines="50" w:after="190" w:afterLines="50" w:line="240" w:lineRule="auto"/>
              <w:ind w:firstLine="0" w:firstLineChars="0"/>
              <w:jc w:val="center"/>
              <w:rPr>
                <w:rFonts w:ascii="Times New Roman" w:hAnsi="Times New Roman" w:cs="Times New Roman"/>
                <w:sz w:val="21"/>
              </w:rPr>
            </w:pPr>
            <w:r>
              <w:rPr>
                <w:rFonts w:hint="eastAsia" w:ascii="Times New Roman" w:hAnsi="Times New Roman" w:cs="Times New Roman"/>
                <w:sz w:val="21"/>
              </w:rPr>
              <w:t>机构地址</w:t>
            </w:r>
          </w:p>
        </w:tc>
        <w:tc>
          <w:tcPr>
            <w:tcW w:w="6385" w:type="dxa"/>
            <w:vAlign w:val="center"/>
          </w:tcPr>
          <w:p w14:paraId="1A292075">
            <w:pPr>
              <w:spacing w:before="190" w:beforeLines="50" w:after="190" w:afterLines="50" w:line="240" w:lineRule="auto"/>
              <w:ind w:left="0" w:leftChars="0" w:firstLine="0" w:firstLineChars="0"/>
              <w:jc w:val="center"/>
              <w:rPr>
                <w:rFonts w:ascii="Times New Roman" w:hAnsi="Times New Roman" w:cs="Times New Roman"/>
                <w:sz w:val="21"/>
                <w:szCs w:val="21"/>
              </w:rPr>
            </w:pPr>
            <w:r>
              <w:rPr>
                <w:rFonts w:hint="eastAsia" w:ascii="Times New Roman" w:hAnsi="Times New Roman" w:cs="Times New Roman"/>
                <w:sz w:val="21"/>
                <w:szCs w:val="21"/>
              </w:rPr>
              <w:t>广东省广州市花都区花城街天贵路101号</w:t>
            </w:r>
          </w:p>
        </w:tc>
      </w:tr>
    </w:tbl>
    <w:p w14:paraId="560836E2">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综上，本所律师认为，</w:t>
      </w:r>
      <w:r>
        <w:rPr>
          <w:rFonts w:hint="eastAsia" w:ascii="Times New Roman" w:hAnsi="Times New Roman" w:cs="Times New Roman"/>
          <w:szCs w:val="24"/>
          <w:lang w:eastAsia="zh-Hans" w:bidi="zh-CN"/>
        </w:rPr>
        <w:t>花都政务服务和数据管理局系</w:t>
      </w:r>
      <w:r>
        <w:rPr>
          <w:rFonts w:ascii="Times New Roman" w:hAnsi="Times New Roman" w:cs="Times New Roman"/>
          <w:szCs w:val="24"/>
        </w:rPr>
        <w:t>在我国境内依法成立、有效存续的</w:t>
      </w:r>
      <w:r>
        <w:rPr>
          <w:rFonts w:hint="eastAsia" w:ascii="Times New Roman" w:hAnsi="Times New Roman" w:cs="Times New Roman"/>
          <w:szCs w:val="24"/>
          <w:lang w:val="en-US" w:eastAsia="zh-CN"/>
        </w:rPr>
        <w:t>法定</w:t>
      </w:r>
      <w:r>
        <w:rPr>
          <w:rFonts w:ascii="Times New Roman" w:hAnsi="Times New Roman" w:cs="Times New Roman"/>
          <w:szCs w:val="24"/>
        </w:rPr>
        <w:t>机构</w:t>
      </w:r>
      <w:r>
        <w:rPr>
          <w:rFonts w:hint="eastAsia" w:ascii="Times New Roman" w:hAnsi="Times New Roman" w:cs="Times New Roman"/>
          <w:szCs w:val="24"/>
        </w:rPr>
        <w:t>，</w:t>
      </w:r>
      <w:r>
        <w:rPr>
          <w:rFonts w:ascii="Times New Roman" w:hAnsi="Times New Roman" w:cs="Times New Roman"/>
          <w:szCs w:val="24"/>
        </w:rPr>
        <w:t>具备</w:t>
      </w:r>
      <w:r>
        <w:rPr>
          <w:rFonts w:hint="eastAsia" w:ascii="Times New Roman" w:hAnsi="Times New Roman" w:cs="Times New Roman"/>
          <w:szCs w:val="24"/>
        </w:rPr>
        <w:t>管理、</w:t>
      </w:r>
      <w:r>
        <w:rPr>
          <w:rFonts w:ascii="Times New Roman" w:hAnsi="Times New Roman" w:cs="Times New Roman"/>
          <w:szCs w:val="24"/>
        </w:rPr>
        <w:t>实施对应的募投项目的主体资格。</w:t>
      </w:r>
    </w:p>
    <w:p w14:paraId="142E5E8F">
      <w:pPr>
        <w:pStyle w:val="3"/>
      </w:pPr>
      <w:bookmarkStart w:id="39" w:name="_Toc3883"/>
      <w:bookmarkStart w:id="40" w:name="_Toc29015"/>
      <w:bookmarkStart w:id="41" w:name="_Toc22306"/>
      <w:bookmarkStart w:id="42" w:name="_Toc15858"/>
      <w:bookmarkStart w:id="43" w:name="_Toc30949"/>
      <w:bookmarkStart w:id="44" w:name="_Toc24515"/>
      <w:bookmarkStart w:id="45" w:name="_Toc15657"/>
      <w:bookmarkStart w:id="46" w:name="_Toc26237"/>
      <w:bookmarkStart w:id="47" w:name="_Toc14947"/>
    </w:p>
    <w:p w14:paraId="5AD47CAF">
      <w:pPr>
        <w:pStyle w:val="3"/>
        <w:numPr>
          <w:ilvl w:val="0"/>
          <w:numId w:val="2"/>
        </w:numPr>
      </w:pPr>
      <w:bookmarkStart w:id="48" w:name="_Toc5473"/>
      <w:bookmarkStart w:id="49" w:name="_Toc15047"/>
      <w:r>
        <w:t>本次债券发行对应的募投项目</w:t>
      </w:r>
      <w:bookmarkEnd w:id="39"/>
      <w:bookmarkEnd w:id="40"/>
      <w:bookmarkEnd w:id="41"/>
      <w:bookmarkEnd w:id="42"/>
      <w:bookmarkEnd w:id="43"/>
      <w:bookmarkEnd w:id="44"/>
      <w:bookmarkEnd w:id="45"/>
      <w:bookmarkEnd w:id="46"/>
      <w:bookmarkEnd w:id="47"/>
      <w:bookmarkEnd w:id="48"/>
      <w:bookmarkEnd w:id="49"/>
    </w:p>
    <w:p w14:paraId="57FACCCE">
      <w:pPr>
        <w:autoSpaceDE w:val="0"/>
        <w:autoSpaceDN w:val="0"/>
        <w:spacing w:before="50" w:after="50" w:line="360" w:lineRule="auto"/>
        <w:ind w:firstLine="458"/>
        <w:rPr>
          <w:rFonts w:hint="eastAsia" w:ascii="Times New Roman" w:hAnsi="Times New Roman" w:cs="Times New Roman"/>
          <w:b/>
          <w:bCs/>
          <w:spacing w:val="-11"/>
          <w:szCs w:val="24"/>
          <w:lang w:val="zh-CN" w:bidi="zh-CN"/>
        </w:rPr>
      </w:pPr>
      <w:r>
        <w:rPr>
          <w:rFonts w:hint="default" w:ascii="Times New Roman" w:hAnsi="Times New Roman" w:cs="Times New Roman"/>
          <w:spacing w:val="-11"/>
          <w:szCs w:val="24"/>
          <w:lang w:val="zh-CN" w:bidi="zh-CN"/>
        </w:rPr>
        <w:t>根据《</w:t>
      </w:r>
      <w:r>
        <w:rPr>
          <w:rFonts w:hint="default" w:ascii="Times New Roman" w:hAnsi="Times New Roman" w:cs="Times New Roman"/>
          <w:spacing w:val="-11"/>
          <w:szCs w:val="24"/>
          <w:lang w:bidi="zh-CN"/>
        </w:rPr>
        <w:t>实施方案</w:t>
      </w:r>
      <w:r>
        <w:rPr>
          <w:rFonts w:hint="eastAsia" w:ascii="Times New Roman" w:hAnsi="Times New Roman" w:cs="Times New Roman"/>
          <w:spacing w:val="-11"/>
          <w:szCs w:val="24"/>
          <w:lang w:bidi="zh-CN"/>
        </w:rPr>
        <w:t>》《</w:t>
      </w:r>
      <w:r>
        <w:rPr>
          <w:rFonts w:hint="default" w:ascii="Times New Roman" w:hAnsi="Times New Roman" w:cs="Times New Roman"/>
          <w:szCs w:val="24"/>
        </w:rPr>
        <w:t>项目可研复函》及相关文件资料</w:t>
      </w:r>
      <w:r>
        <w:rPr>
          <w:rFonts w:hint="default" w:ascii="Times New Roman" w:hAnsi="Times New Roman" w:cs="Times New Roman"/>
          <w:spacing w:val="-11"/>
          <w:szCs w:val="24"/>
          <w:lang w:val="zh-CN" w:bidi="zh-CN"/>
        </w:rPr>
        <w:t>，本次</w:t>
      </w:r>
      <w:r>
        <w:rPr>
          <w:rFonts w:hint="default" w:ascii="Times New Roman" w:hAnsi="Times New Roman" w:cs="Times New Roman"/>
          <w:spacing w:val="-11"/>
          <w:szCs w:val="24"/>
          <w:lang w:bidi="zh-CN"/>
        </w:rPr>
        <w:t>债券</w:t>
      </w:r>
      <w:r>
        <w:rPr>
          <w:rFonts w:hint="default" w:ascii="Times New Roman" w:hAnsi="Times New Roman" w:cs="Times New Roman"/>
          <w:spacing w:val="-11"/>
          <w:szCs w:val="24"/>
          <w:lang w:val="zh-CN" w:bidi="zh-CN"/>
        </w:rPr>
        <w:t>发行募集资金用于</w:t>
      </w:r>
      <w:r>
        <w:rPr>
          <w:rFonts w:hint="default" w:ascii="Times New Roman" w:hAnsi="Times New Roman" w:cs="Times New Roman"/>
          <w:spacing w:val="-11"/>
          <w:szCs w:val="24"/>
          <w:lang w:val="zh-CN" w:eastAsia="zh-CN" w:bidi="zh-CN"/>
        </w:rPr>
        <w:t>广州市花都区城市管理数字化与数据要素应用建设项目</w:t>
      </w:r>
      <w:r>
        <w:rPr>
          <w:rFonts w:hint="default" w:ascii="Times New Roman" w:hAnsi="Times New Roman" w:cs="Times New Roman"/>
          <w:spacing w:val="-11"/>
          <w:szCs w:val="24"/>
          <w:lang w:val="zh-CN" w:bidi="zh-CN"/>
        </w:rPr>
        <w:t>。具体情况如下：</w:t>
      </w:r>
    </w:p>
    <w:p w14:paraId="0B2438A1">
      <w:pPr>
        <w:autoSpaceDE w:val="0"/>
        <w:autoSpaceDN w:val="0"/>
        <w:spacing w:before="50" w:after="50" w:line="360" w:lineRule="auto"/>
        <w:ind w:firstLine="460"/>
        <w:rPr>
          <w:rFonts w:ascii="Times New Roman" w:hAnsi="Times New Roman" w:cs="Times New Roman"/>
          <w:b/>
          <w:bCs/>
          <w:spacing w:val="-11"/>
          <w:szCs w:val="24"/>
          <w:lang w:val="zh-CN" w:bidi="zh-CN"/>
        </w:rPr>
      </w:pPr>
      <w:r>
        <w:rPr>
          <w:rFonts w:hint="eastAsia" w:ascii="Times New Roman" w:hAnsi="Times New Roman" w:cs="Times New Roman"/>
          <w:b/>
          <w:bCs/>
          <w:spacing w:val="-11"/>
          <w:szCs w:val="24"/>
          <w:lang w:val="zh-CN" w:bidi="zh-CN"/>
        </w:rPr>
        <w:t>（一）项目概况</w:t>
      </w:r>
    </w:p>
    <w:p w14:paraId="10CCD124">
      <w:pPr>
        <w:autoSpaceDE w:val="0"/>
        <w:autoSpaceDN w:val="0"/>
        <w:spacing w:before="50" w:after="50" w:line="360" w:lineRule="auto"/>
        <w:ind w:firstLine="460"/>
        <w:rPr>
          <w:rFonts w:hint="eastAsia" w:ascii="宋体" w:hAnsi="宋体" w:cs="宋体"/>
          <w:color w:val="000000"/>
          <w:kern w:val="0"/>
          <w:szCs w:val="24"/>
          <w:lang w:val="en-US" w:eastAsia="zh-CN" w:bidi="ar"/>
        </w:rPr>
      </w:pPr>
      <w:r>
        <w:rPr>
          <w:rFonts w:hint="eastAsia" w:ascii="宋体" w:hAnsi="宋体" w:cs="宋体"/>
          <w:color w:val="000000"/>
          <w:kern w:val="0"/>
          <w:szCs w:val="24"/>
          <w:lang w:bidi="ar"/>
        </w:rPr>
        <w:t>根据</w:t>
      </w:r>
      <w:r>
        <w:rPr>
          <w:rFonts w:hint="eastAsia" w:ascii="Times New Roman" w:hAnsi="Times New Roman" w:cs="Times New Roman"/>
          <w:szCs w:val="24"/>
        </w:rPr>
        <w:t>《项目可研复函》</w:t>
      </w:r>
      <w:r>
        <w:rPr>
          <w:rFonts w:hint="eastAsia" w:ascii="宋体" w:hAnsi="宋体" w:cs="宋体"/>
          <w:color w:val="000000"/>
          <w:kern w:val="0"/>
          <w:szCs w:val="24"/>
          <w:lang w:bidi="ar"/>
        </w:rPr>
        <w:t>，本项目</w:t>
      </w:r>
      <w:r>
        <w:rPr>
          <w:rFonts w:hint="eastAsia" w:ascii="宋体" w:hAnsi="宋体" w:cs="宋体"/>
          <w:color w:val="000000"/>
          <w:kern w:val="0"/>
          <w:szCs w:val="24"/>
          <w:lang w:val="en-US" w:eastAsia="zh-CN" w:bidi="ar"/>
        </w:rPr>
        <w:t>建设总投资2.5亿元，建设规模和建设内容为970k㎡的数字孪生模型与三维实景，助力城市管理与智能化；新增168套智能交通联网感知设施与停车泊位，构建交通动态数据集与提高区内交通联设应急指挥平台，布设771套前端感知设备，提升平;建设1套数字档案应用系统，深化公共数据白具有数据服务、智能杆出租、智慧停车等收入。</w:t>
      </w:r>
    </w:p>
    <w:p w14:paraId="341C8F5C">
      <w:pPr>
        <w:autoSpaceDE w:val="0"/>
        <w:autoSpaceDN w:val="0"/>
        <w:spacing w:before="50" w:after="50" w:line="360" w:lineRule="auto"/>
        <w:ind w:firstLine="460"/>
        <w:rPr>
          <w:rFonts w:ascii="Times New Roman" w:hAnsi="Times New Roman" w:cs="Times New Roman"/>
          <w:b/>
          <w:bCs/>
          <w:spacing w:val="-11"/>
          <w:szCs w:val="24"/>
          <w:lang w:val="zh-CN" w:bidi="zh-CN"/>
        </w:rPr>
      </w:pPr>
      <w:r>
        <w:rPr>
          <w:rFonts w:hint="eastAsia" w:ascii="Times New Roman" w:hAnsi="Times New Roman" w:cs="Times New Roman"/>
          <w:b/>
          <w:bCs/>
          <w:spacing w:val="-11"/>
          <w:szCs w:val="24"/>
          <w:lang w:val="zh-CN" w:bidi="zh-CN"/>
        </w:rPr>
        <w:t>（二）项目已经取得的批复</w:t>
      </w:r>
    </w:p>
    <w:p w14:paraId="46B48E8B">
      <w:pPr>
        <w:autoSpaceDE w:val="0"/>
        <w:autoSpaceDN w:val="0"/>
        <w:spacing w:before="190" w:beforeLines="50" w:after="190" w:afterLines="50" w:line="360" w:lineRule="auto"/>
        <w:ind w:firstLine="480"/>
        <w:rPr>
          <w:rFonts w:ascii="Times New Roman" w:hAnsi="Times New Roman" w:cs="Times New Roman"/>
          <w:szCs w:val="24"/>
          <w:lang w:val="zh-CN" w:bidi="zh-CN"/>
        </w:rPr>
      </w:pPr>
      <w:r>
        <w:rPr>
          <w:rFonts w:ascii="Times New Roman" w:hAnsi="Times New Roman" w:cs="Times New Roman"/>
          <w:szCs w:val="24"/>
          <w:lang w:val="zh-CN" w:bidi="zh-CN"/>
        </w:rPr>
        <w:t>截止至本法律意见书出具之日，</w:t>
      </w:r>
      <w:r>
        <w:rPr>
          <w:rFonts w:hint="eastAsia" w:ascii="Times New Roman" w:hAnsi="Times New Roman" w:cs="Times New Roman"/>
          <w:szCs w:val="24"/>
          <w:lang w:bidi="zh-CN"/>
        </w:rPr>
        <w:t>本</w:t>
      </w:r>
      <w:r>
        <w:rPr>
          <w:rFonts w:ascii="Times New Roman" w:hAnsi="Times New Roman" w:cs="Times New Roman"/>
          <w:szCs w:val="24"/>
          <w:lang w:val="zh-CN" w:bidi="zh-CN"/>
        </w:rPr>
        <w:t>项目已取得的主要批复如下：</w:t>
      </w:r>
    </w:p>
    <w:tbl>
      <w:tblPr>
        <w:tblStyle w:val="17"/>
        <w:tblW w:w="85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2"/>
        <w:gridCol w:w="3253"/>
        <w:gridCol w:w="1850"/>
        <w:gridCol w:w="1287"/>
        <w:gridCol w:w="1675"/>
      </w:tblGrid>
      <w:tr w14:paraId="3D01D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blHeader/>
          <w:jc w:val="center"/>
        </w:trPr>
        <w:tc>
          <w:tcPr>
            <w:tcW w:w="492" w:type="dxa"/>
            <w:shd w:val="clear" w:color="auto" w:fill="D8D8D8"/>
            <w:vAlign w:val="center"/>
          </w:tcPr>
          <w:p w14:paraId="17CD4756">
            <w:pPr>
              <w:autoSpaceDE w:val="0"/>
              <w:autoSpaceDN w:val="0"/>
              <w:spacing w:before="190" w:beforeLines="50" w:after="190" w:afterLines="50" w:line="240" w:lineRule="auto"/>
              <w:ind w:firstLine="0" w:firstLineChars="0"/>
              <w:jc w:val="center"/>
              <w:rPr>
                <w:rFonts w:ascii="Times New Roman" w:hAnsi="Times New Roman" w:cs="Times New Roman"/>
                <w:b/>
                <w:w w:val="105"/>
                <w:sz w:val="20"/>
                <w:szCs w:val="22"/>
                <w:lang w:bidi="zh-CN"/>
              </w:rPr>
            </w:pPr>
            <w:r>
              <w:rPr>
                <w:rFonts w:ascii="Times New Roman" w:hAnsi="Times New Roman" w:cs="Times New Roman"/>
                <w:b/>
                <w:w w:val="105"/>
                <w:sz w:val="20"/>
                <w:szCs w:val="22"/>
                <w:lang w:bidi="zh-CN"/>
              </w:rPr>
              <w:t>序号</w:t>
            </w:r>
          </w:p>
        </w:tc>
        <w:tc>
          <w:tcPr>
            <w:tcW w:w="3253" w:type="dxa"/>
            <w:shd w:val="clear" w:color="auto" w:fill="D8D8D8"/>
            <w:vAlign w:val="center"/>
          </w:tcPr>
          <w:p w14:paraId="393663BE">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val="zh-CN" w:bidi="zh-CN"/>
              </w:rPr>
            </w:pPr>
            <w:r>
              <w:rPr>
                <w:rFonts w:ascii="Times New Roman" w:hAnsi="Times New Roman" w:cs="Times New Roman"/>
                <w:b/>
                <w:w w:val="105"/>
                <w:sz w:val="20"/>
                <w:szCs w:val="22"/>
                <w:lang w:bidi="zh-CN"/>
              </w:rPr>
              <w:t>文件</w:t>
            </w:r>
            <w:r>
              <w:rPr>
                <w:rFonts w:ascii="Times New Roman" w:hAnsi="Times New Roman" w:cs="Times New Roman"/>
                <w:b/>
                <w:w w:val="105"/>
                <w:sz w:val="20"/>
                <w:szCs w:val="22"/>
                <w:lang w:val="zh-CN" w:bidi="zh-CN"/>
              </w:rPr>
              <w:t>名称</w:t>
            </w:r>
          </w:p>
        </w:tc>
        <w:tc>
          <w:tcPr>
            <w:tcW w:w="1850" w:type="dxa"/>
            <w:shd w:val="clear" w:color="auto" w:fill="D8D8D8"/>
            <w:vAlign w:val="center"/>
          </w:tcPr>
          <w:p w14:paraId="769D3E05">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val="zh-CN" w:bidi="zh-CN"/>
              </w:rPr>
            </w:pPr>
            <w:r>
              <w:rPr>
                <w:rFonts w:ascii="Times New Roman" w:hAnsi="Times New Roman" w:cs="Times New Roman"/>
                <w:b/>
                <w:w w:val="105"/>
                <w:sz w:val="20"/>
                <w:szCs w:val="22"/>
                <w:lang w:val="zh-CN" w:bidi="zh-CN"/>
              </w:rPr>
              <w:t>发文主体</w:t>
            </w:r>
          </w:p>
        </w:tc>
        <w:tc>
          <w:tcPr>
            <w:tcW w:w="1287" w:type="dxa"/>
            <w:shd w:val="clear" w:color="auto" w:fill="D8D8D8"/>
            <w:vAlign w:val="center"/>
          </w:tcPr>
          <w:p w14:paraId="09614965">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bidi="zh-CN"/>
              </w:rPr>
            </w:pPr>
            <w:r>
              <w:rPr>
                <w:rFonts w:ascii="Times New Roman" w:hAnsi="Times New Roman" w:cs="Times New Roman"/>
                <w:b/>
                <w:w w:val="105"/>
                <w:sz w:val="20"/>
                <w:szCs w:val="22"/>
                <w:lang w:bidi="zh-CN"/>
              </w:rPr>
              <w:t>发文时间</w:t>
            </w:r>
          </w:p>
        </w:tc>
        <w:tc>
          <w:tcPr>
            <w:tcW w:w="1675" w:type="dxa"/>
            <w:shd w:val="clear" w:color="auto" w:fill="D8D8D8"/>
            <w:vAlign w:val="center"/>
          </w:tcPr>
          <w:p w14:paraId="744959AA">
            <w:pPr>
              <w:autoSpaceDE w:val="0"/>
              <w:autoSpaceDN w:val="0"/>
              <w:spacing w:before="190" w:beforeLines="50" w:after="190" w:afterLines="50" w:line="240" w:lineRule="auto"/>
              <w:ind w:firstLine="0" w:firstLineChars="0"/>
              <w:jc w:val="center"/>
              <w:rPr>
                <w:rFonts w:ascii="Times New Roman" w:hAnsi="Times New Roman" w:cs="Times New Roman"/>
                <w:b/>
                <w:sz w:val="20"/>
                <w:szCs w:val="22"/>
                <w:lang w:bidi="zh-CN"/>
              </w:rPr>
            </w:pPr>
            <w:r>
              <w:rPr>
                <w:rFonts w:ascii="Times New Roman" w:hAnsi="Times New Roman" w:cs="Times New Roman"/>
                <w:b/>
                <w:w w:val="105"/>
                <w:sz w:val="20"/>
                <w:szCs w:val="22"/>
                <w:lang w:bidi="zh-CN"/>
              </w:rPr>
              <w:t>文号</w:t>
            </w:r>
          </w:p>
        </w:tc>
      </w:tr>
      <w:tr w14:paraId="061A0C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92" w:type="dxa"/>
            <w:vAlign w:val="center"/>
          </w:tcPr>
          <w:p w14:paraId="6AF3EED1">
            <w:pPr>
              <w:autoSpaceDE w:val="0"/>
              <w:autoSpaceDN w:val="0"/>
              <w:spacing w:before="190" w:beforeLines="50" w:after="190" w:afterLines="50" w:line="240" w:lineRule="auto"/>
              <w:ind w:firstLine="0" w:firstLineChars="0"/>
              <w:jc w:val="center"/>
              <w:rPr>
                <w:rFonts w:hint="default" w:ascii="Times New Roman" w:hAnsi="Times New Roman" w:cs="Times New Roman"/>
                <w:sz w:val="21"/>
                <w:szCs w:val="22"/>
                <w:lang w:val="en-US" w:bidi="zh-CN"/>
              </w:rPr>
            </w:pPr>
            <w:r>
              <w:rPr>
                <w:rFonts w:hint="eastAsia" w:ascii="Times New Roman" w:hAnsi="Times New Roman" w:cs="Times New Roman"/>
                <w:sz w:val="21"/>
                <w:szCs w:val="22"/>
                <w:lang w:val="en-US" w:bidi="zh-CN"/>
              </w:rPr>
              <w:t>1</w:t>
            </w:r>
          </w:p>
        </w:tc>
        <w:tc>
          <w:tcPr>
            <w:tcW w:w="3253" w:type="dxa"/>
            <w:vAlign w:val="center"/>
          </w:tcPr>
          <w:p w14:paraId="2B1DC103">
            <w:pPr>
              <w:widowControl/>
              <w:spacing w:before="190" w:beforeLines="50" w:after="190" w:afterLines="50" w:line="240" w:lineRule="auto"/>
              <w:ind w:firstLine="0" w:firstLineChars="0"/>
              <w:jc w:val="center"/>
              <w:rPr>
                <w:rFonts w:ascii="Times New Roman" w:hAnsi="Times New Roman" w:cs="Times New Roman"/>
                <w:sz w:val="21"/>
                <w:szCs w:val="22"/>
                <w:lang w:bidi="zh-CN"/>
              </w:rPr>
            </w:pPr>
            <w:r>
              <w:rPr>
                <w:rFonts w:hint="eastAsia" w:ascii="Times New Roman" w:hAnsi="Times New Roman" w:cs="Times New Roman"/>
                <w:sz w:val="21"/>
                <w:szCs w:val="22"/>
                <w:lang w:bidi="zh-CN"/>
              </w:rPr>
              <w:t>《关于</w:t>
            </w:r>
            <w:r>
              <w:rPr>
                <w:rFonts w:hint="eastAsia" w:ascii="Times New Roman" w:hAnsi="Times New Roman" w:cs="Times New Roman"/>
                <w:sz w:val="21"/>
                <w:szCs w:val="22"/>
                <w:lang w:eastAsia="zh-CN" w:bidi="zh-CN"/>
              </w:rPr>
              <w:t>广州市花都区城市管理数字化与数据要素应用建设项目</w:t>
            </w:r>
            <w:r>
              <w:rPr>
                <w:rFonts w:hint="eastAsia" w:ascii="Times New Roman" w:hAnsi="Times New Roman" w:cs="Times New Roman"/>
                <w:sz w:val="21"/>
                <w:szCs w:val="22"/>
                <w:lang w:bidi="zh-CN"/>
              </w:rPr>
              <w:t>可行性研究报告的复函》</w:t>
            </w:r>
          </w:p>
        </w:tc>
        <w:tc>
          <w:tcPr>
            <w:tcW w:w="1850" w:type="dxa"/>
            <w:vAlign w:val="center"/>
          </w:tcPr>
          <w:p w14:paraId="2F8257F3">
            <w:pPr>
              <w:widowControl/>
              <w:spacing w:before="190" w:beforeLines="50" w:after="190" w:afterLines="50" w:line="240" w:lineRule="auto"/>
              <w:ind w:firstLine="0" w:firstLineChars="0"/>
              <w:jc w:val="center"/>
              <w:rPr>
                <w:rFonts w:hint="default" w:ascii="Times New Roman" w:hAnsi="Times New Roman" w:cs="Times New Roman"/>
                <w:sz w:val="21"/>
                <w:szCs w:val="22"/>
                <w:lang w:val="en-US" w:bidi="zh-CN"/>
              </w:rPr>
            </w:pPr>
            <w:r>
              <w:rPr>
                <w:rFonts w:hint="eastAsia" w:ascii="Times New Roman" w:hAnsi="Times New Roman" w:cs="Times New Roman"/>
                <w:sz w:val="21"/>
                <w:szCs w:val="22"/>
                <w:lang w:val="en-US" w:bidi="zh-CN"/>
              </w:rPr>
              <w:t>广州市花都区“数字政府”工作领导小组办公室</w:t>
            </w:r>
          </w:p>
        </w:tc>
        <w:tc>
          <w:tcPr>
            <w:tcW w:w="1287" w:type="dxa"/>
            <w:vAlign w:val="center"/>
          </w:tcPr>
          <w:p w14:paraId="2DBE5EDE">
            <w:pPr>
              <w:widowControl/>
              <w:spacing w:before="190" w:beforeLines="50" w:after="190" w:afterLines="50" w:line="240" w:lineRule="auto"/>
              <w:ind w:firstLine="0" w:firstLineChars="0"/>
              <w:jc w:val="center"/>
              <w:rPr>
                <w:rFonts w:hint="default" w:ascii="Times New Roman" w:hAnsi="Times New Roman" w:cs="Times New Roman"/>
                <w:sz w:val="21"/>
                <w:szCs w:val="22"/>
                <w:lang w:val="en-US" w:bidi="zh-CN"/>
              </w:rPr>
            </w:pPr>
            <w:r>
              <w:rPr>
                <w:rFonts w:hint="eastAsia" w:ascii="Times New Roman" w:hAnsi="Times New Roman" w:cs="Times New Roman"/>
                <w:sz w:val="21"/>
                <w:szCs w:val="22"/>
                <w:lang w:bidi="zh-CN"/>
              </w:rPr>
              <w:t>202</w:t>
            </w:r>
            <w:r>
              <w:rPr>
                <w:rFonts w:hint="eastAsia" w:ascii="Times New Roman" w:hAnsi="Times New Roman" w:cs="Times New Roman"/>
                <w:sz w:val="21"/>
                <w:szCs w:val="22"/>
                <w:lang w:val="en-US" w:eastAsia="zh-CN" w:bidi="zh-CN"/>
              </w:rPr>
              <w:t>4-7-3</w:t>
            </w:r>
          </w:p>
          <w:p w14:paraId="19D88E19">
            <w:pPr>
              <w:widowControl/>
              <w:spacing w:before="190" w:beforeLines="50" w:after="190" w:afterLines="50" w:line="240" w:lineRule="auto"/>
              <w:ind w:firstLine="0" w:firstLineChars="0"/>
              <w:jc w:val="center"/>
              <w:rPr>
                <w:rFonts w:ascii="Times New Roman" w:hAnsi="Times New Roman" w:cs="Times New Roman"/>
                <w:sz w:val="21"/>
                <w:szCs w:val="22"/>
                <w:lang w:bidi="zh-CN"/>
              </w:rPr>
            </w:pPr>
          </w:p>
        </w:tc>
        <w:tc>
          <w:tcPr>
            <w:tcW w:w="1675" w:type="dxa"/>
            <w:vAlign w:val="center"/>
          </w:tcPr>
          <w:p w14:paraId="31367C81">
            <w:pPr>
              <w:autoSpaceDE w:val="0"/>
              <w:autoSpaceDN w:val="0"/>
              <w:spacing w:before="190" w:beforeLines="50" w:after="190" w:afterLines="50" w:line="240" w:lineRule="auto"/>
              <w:ind w:firstLine="0" w:firstLineChars="0"/>
              <w:jc w:val="center"/>
              <w:rPr>
                <w:rFonts w:hint="default" w:ascii="Times New Roman" w:hAnsi="Times New Roman" w:cs="Times New Roman"/>
                <w:sz w:val="21"/>
                <w:szCs w:val="22"/>
                <w:lang w:val="zh-CN" w:bidi="zh-CN"/>
              </w:rPr>
            </w:pPr>
            <w:r>
              <w:rPr>
                <w:rFonts w:hint="eastAsia" w:ascii="Times New Roman" w:hAnsi="Times New Roman" w:cs="Times New Roman"/>
                <w:sz w:val="21"/>
                <w:szCs w:val="22"/>
                <w:lang w:val="en-US" w:bidi="zh-CN"/>
              </w:rPr>
              <w:t>花数字办函</w:t>
            </w:r>
            <w:r>
              <w:rPr>
                <w:rFonts w:hint="default" w:ascii="Times New Roman" w:hAnsi="Times New Roman" w:cs="Times New Roman"/>
                <w:sz w:val="21"/>
                <w:szCs w:val="22"/>
                <w:lang w:val="zh-CN" w:eastAsia="zh-CN" w:bidi="zh-CN"/>
              </w:rPr>
              <w:t>〔202</w:t>
            </w:r>
            <w:r>
              <w:rPr>
                <w:rFonts w:hint="eastAsia" w:ascii="Times New Roman" w:hAnsi="Times New Roman" w:cs="Times New Roman"/>
                <w:sz w:val="21"/>
                <w:szCs w:val="22"/>
                <w:lang w:val="zh-CN" w:eastAsia="zh-CN" w:bidi="zh-CN"/>
              </w:rPr>
              <w:t>4</w:t>
            </w:r>
            <w:r>
              <w:rPr>
                <w:rFonts w:hint="default" w:ascii="Times New Roman" w:hAnsi="Times New Roman" w:cs="Times New Roman"/>
                <w:sz w:val="21"/>
                <w:szCs w:val="22"/>
                <w:lang w:val="zh-CN" w:eastAsia="zh-CN" w:bidi="zh-CN"/>
              </w:rPr>
              <w:t>〕</w:t>
            </w:r>
            <w:r>
              <w:rPr>
                <w:rFonts w:hint="eastAsia" w:ascii="Times New Roman" w:hAnsi="Times New Roman" w:cs="Times New Roman"/>
                <w:sz w:val="21"/>
                <w:szCs w:val="22"/>
                <w:lang w:val="en-US" w:eastAsia="zh-CN" w:bidi="zh-CN"/>
              </w:rPr>
              <w:t>10</w:t>
            </w:r>
            <w:r>
              <w:rPr>
                <w:rFonts w:hint="default" w:ascii="Times New Roman" w:hAnsi="Times New Roman" w:cs="Times New Roman"/>
                <w:sz w:val="21"/>
                <w:szCs w:val="22"/>
                <w:lang w:val="zh-CN" w:bidi="zh-CN"/>
              </w:rPr>
              <w:t>号</w:t>
            </w:r>
          </w:p>
          <w:p w14:paraId="41E6907F">
            <w:pPr>
              <w:autoSpaceDE w:val="0"/>
              <w:autoSpaceDN w:val="0"/>
              <w:spacing w:before="190" w:beforeLines="50" w:after="190" w:afterLines="50" w:line="240" w:lineRule="auto"/>
              <w:ind w:firstLine="0" w:firstLineChars="0"/>
              <w:jc w:val="center"/>
              <w:rPr>
                <w:rFonts w:ascii="Times New Roman" w:hAnsi="Times New Roman" w:cs="Times New Roman"/>
                <w:sz w:val="21"/>
                <w:szCs w:val="22"/>
                <w:lang w:val="zh-CN" w:bidi="zh-CN"/>
              </w:rPr>
            </w:pPr>
          </w:p>
        </w:tc>
      </w:tr>
    </w:tbl>
    <w:p w14:paraId="4324438A">
      <w:pPr>
        <w:spacing w:before="190" w:beforeLines="50" w:after="190" w:afterLines="50" w:line="360" w:lineRule="auto"/>
        <w:ind w:firstLine="480"/>
        <w:rPr>
          <w:rFonts w:ascii="Times New Roman" w:hAnsi="Times New Roman" w:cs="Times New Roman"/>
          <w:szCs w:val="24"/>
          <w:lang w:val="zh-CN" w:bidi="zh-CN"/>
        </w:rPr>
      </w:pPr>
      <w:r>
        <w:rPr>
          <w:rFonts w:hint="eastAsia" w:ascii="Times New Roman" w:hAnsi="Times New Roman" w:cs="Times New Roman"/>
          <w:szCs w:val="24"/>
          <w:lang w:val="zh-CN" w:bidi="zh-CN"/>
        </w:rPr>
        <w:t>综上，本所律师认为，本次债券发行募投项目</w:t>
      </w:r>
      <w:r>
        <w:rPr>
          <w:rFonts w:hint="eastAsia" w:ascii="Times New Roman" w:hAnsi="Times New Roman" w:cs="Times New Roman"/>
          <w:szCs w:val="24"/>
          <w:lang w:bidi="zh-CN"/>
        </w:rPr>
        <w:t>已经开展立项有关工作</w:t>
      </w:r>
      <w:r>
        <w:rPr>
          <w:rFonts w:hint="eastAsia" w:ascii="Times New Roman" w:hAnsi="Times New Roman" w:cs="Times New Roman"/>
          <w:szCs w:val="24"/>
          <w:lang w:val="zh-CN" w:bidi="zh-CN"/>
        </w:rPr>
        <w:t>，有实施项目的资金需求；后续项目需根据建设进度，按照有关法律、法规的规定办理审批手续。</w:t>
      </w:r>
    </w:p>
    <w:p w14:paraId="613FD9E0">
      <w:pPr>
        <w:spacing w:before="190" w:beforeLines="50" w:after="190" w:afterLines="50" w:line="360" w:lineRule="auto"/>
        <w:ind w:firstLine="480"/>
        <w:rPr>
          <w:rFonts w:ascii="Times New Roman" w:hAnsi="Times New Roman" w:cs="Times New Roman"/>
          <w:szCs w:val="24"/>
        </w:rPr>
      </w:pPr>
    </w:p>
    <w:p w14:paraId="699650EC">
      <w:pPr>
        <w:pStyle w:val="3"/>
      </w:pPr>
      <w:bookmarkStart w:id="50" w:name="_Toc7735"/>
      <w:bookmarkStart w:id="51" w:name="_Toc19846"/>
      <w:bookmarkStart w:id="52" w:name="_Toc13557"/>
      <w:bookmarkStart w:id="53" w:name="_Toc3503"/>
      <w:bookmarkStart w:id="54" w:name="_Toc21523"/>
      <w:bookmarkStart w:id="55" w:name="_Toc25572"/>
      <w:bookmarkStart w:id="56" w:name="_Toc31742"/>
      <w:bookmarkStart w:id="57" w:name="_Toc9328"/>
      <w:r>
        <w:t>四、项目公益性及收益与融资平衡情况</w:t>
      </w:r>
      <w:bookmarkEnd w:id="50"/>
      <w:bookmarkEnd w:id="51"/>
      <w:bookmarkEnd w:id="52"/>
      <w:bookmarkEnd w:id="53"/>
      <w:bookmarkEnd w:id="54"/>
      <w:bookmarkEnd w:id="55"/>
      <w:bookmarkEnd w:id="56"/>
      <w:bookmarkEnd w:id="57"/>
    </w:p>
    <w:p w14:paraId="46AB52D0">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（一）公益性</w:t>
      </w:r>
    </w:p>
    <w:p w14:paraId="39D9D323">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lang w:val="en-US" w:eastAsia="zh-CN"/>
        </w:rPr>
        <w:t>本项目通过实施城市管理数字化，实现了对城市运行状态的实时监控、数据分析与科学决策，有效提升了城市管理的精细化、智能化水平。数据要素的广泛应用为传统产业带来了数字化转型的机遇，推动了生产方式的革新和效率的提升。促进花都区经济社会高质量发展，提高区域生活水平和生活质量。项目符合花都区总体规划的发展战略和方向，对于提升花都区形象和综合竞争实力，促进经济与环境的和谐起到了技术支撑。项目与花都区的社会和经济发展水平相适应，项目的负面影响很小，有很好的社会效益，为公益性的基础设施建设项目</w:t>
      </w:r>
      <w:r>
        <w:rPr>
          <w:rFonts w:hint="eastAsia" w:ascii="Times New Roman" w:hAnsi="Times New Roman" w:cs="Times New Roman"/>
          <w:szCs w:val="24"/>
          <w:lang w:eastAsia="zh-CN"/>
        </w:rPr>
        <w:t>，</w:t>
      </w:r>
      <w:r>
        <w:rPr>
          <w:rFonts w:hint="eastAsia" w:ascii="Times New Roman" w:hAnsi="Times New Roman" w:cs="Times New Roman"/>
          <w:szCs w:val="24"/>
        </w:rPr>
        <w:t>符合《关于试点发展项目收益与融资自求平衡的地方政府专项债券品种的通知》（财预〔2017〕89号）的有关规定。</w:t>
      </w:r>
    </w:p>
    <w:p w14:paraId="291651E5">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（二）收益与融资平衡</w:t>
      </w:r>
    </w:p>
    <w:p w14:paraId="75A98F49">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根据光领会计所出具的《评价报告》：经专项审核，光领会计所认为，在相关单位对项目收益预测及其所依据的各项假设前提下，本次评价的</w:t>
      </w:r>
      <w:r>
        <w:rPr>
          <w:rFonts w:hint="eastAsia" w:ascii="Times New Roman" w:hAnsi="Times New Roman" w:cs="Times New Roman"/>
          <w:szCs w:val="24"/>
          <w:lang w:eastAsia="zh-CN"/>
        </w:rPr>
        <w:t>广州市花都区城市管理数字化与数据要素应用建设项目</w:t>
      </w:r>
      <w:r>
        <w:rPr>
          <w:rFonts w:hint="eastAsia" w:ascii="Times New Roman" w:hAnsi="Times New Roman" w:cs="Times New Roman"/>
          <w:szCs w:val="24"/>
        </w:rPr>
        <w:t>，预期土地出让收入对应的政府性基金收入和其他收入（综合配套收入）能够合理保障偿还融资本金和利息，实现项目收益和融资自求平衡。</w:t>
      </w:r>
    </w:p>
    <w:p w14:paraId="22141410">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综上，本次债券发行对应融资项目为公益性项目，</w:t>
      </w:r>
      <w:r>
        <w:rPr>
          <w:rFonts w:hint="eastAsia" w:ascii="Times New Roman" w:hAnsi="Times New Roman" w:cs="Times New Roman"/>
          <w:szCs w:val="24"/>
        </w:rPr>
        <w:t>经光领会计所评价，</w:t>
      </w:r>
      <w:r>
        <w:rPr>
          <w:rFonts w:ascii="Times New Roman" w:hAnsi="Times New Roman" w:cs="Times New Roman"/>
          <w:szCs w:val="24"/>
        </w:rPr>
        <w:t>预期收益能够合理保障偿还融资本金和利息，实现项目收益和融资自求平衡，符合《关于试点发展项目收益与融资自求平衡的地方政府专项债券品种的通知》（财预〔2017〕89号）的有关规定。</w:t>
      </w:r>
    </w:p>
    <w:p w14:paraId="7752600F">
      <w:pPr>
        <w:spacing w:before="190" w:beforeLines="50" w:after="190" w:afterLines="50" w:line="360" w:lineRule="auto"/>
        <w:ind w:firstLine="480"/>
        <w:rPr>
          <w:rFonts w:ascii="Times New Roman" w:hAnsi="Times New Roman" w:cs="Times New Roman"/>
          <w:szCs w:val="24"/>
        </w:rPr>
      </w:pPr>
    </w:p>
    <w:p w14:paraId="2E3C0CC5">
      <w:pPr>
        <w:pStyle w:val="3"/>
      </w:pPr>
      <w:bookmarkStart w:id="58" w:name="_Toc26176"/>
      <w:bookmarkStart w:id="59" w:name="_Toc21280"/>
      <w:bookmarkStart w:id="60" w:name="_Toc22188"/>
      <w:bookmarkStart w:id="61" w:name="_Toc32082"/>
      <w:bookmarkStart w:id="62" w:name="_Toc17879"/>
      <w:bookmarkStart w:id="63" w:name="_Toc26996"/>
      <w:bookmarkStart w:id="64" w:name="_Toc26025"/>
      <w:bookmarkStart w:id="65" w:name="_Toc4148"/>
      <w:r>
        <w:t>五、</w:t>
      </w:r>
      <w:bookmarkEnd w:id="58"/>
      <w:bookmarkEnd w:id="59"/>
      <w:bookmarkEnd w:id="60"/>
      <w:bookmarkEnd w:id="61"/>
      <w:bookmarkEnd w:id="62"/>
      <w:bookmarkStart w:id="66" w:name="_Toc23"/>
      <w:bookmarkStart w:id="67" w:name="_Toc15837"/>
      <w:bookmarkStart w:id="68" w:name="_Toc22096"/>
      <w:bookmarkStart w:id="69" w:name="_Toc115"/>
      <w:bookmarkStart w:id="70" w:name="_Toc20190"/>
      <w:r>
        <w:t>发行文件及发行</w:t>
      </w:r>
      <w:r>
        <w:rPr>
          <w:rFonts w:hint="eastAsia"/>
        </w:rPr>
        <w:t>服务</w:t>
      </w:r>
      <w:r>
        <w:t>机构</w:t>
      </w:r>
      <w:bookmarkEnd w:id="63"/>
      <w:bookmarkEnd w:id="64"/>
      <w:bookmarkEnd w:id="65"/>
      <w:bookmarkEnd w:id="66"/>
      <w:bookmarkEnd w:id="67"/>
      <w:bookmarkEnd w:id="68"/>
      <w:bookmarkEnd w:id="69"/>
      <w:bookmarkEnd w:id="70"/>
    </w:p>
    <w:p w14:paraId="50C2BC01">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（一）实施方案</w:t>
      </w:r>
    </w:p>
    <w:p w14:paraId="59B3556B">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本项目《实施方案》包含了项目基本情况、项目实施重要性和经济社会效益分析、项目投资估算、资金筹措方案及使用计划、项目收益与融资平衡情况、专项债券管理、项目风险控制、事前绩效评估报告等。</w:t>
      </w:r>
    </w:p>
    <w:p w14:paraId="4FE0C8A8">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本所律师认为，《实施方案》内容具体明确，已包含本次债券发行所涉及的主要内容。</w:t>
      </w:r>
    </w:p>
    <w:p w14:paraId="7D7EA640">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（二）财务专项评价报告</w:t>
      </w:r>
    </w:p>
    <w:p w14:paraId="7EBCE18D">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光领会计所出具了《评价报告》。光领会计所持有广州市越秀区市场监督管理局核发的统一社会信用代码为91440101716357654X的《营业执照》和广东省财政厅颁发的证书编号为44010048的《会计师事务所执业证书》，光领会计所为在中国境内依法设立且有效存续的会计师事务所。</w:t>
      </w:r>
    </w:p>
    <w:p w14:paraId="2F25EB9D">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本所律师认为，光领会计所具有为本项目发行出具《评价报告》的从业资格。</w:t>
      </w:r>
    </w:p>
    <w:p w14:paraId="5CCCB695">
      <w:pPr>
        <w:spacing w:before="190" w:beforeLines="50" w:after="190" w:afterLines="50" w:line="360" w:lineRule="auto"/>
        <w:ind w:firstLine="482"/>
        <w:rPr>
          <w:rFonts w:ascii="Times New Roman" w:hAnsi="Times New Roman" w:cs="Times New Roman"/>
          <w:b/>
          <w:bCs/>
          <w:szCs w:val="24"/>
        </w:rPr>
      </w:pPr>
      <w:r>
        <w:rPr>
          <w:rFonts w:hint="eastAsia" w:ascii="Times New Roman" w:hAnsi="Times New Roman" w:cs="Times New Roman"/>
          <w:b/>
          <w:bCs/>
          <w:szCs w:val="24"/>
        </w:rPr>
        <w:t>（三）法律意见书</w:t>
      </w:r>
    </w:p>
    <w:p w14:paraId="34855616">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法律意见书由本所出具。本所是经广东省司法厅</w:t>
      </w:r>
      <w:r>
        <w:rPr>
          <w:rFonts w:ascii="Times New Roman" w:hAnsi="Times New Roman" w:cs="Times New Roman"/>
          <w:szCs w:val="24"/>
        </w:rPr>
        <w:t>批准设立并合法存续的合伙制律师事务所，现持有广东省司法厅颁发的《律师事务所执业许可证》（证号：31440000729897588T），并已通过历年年审。本所指派的两位经办律师均持有广东省司法厅颁发的《中华人民共和国律师执业证》，并已通过历年年审。</w:t>
      </w:r>
    </w:p>
    <w:p w14:paraId="7A44494E">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本所律师认为，本所系依法成立且有效存续的律师事务所，具备为本项目发行出具法律意见书的资质；本法律意见书上签字的两名执业律师均具备相应的执业资格。</w:t>
      </w:r>
    </w:p>
    <w:p w14:paraId="28BD21D5">
      <w:pPr>
        <w:spacing w:before="190" w:beforeLines="50" w:after="190" w:afterLines="50" w:line="360" w:lineRule="auto"/>
        <w:ind w:firstLine="480"/>
        <w:rPr>
          <w:rFonts w:ascii="Times New Roman" w:hAnsi="Times New Roman" w:cs="Times New Roman"/>
          <w:szCs w:val="24"/>
        </w:rPr>
      </w:pPr>
    </w:p>
    <w:p w14:paraId="7AC7C2D0">
      <w:pPr>
        <w:pStyle w:val="3"/>
      </w:pPr>
      <w:bookmarkStart w:id="71" w:name="_Toc6545"/>
      <w:bookmarkStart w:id="72" w:name="_Toc16779"/>
      <w:bookmarkStart w:id="73" w:name="_Toc2694"/>
      <w:bookmarkStart w:id="74" w:name="_Toc4917"/>
      <w:bookmarkStart w:id="75" w:name="_Toc8742"/>
      <w:bookmarkStart w:id="76" w:name="_Toc25030"/>
      <w:bookmarkStart w:id="77" w:name="_Toc14258"/>
      <w:bookmarkStart w:id="78" w:name="_Toc28840"/>
      <w:r>
        <w:t>六、项目风险提示</w:t>
      </w:r>
      <w:bookmarkEnd w:id="71"/>
      <w:bookmarkEnd w:id="72"/>
      <w:bookmarkEnd w:id="73"/>
      <w:bookmarkEnd w:id="74"/>
      <w:bookmarkEnd w:id="75"/>
      <w:bookmarkEnd w:id="76"/>
      <w:bookmarkEnd w:id="77"/>
      <w:bookmarkEnd w:id="78"/>
    </w:p>
    <w:p w14:paraId="3BD11F41">
      <w:pPr>
        <w:numPr>
          <w:ilvl w:val="255"/>
          <w:numId w:val="0"/>
        </w:numPr>
        <w:spacing w:before="190" w:beforeLines="50" w:after="190" w:afterLines="50" w:line="360" w:lineRule="auto"/>
        <w:ind w:firstLine="480" w:firstLineChars="200"/>
        <w:rPr>
          <w:rFonts w:hint="eastAsia" w:ascii="Times New Roman" w:hAnsi="Times New Roman" w:cs="Times New Roman"/>
          <w:szCs w:val="24"/>
          <w:lang w:val="en-US" w:eastAsia="zh-CN"/>
        </w:rPr>
      </w:pPr>
      <w:r>
        <w:rPr>
          <w:rFonts w:ascii="Times New Roman" w:hAnsi="Times New Roman" w:cs="Times New Roman"/>
          <w:szCs w:val="24"/>
        </w:rPr>
        <w:t>根据《实施方案》，</w:t>
      </w:r>
      <w:r>
        <w:rPr>
          <w:rFonts w:hint="eastAsia" w:ascii="Times New Roman" w:hAnsi="Times New Roman" w:cs="Times New Roman"/>
          <w:szCs w:val="24"/>
        </w:rPr>
        <w:t>项目可能存在</w:t>
      </w:r>
      <w:r>
        <w:rPr>
          <w:rFonts w:hint="eastAsia" w:ascii="Times New Roman" w:hAnsi="Times New Roman" w:cs="Times New Roman"/>
          <w:szCs w:val="24"/>
          <w:lang w:val="en-US" w:eastAsia="zh-CN"/>
        </w:rPr>
        <w:t>以下风险：</w:t>
      </w:r>
    </w:p>
    <w:p w14:paraId="42275D75">
      <w:pPr>
        <w:numPr>
          <w:ilvl w:val="255"/>
          <w:numId w:val="0"/>
        </w:numPr>
        <w:spacing w:before="190" w:beforeLines="50" w:after="190" w:afterLines="50" w:line="360" w:lineRule="auto"/>
        <w:ind w:firstLine="480" w:firstLineChars="200"/>
        <w:rPr>
          <w:rFonts w:hint="eastAsia" w:ascii="Times New Roman" w:hAnsi="Times New Roman" w:cs="Times New Roman"/>
          <w:szCs w:val="24"/>
        </w:rPr>
      </w:pPr>
      <w:r>
        <w:rPr>
          <w:rFonts w:hint="eastAsia" w:ascii="Times New Roman" w:hAnsi="Times New Roman" w:cs="Times New Roman"/>
          <w:szCs w:val="24"/>
        </w:rPr>
        <w:t>（1）项目收益风险</w:t>
      </w:r>
    </w:p>
    <w:p w14:paraId="001D2D30">
      <w:pPr>
        <w:numPr>
          <w:ilvl w:val="255"/>
          <w:numId w:val="0"/>
        </w:numPr>
        <w:spacing w:before="190" w:beforeLines="50" w:after="190" w:afterLines="50" w:line="360" w:lineRule="auto"/>
        <w:ind w:firstLine="480" w:firstLineChars="200"/>
        <w:rPr>
          <w:rFonts w:hint="eastAsia" w:ascii="Times New Roman" w:hAnsi="Times New Roman" w:cs="Times New Roman"/>
          <w:szCs w:val="24"/>
        </w:rPr>
      </w:pPr>
      <w:r>
        <w:rPr>
          <w:rFonts w:hint="eastAsia" w:ascii="Times New Roman" w:hAnsi="Times New Roman" w:cs="Times New Roman"/>
          <w:szCs w:val="24"/>
        </w:rPr>
        <w:t>本项目具有公益性，回收周期长，预期项目收益可能产生波动，将影响项目的收益，进而影响项目资金的平衡。</w:t>
      </w:r>
    </w:p>
    <w:p w14:paraId="2340ED47">
      <w:pPr>
        <w:numPr>
          <w:ilvl w:val="255"/>
          <w:numId w:val="0"/>
        </w:numPr>
        <w:spacing w:before="190" w:beforeLines="50" w:after="190" w:afterLines="50" w:line="360" w:lineRule="auto"/>
        <w:ind w:firstLine="480" w:firstLineChars="200"/>
        <w:rPr>
          <w:rFonts w:hint="eastAsia" w:ascii="Times New Roman" w:hAnsi="Times New Roman" w:cs="Times New Roman"/>
          <w:szCs w:val="24"/>
        </w:rPr>
      </w:pPr>
      <w:r>
        <w:rPr>
          <w:rFonts w:hint="eastAsia" w:ascii="Times New Roman" w:hAnsi="Times New Roman" w:cs="Times New Roman"/>
          <w:szCs w:val="24"/>
        </w:rPr>
        <w:t>（2）其他风险</w:t>
      </w:r>
    </w:p>
    <w:p w14:paraId="75F5BB2E">
      <w:pPr>
        <w:numPr>
          <w:ilvl w:val="255"/>
          <w:numId w:val="0"/>
        </w:numPr>
        <w:spacing w:before="190" w:beforeLines="50" w:after="190" w:afterLines="50" w:line="360" w:lineRule="auto"/>
        <w:ind w:firstLine="480" w:firstLineChars="200"/>
        <w:rPr>
          <w:rFonts w:hint="eastAsia" w:ascii="Times New Roman" w:hAnsi="Times New Roman" w:cs="Times New Roman"/>
          <w:szCs w:val="24"/>
        </w:rPr>
      </w:pPr>
      <w:r>
        <w:rPr>
          <w:rFonts w:hint="eastAsia" w:ascii="Times New Roman" w:hAnsi="Times New Roman" w:cs="Times New Roman"/>
          <w:szCs w:val="24"/>
        </w:rPr>
        <w:t>①施工条件、资金落实等影响项目施工进度或正常进行的风险。</w:t>
      </w:r>
    </w:p>
    <w:p w14:paraId="78F21C76">
      <w:pPr>
        <w:spacing w:line="360" w:lineRule="auto"/>
        <w:ind w:firstLine="480" w:firstLineChars="200"/>
        <w:rPr>
          <w:rFonts w:ascii="Times New Roman" w:hAnsi="Times New Roman" w:eastAsia="宋体" w:cs="Times New Roman"/>
          <w:color w:val="auto"/>
          <w:kern w:val="2"/>
        </w:rPr>
      </w:pPr>
      <w:r>
        <w:rPr>
          <w:rFonts w:hint="eastAsia" w:ascii="Times New Roman" w:hAnsi="Times New Roman" w:cs="Times New Roman"/>
          <w:szCs w:val="24"/>
        </w:rPr>
        <w:t>②物价波动、设计变更等因素导致投资测算不准确从而影响融资平衡结果的风险。</w:t>
      </w:r>
    </w:p>
    <w:p w14:paraId="1A60080F">
      <w:pPr>
        <w:pStyle w:val="3"/>
      </w:pPr>
      <w:bookmarkStart w:id="79" w:name="_Toc28568"/>
      <w:bookmarkStart w:id="80" w:name="_Toc20321"/>
      <w:bookmarkStart w:id="81" w:name="_Toc28147"/>
      <w:bookmarkStart w:id="82" w:name="_Toc27570"/>
      <w:bookmarkStart w:id="83" w:name="_Toc30967"/>
      <w:bookmarkStart w:id="84" w:name="_Toc25534"/>
      <w:bookmarkStart w:id="85" w:name="_Toc21982"/>
      <w:bookmarkStart w:id="86" w:name="_Toc18653"/>
      <w:r>
        <w:t>七、总体结论性意见</w:t>
      </w:r>
      <w:bookmarkEnd w:id="79"/>
      <w:bookmarkEnd w:id="80"/>
      <w:bookmarkEnd w:id="81"/>
      <w:bookmarkEnd w:id="82"/>
      <w:bookmarkEnd w:id="83"/>
      <w:bookmarkEnd w:id="84"/>
      <w:bookmarkEnd w:id="85"/>
      <w:bookmarkEnd w:id="86"/>
    </w:p>
    <w:p w14:paraId="7121F526">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综上所述，本所律师认为：</w:t>
      </w:r>
    </w:p>
    <w:p w14:paraId="3EC69A81">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1</w:t>
      </w:r>
      <w:r>
        <w:rPr>
          <w:rFonts w:ascii="Times New Roman" w:hAnsi="Times New Roman" w:cs="Times New Roman"/>
          <w:szCs w:val="24"/>
        </w:rPr>
        <w:t>.本次债券发行的发行主体广东省人民政府具备发行地方政府专项债券的主体资格。</w:t>
      </w:r>
    </w:p>
    <w:p w14:paraId="64222FB0">
      <w:pPr>
        <w:spacing w:before="190" w:beforeLines="50" w:after="190" w:afterLines="50" w:line="360" w:lineRule="auto"/>
        <w:ind w:firstLine="480"/>
        <w:rPr>
          <w:rFonts w:ascii="Times New Roman" w:hAnsi="Times New Roman" w:cs="Times New Roman"/>
          <w:szCs w:val="24"/>
          <w:lang w:eastAsia="zh-Hans"/>
        </w:rPr>
      </w:pPr>
      <w:r>
        <w:rPr>
          <w:rFonts w:ascii="Times New Roman" w:hAnsi="Times New Roman" w:cs="Times New Roman"/>
          <w:szCs w:val="24"/>
        </w:rPr>
        <w:t>2.募投项目的</w:t>
      </w:r>
      <w:r>
        <w:rPr>
          <w:rFonts w:hint="eastAsia" w:ascii="Times New Roman" w:hAnsi="Times New Roman" w:cs="Times New Roman"/>
          <w:szCs w:val="24"/>
        </w:rPr>
        <w:t>主管部门</w:t>
      </w:r>
      <w:r>
        <w:rPr>
          <w:rFonts w:hint="eastAsia" w:ascii="Times New Roman" w:hAnsi="Times New Roman" w:cs="Times New Roman"/>
          <w:szCs w:val="24"/>
          <w:lang w:val="en-US" w:eastAsia="zh-CN"/>
        </w:rPr>
        <w:t>和</w:t>
      </w:r>
      <w:r>
        <w:rPr>
          <w:rFonts w:hint="eastAsia" w:ascii="Times New Roman" w:hAnsi="Times New Roman" w:cs="Times New Roman"/>
          <w:szCs w:val="24"/>
        </w:rPr>
        <w:t>实施主体</w:t>
      </w:r>
      <w:r>
        <w:rPr>
          <w:rFonts w:hint="eastAsia" w:ascii="Times New Roman" w:hAnsi="Times New Roman" w:cs="Times New Roman"/>
          <w:szCs w:val="24"/>
          <w:lang w:val="en-US" w:eastAsia="zh-CN"/>
        </w:rPr>
        <w:t>均</w:t>
      </w:r>
      <w:r>
        <w:rPr>
          <w:rFonts w:hint="eastAsia" w:ascii="Times New Roman" w:hAnsi="Times New Roman" w:cs="Times New Roman"/>
          <w:szCs w:val="24"/>
        </w:rPr>
        <w:t>为</w:t>
      </w:r>
      <w:r>
        <w:rPr>
          <w:rFonts w:hint="eastAsia"/>
          <w:kern w:val="2"/>
          <w:lang w:eastAsia="zh-CN"/>
        </w:rPr>
        <w:t>广州市花都区政务服务和数据管理局</w:t>
      </w:r>
      <w:r>
        <w:rPr>
          <w:rFonts w:hint="eastAsia" w:ascii="Times New Roman" w:hAnsi="Times New Roman" w:cs="Times New Roman"/>
          <w:szCs w:val="24"/>
        </w:rPr>
        <w:t>，具备管理、实施对应募投项目的主体资格。</w:t>
      </w:r>
    </w:p>
    <w:p w14:paraId="0E8C5133">
      <w:pPr>
        <w:spacing w:before="190" w:beforeLines="50" w:after="190" w:afterLines="50" w:line="360" w:lineRule="auto"/>
        <w:ind w:firstLine="480"/>
        <w:rPr>
          <w:rFonts w:ascii="Times New Roman" w:hAnsi="Times New Roman" w:cs="Times New Roman"/>
          <w:szCs w:val="24"/>
        </w:rPr>
      </w:pPr>
      <w:r>
        <w:rPr>
          <w:rFonts w:hint="eastAsia" w:ascii="Times New Roman" w:hAnsi="Times New Roman" w:cs="Times New Roman"/>
          <w:szCs w:val="24"/>
        </w:rPr>
        <w:t>3</w:t>
      </w:r>
      <w:r>
        <w:rPr>
          <w:rFonts w:ascii="Times New Roman" w:hAnsi="Times New Roman" w:cs="Times New Roman"/>
          <w:szCs w:val="24"/>
        </w:rPr>
        <w:t>.</w:t>
      </w:r>
      <w:r>
        <w:rPr>
          <w:rFonts w:ascii="Times New Roman" w:hAnsi="Times New Roman" w:cs="Times New Roman"/>
          <w:spacing w:val="-11"/>
          <w:szCs w:val="24"/>
          <w:lang w:val="zh-CN" w:bidi="zh-CN"/>
        </w:rPr>
        <w:t>本次</w:t>
      </w:r>
      <w:r>
        <w:rPr>
          <w:rFonts w:ascii="Times New Roman" w:hAnsi="Times New Roman" w:cs="Times New Roman"/>
          <w:spacing w:val="-11"/>
          <w:szCs w:val="24"/>
          <w:lang w:bidi="zh-CN"/>
        </w:rPr>
        <w:t>债券</w:t>
      </w:r>
      <w:r>
        <w:rPr>
          <w:rFonts w:ascii="Times New Roman" w:hAnsi="Times New Roman" w:cs="Times New Roman"/>
          <w:spacing w:val="-11"/>
          <w:szCs w:val="24"/>
          <w:lang w:val="zh-CN" w:bidi="zh-CN"/>
        </w:rPr>
        <w:t>发行募集资金用于</w:t>
      </w:r>
      <w:bookmarkStart w:id="87" w:name="_Hlk123220291"/>
      <w:r>
        <w:rPr>
          <w:rFonts w:hint="eastAsia" w:ascii="Times New Roman" w:hAnsi="Times New Roman" w:cs="Times New Roman"/>
          <w:spacing w:val="-11"/>
          <w:szCs w:val="24"/>
          <w:lang w:val="zh-CN" w:bidi="zh-CN"/>
        </w:rPr>
        <w:t>广州市花都区城市管理数字化与数据要素应用建设项目，</w:t>
      </w:r>
      <w:r>
        <w:rPr>
          <w:rFonts w:hint="eastAsia" w:ascii="Times New Roman" w:hAnsi="Times New Roman" w:cs="Times New Roman"/>
          <w:spacing w:val="-11"/>
          <w:szCs w:val="24"/>
          <w:lang w:bidi="zh-CN"/>
        </w:rPr>
        <w:t>本项目</w:t>
      </w:r>
      <w:r>
        <w:rPr>
          <w:rFonts w:hint="eastAsia" w:ascii="Times New Roman" w:hAnsi="Times New Roman" w:cs="Times New Roman"/>
          <w:szCs w:val="24"/>
        </w:rPr>
        <w:t>已经开展</w:t>
      </w:r>
      <w:r>
        <w:rPr>
          <w:rFonts w:hint="eastAsia" w:ascii="Times New Roman" w:hAnsi="Times New Roman" w:cs="Times New Roman"/>
          <w:szCs w:val="24"/>
          <w:lang w:bidi="zh-CN"/>
        </w:rPr>
        <w:t>立项相关工作</w:t>
      </w:r>
      <w:r>
        <w:rPr>
          <w:rFonts w:hint="eastAsia" w:ascii="Times New Roman" w:hAnsi="Times New Roman" w:cs="Times New Roman"/>
          <w:szCs w:val="24"/>
        </w:rPr>
        <w:t>，</w:t>
      </w:r>
      <w:r>
        <w:rPr>
          <w:rFonts w:hint="eastAsia" w:ascii="Times New Roman" w:hAnsi="Times New Roman" w:cs="Times New Roman"/>
          <w:szCs w:val="24"/>
          <w:lang w:val="en-US" w:eastAsia="zh-CN"/>
        </w:rPr>
        <w:t>具</w:t>
      </w:r>
      <w:r>
        <w:rPr>
          <w:rFonts w:hint="eastAsia" w:ascii="Times New Roman" w:hAnsi="Times New Roman" w:cs="Times New Roman"/>
          <w:szCs w:val="24"/>
        </w:rPr>
        <w:t>有实施项目的资金需求；后续项目需根据建设进度，按照有关法律、法规的规定办理审批手续。</w:t>
      </w:r>
      <w:bookmarkEnd w:id="87"/>
    </w:p>
    <w:p w14:paraId="3813D856">
      <w:pPr>
        <w:numPr>
          <w:ilvl w:val="255"/>
          <w:numId w:val="0"/>
        </w:numPr>
        <w:spacing w:before="190" w:beforeLines="50" w:after="190" w:afterLines="50" w:line="360" w:lineRule="auto"/>
        <w:ind w:firstLine="480" w:firstLineChars="200"/>
        <w:rPr>
          <w:rFonts w:ascii="Times New Roman" w:hAnsi="Times New Roman" w:cs="Times New Roman"/>
          <w:szCs w:val="24"/>
        </w:rPr>
      </w:pPr>
      <w:r>
        <w:rPr>
          <w:rFonts w:ascii="Times New Roman" w:hAnsi="Times New Roman" w:cs="Times New Roman"/>
          <w:szCs w:val="24"/>
        </w:rPr>
        <w:t>4.本</w:t>
      </w:r>
      <w:r>
        <w:rPr>
          <w:rFonts w:hint="eastAsia" w:ascii="Times New Roman" w:hAnsi="Times New Roman" w:cs="Times New Roman"/>
          <w:szCs w:val="24"/>
        </w:rPr>
        <w:t>次</w:t>
      </w:r>
      <w:r>
        <w:rPr>
          <w:rFonts w:ascii="Times New Roman" w:hAnsi="Times New Roman" w:cs="Times New Roman"/>
          <w:szCs w:val="24"/>
        </w:rPr>
        <w:t>债券经光领会计所评价可满足项目收益与融资自求平衡的要求，符合《关于试点发展项目收益与融资自求平衡的地方政府专项债券品种的通知》（财预〔2017〕89号）的规定。</w:t>
      </w:r>
    </w:p>
    <w:p w14:paraId="6C5F27AB">
      <w:pPr>
        <w:numPr>
          <w:ilvl w:val="255"/>
          <w:numId w:val="0"/>
        </w:numPr>
        <w:spacing w:before="190" w:beforeLines="50" w:after="190" w:afterLines="50" w:line="360" w:lineRule="auto"/>
        <w:ind w:firstLine="480" w:firstLineChars="200"/>
        <w:rPr>
          <w:rFonts w:ascii="Times New Roman" w:hAnsi="Times New Roman" w:cs="Times New Roman"/>
          <w:szCs w:val="24"/>
        </w:rPr>
      </w:pPr>
      <w:r>
        <w:rPr>
          <w:rFonts w:ascii="Times New Roman" w:hAnsi="Times New Roman" w:cs="Times New Roman"/>
          <w:szCs w:val="24"/>
        </w:rPr>
        <w:t>5.《实施方案》对本次债券发行进行了事前绩效评估，已披露项目情况、项目投资估算及资金筹措方案、项目预期收益与融资平衡情况等主要内容，符合《地方政府债券发行管理办法》（财库〔2020〕43号）、《财政部关于印发</w:t>
      </w:r>
      <w:r>
        <w:rPr>
          <w:rFonts w:hint="eastAsia" w:ascii="Times New Roman" w:hAnsi="Times New Roman" w:cs="Times New Roman"/>
          <w:szCs w:val="24"/>
        </w:rPr>
        <w:t>〈</w:t>
      </w:r>
      <w:r>
        <w:rPr>
          <w:rFonts w:ascii="Times New Roman" w:hAnsi="Times New Roman" w:cs="Times New Roman"/>
          <w:szCs w:val="24"/>
        </w:rPr>
        <w:t>地方政府专项债券项目资金绩效管理办法</w:t>
      </w:r>
      <w:r>
        <w:rPr>
          <w:rFonts w:hint="eastAsia" w:ascii="Times New Roman" w:hAnsi="Times New Roman" w:cs="Times New Roman"/>
          <w:szCs w:val="24"/>
        </w:rPr>
        <w:t>〉</w:t>
      </w:r>
      <w:r>
        <w:rPr>
          <w:rFonts w:ascii="Times New Roman" w:hAnsi="Times New Roman" w:cs="Times New Roman"/>
          <w:szCs w:val="24"/>
        </w:rPr>
        <w:t>的通知》</w:t>
      </w:r>
      <w:r>
        <w:rPr>
          <w:rFonts w:hint="eastAsia" w:ascii="Times New Roman" w:hAnsi="Times New Roman" w:cs="Times New Roman"/>
          <w:szCs w:val="24"/>
        </w:rPr>
        <w:t>（</w:t>
      </w:r>
      <w:r>
        <w:rPr>
          <w:rFonts w:ascii="Times New Roman" w:hAnsi="Times New Roman" w:cs="Times New Roman"/>
          <w:szCs w:val="24"/>
        </w:rPr>
        <w:t>财预〔2021〕61号</w:t>
      </w:r>
      <w:r>
        <w:rPr>
          <w:rFonts w:hint="eastAsia" w:ascii="Times New Roman" w:hAnsi="Times New Roman" w:cs="Times New Roman"/>
          <w:szCs w:val="24"/>
        </w:rPr>
        <w:t>）</w:t>
      </w:r>
      <w:r>
        <w:rPr>
          <w:rFonts w:ascii="Times New Roman" w:hAnsi="Times New Roman" w:cs="Times New Roman"/>
          <w:szCs w:val="24"/>
        </w:rPr>
        <w:t>等规范性文件对地方政府专项债券信息披露的要求。</w:t>
      </w:r>
    </w:p>
    <w:p w14:paraId="1981AF74">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6.为本次债券发行提供财务专项评价报告、法律意见书的</w:t>
      </w:r>
      <w:r>
        <w:rPr>
          <w:rFonts w:hint="eastAsia" w:ascii="Times New Roman" w:hAnsi="Times New Roman" w:cs="Times New Roman"/>
          <w:szCs w:val="24"/>
        </w:rPr>
        <w:t>服务</w:t>
      </w:r>
      <w:r>
        <w:rPr>
          <w:rFonts w:ascii="Times New Roman" w:hAnsi="Times New Roman" w:cs="Times New Roman"/>
          <w:szCs w:val="24"/>
        </w:rPr>
        <w:t>机构均具备相应的执业资格。</w:t>
      </w:r>
    </w:p>
    <w:p w14:paraId="1F34B103">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7.本项目发行的风险因素包括</w:t>
      </w:r>
      <w:r>
        <w:rPr>
          <w:rFonts w:hint="eastAsia" w:ascii="Times New Roman" w:hAnsi="Times New Roman" w:cs="Times New Roman"/>
          <w:szCs w:val="24"/>
        </w:rPr>
        <w:t>潜在的工程实施风险、组织及管理风险、财务及融资风险、收益实现规模与预期存在差异的风险、收益专项用于偿债的操作风险、利率波动风险等</w:t>
      </w:r>
      <w:r>
        <w:rPr>
          <w:rFonts w:ascii="Times New Roman" w:hAnsi="Times New Roman" w:cs="Times New Roman"/>
          <w:szCs w:val="24"/>
        </w:rPr>
        <w:t>。</w:t>
      </w:r>
    </w:p>
    <w:p w14:paraId="43777896">
      <w:pPr>
        <w:spacing w:before="190" w:beforeLines="50" w:after="190" w:afterLines="50" w:line="360" w:lineRule="auto"/>
        <w:ind w:firstLine="480"/>
        <w:rPr>
          <w:rFonts w:ascii="Times New Roman" w:hAnsi="Times New Roman" w:cs="Times New Roman"/>
          <w:szCs w:val="24"/>
        </w:rPr>
      </w:pPr>
      <w:r>
        <w:rPr>
          <w:rFonts w:ascii="Times New Roman" w:hAnsi="Times New Roman" w:cs="Times New Roman"/>
          <w:szCs w:val="24"/>
        </w:rPr>
        <w:t>本法律意见书自本所盖章及经办律师签字后生效；本法律意见书一式三份，本所留存一份，其余两份供发行人为本次债券发行之目的而使用。</w:t>
      </w:r>
    </w:p>
    <w:p w14:paraId="5959EAAE">
      <w:pPr>
        <w:widowControl/>
        <w:spacing w:before="190" w:beforeLines="50" w:after="190" w:afterLines="50" w:line="360" w:lineRule="auto"/>
        <w:ind w:firstLine="0" w:firstLineChars="0"/>
        <w:jc w:val="center"/>
        <w:rPr>
          <w:rFonts w:ascii="Times New Roman" w:hAnsi="Times New Roman" w:cs="Times New Roman"/>
          <w:szCs w:val="24"/>
        </w:rPr>
      </w:pPr>
      <w:r>
        <w:rPr>
          <w:rFonts w:ascii="Times New Roman" w:hAnsi="Times New Roman" w:cs="Times New Roman"/>
          <w:szCs w:val="24"/>
        </w:rPr>
        <w:t>（本页本行以下无正文）</w:t>
      </w:r>
    </w:p>
    <w:p w14:paraId="698D0D65">
      <w:pPr>
        <w:widowControl/>
        <w:spacing w:line="240" w:lineRule="auto"/>
        <w:ind w:firstLine="0" w:firstLineChars="0"/>
        <w:jc w:val="left"/>
        <w:rPr>
          <w:rFonts w:ascii="Times New Roman" w:hAnsi="Times New Roman"/>
          <w:szCs w:val="24"/>
        </w:rPr>
      </w:pPr>
      <w:r>
        <w:rPr>
          <w:rFonts w:ascii="Times New Roman" w:hAnsi="Times New Roman"/>
          <w:szCs w:val="24"/>
        </w:rPr>
        <w:br w:type="page"/>
      </w:r>
    </w:p>
    <w:p w14:paraId="6347C304">
      <w:pPr>
        <w:pStyle w:val="24"/>
        <w:spacing w:before="190" w:beforeLines="50" w:after="190" w:afterLines="50" w:line="360" w:lineRule="auto"/>
        <w:jc w:val="center"/>
        <w:rPr>
          <w:rFonts w:ascii="Times New Roman" w:hAnsi="Times New Roman" w:eastAsia="宋体" w:cs="Times New Roman"/>
          <w:b/>
          <w:bCs/>
          <w:color w:val="auto"/>
        </w:rPr>
      </w:pPr>
      <w:r>
        <w:rPr>
          <w:rFonts w:ascii="Times New Roman" w:hAnsi="Times New Roman" w:eastAsia="宋体" w:cs="Times New Roman"/>
          <w:b/>
          <w:bCs/>
          <w:color w:val="auto"/>
          <w:kern w:val="2"/>
        </w:rPr>
        <w:t>（本页无正文，为北京大成（广州）律师事务所出具的《</w:t>
      </w:r>
      <w:r>
        <w:rPr>
          <w:rFonts w:ascii="Times New Roman" w:hAnsi="Times New Roman" w:eastAsia="宋体" w:cs="Times New Roman"/>
          <w:b/>
          <w:bCs/>
          <w:kern w:val="2"/>
        </w:rPr>
        <w:t>法律意见</w:t>
      </w:r>
      <w:r>
        <w:rPr>
          <w:rFonts w:ascii="Times New Roman" w:hAnsi="Times New Roman" w:eastAsia="宋体" w:cs="Times New Roman"/>
          <w:b/>
          <w:bCs/>
          <w:color w:val="auto"/>
          <w:kern w:val="2"/>
        </w:rPr>
        <w:t>书》</w:t>
      </w:r>
      <w:r>
        <w:rPr>
          <w:rFonts w:ascii="Times New Roman" w:hAnsi="Times New Roman" w:eastAsia="宋体" w:cs="Times New Roman"/>
          <w:b/>
          <w:bCs/>
          <w:color w:val="auto"/>
        </w:rPr>
        <w:t>之签署页）</w:t>
      </w:r>
    </w:p>
    <w:p w14:paraId="53115CCC">
      <w:pPr>
        <w:pStyle w:val="24"/>
        <w:spacing w:before="50" w:after="190" w:afterLines="50" w:line="460" w:lineRule="exact"/>
        <w:rPr>
          <w:rFonts w:ascii="Times New Roman" w:hAnsi="Times New Roman" w:eastAsia="宋体" w:cs="Times New Roman"/>
          <w:color w:val="auto"/>
        </w:rPr>
      </w:pPr>
    </w:p>
    <w:p w14:paraId="5C21F0F9">
      <w:pPr>
        <w:pStyle w:val="24"/>
        <w:spacing w:before="50" w:after="190" w:afterLines="50" w:line="460" w:lineRule="exact"/>
        <w:rPr>
          <w:rFonts w:ascii="Times New Roman" w:hAnsi="Times New Roman" w:eastAsia="宋体" w:cs="Times New Roman"/>
          <w:color w:val="auto"/>
        </w:rPr>
      </w:pPr>
    </w:p>
    <w:p w14:paraId="1D266BC2">
      <w:pPr>
        <w:pStyle w:val="24"/>
        <w:spacing w:before="50" w:after="190" w:afterLines="50" w:line="460" w:lineRule="exact"/>
        <w:rPr>
          <w:rFonts w:ascii="Times New Roman" w:hAnsi="Times New Roman" w:eastAsia="宋体" w:cs="Times New Roman"/>
          <w:color w:val="auto"/>
        </w:rPr>
      </w:pPr>
      <w:r>
        <w:rPr>
          <w:rFonts w:ascii="Times New Roman" w:hAnsi="Times New Roman" w:eastAsia="宋体" w:cs="Times New Roman"/>
          <w:color w:val="auto"/>
        </w:rPr>
        <w:t>北京大成（广州）律师事务所</w:t>
      </w:r>
    </w:p>
    <w:p w14:paraId="6600A925">
      <w:pPr>
        <w:pStyle w:val="24"/>
        <w:spacing w:before="50" w:after="190" w:afterLines="50" w:line="460" w:lineRule="exact"/>
        <w:rPr>
          <w:rFonts w:ascii="Times New Roman" w:hAnsi="Times New Roman" w:eastAsia="宋体" w:cs="Times New Roman"/>
          <w:color w:val="auto"/>
        </w:rPr>
      </w:pPr>
    </w:p>
    <w:p w14:paraId="4265EF12">
      <w:pPr>
        <w:pStyle w:val="24"/>
        <w:spacing w:before="50" w:after="190" w:afterLines="50" w:line="460" w:lineRule="exact"/>
        <w:rPr>
          <w:rFonts w:ascii="Times New Roman" w:hAnsi="Times New Roman" w:eastAsia="宋体" w:cs="Times New Roman"/>
          <w:color w:val="auto"/>
        </w:rPr>
      </w:pPr>
    </w:p>
    <w:p w14:paraId="5B915E54">
      <w:pPr>
        <w:pStyle w:val="24"/>
        <w:tabs>
          <w:tab w:val="left" w:pos="4820"/>
        </w:tabs>
        <w:spacing w:before="50" w:after="190" w:afterLines="50" w:line="460" w:lineRule="exact"/>
        <w:rPr>
          <w:rFonts w:ascii="Times New Roman" w:hAnsi="Times New Roman" w:eastAsia="宋体" w:cs="Times New Roman"/>
          <w:color w:val="auto"/>
        </w:rPr>
      </w:pPr>
      <w:r>
        <w:rPr>
          <w:rFonts w:ascii="Times New Roman" w:hAnsi="Times New Roman" w:eastAsia="宋体" w:cs="Times New Roman"/>
          <w:color w:val="auto"/>
        </w:rPr>
        <w:tab/>
      </w:r>
      <w:r>
        <w:rPr>
          <w:rFonts w:ascii="Times New Roman" w:hAnsi="Times New Roman" w:eastAsia="宋体" w:cs="Times New Roman"/>
          <w:color w:val="auto"/>
        </w:rPr>
        <w:t>经办律师：________________</w:t>
      </w:r>
    </w:p>
    <w:p w14:paraId="72DC9FB8">
      <w:pPr>
        <w:pStyle w:val="24"/>
        <w:tabs>
          <w:tab w:val="left" w:pos="4820"/>
        </w:tabs>
        <w:spacing w:before="50" w:after="190" w:afterLines="50" w:line="460" w:lineRule="exact"/>
        <w:rPr>
          <w:rFonts w:ascii="Times New Roman" w:hAnsi="Times New Roman" w:eastAsia="宋体" w:cs="Times New Roman"/>
          <w:color w:val="auto"/>
        </w:rPr>
      </w:pPr>
    </w:p>
    <w:p w14:paraId="14E84291">
      <w:pPr>
        <w:pStyle w:val="24"/>
        <w:tabs>
          <w:tab w:val="left" w:pos="4820"/>
        </w:tabs>
        <w:spacing w:before="50" w:after="190" w:afterLines="50" w:line="460" w:lineRule="exact"/>
        <w:rPr>
          <w:rFonts w:ascii="Times New Roman" w:hAnsi="Times New Roman" w:eastAsia="宋体" w:cs="Times New Roman"/>
          <w:color w:val="auto"/>
        </w:rPr>
      </w:pPr>
    </w:p>
    <w:p w14:paraId="2D4E7DBB">
      <w:pPr>
        <w:pStyle w:val="24"/>
        <w:tabs>
          <w:tab w:val="left" w:pos="4820"/>
        </w:tabs>
        <w:spacing w:before="50" w:after="190" w:afterLines="50" w:line="460" w:lineRule="exact"/>
        <w:rPr>
          <w:rFonts w:ascii="Times New Roman" w:hAnsi="Times New Roman" w:eastAsia="宋体" w:cs="Times New Roman"/>
          <w:color w:val="auto"/>
        </w:rPr>
      </w:pPr>
      <w:r>
        <w:rPr>
          <w:rFonts w:ascii="Times New Roman" w:hAnsi="Times New Roman" w:eastAsia="宋体" w:cs="Times New Roman"/>
          <w:color w:val="auto"/>
        </w:rPr>
        <w:tab/>
      </w:r>
      <w:r>
        <w:rPr>
          <w:rFonts w:ascii="Times New Roman" w:hAnsi="Times New Roman" w:eastAsia="宋体" w:cs="Times New Roman"/>
          <w:color w:val="auto"/>
        </w:rPr>
        <w:t>经办律师：________________</w:t>
      </w:r>
    </w:p>
    <w:p w14:paraId="373A4C98">
      <w:pPr>
        <w:pStyle w:val="24"/>
        <w:tabs>
          <w:tab w:val="left" w:pos="4820"/>
        </w:tabs>
        <w:spacing w:before="50" w:after="190" w:afterLines="50" w:line="460" w:lineRule="exact"/>
        <w:rPr>
          <w:rFonts w:ascii="Times New Roman" w:hAnsi="Times New Roman" w:eastAsia="宋体" w:cs="Times New Roman"/>
          <w:color w:val="auto"/>
        </w:rPr>
      </w:pPr>
    </w:p>
    <w:p w14:paraId="52993F01">
      <w:pPr>
        <w:pStyle w:val="24"/>
        <w:tabs>
          <w:tab w:val="left" w:pos="4820"/>
        </w:tabs>
        <w:spacing w:before="50" w:after="190" w:afterLines="50" w:line="460" w:lineRule="exact"/>
        <w:rPr>
          <w:rFonts w:ascii="Times New Roman" w:hAnsi="Times New Roman" w:eastAsia="宋体" w:cs="Times New Roman"/>
          <w:color w:val="auto"/>
        </w:rPr>
      </w:pPr>
    </w:p>
    <w:p w14:paraId="5C12F6C2">
      <w:pPr>
        <w:pStyle w:val="24"/>
        <w:tabs>
          <w:tab w:val="left" w:pos="4820"/>
        </w:tabs>
        <w:spacing w:before="50" w:after="190" w:afterLines="50" w:line="460" w:lineRule="exact"/>
        <w:rPr>
          <w:rFonts w:ascii="Times New Roman" w:hAnsi="Times New Roman" w:eastAsia="宋体" w:cs="Times New Roman"/>
          <w:color w:val="auto"/>
        </w:rPr>
      </w:pPr>
    </w:p>
    <w:p w14:paraId="5E9151CF">
      <w:pPr>
        <w:pStyle w:val="24"/>
        <w:tabs>
          <w:tab w:val="left" w:pos="5812"/>
        </w:tabs>
        <w:spacing w:before="50" w:after="190" w:afterLines="50" w:line="460" w:lineRule="exact"/>
        <w:ind w:firstLine="480"/>
        <w:rPr>
          <w:rFonts w:ascii="Times New Roman" w:hAnsi="Times New Roman" w:eastAsia="宋体" w:cs="Times New Roman"/>
          <w:kern w:val="2"/>
        </w:rPr>
      </w:pPr>
      <w:r>
        <w:rPr>
          <w:rFonts w:ascii="Times New Roman" w:hAnsi="Times New Roman" w:eastAsia="宋体" w:cs="Times New Roman"/>
          <w:color w:val="auto"/>
          <w:kern w:val="2"/>
        </w:rPr>
        <w:tab/>
      </w:r>
      <w:r>
        <w:rPr>
          <w:rFonts w:hint="eastAsia" w:ascii="Times New Roman" w:hAnsi="Times New Roman" w:eastAsia="宋体" w:cs="Times New Roman"/>
          <w:color w:val="auto"/>
          <w:kern w:val="2"/>
        </w:rPr>
        <w:t>2024</w:t>
      </w:r>
      <w:r>
        <w:rPr>
          <w:rFonts w:hint="eastAsia" w:ascii="Times New Roman" w:hAnsi="Times New Roman" w:eastAsia="宋体" w:cs="Times New Roman"/>
          <w:color w:val="auto"/>
          <w:kern w:val="2"/>
          <w:lang w:val="en-US" w:eastAsia="zh-CN"/>
        </w:rPr>
        <w:t xml:space="preserve">  </w:t>
      </w:r>
      <w:r>
        <w:rPr>
          <w:rFonts w:ascii="Times New Roman" w:hAnsi="Times New Roman" w:eastAsia="宋体" w:cs="Times New Roman"/>
          <w:color w:val="auto"/>
          <w:kern w:val="2"/>
        </w:rPr>
        <w:t>年</w:t>
      </w:r>
      <w:r>
        <w:rPr>
          <w:rFonts w:hint="eastAsia" w:ascii="Times New Roman" w:hAnsi="Times New Roman" w:eastAsia="宋体" w:cs="Times New Roman"/>
          <w:color w:val="auto"/>
          <w:kern w:val="2"/>
          <w:lang w:val="en-US" w:eastAsia="zh-CN"/>
        </w:rPr>
        <w:t xml:space="preserve">  8  </w:t>
      </w:r>
      <w:r>
        <w:rPr>
          <w:rFonts w:ascii="Times New Roman" w:hAnsi="Times New Roman" w:eastAsia="宋体" w:cs="Times New Roman"/>
          <w:color w:val="auto"/>
          <w:kern w:val="2"/>
        </w:rPr>
        <w:t>月</w:t>
      </w:r>
      <w:r>
        <w:rPr>
          <w:rFonts w:hint="eastAsia" w:ascii="Times New Roman" w:hAnsi="Times New Roman" w:eastAsia="宋体" w:cs="Times New Roman"/>
          <w:color w:val="auto"/>
          <w:kern w:val="2"/>
          <w:lang w:val="en-US" w:eastAsia="zh-CN"/>
        </w:rPr>
        <w:t xml:space="preserve">  </w:t>
      </w:r>
      <w:bookmarkStart w:id="88" w:name="_GoBack"/>
      <w:bookmarkEnd w:id="88"/>
      <w:r>
        <w:rPr>
          <w:rFonts w:ascii="Times New Roman" w:hAnsi="Times New Roman" w:eastAsia="宋体" w:cs="Times New Roman"/>
          <w:color w:val="auto"/>
          <w:kern w:val="2"/>
        </w:rPr>
        <w:t>日</w:t>
      </w:r>
    </w:p>
    <w:p w14:paraId="07FC4A2B">
      <w:pPr>
        <w:pStyle w:val="24"/>
        <w:tabs>
          <w:tab w:val="left" w:pos="5812"/>
        </w:tabs>
        <w:spacing w:before="50" w:after="190" w:afterLines="50" w:line="460" w:lineRule="exact"/>
        <w:ind w:firstLine="480"/>
        <w:jc w:val="right"/>
        <w:rPr>
          <w:rFonts w:ascii="Times New Roman" w:hAnsi="Times New Roman" w:eastAsia="宋体" w:cs="Times New Roman"/>
          <w:kern w:val="2"/>
        </w:rPr>
      </w:pPr>
    </w:p>
    <w:sectPr>
      <w:footerReference r:id="rId7" w:type="first"/>
      <w:footerReference r:id="rId5" w:type="default"/>
      <w:footerReference r:id="rId6" w:type="even"/>
      <w:pgSz w:w="11906" w:h="16838"/>
      <w:pgMar w:top="1440" w:right="1800" w:bottom="1440" w:left="1803" w:header="850"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0"/>
        <w:rFonts w:ascii="Times New Roman" w:hAnsi="Times New Roman" w:cs="Times New Roman"/>
        <w:sz w:val="18"/>
      </w:rPr>
      <w:id w:val="1588721290"/>
    </w:sdtPr>
    <w:sdtEndPr>
      <w:rPr>
        <w:rStyle w:val="20"/>
        <w:rFonts w:ascii="Times New Roman" w:hAnsi="Times New Roman" w:cs="Times New Roman"/>
        <w:sz w:val="18"/>
      </w:rPr>
    </w:sdtEndPr>
    <w:sdtContent>
      <w:p w14:paraId="3EA0DFA2">
        <w:pPr>
          <w:pStyle w:val="10"/>
          <w:framePr w:wrap="auto" w:vAnchor="text" w:hAnchor="margin" w:xAlign="center" w:y="1"/>
          <w:rPr>
            <w:rStyle w:val="20"/>
            <w:rFonts w:ascii="Times New Roman" w:hAnsi="Times New Roman" w:cs="Times New Roman"/>
            <w:sz w:val="18"/>
          </w:rPr>
        </w:pPr>
        <w:r>
          <w:rPr>
            <w:rStyle w:val="20"/>
            <w:rFonts w:ascii="Times New Roman" w:hAnsi="Times New Roman" w:cs="Times New Roman"/>
            <w:sz w:val="18"/>
          </w:rPr>
          <w:fldChar w:fldCharType="begin"/>
        </w:r>
        <w:r>
          <w:rPr>
            <w:rStyle w:val="20"/>
            <w:rFonts w:ascii="Times New Roman" w:hAnsi="Times New Roman" w:cs="Times New Roman"/>
            <w:sz w:val="18"/>
          </w:rPr>
          <w:instrText xml:space="preserve"> PAGE </w:instrText>
        </w:r>
        <w:r>
          <w:rPr>
            <w:rStyle w:val="20"/>
            <w:rFonts w:ascii="Times New Roman" w:hAnsi="Times New Roman" w:cs="Times New Roman"/>
            <w:sz w:val="18"/>
          </w:rPr>
          <w:fldChar w:fldCharType="separate"/>
        </w:r>
        <w:r>
          <w:rPr>
            <w:rStyle w:val="20"/>
            <w:rFonts w:ascii="Times New Roman" w:hAnsi="Times New Roman" w:cs="Times New Roman"/>
            <w:sz w:val="18"/>
          </w:rPr>
          <w:t>2</w:t>
        </w:r>
        <w:r>
          <w:rPr>
            <w:rStyle w:val="20"/>
            <w:rFonts w:ascii="Times New Roman" w:hAnsi="Times New Roman" w:cs="Times New Roman"/>
            <w:sz w:val="18"/>
          </w:rPr>
          <w:fldChar w:fldCharType="end"/>
        </w:r>
      </w:p>
    </w:sdtContent>
  </w:sdt>
  <w:p w14:paraId="3CB00C77">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0"/>
      </w:rPr>
      <w:id w:val="885519751"/>
    </w:sdtPr>
    <w:sdtEndPr>
      <w:rPr>
        <w:rStyle w:val="20"/>
      </w:rPr>
    </w:sdtEndPr>
    <w:sdtContent>
      <w:p w14:paraId="32CEADA1">
        <w:pPr>
          <w:pStyle w:val="10"/>
          <w:framePr w:wrap="auto" w:vAnchor="text" w:hAnchor="margin" w:xAlign="center" w:y="1"/>
          <w:rPr>
            <w:rStyle w:val="20"/>
          </w:rPr>
        </w:pPr>
        <w:r>
          <w:rPr>
            <w:rStyle w:val="20"/>
          </w:rPr>
          <w:fldChar w:fldCharType="begin"/>
        </w:r>
        <w:r>
          <w:rPr>
            <w:rStyle w:val="20"/>
          </w:rPr>
          <w:instrText xml:space="preserve"> PAGE </w:instrText>
        </w:r>
        <w:r>
          <w:rPr>
            <w:rStyle w:val="20"/>
          </w:rPr>
          <w:fldChar w:fldCharType="separate"/>
        </w:r>
        <w:r>
          <w:rPr>
            <w:rStyle w:val="20"/>
          </w:rPr>
          <w:t>3</w:t>
        </w:r>
        <w:r>
          <w:rPr>
            <w:rStyle w:val="20"/>
          </w:rPr>
          <w:fldChar w:fldCharType="end"/>
        </w:r>
      </w:p>
    </w:sdtContent>
  </w:sdt>
  <w:p w14:paraId="3DE7C1A5">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505BE">
    <w:pPr>
      <w:pStyle w:val="10"/>
      <w:ind w:firstLine="48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625C50"/>
    <w:multiLevelType w:val="singleLevel"/>
    <w:tmpl w:val="B8625C50"/>
    <w:lvl w:ilvl="0" w:tentative="0">
      <w:start w:val="3"/>
      <w:numFmt w:val="chineseCounting"/>
      <w:suff w:val="nothing"/>
      <w:lvlText w:val="%1、"/>
      <w:lvlJc w:val="left"/>
      <w:rPr>
        <w:rFonts w:hint="eastAsia"/>
      </w:rPr>
    </w:lvl>
  </w:abstractNum>
  <w:abstractNum w:abstractNumId="1">
    <w:nsid w:val="6B9C2076"/>
    <w:multiLevelType w:val="multilevel"/>
    <w:tmpl w:val="6B9C2076"/>
    <w:lvl w:ilvl="0" w:tentative="0">
      <w:start w:val="1"/>
      <w:numFmt w:val="chineseCountingThousand"/>
      <w:pStyle w:val="37"/>
      <w:lvlText w:val="%1、"/>
      <w:lvlJc w:val="left"/>
      <w:pPr>
        <w:ind w:left="2546" w:hanging="420"/>
      </w:pPr>
    </w:lvl>
    <w:lvl w:ilvl="1" w:tentative="0">
      <w:start w:val="1"/>
      <w:numFmt w:val="lowerLetter"/>
      <w:lvlText w:val="%2)"/>
      <w:lvlJc w:val="left"/>
      <w:pPr>
        <w:ind w:left="698" w:hanging="420"/>
      </w:pPr>
    </w:lvl>
    <w:lvl w:ilvl="2" w:tentative="0">
      <w:start w:val="1"/>
      <w:numFmt w:val="lowerRoman"/>
      <w:lvlText w:val="%3."/>
      <w:lvlJc w:val="right"/>
      <w:pPr>
        <w:ind w:left="1118" w:hanging="420"/>
      </w:pPr>
    </w:lvl>
    <w:lvl w:ilvl="3" w:tentative="0">
      <w:start w:val="1"/>
      <w:numFmt w:val="decimal"/>
      <w:lvlText w:val="%4."/>
      <w:lvlJc w:val="left"/>
      <w:pPr>
        <w:ind w:left="1538" w:hanging="420"/>
      </w:pPr>
    </w:lvl>
    <w:lvl w:ilvl="4" w:tentative="0">
      <w:start w:val="1"/>
      <w:numFmt w:val="lowerLetter"/>
      <w:lvlText w:val="%5)"/>
      <w:lvlJc w:val="left"/>
      <w:pPr>
        <w:ind w:left="1958" w:hanging="420"/>
      </w:pPr>
    </w:lvl>
    <w:lvl w:ilvl="5" w:tentative="0">
      <w:start w:val="1"/>
      <w:numFmt w:val="lowerRoman"/>
      <w:lvlText w:val="%6."/>
      <w:lvlJc w:val="right"/>
      <w:pPr>
        <w:ind w:left="2378" w:hanging="420"/>
      </w:pPr>
    </w:lvl>
    <w:lvl w:ilvl="6" w:tentative="0">
      <w:start w:val="1"/>
      <w:numFmt w:val="decimal"/>
      <w:lvlText w:val="%7."/>
      <w:lvlJc w:val="left"/>
      <w:pPr>
        <w:ind w:left="2798" w:hanging="420"/>
      </w:pPr>
    </w:lvl>
    <w:lvl w:ilvl="7" w:tentative="0">
      <w:start w:val="1"/>
      <w:numFmt w:val="lowerLetter"/>
      <w:lvlText w:val="%8)"/>
      <w:lvlJc w:val="left"/>
      <w:pPr>
        <w:ind w:left="3218" w:hanging="420"/>
      </w:pPr>
    </w:lvl>
    <w:lvl w:ilvl="8" w:tentative="0">
      <w:start w:val="1"/>
      <w:numFmt w:val="lowerRoman"/>
      <w:lvlText w:val="%9."/>
      <w:lvlJc w:val="right"/>
      <w:pPr>
        <w:ind w:left="363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trackRevisions w:val="1"/>
  <w:documentProtection w:enforcement="0"/>
  <w:defaultTabStop w:val="420"/>
  <w:drawingGridHorizontalSpacing w:val="12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iZDIzMjBhYjY3YjcwYmIxYWI1NjM4YzVmYjEyMDMifQ=="/>
  </w:docVars>
  <w:rsids>
    <w:rsidRoot w:val="00172A27"/>
    <w:rsid w:val="000945BA"/>
    <w:rsid w:val="00107A5C"/>
    <w:rsid w:val="00172A27"/>
    <w:rsid w:val="001F473A"/>
    <w:rsid w:val="00374B77"/>
    <w:rsid w:val="003E6188"/>
    <w:rsid w:val="00446CB4"/>
    <w:rsid w:val="004648D5"/>
    <w:rsid w:val="004C77CA"/>
    <w:rsid w:val="0057555E"/>
    <w:rsid w:val="00600FDC"/>
    <w:rsid w:val="00627A5F"/>
    <w:rsid w:val="00766ACF"/>
    <w:rsid w:val="00775A6C"/>
    <w:rsid w:val="007A78C8"/>
    <w:rsid w:val="008A0635"/>
    <w:rsid w:val="009010DD"/>
    <w:rsid w:val="00936EA0"/>
    <w:rsid w:val="00A67432"/>
    <w:rsid w:val="00B43F5D"/>
    <w:rsid w:val="00D36BF6"/>
    <w:rsid w:val="00E50BBC"/>
    <w:rsid w:val="00E868BF"/>
    <w:rsid w:val="00EF7A4D"/>
    <w:rsid w:val="02673A25"/>
    <w:rsid w:val="038A4B8A"/>
    <w:rsid w:val="03DB0081"/>
    <w:rsid w:val="04F3262C"/>
    <w:rsid w:val="06320837"/>
    <w:rsid w:val="069F7723"/>
    <w:rsid w:val="06A92E66"/>
    <w:rsid w:val="07696ECC"/>
    <w:rsid w:val="08985668"/>
    <w:rsid w:val="0A406F47"/>
    <w:rsid w:val="0C620150"/>
    <w:rsid w:val="0DED75DD"/>
    <w:rsid w:val="0EF57CAB"/>
    <w:rsid w:val="141617D9"/>
    <w:rsid w:val="14C46EB0"/>
    <w:rsid w:val="17377D71"/>
    <w:rsid w:val="18D56788"/>
    <w:rsid w:val="196B583F"/>
    <w:rsid w:val="19C7038B"/>
    <w:rsid w:val="1AB9201E"/>
    <w:rsid w:val="1F98477A"/>
    <w:rsid w:val="20231026"/>
    <w:rsid w:val="20D109C9"/>
    <w:rsid w:val="23EA11F5"/>
    <w:rsid w:val="24B61A8E"/>
    <w:rsid w:val="27DF36F9"/>
    <w:rsid w:val="29EA3065"/>
    <w:rsid w:val="2F6B42D0"/>
    <w:rsid w:val="2FBD0F96"/>
    <w:rsid w:val="2FC873F0"/>
    <w:rsid w:val="32277304"/>
    <w:rsid w:val="33055144"/>
    <w:rsid w:val="38923BF2"/>
    <w:rsid w:val="38AA550A"/>
    <w:rsid w:val="39D54C2E"/>
    <w:rsid w:val="3A86417A"/>
    <w:rsid w:val="3B875F1A"/>
    <w:rsid w:val="3BD81E5A"/>
    <w:rsid w:val="44B255A6"/>
    <w:rsid w:val="44BD7196"/>
    <w:rsid w:val="45F428E0"/>
    <w:rsid w:val="4A404C13"/>
    <w:rsid w:val="4BDB7063"/>
    <w:rsid w:val="4F515C8A"/>
    <w:rsid w:val="517C27FA"/>
    <w:rsid w:val="527C505D"/>
    <w:rsid w:val="52CA5BAB"/>
    <w:rsid w:val="54052251"/>
    <w:rsid w:val="593333F8"/>
    <w:rsid w:val="5AD3266C"/>
    <w:rsid w:val="5B356590"/>
    <w:rsid w:val="5BB8442B"/>
    <w:rsid w:val="5DB669A1"/>
    <w:rsid w:val="5E520C0D"/>
    <w:rsid w:val="63D74F7B"/>
    <w:rsid w:val="644D5757"/>
    <w:rsid w:val="65846D73"/>
    <w:rsid w:val="677F7E04"/>
    <w:rsid w:val="68756C32"/>
    <w:rsid w:val="69453F2E"/>
    <w:rsid w:val="6CAD413E"/>
    <w:rsid w:val="70402E52"/>
    <w:rsid w:val="70C744C4"/>
    <w:rsid w:val="710870BC"/>
    <w:rsid w:val="72F2143E"/>
    <w:rsid w:val="72F316A6"/>
    <w:rsid w:val="73554228"/>
    <w:rsid w:val="73B11268"/>
    <w:rsid w:val="73FE1225"/>
    <w:rsid w:val="7B5F3224"/>
    <w:rsid w:val="7BFE3B55"/>
    <w:rsid w:val="7CA45B87"/>
    <w:rsid w:val="7F365932"/>
    <w:rsid w:val="7FF7EFFB"/>
    <w:rsid w:val="C2475664"/>
    <w:rsid w:val="EFBBC97A"/>
    <w:rsid w:val="F7F828AE"/>
    <w:rsid w:val="FFAFB5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440" w:lineRule="exact"/>
      <w:ind w:firstLine="200" w:firstLineChars="200"/>
      <w:jc w:val="both"/>
    </w:pPr>
    <w:rPr>
      <w:rFonts w:ascii="Arial" w:hAnsi="Arial" w:eastAsia="宋体" w:cstheme="minorBidi"/>
      <w:kern w:val="2"/>
      <w:sz w:val="24"/>
      <w:szCs w:val="21"/>
      <w:lang w:val="en-US" w:eastAsia="zh-CN" w:bidi="ar-SA"/>
    </w:rPr>
  </w:style>
  <w:style w:type="paragraph" w:styleId="3">
    <w:name w:val="heading 1"/>
    <w:basedOn w:val="1"/>
    <w:next w:val="1"/>
    <w:link w:val="34"/>
    <w:autoRedefine/>
    <w:qFormat/>
    <w:uiPriority w:val="0"/>
    <w:pPr>
      <w:spacing w:before="190" w:beforeLines="50" w:after="190" w:afterLines="50" w:line="360" w:lineRule="auto"/>
      <w:ind w:firstLine="482"/>
      <w:outlineLvl w:val="0"/>
    </w:pPr>
    <w:rPr>
      <w:rFonts w:ascii="Times New Roman" w:hAnsi="Times New Roman" w:cs="Times New Roman"/>
      <w:b/>
      <w:bCs/>
      <w:szCs w:val="24"/>
    </w:rPr>
  </w:style>
  <w:style w:type="paragraph" w:styleId="4">
    <w:name w:val="heading 2"/>
    <w:basedOn w:val="1"/>
    <w:next w:val="1"/>
    <w:link w:val="36"/>
    <w:autoRedefine/>
    <w:qFormat/>
    <w:uiPriority w:val="9"/>
    <w:pPr>
      <w:widowControl/>
      <w:autoSpaceDE w:val="0"/>
      <w:autoSpaceDN w:val="0"/>
      <w:spacing w:before="156" w:beforeLines="50" w:after="156" w:afterLines="50" w:line="360" w:lineRule="auto"/>
      <w:ind w:firstLine="504"/>
      <w:outlineLvl w:val="1"/>
    </w:pPr>
    <w:rPr>
      <w:rFonts w:ascii="Times New Roman" w:hAnsi="Times New Roman" w:cs="Times New Roman"/>
      <w:b/>
      <w:w w:val="105"/>
      <w:kern w:val="0"/>
      <w:szCs w:val="24"/>
      <w:lang w:val="zh-CN" w:bidi="zh-CN"/>
    </w:rPr>
  </w:style>
  <w:style w:type="paragraph" w:styleId="5">
    <w:name w:val="heading 3"/>
    <w:basedOn w:val="1"/>
    <w:next w:val="1"/>
    <w:autoRedefine/>
    <w:qFormat/>
    <w:uiPriority w:val="0"/>
    <w:pPr>
      <w:keepNext/>
      <w:keepLines/>
      <w:ind w:firstLine="482"/>
      <w:outlineLvl w:val="2"/>
    </w:pPr>
    <w:rPr>
      <w:rFonts w:ascii="Times New Roman" w:hAnsi="Times New Roman" w:cs="Times New Roman"/>
      <w:b/>
      <w:bCs/>
      <w:color w:val="000000"/>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autoRedefine/>
    <w:unhideWhenUsed/>
    <w:qFormat/>
    <w:uiPriority w:val="39"/>
    <w:pPr>
      <w:ind w:left="420" w:leftChars="200"/>
    </w:pPr>
  </w:style>
  <w:style w:type="paragraph" w:styleId="6">
    <w:name w:val="annotation text"/>
    <w:basedOn w:val="1"/>
    <w:link w:val="29"/>
    <w:autoRedefine/>
    <w:unhideWhenUsed/>
    <w:qFormat/>
    <w:uiPriority w:val="99"/>
    <w:pPr>
      <w:jc w:val="left"/>
    </w:pPr>
  </w:style>
  <w:style w:type="paragraph" w:styleId="7">
    <w:name w:val="Body Text"/>
    <w:basedOn w:val="1"/>
    <w:link w:val="35"/>
    <w:autoRedefine/>
    <w:qFormat/>
    <w:uiPriority w:val="0"/>
    <w:pPr>
      <w:spacing w:line="413" w:lineRule="auto"/>
      <w:ind w:left="118"/>
      <w:jc w:val="left"/>
    </w:pPr>
    <w:rPr>
      <w:rFonts w:ascii="宋体" w:hAnsi="宋体" w:cs="Times New Roman"/>
      <w:kern w:val="0"/>
      <w:szCs w:val="24"/>
      <w:lang w:eastAsia="en-US"/>
    </w:rPr>
  </w:style>
  <w:style w:type="paragraph" w:styleId="8">
    <w:name w:val="toc 3"/>
    <w:basedOn w:val="1"/>
    <w:next w:val="1"/>
    <w:autoRedefine/>
    <w:unhideWhenUsed/>
    <w:qFormat/>
    <w:uiPriority w:val="39"/>
    <w:pPr>
      <w:ind w:left="840" w:leftChars="400"/>
    </w:pPr>
  </w:style>
  <w:style w:type="paragraph" w:styleId="9">
    <w:name w:val="Balloon Text"/>
    <w:basedOn w:val="1"/>
    <w:link w:val="28"/>
    <w:autoRedefine/>
    <w:unhideWhenUsed/>
    <w:qFormat/>
    <w:uiPriority w:val="99"/>
    <w:pPr>
      <w:spacing w:line="240" w:lineRule="auto"/>
    </w:pPr>
    <w:rPr>
      <w:rFonts w:eastAsia="仿宋_GB2312"/>
      <w:sz w:val="18"/>
      <w:szCs w:val="18"/>
    </w:rPr>
  </w:style>
  <w:style w:type="paragraph" w:styleId="10">
    <w:name w:val="footer"/>
    <w:link w:val="26"/>
    <w:autoRedefine/>
    <w:unhideWhenUsed/>
    <w:qFormat/>
    <w:uiPriority w:val="99"/>
    <w:pPr>
      <w:tabs>
        <w:tab w:val="center" w:pos="4153"/>
        <w:tab w:val="right" w:pos="8306"/>
      </w:tabs>
      <w:snapToGrid w:val="0"/>
    </w:pPr>
    <w:rPr>
      <w:rFonts w:ascii="Arial" w:hAnsi="Arial" w:eastAsia="宋体" w:cstheme="minorBidi"/>
      <w:kern w:val="2"/>
      <w:sz w:val="14"/>
      <w:szCs w:val="18"/>
      <w:lang w:val="en-US" w:eastAsia="zh-CN" w:bidi="ar-SA"/>
    </w:rPr>
  </w:style>
  <w:style w:type="paragraph" w:styleId="11">
    <w:name w:val="header"/>
    <w:link w:val="25"/>
    <w:autoRedefine/>
    <w:unhideWhenUsed/>
    <w:qFormat/>
    <w:uiPriority w:val="99"/>
    <w:pPr>
      <w:tabs>
        <w:tab w:val="center" w:pos="4153"/>
        <w:tab w:val="right" w:pos="8306"/>
      </w:tabs>
      <w:snapToGrid w:val="0"/>
      <w:jc w:val="right"/>
    </w:pPr>
    <w:rPr>
      <w:rFonts w:ascii="Arial" w:hAnsi="Arial" w:eastAsia="宋体" w:cstheme="minorBidi"/>
      <w:kern w:val="2"/>
      <w:sz w:val="14"/>
      <w:szCs w:val="18"/>
      <w:lang w:val="en-US" w:eastAsia="zh-CN" w:bidi="ar-SA"/>
    </w:rPr>
  </w:style>
  <w:style w:type="paragraph" w:styleId="12">
    <w:name w:val="toc 1"/>
    <w:basedOn w:val="1"/>
    <w:next w:val="1"/>
    <w:autoRedefine/>
    <w:unhideWhenUsed/>
    <w:qFormat/>
    <w:uiPriority w:val="39"/>
  </w:style>
  <w:style w:type="paragraph" w:styleId="13">
    <w:name w:val="footnote text"/>
    <w:basedOn w:val="1"/>
    <w:link w:val="38"/>
    <w:autoRedefine/>
    <w:unhideWhenUsed/>
    <w:qFormat/>
    <w:uiPriority w:val="99"/>
    <w:pPr>
      <w:snapToGrid w:val="0"/>
      <w:spacing w:line="240" w:lineRule="auto"/>
      <w:ind w:firstLine="0" w:firstLineChars="0"/>
      <w:jc w:val="left"/>
    </w:pPr>
    <w:rPr>
      <w:rFonts w:ascii="Calibri" w:hAnsi="Calibri" w:cs="Times New Roman"/>
      <w:sz w:val="18"/>
      <w:szCs w:val="18"/>
    </w:rPr>
  </w:style>
  <w:style w:type="paragraph" w:styleId="14">
    <w:name w:val="Normal (Web)"/>
    <w:basedOn w:val="1"/>
    <w:autoRedefine/>
    <w:semiHidden/>
    <w:unhideWhenUsed/>
    <w:qFormat/>
    <w:uiPriority w:val="99"/>
    <w:pPr>
      <w:spacing w:beforeAutospacing="1" w:afterAutospacing="1"/>
      <w:jc w:val="left"/>
    </w:pPr>
    <w:rPr>
      <w:rFonts w:cs="Times New Roman"/>
      <w:kern w:val="0"/>
    </w:rPr>
  </w:style>
  <w:style w:type="paragraph" w:styleId="15">
    <w:name w:val="Title"/>
    <w:next w:val="1"/>
    <w:link w:val="27"/>
    <w:autoRedefine/>
    <w:qFormat/>
    <w:uiPriority w:val="10"/>
    <w:pPr>
      <w:spacing w:before="360" w:after="360" w:line="360" w:lineRule="auto"/>
      <w:jc w:val="center"/>
      <w:outlineLvl w:val="0"/>
    </w:pPr>
    <w:rPr>
      <w:rFonts w:ascii="Arial" w:hAnsi="Arial" w:eastAsia="华文中宋" w:cstheme="majorBidi"/>
      <w:b/>
      <w:bCs/>
      <w:kern w:val="2"/>
      <w:sz w:val="36"/>
      <w:szCs w:val="32"/>
      <w:lang w:val="en-US" w:eastAsia="zh-CN" w:bidi="ar-SA"/>
    </w:rPr>
  </w:style>
  <w:style w:type="paragraph" w:styleId="16">
    <w:name w:val="annotation subject"/>
    <w:basedOn w:val="6"/>
    <w:next w:val="6"/>
    <w:link w:val="30"/>
    <w:autoRedefine/>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autoRedefine/>
    <w:semiHidden/>
    <w:unhideWhenUsed/>
    <w:qFormat/>
    <w:uiPriority w:val="99"/>
  </w:style>
  <w:style w:type="character" w:styleId="21">
    <w:name w:val="Hyperlink"/>
    <w:autoRedefine/>
    <w:unhideWhenUsed/>
    <w:qFormat/>
    <w:uiPriority w:val="99"/>
    <w:rPr>
      <w:color w:val="0000FF"/>
      <w:u w:val="single"/>
    </w:rPr>
  </w:style>
  <w:style w:type="character" w:styleId="22">
    <w:name w:val="annotation reference"/>
    <w:basedOn w:val="19"/>
    <w:autoRedefine/>
    <w:unhideWhenUsed/>
    <w:qFormat/>
    <w:uiPriority w:val="99"/>
    <w:rPr>
      <w:sz w:val="21"/>
      <w:szCs w:val="21"/>
    </w:rPr>
  </w:style>
  <w:style w:type="character" w:styleId="23">
    <w:name w:val="footnote reference"/>
    <w:basedOn w:val="19"/>
    <w:autoRedefine/>
    <w:unhideWhenUsed/>
    <w:qFormat/>
    <w:uiPriority w:val="99"/>
    <w:rPr>
      <w:vertAlign w:val="superscript"/>
    </w:rPr>
  </w:style>
  <w:style w:type="paragraph" w:customStyle="1" w:styleId="24">
    <w:name w:val="Default"/>
    <w:autoRedefine/>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 w:type="character" w:customStyle="1" w:styleId="25">
    <w:name w:val="页眉 字符"/>
    <w:basedOn w:val="19"/>
    <w:link w:val="11"/>
    <w:autoRedefine/>
    <w:qFormat/>
    <w:uiPriority w:val="99"/>
    <w:rPr>
      <w:rFonts w:ascii="Arial" w:hAnsi="Arial" w:eastAsia="宋体"/>
      <w:sz w:val="14"/>
      <w:szCs w:val="18"/>
    </w:rPr>
  </w:style>
  <w:style w:type="character" w:customStyle="1" w:styleId="26">
    <w:name w:val="页脚 字符"/>
    <w:basedOn w:val="19"/>
    <w:link w:val="10"/>
    <w:autoRedefine/>
    <w:qFormat/>
    <w:uiPriority w:val="99"/>
    <w:rPr>
      <w:rFonts w:ascii="Arial" w:hAnsi="Arial" w:eastAsia="宋体"/>
      <w:sz w:val="14"/>
      <w:szCs w:val="18"/>
    </w:rPr>
  </w:style>
  <w:style w:type="character" w:customStyle="1" w:styleId="27">
    <w:name w:val="标题 字符"/>
    <w:basedOn w:val="19"/>
    <w:link w:val="15"/>
    <w:autoRedefine/>
    <w:qFormat/>
    <w:uiPriority w:val="10"/>
    <w:rPr>
      <w:rFonts w:ascii="Arial" w:hAnsi="Arial" w:eastAsia="华文中宋" w:cstheme="majorBidi"/>
      <w:b/>
      <w:bCs/>
      <w:sz w:val="36"/>
      <w:szCs w:val="32"/>
    </w:rPr>
  </w:style>
  <w:style w:type="character" w:customStyle="1" w:styleId="28">
    <w:name w:val="批注框文本 字符"/>
    <w:basedOn w:val="19"/>
    <w:link w:val="9"/>
    <w:autoRedefine/>
    <w:semiHidden/>
    <w:qFormat/>
    <w:uiPriority w:val="99"/>
    <w:rPr>
      <w:rFonts w:ascii="Arial" w:hAnsi="Arial" w:eastAsia="仿宋_GB2312"/>
      <w:sz w:val="18"/>
      <w:szCs w:val="18"/>
    </w:rPr>
  </w:style>
  <w:style w:type="character" w:customStyle="1" w:styleId="29">
    <w:name w:val="批注文字 字符"/>
    <w:basedOn w:val="19"/>
    <w:link w:val="6"/>
    <w:autoRedefine/>
    <w:semiHidden/>
    <w:qFormat/>
    <w:uiPriority w:val="99"/>
    <w:rPr>
      <w:rFonts w:ascii="Arial" w:hAnsi="Arial" w:eastAsia="宋体"/>
      <w:sz w:val="24"/>
    </w:rPr>
  </w:style>
  <w:style w:type="character" w:customStyle="1" w:styleId="30">
    <w:name w:val="批注主题 字符"/>
    <w:basedOn w:val="29"/>
    <w:link w:val="16"/>
    <w:autoRedefine/>
    <w:semiHidden/>
    <w:qFormat/>
    <w:uiPriority w:val="99"/>
    <w:rPr>
      <w:rFonts w:ascii="Arial" w:hAnsi="Arial" w:eastAsia="宋体"/>
      <w:b/>
      <w:bCs/>
      <w:sz w:val="24"/>
    </w:rPr>
  </w:style>
  <w:style w:type="paragraph" w:customStyle="1" w:styleId="31">
    <w:name w:val="列表段落1"/>
    <w:basedOn w:val="1"/>
    <w:autoRedefine/>
    <w:qFormat/>
    <w:uiPriority w:val="34"/>
    <w:pPr>
      <w:ind w:firstLine="420"/>
    </w:pPr>
  </w:style>
  <w:style w:type="table" w:customStyle="1" w:styleId="32">
    <w:name w:val="网格型1"/>
    <w:basedOn w:val="17"/>
    <w:autoRedefine/>
    <w:qFormat/>
    <w:uiPriority w:val="39"/>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修订1"/>
    <w:autoRedefine/>
    <w:hidden/>
    <w:semiHidden/>
    <w:qFormat/>
    <w:uiPriority w:val="99"/>
    <w:rPr>
      <w:rFonts w:ascii="Arial" w:hAnsi="Arial" w:eastAsia="宋体" w:cstheme="minorBidi"/>
      <w:kern w:val="2"/>
      <w:sz w:val="24"/>
      <w:szCs w:val="21"/>
      <w:lang w:val="en-US" w:eastAsia="zh-CN" w:bidi="ar-SA"/>
    </w:rPr>
  </w:style>
  <w:style w:type="character" w:customStyle="1" w:styleId="34">
    <w:name w:val="标题 1 字符"/>
    <w:basedOn w:val="19"/>
    <w:link w:val="3"/>
    <w:autoRedefine/>
    <w:qFormat/>
    <w:uiPriority w:val="0"/>
    <w:rPr>
      <w:b/>
      <w:bCs/>
      <w:kern w:val="2"/>
      <w:sz w:val="24"/>
      <w:szCs w:val="24"/>
    </w:rPr>
  </w:style>
  <w:style w:type="character" w:customStyle="1" w:styleId="35">
    <w:name w:val="正文文本 字符"/>
    <w:basedOn w:val="19"/>
    <w:link w:val="7"/>
    <w:autoRedefine/>
    <w:qFormat/>
    <w:uiPriority w:val="0"/>
    <w:rPr>
      <w:rFonts w:ascii="宋体" w:hAnsi="宋体" w:eastAsia="宋体" w:cs="Times New Roman"/>
      <w:sz w:val="24"/>
      <w:szCs w:val="24"/>
      <w:lang w:eastAsia="en-US"/>
    </w:rPr>
  </w:style>
  <w:style w:type="character" w:customStyle="1" w:styleId="36">
    <w:name w:val="标题 2 字符"/>
    <w:basedOn w:val="19"/>
    <w:link w:val="4"/>
    <w:autoRedefine/>
    <w:qFormat/>
    <w:uiPriority w:val="9"/>
    <w:rPr>
      <w:b/>
      <w:w w:val="105"/>
      <w:sz w:val="24"/>
      <w:szCs w:val="24"/>
      <w:lang w:val="zh-CN" w:bidi="zh-CN"/>
    </w:rPr>
  </w:style>
  <w:style w:type="paragraph" w:customStyle="1" w:styleId="37">
    <w:name w:val="一级标题"/>
    <w:basedOn w:val="4"/>
    <w:autoRedefine/>
    <w:qFormat/>
    <w:uiPriority w:val="0"/>
    <w:pPr>
      <w:numPr>
        <w:ilvl w:val="0"/>
        <w:numId w:val="1"/>
      </w:numPr>
      <w:outlineLvl w:val="0"/>
    </w:pPr>
    <w:rPr>
      <w:rFonts w:ascii="宋体" w:hAnsi="宋体"/>
    </w:rPr>
  </w:style>
  <w:style w:type="character" w:customStyle="1" w:styleId="38">
    <w:name w:val="脚注文本 字符"/>
    <w:basedOn w:val="19"/>
    <w:link w:val="13"/>
    <w:autoRedefine/>
    <w:qFormat/>
    <w:uiPriority w:val="99"/>
    <w:rPr>
      <w:rFonts w:ascii="Calibri" w:hAnsi="Calibri" w:eastAsia="宋体" w:cs="Times New Roman"/>
      <w:kern w:val="2"/>
      <w:sz w:val="18"/>
      <w:szCs w:val="18"/>
    </w:rPr>
  </w:style>
  <w:style w:type="paragraph" w:customStyle="1" w:styleId="39">
    <w:name w:val="列出段落11"/>
    <w:basedOn w:val="1"/>
    <w:autoRedefine/>
    <w:qFormat/>
    <w:uiPriority w:val="34"/>
    <w:pPr>
      <w:spacing w:line="240" w:lineRule="auto"/>
      <w:ind w:firstLine="420"/>
    </w:pPr>
    <w:rPr>
      <w:rFonts w:ascii="Calibri" w:hAnsi="Calibri" w:cs="Times New Roman"/>
      <w:sz w:val="21"/>
    </w:rPr>
  </w:style>
  <w:style w:type="character" w:customStyle="1" w:styleId="40">
    <w:name w:val="未处理的提及1"/>
    <w:basedOn w:val="19"/>
    <w:autoRedefine/>
    <w:unhideWhenUsed/>
    <w:qFormat/>
    <w:uiPriority w:val="99"/>
    <w:rPr>
      <w:color w:val="605E5C"/>
      <w:shd w:val="clear" w:color="auto" w:fill="E1DFDD"/>
    </w:rPr>
  </w:style>
  <w:style w:type="paragraph" w:customStyle="1" w:styleId="41">
    <w:name w:val="修订2"/>
    <w:autoRedefine/>
    <w:hidden/>
    <w:semiHidden/>
    <w:qFormat/>
    <w:uiPriority w:val="99"/>
    <w:rPr>
      <w:rFonts w:ascii="Arial" w:hAnsi="Arial" w:eastAsia="宋体" w:cstheme="minorBidi"/>
      <w:kern w:val="2"/>
      <w:sz w:val="24"/>
      <w:szCs w:val="21"/>
      <w:lang w:val="en-US" w:eastAsia="zh-CN" w:bidi="ar-SA"/>
    </w:rPr>
  </w:style>
  <w:style w:type="paragraph" w:customStyle="1" w:styleId="42">
    <w:name w:val="列出段落1"/>
    <w:basedOn w:val="1"/>
    <w:autoRedefine/>
    <w:qFormat/>
    <w:uiPriority w:val="34"/>
    <w:pPr>
      <w:spacing w:line="240" w:lineRule="auto"/>
      <w:ind w:firstLine="420"/>
    </w:pPr>
    <w:rPr>
      <w:rFonts w:ascii="Calibri" w:hAnsi="Calibri" w:cs="Times New Roman"/>
      <w:sz w:val="21"/>
      <w:szCs w:val="22"/>
    </w:rPr>
  </w:style>
  <w:style w:type="paragraph" w:customStyle="1" w:styleId="43">
    <w:name w:val="修订3"/>
    <w:autoRedefine/>
    <w:hidden/>
    <w:semiHidden/>
    <w:qFormat/>
    <w:uiPriority w:val="99"/>
    <w:rPr>
      <w:rFonts w:ascii="Arial" w:hAnsi="Arial" w:eastAsia="宋体" w:cstheme="minorBidi"/>
      <w:kern w:val="2"/>
      <w:sz w:val="24"/>
      <w:szCs w:val="21"/>
      <w:lang w:val="en-US" w:eastAsia="zh-CN" w:bidi="ar-SA"/>
    </w:rPr>
  </w:style>
  <w:style w:type="paragraph" w:customStyle="1" w:styleId="44">
    <w:name w:val="WPSOffice手动目录 1"/>
    <w:autoRedefine/>
    <w:qFormat/>
    <w:uiPriority w:val="0"/>
    <w:rPr>
      <w:rFonts w:ascii="Times New Roman" w:hAnsi="Times New Roman" w:eastAsia="宋体" w:cs="Times New Roman"/>
      <w:lang w:val="en-US" w:eastAsia="zh-CN" w:bidi="ar-SA"/>
    </w:rPr>
  </w:style>
  <w:style w:type="paragraph" w:customStyle="1" w:styleId="4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46">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7">
    <w:name w:val="中等深浅网格 1 - 强调文字颜色 21"/>
    <w:basedOn w:val="1"/>
    <w:autoRedefine/>
    <w:qFormat/>
    <w:uiPriority w:val="34"/>
    <w:pPr>
      <w:ind w:firstLine="420"/>
    </w:pPr>
  </w:style>
  <w:style w:type="paragraph" w:customStyle="1" w:styleId="48">
    <w:name w:val="Other|1"/>
    <w:basedOn w:val="1"/>
    <w:autoRedefine/>
    <w:qFormat/>
    <w:uiPriority w:val="0"/>
    <w:rPr>
      <w:rFonts w:ascii="宋体" w:hAnsi="宋体" w:cs="宋体"/>
      <w:sz w:val="34"/>
      <w:szCs w:val="34"/>
      <w:lang w:val="zh-TW" w:eastAsia="zh-TW" w:bidi="zh-TW"/>
    </w:rPr>
  </w:style>
  <w:style w:type="paragraph" w:customStyle="1" w:styleId="49">
    <w:name w:val="修订4"/>
    <w:autoRedefine/>
    <w:hidden/>
    <w:semiHidden/>
    <w:qFormat/>
    <w:uiPriority w:val="99"/>
    <w:rPr>
      <w:rFonts w:ascii="Arial" w:hAnsi="Arial" w:eastAsia="宋体" w:cstheme="minorBidi"/>
      <w:kern w:val="2"/>
      <w:sz w:val="24"/>
      <w:szCs w:val="21"/>
      <w:lang w:val="en-US" w:eastAsia="zh-CN" w:bidi="ar-SA"/>
    </w:rPr>
  </w:style>
  <w:style w:type="paragraph" w:customStyle="1" w:styleId="50">
    <w:name w:val="修订5"/>
    <w:autoRedefine/>
    <w:hidden/>
    <w:semiHidden/>
    <w:qFormat/>
    <w:uiPriority w:val="99"/>
    <w:rPr>
      <w:rFonts w:ascii="Arial" w:hAnsi="Arial" w:eastAsia="宋体" w:cstheme="minorBidi"/>
      <w:kern w:val="2"/>
      <w:sz w:val="24"/>
      <w:szCs w:val="21"/>
      <w:lang w:val="en-US" w:eastAsia="zh-CN" w:bidi="ar-SA"/>
    </w:rPr>
  </w:style>
  <w:style w:type="paragraph" w:customStyle="1" w:styleId="51">
    <w:name w:val="正文 New"/>
    <w:autoRedefine/>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北京大成（广州）律师事务所</Company>
  <Pages>12</Pages>
  <Words>4634</Words>
  <Characters>4995</Characters>
  <Lines>49</Lines>
  <Paragraphs>13</Paragraphs>
  <TotalTime>34</TotalTime>
  <ScaleCrop>false</ScaleCrop>
  <LinksUpToDate>false</LinksUpToDate>
  <CharactersWithSpaces>5049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2024-08-14T03:27:00Z</dcterms:created>
  <dc:creator>大成-何易艺</dc:creator>
  <cp:lastModifiedBy>zzj</cp:lastModifiedBy>
  <cp:lastPrinted>2022-09-17T01:06:00Z</cp:lastPrinted>
  <dcterms:modified xsi:type="dcterms:W3CDTF">2024-08-16T05:04:49Z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07306AE1648E4871A58A9A47593AE989_13</vt:lpwstr>
  </property>
</Properties>
</file>