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06B00">
      <w:pPr>
        <w:ind w:left="2" w:leftChars="-2" w:hanging="7" w:hangingChars="3"/>
        <w:jc w:val="center"/>
      </w:pPr>
    </w:p>
    <w:p w14:paraId="0812139A">
      <w:pPr>
        <w:ind w:left="2" w:leftChars="-2" w:hanging="7" w:hangingChars="3"/>
        <w:jc w:val="center"/>
      </w:pPr>
    </w:p>
    <w:p w14:paraId="2A9382DA">
      <w:pPr>
        <w:ind w:left="2" w:leftChars="-2" w:hanging="7" w:hangingChars="3"/>
        <w:jc w:val="center"/>
      </w:pPr>
    </w:p>
    <w:p w14:paraId="72130344">
      <w:pPr>
        <w:ind w:left="2" w:leftChars="-2" w:hanging="7" w:hangingChars="3"/>
        <w:jc w:val="center"/>
      </w:pPr>
    </w:p>
    <w:p w14:paraId="246FDF35">
      <w:pPr>
        <w:ind w:left="2" w:leftChars="-2" w:hanging="7" w:hangingChars="3"/>
        <w:jc w:val="center"/>
      </w:pPr>
    </w:p>
    <w:p w14:paraId="3E716843">
      <w:pPr>
        <w:widowControl/>
        <w:spacing w:line="460" w:lineRule="exact"/>
        <w:ind w:left="6" w:leftChars="-2" w:right="36" w:rightChars="15" w:hanging="11" w:hangingChars="3"/>
        <w:jc w:val="center"/>
        <w:rPr>
          <w:rFonts w:ascii="华文中宋" w:hAnsi="华文中宋" w:eastAsia="华文中宋" w:cs="宋体"/>
          <w:spacing w:val="30"/>
          <w:kern w:val="0"/>
          <w:sz w:val="32"/>
          <w:szCs w:val="32"/>
        </w:rPr>
      </w:pPr>
      <w:r>
        <w:rPr>
          <w:rFonts w:hint="eastAsia" w:ascii="华文中宋" w:hAnsi="华文中宋" w:eastAsia="华文中宋" w:cs="宋体"/>
          <w:spacing w:val="30"/>
          <w:kern w:val="0"/>
          <w:sz w:val="32"/>
          <w:szCs w:val="32"/>
        </w:rPr>
        <w:t>北京大成（广州）律师事务所</w:t>
      </w:r>
    </w:p>
    <w:p w14:paraId="6A277272">
      <w:pPr>
        <w:widowControl/>
        <w:spacing w:line="460" w:lineRule="exact"/>
        <w:ind w:left="6" w:leftChars="-2" w:right="36" w:rightChars="15" w:hanging="11" w:hangingChars="3"/>
        <w:jc w:val="center"/>
        <w:rPr>
          <w:rFonts w:ascii="华文中宋" w:hAnsi="华文中宋" w:eastAsia="华文中宋" w:cs="宋体"/>
          <w:spacing w:val="30"/>
          <w:kern w:val="0"/>
          <w:sz w:val="32"/>
          <w:szCs w:val="32"/>
        </w:rPr>
      </w:pPr>
      <w:bookmarkStart w:id="0" w:name="_Toc15537"/>
      <w:bookmarkStart w:id="1" w:name="_Toc25580"/>
      <w:bookmarkStart w:id="2" w:name="_Toc32236"/>
      <w:bookmarkStart w:id="3" w:name="_Toc14791"/>
      <w:r>
        <w:rPr>
          <w:rFonts w:hint="eastAsia" w:ascii="华文中宋" w:hAnsi="华文中宋" w:eastAsia="华文中宋" w:cs="宋体"/>
          <w:spacing w:val="30"/>
          <w:kern w:val="0"/>
          <w:sz w:val="32"/>
          <w:szCs w:val="32"/>
        </w:rPr>
        <w:t>关于</w:t>
      </w:r>
      <w:bookmarkEnd w:id="0"/>
      <w:bookmarkEnd w:id="1"/>
      <w:bookmarkEnd w:id="2"/>
      <w:bookmarkEnd w:id="3"/>
    </w:p>
    <w:p w14:paraId="34C8D1DA">
      <w:pPr>
        <w:widowControl/>
        <w:spacing w:line="460" w:lineRule="exact"/>
        <w:ind w:left="6" w:leftChars="-2" w:right="36" w:rightChars="15" w:hanging="11" w:hangingChars="3"/>
        <w:jc w:val="center"/>
        <w:rPr>
          <w:rFonts w:ascii="华文中宋" w:hAnsi="华文中宋" w:eastAsia="华文中宋" w:cs="宋体"/>
          <w:spacing w:val="30"/>
          <w:kern w:val="0"/>
          <w:sz w:val="32"/>
          <w:szCs w:val="32"/>
        </w:rPr>
      </w:pPr>
      <w:r>
        <w:rPr>
          <w:rFonts w:hint="eastAsia" w:ascii="华文中宋" w:hAnsi="华文中宋" w:eastAsia="华文中宋" w:cs="宋体"/>
          <w:spacing w:val="30"/>
          <w:kern w:val="0"/>
          <w:sz w:val="32"/>
          <w:szCs w:val="32"/>
          <w:lang w:eastAsia="zh-CN"/>
        </w:rPr>
        <w:t>花都区智能装备科创产业园</w:t>
      </w:r>
      <w:r>
        <w:rPr>
          <w:rFonts w:hint="eastAsia" w:ascii="华文中宋" w:hAnsi="华文中宋" w:eastAsia="华文中宋" w:cs="宋体"/>
          <w:spacing w:val="30"/>
          <w:kern w:val="0"/>
          <w:sz w:val="32"/>
          <w:szCs w:val="32"/>
          <w:lang w:val="en-US" w:eastAsia="zh-CN"/>
        </w:rPr>
        <w:t>配套</w:t>
      </w:r>
      <w:r>
        <w:rPr>
          <w:rFonts w:hint="eastAsia" w:ascii="华文中宋" w:hAnsi="华文中宋" w:eastAsia="华文中宋" w:cs="宋体"/>
          <w:spacing w:val="30"/>
          <w:kern w:val="0"/>
          <w:sz w:val="32"/>
          <w:szCs w:val="32"/>
          <w:lang w:eastAsia="zh-CN"/>
        </w:rPr>
        <w:t>基础设施建设项目</w:t>
      </w:r>
      <w:r>
        <w:rPr>
          <w:rFonts w:hint="eastAsia" w:ascii="华文中宋" w:hAnsi="华文中宋" w:eastAsia="华文中宋" w:cs="宋体"/>
          <w:spacing w:val="30"/>
          <w:kern w:val="0"/>
          <w:sz w:val="32"/>
          <w:szCs w:val="32"/>
        </w:rPr>
        <w:t>之</w:t>
      </w:r>
    </w:p>
    <w:p w14:paraId="3BC94DC8">
      <w:pPr>
        <w:widowControl/>
        <w:tabs>
          <w:tab w:val="left" w:pos="6660"/>
          <w:tab w:val="left" w:pos="7020"/>
        </w:tabs>
        <w:spacing w:before="190" w:beforeLines="50" w:line="240" w:lineRule="atLeast"/>
        <w:ind w:left="17" w:leftChars="-2" w:hanging="22" w:hangingChars="3"/>
        <w:jc w:val="center"/>
        <w:rPr>
          <w:rFonts w:ascii="华文中宋" w:hAnsi="华文中宋" w:eastAsia="华文中宋" w:cs="宋体"/>
          <w:spacing w:val="100"/>
          <w:kern w:val="0"/>
          <w:sz w:val="56"/>
          <w:szCs w:val="56"/>
        </w:rPr>
      </w:pPr>
      <w:r>
        <w:rPr>
          <w:rFonts w:hint="eastAsia" w:ascii="华文中宋" w:hAnsi="华文中宋" w:eastAsia="华文中宋" w:cs="宋体"/>
          <w:spacing w:val="100"/>
          <w:kern w:val="0"/>
          <w:sz w:val="56"/>
          <w:szCs w:val="56"/>
        </w:rPr>
        <w:t>法律意见书</w:t>
      </w:r>
    </w:p>
    <w:p w14:paraId="35BCDB80">
      <w:pPr>
        <w:spacing w:line="240" w:lineRule="auto"/>
        <w:ind w:left="2" w:leftChars="-2" w:hanging="7" w:hangingChars="3"/>
        <w:jc w:val="center"/>
      </w:pPr>
    </w:p>
    <w:p w14:paraId="18F2AAD2">
      <w:pPr>
        <w:ind w:left="2" w:leftChars="-2" w:hanging="7" w:hangingChars="3"/>
        <w:jc w:val="center"/>
      </w:pPr>
    </w:p>
    <w:p w14:paraId="202020FF">
      <w:pPr>
        <w:ind w:left="2" w:leftChars="-2" w:hanging="7" w:hangingChars="3"/>
        <w:jc w:val="center"/>
      </w:pPr>
    </w:p>
    <w:p w14:paraId="4669AFBA">
      <w:pPr>
        <w:ind w:left="2" w:leftChars="-2" w:hanging="7" w:hangingChars="3"/>
        <w:jc w:val="center"/>
      </w:pPr>
    </w:p>
    <w:p w14:paraId="7BBBA9AE">
      <w:pPr>
        <w:ind w:left="2" w:leftChars="-2" w:hanging="7" w:hangingChars="3"/>
        <w:jc w:val="center"/>
      </w:pPr>
    </w:p>
    <w:p w14:paraId="0033CE89">
      <w:pPr>
        <w:ind w:left="2" w:leftChars="-2" w:hanging="7" w:hangingChars="3"/>
        <w:jc w:val="center"/>
      </w:pPr>
    </w:p>
    <w:p w14:paraId="5561B4D4">
      <w:pPr>
        <w:ind w:left="2" w:leftChars="-2" w:hanging="7" w:hangingChars="3"/>
        <w:jc w:val="center"/>
      </w:pPr>
    </w:p>
    <w:p w14:paraId="682C5854">
      <w:pPr>
        <w:ind w:left="2" w:leftChars="-2" w:hanging="7" w:hangingChars="3"/>
        <w:jc w:val="center"/>
      </w:pPr>
    </w:p>
    <w:p w14:paraId="694AB6A2">
      <w:pPr>
        <w:ind w:left="2" w:leftChars="-2" w:hanging="7" w:hangingChars="3"/>
        <w:jc w:val="center"/>
      </w:pPr>
    </w:p>
    <w:p w14:paraId="092299DE">
      <w:pPr>
        <w:ind w:left="2" w:leftChars="-2" w:hanging="7" w:hangingChars="3"/>
        <w:jc w:val="center"/>
      </w:pPr>
    </w:p>
    <w:p w14:paraId="77273941">
      <w:pPr>
        <w:spacing w:line="240" w:lineRule="atLeast"/>
        <w:ind w:left="2" w:leftChars="-2" w:hanging="7" w:hangingChars="3"/>
        <w:jc w:val="center"/>
      </w:pPr>
    </w:p>
    <w:p w14:paraId="52EBA6A6">
      <w:pPr>
        <w:ind w:left="2" w:leftChars="-2" w:hanging="7" w:hangingChars="3"/>
        <w:jc w:val="center"/>
      </w:pPr>
    </w:p>
    <w:p w14:paraId="001722CF">
      <w:pPr>
        <w:ind w:left="6" w:leftChars="-2" w:hanging="11" w:hangingChars="3"/>
        <w:jc w:val="center"/>
        <w:rPr>
          <w:rFonts w:ascii="华文中宋" w:hAnsi="华文中宋" w:eastAsia="华文中宋"/>
          <w:b/>
          <w:spacing w:val="30"/>
          <w:sz w:val="32"/>
          <w:szCs w:val="32"/>
        </w:rPr>
      </w:pPr>
      <w:r>
        <w:rPr>
          <w:rFonts w:hint="eastAsia" w:ascii="华文中宋" w:hAnsi="华文中宋" w:eastAsia="华文中宋"/>
          <w:b/>
          <w:spacing w:val="30"/>
          <w:sz w:val="32"/>
          <w:szCs w:val="32"/>
        </w:rPr>
        <w:t>北京</w:t>
      </w:r>
      <w:r>
        <w:rPr>
          <w:rFonts w:ascii="华文中宋" w:hAnsi="华文中宋" w:eastAsia="华文中宋"/>
          <w:b/>
          <w:spacing w:val="30"/>
          <w:sz w:val="32"/>
          <w:szCs w:val="32"/>
        </w:rPr>
        <w:t>大成</w:t>
      </w:r>
      <w:r>
        <w:rPr>
          <w:rFonts w:hint="eastAsia" w:ascii="华文中宋" w:hAnsi="华文中宋" w:eastAsia="华文中宋"/>
          <w:b/>
          <w:spacing w:val="30"/>
          <w:sz w:val="32"/>
          <w:szCs w:val="32"/>
        </w:rPr>
        <w:t>（广州）</w:t>
      </w:r>
      <w:r>
        <w:rPr>
          <w:rFonts w:ascii="华文中宋" w:hAnsi="华文中宋" w:eastAsia="华文中宋"/>
          <w:b/>
          <w:spacing w:val="30"/>
          <w:sz w:val="32"/>
          <w:szCs w:val="32"/>
        </w:rPr>
        <w:t>律师事务所</w:t>
      </w:r>
    </w:p>
    <w:p w14:paraId="38A36EF1">
      <w:pPr>
        <w:spacing w:before="100" w:beforeAutospacing="1" w:after="190" w:afterLines="50" w:line="216" w:lineRule="auto"/>
        <w:ind w:left="1" w:leftChars="-2" w:hanging="6" w:hangingChars="3"/>
        <w:jc w:val="center"/>
        <w:rPr>
          <w:rFonts w:ascii="Times New Roman" w:hAnsi="Times New Roman" w:cs="Times New Roman"/>
          <w:sz w:val="22"/>
          <w:szCs w:val="22"/>
        </w:rPr>
      </w:pPr>
    </w:p>
    <w:p w14:paraId="3A337178">
      <w:pPr>
        <w:spacing w:line="260" w:lineRule="exact"/>
        <w:ind w:left="1" w:leftChars="-2" w:hanging="6" w:hangingChars="3"/>
        <w:jc w:val="center"/>
        <w:rPr>
          <w:rFonts w:ascii="Times New Roman" w:hAnsi="Times New Roman" w:eastAsia="华文中宋" w:cs="Times New Roman"/>
          <w:sz w:val="20"/>
          <w:szCs w:val="20"/>
        </w:rPr>
      </w:pPr>
      <w:r>
        <w:rPr>
          <w:rFonts w:ascii="Times New Roman" w:hAnsi="Times New Roman" w:eastAsia="华文中宋" w:cs="Times New Roman"/>
          <w:sz w:val="20"/>
          <w:szCs w:val="20"/>
        </w:rPr>
        <w:t>广东省广州市天河区珠江新城珠江东路6号广州周大福金融中心14层、15层（邮编：510623）</w:t>
      </w:r>
    </w:p>
    <w:p w14:paraId="40E6410A">
      <w:pPr>
        <w:spacing w:line="260" w:lineRule="exact"/>
        <w:ind w:left="1" w:leftChars="-2" w:hanging="6" w:hangingChars="3"/>
        <w:jc w:val="center"/>
        <w:rPr>
          <w:rFonts w:ascii="Times New Roman" w:hAnsi="Times New Roman" w:eastAsia="华文中宋" w:cs="Times New Roman"/>
          <w:sz w:val="20"/>
          <w:szCs w:val="20"/>
        </w:rPr>
      </w:pPr>
      <w:r>
        <w:rPr>
          <w:rFonts w:ascii="Times New Roman" w:hAnsi="Times New Roman" w:eastAsia="华文中宋" w:cs="Times New Roman"/>
          <w:sz w:val="20"/>
          <w:szCs w:val="20"/>
        </w:rPr>
        <w:t xml:space="preserve">14/F, 15/F, CTF Finance Centre Plaza, No.6, Zhujiang East Road, </w:t>
      </w:r>
    </w:p>
    <w:p w14:paraId="68D9B0C0">
      <w:pPr>
        <w:spacing w:line="260" w:lineRule="exact"/>
        <w:ind w:left="1" w:leftChars="-2" w:hanging="6" w:hangingChars="3"/>
        <w:jc w:val="center"/>
        <w:rPr>
          <w:rFonts w:ascii="Times New Roman" w:hAnsi="Times New Roman" w:eastAsia="华文中宋" w:cs="Times New Roman"/>
          <w:sz w:val="20"/>
          <w:szCs w:val="20"/>
        </w:rPr>
      </w:pPr>
      <w:r>
        <w:rPr>
          <w:rFonts w:ascii="Times New Roman" w:hAnsi="Times New Roman" w:eastAsia="华文中宋" w:cs="Times New Roman"/>
          <w:sz w:val="20"/>
          <w:szCs w:val="20"/>
        </w:rPr>
        <w:t>Zhujiang New Town, Tianhe District, Guangzhou 510623, China</w:t>
      </w:r>
    </w:p>
    <w:p w14:paraId="5D83EE1C">
      <w:pPr>
        <w:spacing w:line="260" w:lineRule="exact"/>
        <w:ind w:left="1" w:leftChars="-2" w:hanging="6" w:hangingChars="3"/>
        <w:jc w:val="center"/>
        <w:rPr>
          <w:rFonts w:ascii="Times New Roman" w:hAnsi="Times New Roman" w:eastAsia="华文中宋" w:cs="Times New Roman"/>
          <w:sz w:val="20"/>
          <w:szCs w:val="20"/>
        </w:rPr>
      </w:pPr>
      <w:r>
        <w:rPr>
          <w:rFonts w:ascii="Times New Roman" w:hAnsi="Times New Roman" w:eastAsia="华文中宋" w:cs="Times New Roman"/>
          <w:sz w:val="20"/>
          <w:szCs w:val="20"/>
        </w:rPr>
        <w:t>Tel: +86 20-85277000   Fax: +86 20-85277002</w:t>
      </w:r>
    </w:p>
    <w:p w14:paraId="2B961DA8">
      <w:pPr>
        <w:widowControl/>
        <w:spacing w:line="240" w:lineRule="auto"/>
        <w:ind w:firstLine="0" w:firstLineChars="0"/>
        <w:jc w:val="left"/>
        <w:rPr>
          <w:rFonts w:eastAsia="华文中宋" w:cs="Times New Roman"/>
          <w:sz w:val="20"/>
          <w:szCs w:val="20"/>
        </w:rPr>
      </w:pPr>
      <w:r>
        <w:rPr>
          <w:rFonts w:eastAsia="华文中宋" w:cs="Times New Roman"/>
          <w:sz w:val="20"/>
          <w:szCs w:val="20"/>
        </w:rPr>
        <w:br w:type="page"/>
      </w:r>
    </w:p>
    <w:p w14:paraId="2F7ED57A">
      <w:pPr>
        <w:spacing w:line="260" w:lineRule="exact"/>
        <w:ind w:left="1" w:leftChars="-2" w:hanging="6" w:hangingChars="3"/>
        <w:rPr>
          <w:rFonts w:eastAsia="华文中宋" w:cs="Times New Roman"/>
          <w:sz w:val="20"/>
          <w:szCs w:val="20"/>
        </w:rPr>
      </w:pPr>
    </w:p>
    <w:sdt>
      <w:sdtPr>
        <w:rPr>
          <w:rFonts w:ascii="宋体" w:hAnsi="宋体"/>
          <w:szCs w:val="24"/>
        </w:rPr>
        <w:id w:val="147480031"/>
        <w15:color w:val="DBDBDB"/>
        <w:docPartObj>
          <w:docPartGallery w:val="Table of Contents"/>
          <w:docPartUnique/>
        </w:docPartObj>
      </w:sdtPr>
      <w:sdtEndPr>
        <w:rPr>
          <w:rFonts w:ascii="宋体" w:hAnsi="宋体" w:cs="Times New Roman"/>
          <w:kern w:val="0"/>
          <w:szCs w:val="24"/>
        </w:rPr>
      </w:sdtEndPr>
      <w:sdtContent>
        <w:p w14:paraId="4DF27928">
          <w:pPr>
            <w:spacing w:line="240" w:lineRule="auto"/>
            <w:ind w:firstLine="0" w:firstLineChars="0"/>
            <w:jc w:val="center"/>
            <w:rPr>
              <w:rFonts w:ascii="Times New Roman" w:hAnsi="Times New Roman" w:cs="Times New Roman"/>
              <w:b/>
              <w:bCs/>
              <w:sz w:val="36"/>
              <w:szCs w:val="36"/>
            </w:rPr>
          </w:pPr>
          <w:r>
            <w:rPr>
              <w:rFonts w:ascii="Times New Roman" w:hAnsi="Times New Roman" w:cs="Times New Roman"/>
              <w:b/>
              <w:bCs/>
              <w:sz w:val="36"/>
              <w:szCs w:val="36"/>
            </w:rPr>
            <w:t>目录</w:t>
          </w:r>
        </w:p>
        <w:p w14:paraId="3104E50F">
          <w:pPr>
            <w:spacing w:line="360" w:lineRule="auto"/>
            <w:ind w:firstLine="0" w:firstLineChars="0"/>
            <w:jc w:val="center"/>
            <w:rPr>
              <w:rFonts w:ascii="Times New Roman" w:hAnsi="Times New Roman" w:cs="Times New Roman"/>
              <w:b/>
              <w:bCs/>
              <w:sz w:val="30"/>
              <w:szCs w:val="30"/>
            </w:rPr>
          </w:pPr>
        </w:p>
        <w:p w14:paraId="0930D7D8">
          <w:pPr>
            <w:pStyle w:val="12"/>
            <w:tabs>
              <w:tab w:val="right" w:leader="dot" w:pos="8306"/>
            </w:tabs>
            <w:spacing w:before="190" w:beforeLines="50" w:after="190" w:afterLines="50" w:line="240" w:lineRule="auto"/>
            <w:ind w:firstLine="566" w:firstLineChars="188"/>
            <w:rPr>
              <w:rFonts w:ascii="Times New Roman" w:hAnsi="Times New Roman" w:cs="Times New Roman"/>
            </w:rPr>
          </w:pPr>
          <w:r>
            <w:rPr>
              <w:rFonts w:ascii="Times New Roman" w:hAnsi="Times New Roman" w:cs="Times New Roman"/>
              <w:b/>
              <w:kern w:val="0"/>
              <w:sz w:val="30"/>
              <w:szCs w:val="30"/>
            </w:rPr>
            <w:fldChar w:fldCharType="begin"/>
          </w:r>
          <w:r>
            <w:rPr>
              <w:rFonts w:ascii="Times New Roman" w:hAnsi="Times New Roman" w:cs="Times New Roman"/>
              <w:b/>
              <w:kern w:val="0"/>
              <w:sz w:val="30"/>
              <w:szCs w:val="30"/>
            </w:rPr>
            <w:instrText xml:space="preserve">TOC \o "1-3" \h \u </w:instrText>
          </w:r>
          <w:r>
            <w:rPr>
              <w:rFonts w:ascii="Times New Roman" w:hAnsi="Times New Roman" w:cs="Times New Roman"/>
              <w:b/>
              <w:kern w:val="0"/>
              <w:sz w:val="30"/>
              <w:szCs w:val="30"/>
            </w:rPr>
            <w:fldChar w:fldCharType="separate"/>
          </w:r>
          <w:r>
            <w:fldChar w:fldCharType="begin"/>
          </w:r>
          <w:r>
            <w:instrText xml:space="preserve"> HYPERLINK \l "_Toc17931" </w:instrText>
          </w:r>
          <w:r>
            <w:fldChar w:fldCharType="separate"/>
          </w:r>
          <w:r>
            <w:rPr>
              <w:rFonts w:ascii="Times New Roman" w:hAnsi="Times New Roman" w:cs="Times New Roman"/>
              <w:szCs w:val="24"/>
            </w:rPr>
            <w:t>释义</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_Toc17931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24568EC5">
          <w:pPr>
            <w:pStyle w:val="12"/>
            <w:tabs>
              <w:tab w:val="right" w:leader="dot" w:pos="8306"/>
            </w:tabs>
            <w:spacing w:before="190" w:beforeLines="50" w:after="190" w:afterLines="50" w:line="240" w:lineRule="auto"/>
            <w:ind w:firstLine="480"/>
            <w:rPr>
              <w:rFonts w:ascii="Times New Roman" w:hAnsi="Times New Roman" w:cs="Times New Roman"/>
            </w:rPr>
          </w:pPr>
          <w:r>
            <w:fldChar w:fldCharType="begin"/>
          </w:r>
          <w:r>
            <w:instrText xml:space="preserve"> HYPERLINK \l "_Toc13131" </w:instrText>
          </w:r>
          <w:r>
            <w:fldChar w:fldCharType="separate"/>
          </w:r>
          <w:r>
            <w:rPr>
              <w:rFonts w:ascii="Times New Roman" w:hAnsi="Times New Roman" w:cs="Times New Roman"/>
              <w:bCs/>
              <w:szCs w:val="24"/>
            </w:rPr>
            <w:t>一、发行主体</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_Toc13131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14:paraId="78B7E269">
          <w:pPr>
            <w:pStyle w:val="12"/>
            <w:tabs>
              <w:tab w:val="right" w:leader="dot" w:pos="8306"/>
            </w:tabs>
            <w:spacing w:before="190" w:beforeLines="50" w:after="190" w:afterLines="50" w:line="240" w:lineRule="auto"/>
            <w:ind w:firstLine="480"/>
            <w:rPr>
              <w:rFonts w:ascii="Times New Roman" w:hAnsi="Times New Roman" w:cs="Times New Roman"/>
            </w:rPr>
          </w:pPr>
          <w:r>
            <w:fldChar w:fldCharType="begin"/>
          </w:r>
          <w:r>
            <w:instrText xml:space="preserve"> HYPERLINK \l "_Toc27395" </w:instrText>
          </w:r>
          <w:r>
            <w:fldChar w:fldCharType="separate"/>
          </w:r>
          <w:r>
            <w:rPr>
              <w:rFonts w:ascii="Times New Roman" w:hAnsi="Times New Roman" w:cs="Times New Roman"/>
              <w:bCs/>
              <w:szCs w:val="24"/>
            </w:rPr>
            <w:t>二、实施主体</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_Toc27395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14:paraId="3E5F7EC2">
          <w:pPr>
            <w:pStyle w:val="12"/>
            <w:tabs>
              <w:tab w:val="right" w:leader="dot" w:pos="8306"/>
            </w:tabs>
            <w:spacing w:before="190" w:beforeLines="50" w:after="190" w:afterLines="50" w:line="240" w:lineRule="auto"/>
            <w:ind w:firstLine="480"/>
            <w:rPr>
              <w:rFonts w:ascii="Times New Roman" w:hAnsi="Times New Roman" w:cs="Times New Roman"/>
            </w:rPr>
          </w:pPr>
          <w:r>
            <w:fldChar w:fldCharType="begin"/>
          </w:r>
          <w:r>
            <w:instrText xml:space="preserve"> HYPERLINK \l "_Toc22306" </w:instrText>
          </w:r>
          <w:r>
            <w:fldChar w:fldCharType="separate"/>
          </w:r>
          <w:r>
            <w:rPr>
              <w:rFonts w:ascii="Times New Roman" w:hAnsi="Times New Roman" w:cs="Times New Roman"/>
              <w:bCs/>
              <w:szCs w:val="24"/>
            </w:rPr>
            <w:t>三、本次债券发行对应的募投项目</w:t>
          </w:r>
          <w:r>
            <w:rPr>
              <w:rFonts w:ascii="Times New Roman" w:hAnsi="Times New Roman" w:cs="Times New Roman"/>
            </w:rPr>
            <w:tab/>
          </w:r>
          <w:r>
            <w:rPr>
              <w:rFonts w:hint="eastAsia" w:ascii="Times New Roman" w:hAnsi="Times New Roman" w:cs="Times New Roman"/>
            </w:rPr>
            <w:t>7</w:t>
          </w:r>
          <w:r>
            <w:rPr>
              <w:rFonts w:hint="eastAsia" w:ascii="Times New Roman" w:hAnsi="Times New Roman" w:cs="Times New Roman"/>
            </w:rPr>
            <w:fldChar w:fldCharType="end"/>
          </w:r>
        </w:p>
        <w:p w14:paraId="509C1899">
          <w:pPr>
            <w:pStyle w:val="12"/>
            <w:tabs>
              <w:tab w:val="right" w:leader="dot" w:pos="8306"/>
            </w:tabs>
            <w:spacing w:before="190" w:beforeLines="50" w:after="190" w:afterLines="50" w:line="240" w:lineRule="auto"/>
            <w:ind w:firstLine="480"/>
            <w:rPr>
              <w:rFonts w:ascii="Times New Roman" w:hAnsi="Times New Roman" w:cs="Times New Roman"/>
            </w:rPr>
          </w:pPr>
          <w:r>
            <w:fldChar w:fldCharType="begin"/>
          </w:r>
          <w:r>
            <w:instrText xml:space="preserve"> HYPERLINK \l "_Toc25572" </w:instrText>
          </w:r>
          <w:r>
            <w:fldChar w:fldCharType="separate"/>
          </w:r>
          <w:r>
            <w:rPr>
              <w:rFonts w:ascii="Times New Roman" w:hAnsi="Times New Roman" w:cs="Times New Roman"/>
              <w:bCs/>
              <w:szCs w:val="24"/>
            </w:rPr>
            <w:t>四、项目公益性及收益与融资平衡情况</w:t>
          </w:r>
          <w:r>
            <w:rPr>
              <w:rFonts w:ascii="Times New Roman" w:hAnsi="Times New Roman" w:cs="Times New Roman"/>
            </w:rPr>
            <w:tab/>
          </w:r>
          <w:r>
            <w:rPr>
              <w:rFonts w:hint="eastAsia" w:ascii="Times New Roman" w:hAnsi="Times New Roman" w:cs="Times New Roman"/>
            </w:rPr>
            <w:t>1</w:t>
          </w:r>
          <w:r>
            <w:rPr>
              <w:rFonts w:hint="eastAsia" w:ascii="Times New Roman" w:hAnsi="Times New Roman" w:cs="Times New Roman"/>
            </w:rPr>
            <w:fldChar w:fldCharType="end"/>
          </w:r>
          <w:r>
            <w:rPr>
              <w:rFonts w:hint="eastAsia" w:ascii="Times New Roman" w:hAnsi="Times New Roman" w:cs="Times New Roman"/>
            </w:rPr>
            <w:t>2</w:t>
          </w:r>
        </w:p>
        <w:p w14:paraId="1849D8CF">
          <w:pPr>
            <w:pStyle w:val="12"/>
            <w:tabs>
              <w:tab w:val="right" w:leader="dot" w:pos="8306"/>
            </w:tabs>
            <w:spacing w:before="190" w:beforeLines="50" w:after="190" w:afterLines="50" w:line="240" w:lineRule="auto"/>
            <w:ind w:firstLine="480"/>
            <w:rPr>
              <w:rFonts w:ascii="Times New Roman" w:hAnsi="Times New Roman" w:cs="Times New Roman"/>
            </w:rPr>
          </w:pPr>
          <w:r>
            <w:fldChar w:fldCharType="begin"/>
          </w:r>
          <w:r>
            <w:instrText xml:space="preserve"> HYPERLINK \l "_Toc26996" </w:instrText>
          </w:r>
          <w:r>
            <w:fldChar w:fldCharType="separate"/>
          </w:r>
          <w:r>
            <w:rPr>
              <w:rFonts w:ascii="Times New Roman" w:hAnsi="Times New Roman" w:cs="Times New Roman"/>
              <w:bCs/>
              <w:szCs w:val="24"/>
            </w:rPr>
            <w:t>五、发行文件及发行</w:t>
          </w:r>
          <w:r>
            <w:rPr>
              <w:rFonts w:hint="eastAsia" w:ascii="Times New Roman" w:hAnsi="Times New Roman" w:cs="Times New Roman"/>
              <w:bCs/>
              <w:szCs w:val="24"/>
            </w:rPr>
            <w:t>服务</w:t>
          </w:r>
          <w:r>
            <w:rPr>
              <w:rFonts w:ascii="Times New Roman" w:hAnsi="Times New Roman" w:cs="Times New Roman"/>
              <w:bCs/>
              <w:szCs w:val="24"/>
            </w:rPr>
            <w:t>机构</w:t>
          </w:r>
          <w:r>
            <w:rPr>
              <w:rFonts w:ascii="Times New Roman" w:hAnsi="Times New Roman" w:cs="Times New Roman"/>
            </w:rPr>
            <w:tab/>
          </w:r>
          <w:r>
            <w:rPr>
              <w:rFonts w:hint="eastAsia" w:ascii="Times New Roman" w:hAnsi="Times New Roman" w:cs="Times New Roman"/>
            </w:rPr>
            <w:t>1</w:t>
          </w:r>
          <w:r>
            <w:rPr>
              <w:rFonts w:ascii="Times New Roman" w:hAnsi="Times New Roman" w:cs="Times New Roman"/>
            </w:rPr>
            <w:fldChar w:fldCharType="end"/>
          </w:r>
          <w:r>
            <w:rPr>
              <w:rFonts w:hint="eastAsia" w:ascii="Times New Roman" w:hAnsi="Times New Roman" w:cs="Times New Roman"/>
            </w:rPr>
            <w:t>3</w:t>
          </w:r>
        </w:p>
        <w:p w14:paraId="56B18AC0">
          <w:pPr>
            <w:pStyle w:val="12"/>
            <w:tabs>
              <w:tab w:val="right" w:leader="dot" w:pos="8306"/>
            </w:tabs>
            <w:spacing w:before="190" w:beforeLines="50" w:after="190" w:afterLines="50" w:line="240" w:lineRule="auto"/>
            <w:ind w:firstLine="480"/>
            <w:rPr>
              <w:rFonts w:ascii="Times New Roman" w:hAnsi="Times New Roman" w:cs="Times New Roman"/>
            </w:rPr>
          </w:pPr>
          <w:r>
            <w:fldChar w:fldCharType="begin"/>
          </w:r>
          <w:r>
            <w:instrText xml:space="preserve"> HYPERLINK \l "_Toc14258" </w:instrText>
          </w:r>
          <w:r>
            <w:fldChar w:fldCharType="separate"/>
          </w:r>
          <w:r>
            <w:rPr>
              <w:rFonts w:ascii="Times New Roman" w:hAnsi="Times New Roman" w:cs="Times New Roman"/>
              <w:bCs/>
              <w:szCs w:val="24"/>
            </w:rPr>
            <w:t>六、项目风险提示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_Toc14258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14:paraId="457B6241">
          <w:pPr>
            <w:pStyle w:val="12"/>
            <w:tabs>
              <w:tab w:val="right" w:leader="dot" w:pos="8306"/>
            </w:tabs>
            <w:spacing w:before="190" w:beforeLines="50" w:after="190" w:afterLines="50" w:line="240" w:lineRule="auto"/>
            <w:ind w:firstLine="480"/>
            <w:rPr>
              <w:rFonts w:ascii="Times New Roman" w:hAnsi="Times New Roman" w:cs="Times New Roman"/>
            </w:rPr>
          </w:pPr>
          <w:r>
            <w:fldChar w:fldCharType="begin"/>
          </w:r>
          <w:r>
            <w:instrText xml:space="preserve"> HYPERLINK \l "_Toc18653" </w:instrText>
          </w:r>
          <w:r>
            <w:fldChar w:fldCharType="separate"/>
          </w:r>
          <w:r>
            <w:rPr>
              <w:rFonts w:ascii="Times New Roman" w:hAnsi="Times New Roman" w:cs="Times New Roman"/>
              <w:bCs/>
              <w:szCs w:val="24"/>
            </w:rPr>
            <w:t>七、总体结论性意见</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_Toc18653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14:paraId="34AA0600">
          <w:pPr>
            <w:widowControl/>
            <w:spacing w:before="190" w:beforeLines="50" w:after="190" w:afterLines="50" w:line="240" w:lineRule="auto"/>
            <w:ind w:firstLine="0" w:firstLineChars="0"/>
            <w:jc w:val="center"/>
            <w:rPr>
              <w:rFonts w:ascii="宋体" w:hAnsi="宋体" w:cs="Times New Roman"/>
              <w:b/>
              <w:kern w:val="0"/>
              <w:szCs w:val="24"/>
            </w:rPr>
          </w:pPr>
          <w:r>
            <w:rPr>
              <w:rFonts w:ascii="Times New Roman" w:hAnsi="Times New Roman" w:cs="Times New Roman"/>
              <w:kern w:val="0"/>
              <w:szCs w:val="30"/>
            </w:rPr>
            <w:fldChar w:fldCharType="end"/>
          </w:r>
        </w:p>
      </w:sdtContent>
    </w:sdt>
    <w:p w14:paraId="6FFD0764">
      <w:pPr>
        <w:widowControl/>
        <w:spacing w:line="240" w:lineRule="auto"/>
        <w:ind w:firstLine="0" w:firstLineChars="0"/>
        <w:jc w:val="center"/>
        <w:rPr>
          <w:rFonts w:ascii="宋体" w:hAnsi="宋体" w:cs="Times New Roman"/>
          <w:b/>
          <w:kern w:val="0"/>
          <w:szCs w:val="24"/>
        </w:rPr>
      </w:pPr>
    </w:p>
    <w:p w14:paraId="6FB8FDAF">
      <w:pPr>
        <w:widowControl/>
        <w:spacing w:line="240" w:lineRule="auto"/>
        <w:ind w:firstLine="0" w:firstLineChars="0"/>
        <w:jc w:val="left"/>
        <w:rPr>
          <w:rFonts w:ascii="Times New Roman" w:hAnsi="Times New Roman" w:cs="Times New Roman"/>
          <w:b/>
          <w:kern w:val="0"/>
          <w:szCs w:val="24"/>
        </w:rPr>
      </w:pPr>
      <w:bookmarkStart w:id="4" w:name="_Toc29048"/>
      <w:bookmarkStart w:id="5" w:name="_Toc484030683"/>
      <w:bookmarkStart w:id="6" w:name="_Toc11562"/>
      <w:bookmarkStart w:id="7" w:name="_Toc483925173"/>
      <w:bookmarkStart w:id="8" w:name="_Toc30999"/>
      <w:bookmarkStart w:id="9" w:name="_Toc92377674"/>
      <w:bookmarkStart w:id="10" w:name="_Toc17931"/>
      <w:bookmarkStart w:id="11" w:name="_Toc15071"/>
      <w:bookmarkStart w:id="12" w:name="_Toc120719494"/>
      <w:bookmarkStart w:id="13" w:name="_Toc22693"/>
      <w:bookmarkStart w:id="14" w:name="_Toc118210116"/>
      <w:bookmarkStart w:id="15" w:name="_Toc12417"/>
      <w:bookmarkStart w:id="16" w:name="_Toc29459"/>
      <w:bookmarkStart w:id="17" w:name="_Toc22950"/>
      <w:r>
        <w:rPr>
          <w:rFonts w:ascii="Times New Roman" w:hAnsi="Times New Roman"/>
          <w:szCs w:val="24"/>
        </w:rPr>
        <w:br w:type="page"/>
      </w:r>
    </w:p>
    <w:p w14:paraId="29782487">
      <w:pPr>
        <w:pStyle w:val="2"/>
        <w:spacing w:before="0" w:beforeLines="0" w:after="0" w:afterLines="0" w:line="500" w:lineRule="exact"/>
        <w:ind w:firstLine="0" w:firstLineChars="0"/>
        <w:jc w:val="center"/>
      </w:pPr>
      <w:r>
        <w:t>释义</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10458B85">
      <w:pPr>
        <w:spacing w:before="190" w:beforeLines="50" w:after="190" w:afterLines="50" w:line="360" w:lineRule="auto"/>
        <w:ind w:firstLine="480"/>
        <w:rPr>
          <w:rFonts w:ascii="Times New Roman" w:hAnsi="Times New Roman"/>
        </w:rPr>
      </w:pPr>
      <w:r>
        <w:rPr>
          <w:rFonts w:ascii="Times New Roman" w:hAnsi="Times New Roman"/>
        </w:rPr>
        <w:t>在本《法律意见书》中，除非文义另有所指，下列左栏中的术语或简称对应右栏中的全称或含义：</w:t>
      </w:r>
    </w:p>
    <w:tbl>
      <w:tblPr>
        <w:tblStyle w:val="18"/>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4"/>
        <w:gridCol w:w="646"/>
        <w:gridCol w:w="4826"/>
      </w:tblGrid>
      <w:tr w14:paraId="7B064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864" w:type="dxa"/>
            <w:tcBorders>
              <w:top w:val="single" w:color="auto" w:sz="4" w:space="0"/>
            </w:tcBorders>
            <w:vAlign w:val="center"/>
          </w:tcPr>
          <w:p w14:paraId="4252EEC1">
            <w:pPr>
              <w:pStyle w:val="5"/>
              <w:spacing w:before="190" w:beforeLines="50" w:after="190" w:afterLines="50" w:line="240" w:lineRule="auto"/>
              <w:ind w:left="0" w:firstLine="0" w:firstLineChars="0"/>
              <w:jc w:val="both"/>
              <w:rPr>
                <w:kern w:val="2"/>
                <w:lang w:eastAsia="zh-CN"/>
              </w:rPr>
            </w:pPr>
            <w:r>
              <w:rPr>
                <w:rFonts w:hint="eastAsia"/>
                <w:kern w:val="2"/>
                <w:lang w:eastAsia="zh-CN"/>
              </w:rPr>
              <w:t>中国</w:t>
            </w:r>
          </w:p>
        </w:tc>
        <w:tc>
          <w:tcPr>
            <w:tcW w:w="646" w:type="dxa"/>
            <w:tcBorders>
              <w:top w:val="single" w:color="auto" w:sz="4" w:space="0"/>
            </w:tcBorders>
            <w:vAlign w:val="center"/>
          </w:tcPr>
          <w:p w14:paraId="6C3C1817">
            <w:pPr>
              <w:pStyle w:val="5"/>
              <w:spacing w:before="190" w:beforeLines="50" w:after="190" w:afterLines="50" w:line="240" w:lineRule="auto"/>
              <w:ind w:left="0" w:firstLine="0" w:firstLineChars="0"/>
              <w:jc w:val="center"/>
              <w:rPr>
                <w:kern w:val="2"/>
                <w:lang w:eastAsia="zh-CN"/>
              </w:rPr>
            </w:pPr>
            <w:r>
              <w:rPr>
                <w:rFonts w:hint="eastAsia"/>
                <w:kern w:val="2"/>
                <w:lang w:eastAsia="zh-CN"/>
              </w:rPr>
              <w:t>指</w:t>
            </w:r>
          </w:p>
        </w:tc>
        <w:tc>
          <w:tcPr>
            <w:tcW w:w="4826" w:type="dxa"/>
            <w:tcBorders>
              <w:top w:val="single" w:color="auto" w:sz="4" w:space="0"/>
            </w:tcBorders>
            <w:vAlign w:val="center"/>
          </w:tcPr>
          <w:p w14:paraId="204D2E59">
            <w:pPr>
              <w:pStyle w:val="5"/>
              <w:spacing w:before="190" w:beforeLines="50" w:after="190" w:afterLines="50" w:line="240" w:lineRule="auto"/>
              <w:ind w:left="0" w:firstLine="0" w:firstLineChars="0"/>
              <w:jc w:val="both"/>
              <w:rPr>
                <w:kern w:val="2"/>
                <w:lang w:eastAsia="zh-CN"/>
              </w:rPr>
            </w:pPr>
            <w:r>
              <w:rPr>
                <w:rFonts w:hint="eastAsia"/>
                <w:kern w:val="2"/>
                <w:lang w:eastAsia="zh-CN"/>
              </w:rPr>
              <w:t>中华人民共和国</w:t>
            </w:r>
          </w:p>
        </w:tc>
      </w:tr>
      <w:tr w14:paraId="70DF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864" w:type="dxa"/>
            <w:tcBorders>
              <w:top w:val="single" w:color="auto" w:sz="4" w:space="0"/>
            </w:tcBorders>
            <w:vAlign w:val="center"/>
          </w:tcPr>
          <w:p w14:paraId="4F159719">
            <w:pPr>
              <w:pStyle w:val="5"/>
              <w:spacing w:before="190" w:beforeLines="50" w:after="190" w:afterLines="50" w:line="240" w:lineRule="auto"/>
              <w:ind w:left="0" w:firstLine="0" w:firstLineChars="0"/>
              <w:jc w:val="both"/>
              <w:rPr>
                <w:kern w:val="2"/>
                <w:lang w:eastAsia="zh-CN"/>
              </w:rPr>
            </w:pPr>
            <w:r>
              <w:rPr>
                <w:rFonts w:hint="eastAsia"/>
                <w:kern w:val="2"/>
                <w:lang w:eastAsia="zh-CN"/>
              </w:rPr>
              <w:t>财政部</w:t>
            </w:r>
          </w:p>
        </w:tc>
        <w:tc>
          <w:tcPr>
            <w:tcW w:w="646" w:type="dxa"/>
            <w:tcBorders>
              <w:top w:val="single" w:color="auto" w:sz="4" w:space="0"/>
            </w:tcBorders>
            <w:vAlign w:val="center"/>
          </w:tcPr>
          <w:p w14:paraId="7CCFAC42">
            <w:pPr>
              <w:pStyle w:val="5"/>
              <w:spacing w:before="190" w:beforeLines="50" w:after="190" w:afterLines="50" w:line="240" w:lineRule="auto"/>
              <w:ind w:left="0" w:firstLine="0" w:firstLineChars="0"/>
              <w:jc w:val="center"/>
              <w:rPr>
                <w:kern w:val="2"/>
                <w:lang w:eastAsia="zh-CN"/>
              </w:rPr>
            </w:pPr>
            <w:r>
              <w:rPr>
                <w:rFonts w:hint="eastAsia"/>
                <w:kern w:val="2"/>
                <w:lang w:eastAsia="zh-CN"/>
              </w:rPr>
              <w:t>指</w:t>
            </w:r>
          </w:p>
        </w:tc>
        <w:tc>
          <w:tcPr>
            <w:tcW w:w="4826" w:type="dxa"/>
            <w:tcBorders>
              <w:top w:val="single" w:color="auto" w:sz="4" w:space="0"/>
            </w:tcBorders>
            <w:vAlign w:val="center"/>
          </w:tcPr>
          <w:p w14:paraId="5E701E32">
            <w:pPr>
              <w:pStyle w:val="5"/>
              <w:spacing w:before="190" w:beforeLines="50" w:after="190" w:afterLines="50" w:line="240" w:lineRule="auto"/>
              <w:ind w:left="0" w:firstLine="0" w:firstLineChars="0"/>
              <w:jc w:val="both"/>
              <w:rPr>
                <w:kern w:val="2"/>
                <w:lang w:eastAsia="zh-CN"/>
              </w:rPr>
            </w:pPr>
            <w:r>
              <w:rPr>
                <w:rFonts w:hint="eastAsia"/>
                <w:kern w:val="2"/>
                <w:lang w:eastAsia="zh-CN"/>
              </w:rPr>
              <w:t>中华人民共和国财政部</w:t>
            </w:r>
          </w:p>
        </w:tc>
      </w:tr>
      <w:tr w14:paraId="063A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864" w:type="dxa"/>
            <w:tcBorders>
              <w:top w:val="single" w:color="auto" w:sz="4" w:space="0"/>
            </w:tcBorders>
            <w:vAlign w:val="center"/>
          </w:tcPr>
          <w:p w14:paraId="6E41B9AA">
            <w:pPr>
              <w:pStyle w:val="5"/>
              <w:spacing w:before="190" w:beforeLines="50" w:after="190" w:afterLines="50" w:line="240" w:lineRule="auto"/>
              <w:ind w:left="0" w:firstLine="0" w:firstLineChars="0"/>
              <w:jc w:val="both"/>
              <w:rPr>
                <w:kern w:val="2"/>
                <w:lang w:eastAsia="zh-CN"/>
              </w:rPr>
            </w:pPr>
            <w:r>
              <w:rPr>
                <w:rFonts w:hint="eastAsia"/>
                <w:kern w:val="2"/>
                <w:lang w:eastAsia="zh-CN"/>
              </w:rPr>
              <w:t>发行人/发行主体</w:t>
            </w:r>
          </w:p>
        </w:tc>
        <w:tc>
          <w:tcPr>
            <w:tcW w:w="646" w:type="dxa"/>
            <w:tcBorders>
              <w:top w:val="single" w:color="auto" w:sz="4" w:space="0"/>
            </w:tcBorders>
            <w:vAlign w:val="center"/>
          </w:tcPr>
          <w:p w14:paraId="2BAEC40E">
            <w:pPr>
              <w:pStyle w:val="5"/>
              <w:spacing w:before="190" w:beforeLines="50" w:after="190" w:afterLines="50" w:line="240" w:lineRule="auto"/>
              <w:ind w:left="0" w:firstLine="0" w:firstLineChars="0"/>
              <w:jc w:val="center"/>
              <w:rPr>
                <w:kern w:val="2"/>
                <w:lang w:eastAsia="zh-CN"/>
              </w:rPr>
            </w:pPr>
            <w:r>
              <w:rPr>
                <w:rFonts w:hint="eastAsia"/>
                <w:kern w:val="2"/>
                <w:lang w:eastAsia="zh-CN"/>
              </w:rPr>
              <w:t>指</w:t>
            </w:r>
          </w:p>
        </w:tc>
        <w:tc>
          <w:tcPr>
            <w:tcW w:w="4826" w:type="dxa"/>
            <w:tcBorders>
              <w:top w:val="single" w:color="auto" w:sz="4" w:space="0"/>
            </w:tcBorders>
            <w:vAlign w:val="center"/>
          </w:tcPr>
          <w:p w14:paraId="4510D6F3">
            <w:pPr>
              <w:pStyle w:val="5"/>
              <w:spacing w:before="190" w:beforeLines="50" w:after="190" w:afterLines="50" w:line="240" w:lineRule="auto"/>
              <w:ind w:left="0" w:firstLine="0" w:firstLineChars="0"/>
              <w:jc w:val="both"/>
              <w:rPr>
                <w:kern w:val="2"/>
                <w:lang w:eastAsia="zh-CN"/>
              </w:rPr>
            </w:pPr>
            <w:r>
              <w:rPr>
                <w:rFonts w:hint="eastAsia"/>
                <w:kern w:val="2"/>
                <w:lang w:eastAsia="zh-CN"/>
              </w:rPr>
              <w:t>广东省人民政府</w:t>
            </w:r>
          </w:p>
        </w:tc>
      </w:tr>
      <w:tr w14:paraId="0482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78514571">
            <w:pPr>
              <w:pStyle w:val="5"/>
              <w:spacing w:before="190" w:beforeLines="50" w:after="190" w:afterLines="50" w:line="240" w:lineRule="auto"/>
              <w:ind w:left="0" w:firstLine="0" w:firstLineChars="0"/>
              <w:jc w:val="both"/>
              <w:rPr>
                <w:kern w:val="2"/>
                <w:highlight w:val="yellow"/>
                <w:lang w:eastAsia="zh-CN"/>
              </w:rPr>
            </w:pPr>
            <w:r>
              <w:rPr>
                <w:rFonts w:hint="eastAsia"/>
                <w:kern w:val="2"/>
                <w:lang w:eastAsia="zh-CN"/>
              </w:rPr>
              <w:t>贵方/财政局</w:t>
            </w:r>
          </w:p>
        </w:tc>
        <w:tc>
          <w:tcPr>
            <w:tcW w:w="646" w:type="dxa"/>
            <w:vAlign w:val="center"/>
          </w:tcPr>
          <w:p w14:paraId="5A3455D4">
            <w:pPr>
              <w:pStyle w:val="5"/>
              <w:spacing w:before="190" w:beforeLines="50" w:after="190" w:afterLines="50" w:line="240" w:lineRule="auto"/>
              <w:ind w:left="0" w:firstLine="0" w:firstLineChars="0"/>
              <w:jc w:val="center"/>
              <w:rPr>
                <w:kern w:val="2"/>
                <w:lang w:eastAsia="zh-CN"/>
              </w:rPr>
            </w:pPr>
            <w:r>
              <w:rPr>
                <w:rFonts w:hint="eastAsia"/>
                <w:kern w:val="2"/>
                <w:lang w:eastAsia="zh-CN"/>
              </w:rPr>
              <w:t>指</w:t>
            </w:r>
          </w:p>
        </w:tc>
        <w:tc>
          <w:tcPr>
            <w:tcW w:w="4826" w:type="dxa"/>
            <w:vAlign w:val="center"/>
          </w:tcPr>
          <w:p w14:paraId="7CA110A5">
            <w:pPr>
              <w:pStyle w:val="5"/>
              <w:spacing w:before="190" w:beforeLines="50" w:after="190" w:afterLines="50" w:line="240" w:lineRule="auto"/>
              <w:ind w:left="0" w:firstLine="0" w:firstLineChars="0"/>
              <w:jc w:val="both"/>
              <w:rPr>
                <w:kern w:val="2"/>
                <w:highlight w:val="yellow"/>
                <w:lang w:eastAsia="zh-CN"/>
              </w:rPr>
            </w:pPr>
            <w:r>
              <w:rPr>
                <w:rFonts w:hint="eastAsia"/>
                <w:lang w:eastAsia="zh-CN"/>
              </w:rPr>
              <w:t>广州市财政局</w:t>
            </w:r>
          </w:p>
        </w:tc>
      </w:tr>
      <w:tr w14:paraId="6413E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7D62A520">
            <w:pPr>
              <w:pStyle w:val="5"/>
              <w:spacing w:before="190" w:beforeLines="50" w:after="190" w:afterLines="50" w:line="240" w:lineRule="auto"/>
              <w:ind w:left="0" w:firstLine="0" w:firstLineChars="0"/>
              <w:jc w:val="both"/>
              <w:rPr>
                <w:kern w:val="2"/>
                <w:lang w:eastAsia="zh-CN"/>
              </w:rPr>
            </w:pPr>
            <w:r>
              <w:rPr>
                <w:rFonts w:hint="eastAsia"/>
                <w:kern w:val="2"/>
                <w:lang w:val="en-US" w:eastAsia="zh-CN"/>
              </w:rPr>
              <w:t>新雅街道办</w:t>
            </w:r>
            <w:r>
              <w:rPr>
                <w:rFonts w:hint="eastAsia"/>
                <w:kern w:val="2"/>
                <w:lang w:eastAsia="zh-CN"/>
              </w:rPr>
              <w:t>/实施主体</w:t>
            </w:r>
          </w:p>
        </w:tc>
        <w:tc>
          <w:tcPr>
            <w:tcW w:w="646" w:type="dxa"/>
            <w:vAlign w:val="center"/>
          </w:tcPr>
          <w:p w14:paraId="2EF98EB9">
            <w:pPr>
              <w:pStyle w:val="5"/>
              <w:spacing w:before="190" w:beforeLines="50" w:after="190" w:afterLines="50" w:line="240" w:lineRule="auto"/>
              <w:ind w:left="0" w:firstLine="0" w:firstLineChars="0"/>
              <w:jc w:val="center"/>
              <w:rPr>
                <w:kern w:val="2"/>
                <w:lang w:eastAsia="zh-CN"/>
              </w:rPr>
            </w:pPr>
            <w:r>
              <w:rPr>
                <w:kern w:val="2"/>
                <w:lang w:eastAsia="zh-CN"/>
              </w:rPr>
              <w:t>指</w:t>
            </w:r>
          </w:p>
        </w:tc>
        <w:tc>
          <w:tcPr>
            <w:tcW w:w="4826" w:type="dxa"/>
            <w:vAlign w:val="center"/>
          </w:tcPr>
          <w:p w14:paraId="46F01C5D">
            <w:pPr>
              <w:pStyle w:val="5"/>
              <w:spacing w:before="190" w:beforeLines="50" w:after="190" w:afterLines="50" w:line="240" w:lineRule="auto"/>
              <w:ind w:left="0" w:firstLine="0" w:firstLineChars="0"/>
              <w:jc w:val="both"/>
              <w:rPr>
                <w:rFonts w:hint="default"/>
                <w:kern w:val="2"/>
                <w:lang w:val="en-US" w:eastAsia="zh-CN"/>
              </w:rPr>
            </w:pPr>
            <w:r>
              <w:rPr>
                <w:rFonts w:hint="eastAsia"/>
                <w:kern w:val="2"/>
                <w:lang w:eastAsia="zh-CN"/>
              </w:rPr>
              <w:t>广州市花都区</w:t>
            </w:r>
            <w:r>
              <w:rPr>
                <w:rFonts w:hint="eastAsia"/>
                <w:kern w:val="2"/>
                <w:lang w:val="en-US" w:eastAsia="zh-CN"/>
              </w:rPr>
              <w:t>人民政府新雅街道办事处</w:t>
            </w:r>
          </w:p>
        </w:tc>
      </w:tr>
      <w:tr w14:paraId="52B96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2864" w:type="dxa"/>
            <w:vAlign w:val="center"/>
          </w:tcPr>
          <w:p w14:paraId="70DF2276">
            <w:pPr>
              <w:pStyle w:val="5"/>
              <w:spacing w:before="190" w:beforeLines="50" w:after="190" w:afterLines="50" w:line="240" w:lineRule="auto"/>
              <w:ind w:left="0" w:firstLine="0" w:firstLineChars="0"/>
              <w:jc w:val="both"/>
              <w:rPr>
                <w:kern w:val="2"/>
                <w:lang w:eastAsia="zh-CN"/>
              </w:rPr>
            </w:pPr>
            <w:r>
              <w:rPr>
                <w:rFonts w:hint="eastAsia"/>
                <w:kern w:val="2"/>
                <w:lang w:eastAsia="zh-CN"/>
              </w:rPr>
              <w:t>募投项目/本项目</w:t>
            </w:r>
          </w:p>
        </w:tc>
        <w:tc>
          <w:tcPr>
            <w:tcW w:w="646" w:type="dxa"/>
            <w:vAlign w:val="center"/>
          </w:tcPr>
          <w:p w14:paraId="0B793407">
            <w:pPr>
              <w:pStyle w:val="5"/>
              <w:spacing w:before="190" w:beforeLines="50" w:after="190" w:afterLines="50" w:line="240" w:lineRule="auto"/>
              <w:ind w:left="0" w:firstLine="0" w:firstLineChars="0"/>
              <w:jc w:val="center"/>
              <w:rPr>
                <w:kern w:val="2"/>
                <w:lang w:eastAsia="zh-CN"/>
              </w:rPr>
            </w:pPr>
            <w:r>
              <w:rPr>
                <w:rFonts w:hint="eastAsia"/>
                <w:kern w:val="2"/>
                <w:lang w:eastAsia="zh-CN"/>
              </w:rPr>
              <w:t>指</w:t>
            </w:r>
          </w:p>
        </w:tc>
        <w:tc>
          <w:tcPr>
            <w:tcW w:w="4826" w:type="dxa"/>
            <w:vAlign w:val="center"/>
          </w:tcPr>
          <w:p w14:paraId="19604609">
            <w:pPr>
              <w:pStyle w:val="5"/>
              <w:spacing w:before="190" w:beforeLines="50" w:after="190" w:afterLines="50" w:line="240" w:lineRule="auto"/>
              <w:ind w:left="0" w:firstLine="0" w:firstLineChars="0"/>
              <w:jc w:val="both"/>
              <w:rPr>
                <w:rFonts w:hint="default"/>
                <w:kern w:val="2"/>
                <w:lang w:val="en-US" w:eastAsia="zh-CN"/>
              </w:rPr>
            </w:pPr>
            <w:r>
              <w:rPr>
                <w:rFonts w:hint="eastAsia"/>
                <w:kern w:val="2"/>
                <w:lang w:eastAsia="zh-CN"/>
              </w:rPr>
              <w:t>花都区智能装备科创产业园</w:t>
            </w:r>
            <w:r>
              <w:rPr>
                <w:rFonts w:hint="eastAsia"/>
                <w:kern w:val="2"/>
                <w:lang w:val="en-US" w:eastAsia="zh-CN"/>
              </w:rPr>
              <w:t>配套</w:t>
            </w:r>
            <w:r>
              <w:rPr>
                <w:rFonts w:hint="eastAsia"/>
                <w:kern w:val="2"/>
                <w:lang w:eastAsia="zh-CN"/>
              </w:rPr>
              <w:t>基础设施建设项目</w:t>
            </w:r>
          </w:p>
        </w:tc>
      </w:tr>
      <w:tr w14:paraId="7D89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2864" w:type="dxa"/>
            <w:vAlign w:val="center"/>
          </w:tcPr>
          <w:p w14:paraId="44AFA7B8">
            <w:pPr>
              <w:pStyle w:val="5"/>
              <w:spacing w:before="190" w:beforeLines="50" w:after="190" w:afterLines="50" w:line="240" w:lineRule="auto"/>
              <w:ind w:left="0" w:firstLine="0" w:firstLineChars="0"/>
              <w:jc w:val="both"/>
              <w:rPr>
                <w:kern w:val="2"/>
                <w:lang w:eastAsia="zh-CN"/>
              </w:rPr>
            </w:pPr>
            <w:r>
              <w:rPr>
                <w:rFonts w:hint="eastAsia"/>
                <w:kern w:val="2"/>
                <w:lang w:eastAsia="zh-CN"/>
              </w:rPr>
              <w:t>《实施方案》</w:t>
            </w:r>
          </w:p>
        </w:tc>
        <w:tc>
          <w:tcPr>
            <w:tcW w:w="646" w:type="dxa"/>
            <w:vAlign w:val="center"/>
          </w:tcPr>
          <w:p w14:paraId="4C1261D1">
            <w:pPr>
              <w:pStyle w:val="5"/>
              <w:spacing w:before="190" w:beforeLines="50" w:after="190" w:afterLines="50" w:line="240" w:lineRule="auto"/>
              <w:ind w:left="0" w:firstLine="0" w:firstLineChars="0"/>
              <w:jc w:val="center"/>
              <w:rPr>
                <w:kern w:val="2"/>
                <w:lang w:eastAsia="zh-CN"/>
              </w:rPr>
            </w:pPr>
            <w:r>
              <w:rPr>
                <w:rFonts w:hint="eastAsia"/>
                <w:kern w:val="2"/>
                <w:lang w:eastAsia="zh-CN"/>
              </w:rPr>
              <w:t>指</w:t>
            </w:r>
          </w:p>
        </w:tc>
        <w:tc>
          <w:tcPr>
            <w:tcW w:w="4826" w:type="dxa"/>
            <w:vAlign w:val="center"/>
          </w:tcPr>
          <w:p w14:paraId="253B6631">
            <w:pPr>
              <w:pStyle w:val="5"/>
              <w:spacing w:before="190" w:beforeLines="50" w:after="190" w:afterLines="50" w:line="240" w:lineRule="auto"/>
              <w:ind w:left="0" w:firstLine="0" w:firstLineChars="0"/>
              <w:jc w:val="both"/>
              <w:rPr>
                <w:kern w:val="2"/>
                <w:highlight w:val="yellow"/>
                <w:lang w:eastAsia="zh-CN"/>
              </w:rPr>
            </w:pPr>
            <w:r>
              <w:rPr>
                <w:rFonts w:hint="eastAsia"/>
                <w:kern w:val="2"/>
                <w:lang w:eastAsia="zh-CN"/>
              </w:rPr>
              <w:t>《花都区智能装备科创产业园</w:t>
            </w:r>
            <w:r>
              <w:rPr>
                <w:rFonts w:hint="eastAsia"/>
                <w:kern w:val="2"/>
                <w:lang w:val="en-US" w:eastAsia="zh-CN"/>
              </w:rPr>
              <w:t>配套</w:t>
            </w:r>
            <w:r>
              <w:rPr>
                <w:rFonts w:hint="eastAsia"/>
                <w:kern w:val="2"/>
                <w:lang w:eastAsia="zh-CN"/>
              </w:rPr>
              <w:t>基础设施建设项目实施方案》</w:t>
            </w:r>
          </w:p>
        </w:tc>
      </w:tr>
      <w:tr w14:paraId="57602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trPr>
        <w:tc>
          <w:tcPr>
            <w:tcW w:w="2864" w:type="dxa"/>
            <w:vAlign w:val="center"/>
          </w:tcPr>
          <w:p w14:paraId="6250EC8A">
            <w:pPr>
              <w:pStyle w:val="5"/>
              <w:spacing w:before="190" w:beforeLines="50" w:after="190" w:afterLines="50" w:line="240" w:lineRule="auto"/>
              <w:ind w:left="0" w:firstLine="0" w:firstLineChars="0"/>
              <w:jc w:val="both"/>
              <w:rPr>
                <w:kern w:val="2"/>
                <w:lang w:eastAsia="zh-CN"/>
              </w:rPr>
            </w:pPr>
            <w:r>
              <w:rPr>
                <w:rFonts w:hint="eastAsia"/>
                <w:kern w:val="2"/>
                <w:lang w:eastAsia="zh-CN"/>
              </w:rPr>
              <w:t>《评价报告》</w:t>
            </w:r>
          </w:p>
        </w:tc>
        <w:tc>
          <w:tcPr>
            <w:tcW w:w="646" w:type="dxa"/>
            <w:vAlign w:val="center"/>
          </w:tcPr>
          <w:p w14:paraId="39FDC8BB">
            <w:pPr>
              <w:pStyle w:val="5"/>
              <w:spacing w:before="190" w:beforeLines="50" w:after="190" w:afterLines="50" w:line="240" w:lineRule="auto"/>
              <w:ind w:left="0" w:firstLine="0" w:firstLineChars="0"/>
              <w:jc w:val="center"/>
              <w:rPr>
                <w:kern w:val="2"/>
                <w:lang w:eastAsia="zh-CN"/>
              </w:rPr>
            </w:pPr>
            <w:r>
              <w:rPr>
                <w:rFonts w:hint="eastAsia"/>
                <w:kern w:val="2"/>
                <w:lang w:eastAsia="zh-CN"/>
              </w:rPr>
              <w:t>指</w:t>
            </w:r>
          </w:p>
        </w:tc>
        <w:tc>
          <w:tcPr>
            <w:tcW w:w="4826" w:type="dxa"/>
            <w:vAlign w:val="center"/>
          </w:tcPr>
          <w:p w14:paraId="6A89D824">
            <w:pPr>
              <w:pStyle w:val="5"/>
              <w:spacing w:before="190" w:beforeLines="50" w:after="190" w:afterLines="50" w:line="240" w:lineRule="auto"/>
              <w:ind w:left="0" w:firstLine="0" w:firstLineChars="0"/>
              <w:jc w:val="both"/>
              <w:rPr>
                <w:kern w:val="2"/>
                <w:lang w:eastAsia="zh-CN"/>
              </w:rPr>
            </w:pPr>
            <w:r>
              <w:rPr>
                <w:rFonts w:hint="eastAsia"/>
                <w:kern w:val="2"/>
                <w:lang w:eastAsia="zh-CN"/>
              </w:rPr>
              <w:t>广州市光领有限责任会计师事务所出具的《“花都区智能装备科创产业园</w:t>
            </w:r>
            <w:r>
              <w:rPr>
                <w:rFonts w:hint="eastAsia"/>
                <w:kern w:val="2"/>
                <w:lang w:val="en-US" w:eastAsia="zh-CN"/>
              </w:rPr>
              <w:t>配套</w:t>
            </w:r>
            <w:r>
              <w:rPr>
                <w:rFonts w:hint="eastAsia"/>
                <w:kern w:val="2"/>
                <w:lang w:eastAsia="zh-CN"/>
              </w:rPr>
              <w:t>基础设施建设项目”项目收益与融资自求平衡专项评价报告》</w:t>
            </w:r>
          </w:p>
        </w:tc>
      </w:tr>
      <w:tr w14:paraId="38FEE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12A3EDF4">
            <w:pPr>
              <w:pStyle w:val="5"/>
              <w:spacing w:before="190" w:beforeLines="50" w:after="190" w:afterLines="50" w:line="240" w:lineRule="auto"/>
              <w:ind w:left="0" w:firstLine="0" w:firstLineChars="0"/>
              <w:jc w:val="both"/>
              <w:rPr>
                <w:kern w:val="2"/>
                <w:highlight w:val="red"/>
                <w:lang w:eastAsia="zh-CN"/>
              </w:rPr>
            </w:pPr>
            <w:r>
              <w:rPr>
                <w:rFonts w:hint="eastAsia"/>
                <w:kern w:val="2"/>
                <w:lang w:eastAsia="zh-CN"/>
              </w:rPr>
              <w:t>《可行性研究报告》</w:t>
            </w:r>
          </w:p>
        </w:tc>
        <w:tc>
          <w:tcPr>
            <w:tcW w:w="646" w:type="dxa"/>
            <w:vAlign w:val="center"/>
          </w:tcPr>
          <w:p w14:paraId="3D78458A">
            <w:pPr>
              <w:pStyle w:val="5"/>
              <w:spacing w:before="190" w:beforeLines="50" w:after="190" w:afterLines="50" w:line="240" w:lineRule="auto"/>
              <w:ind w:left="0" w:firstLine="0" w:firstLineChars="0"/>
              <w:jc w:val="center"/>
              <w:rPr>
                <w:kern w:val="2"/>
                <w:highlight w:val="red"/>
                <w:lang w:eastAsia="zh-CN"/>
              </w:rPr>
            </w:pPr>
            <w:r>
              <w:rPr>
                <w:rFonts w:hint="eastAsia"/>
                <w:kern w:val="2"/>
                <w:lang w:eastAsia="zh-CN"/>
              </w:rPr>
              <w:t>指</w:t>
            </w:r>
          </w:p>
        </w:tc>
        <w:tc>
          <w:tcPr>
            <w:tcW w:w="4826" w:type="dxa"/>
            <w:vAlign w:val="center"/>
          </w:tcPr>
          <w:p w14:paraId="4A02DCA0">
            <w:pPr>
              <w:pStyle w:val="5"/>
              <w:spacing w:before="190" w:beforeLines="50" w:after="190" w:afterLines="50" w:line="240" w:lineRule="auto"/>
              <w:ind w:left="0" w:firstLine="0" w:firstLineChars="0"/>
              <w:jc w:val="both"/>
              <w:rPr>
                <w:kern w:val="2"/>
                <w:highlight w:val="red"/>
                <w:lang w:eastAsia="zh-CN"/>
              </w:rPr>
            </w:pPr>
            <w:r>
              <w:rPr>
                <w:rFonts w:hint="eastAsia"/>
                <w:kern w:val="2"/>
                <w:lang w:eastAsia="zh-CN"/>
              </w:rPr>
              <w:t>《花都区智能装备科创产业园</w:t>
            </w:r>
            <w:r>
              <w:rPr>
                <w:rFonts w:hint="eastAsia"/>
                <w:kern w:val="2"/>
                <w:lang w:val="en-US" w:eastAsia="zh-CN"/>
              </w:rPr>
              <w:t>配套</w:t>
            </w:r>
            <w:r>
              <w:rPr>
                <w:rFonts w:hint="eastAsia"/>
                <w:kern w:val="2"/>
                <w:lang w:eastAsia="zh-CN"/>
              </w:rPr>
              <w:t>基础设施建设项目可行性研究报告》</w:t>
            </w:r>
          </w:p>
        </w:tc>
      </w:tr>
      <w:tr w14:paraId="5B4B3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0A621AE2">
            <w:pPr>
              <w:pStyle w:val="5"/>
              <w:spacing w:before="190" w:beforeLines="50" w:after="190" w:afterLines="50" w:line="240" w:lineRule="auto"/>
              <w:ind w:left="0" w:firstLine="0" w:firstLineChars="0"/>
              <w:jc w:val="both"/>
              <w:rPr>
                <w:kern w:val="2"/>
                <w:highlight w:val="red"/>
                <w:lang w:eastAsia="zh-CN"/>
              </w:rPr>
            </w:pPr>
            <w:r>
              <w:rPr>
                <w:rFonts w:hint="eastAsia"/>
                <w:kern w:val="2"/>
                <w:lang w:eastAsia="zh-CN"/>
              </w:rPr>
              <w:t>《</w:t>
            </w:r>
            <w:r>
              <w:rPr>
                <w:rFonts w:hint="eastAsia" w:ascii="Times New Roman" w:hAnsi="Times New Roman"/>
                <w:lang w:eastAsia="zh-CN"/>
              </w:rPr>
              <w:t>可行性研究报告的</w:t>
            </w:r>
            <w:r>
              <w:rPr>
                <w:rFonts w:hint="eastAsia" w:ascii="Times New Roman" w:hAnsi="Times New Roman"/>
                <w:lang w:val="en-US" w:eastAsia="zh-CN"/>
              </w:rPr>
              <w:t>复函</w:t>
            </w:r>
            <w:r>
              <w:rPr>
                <w:rFonts w:hint="eastAsia"/>
                <w:kern w:val="2"/>
                <w:lang w:eastAsia="zh-CN"/>
              </w:rPr>
              <w:t>》</w:t>
            </w:r>
          </w:p>
        </w:tc>
        <w:tc>
          <w:tcPr>
            <w:tcW w:w="646" w:type="dxa"/>
            <w:vAlign w:val="center"/>
          </w:tcPr>
          <w:p w14:paraId="4A7F919F">
            <w:pPr>
              <w:pStyle w:val="5"/>
              <w:spacing w:before="190" w:beforeLines="50" w:after="190" w:afterLines="50" w:line="240" w:lineRule="auto"/>
              <w:ind w:left="0" w:firstLine="0" w:firstLineChars="0"/>
              <w:jc w:val="center"/>
              <w:rPr>
                <w:kern w:val="2"/>
                <w:highlight w:val="red"/>
                <w:lang w:eastAsia="zh-CN"/>
              </w:rPr>
            </w:pPr>
            <w:r>
              <w:rPr>
                <w:rFonts w:hint="eastAsia"/>
                <w:kern w:val="2"/>
                <w:lang w:eastAsia="zh-CN"/>
              </w:rPr>
              <w:t>指</w:t>
            </w:r>
          </w:p>
        </w:tc>
        <w:tc>
          <w:tcPr>
            <w:tcW w:w="4826" w:type="dxa"/>
            <w:vAlign w:val="center"/>
          </w:tcPr>
          <w:p w14:paraId="698E9144">
            <w:pPr>
              <w:pStyle w:val="5"/>
              <w:spacing w:before="190" w:beforeLines="50" w:after="190" w:afterLines="50" w:line="240" w:lineRule="auto"/>
              <w:ind w:left="0" w:firstLine="0" w:firstLineChars="0"/>
              <w:jc w:val="both"/>
              <w:rPr>
                <w:kern w:val="2"/>
                <w:highlight w:val="red"/>
                <w:lang w:eastAsia="zh-CN"/>
              </w:rPr>
            </w:pPr>
            <w:r>
              <w:rPr>
                <w:rFonts w:hint="eastAsia" w:ascii="Times New Roman" w:hAnsi="Times New Roman"/>
                <w:lang w:eastAsia="zh-CN"/>
              </w:rPr>
              <w:t>《广州市花都区发展和改革局关于</w:t>
            </w:r>
            <w:r>
              <w:rPr>
                <w:rFonts w:hint="eastAsia"/>
                <w:kern w:val="2"/>
                <w:lang w:eastAsia="zh-CN"/>
              </w:rPr>
              <w:t>花都区智能装备科创产业园</w:t>
            </w:r>
            <w:r>
              <w:rPr>
                <w:rFonts w:hint="eastAsia"/>
                <w:kern w:val="2"/>
                <w:lang w:val="en-US" w:eastAsia="zh-CN"/>
              </w:rPr>
              <w:t>配套</w:t>
            </w:r>
            <w:r>
              <w:rPr>
                <w:rFonts w:hint="eastAsia"/>
                <w:kern w:val="2"/>
                <w:lang w:eastAsia="zh-CN"/>
              </w:rPr>
              <w:t>基础设施建设项目</w:t>
            </w:r>
            <w:r>
              <w:rPr>
                <w:rFonts w:hint="eastAsia" w:ascii="Times New Roman" w:hAnsi="Times New Roman"/>
                <w:lang w:eastAsia="zh-CN"/>
              </w:rPr>
              <w:t>可行性研究报告的</w:t>
            </w:r>
            <w:r>
              <w:rPr>
                <w:rFonts w:hint="eastAsia" w:ascii="Times New Roman" w:hAnsi="Times New Roman"/>
                <w:lang w:val="en-US" w:eastAsia="zh-CN"/>
              </w:rPr>
              <w:t>复函</w:t>
            </w:r>
            <w:r>
              <w:rPr>
                <w:rFonts w:hint="eastAsia" w:ascii="Times New Roman" w:hAnsi="Times New Roman"/>
                <w:lang w:eastAsia="zh-CN"/>
              </w:rPr>
              <w:t>》（</w:t>
            </w:r>
            <w:r>
              <w:rPr>
                <w:rFonts w:hint="eastAsia" w:ascii="Times New Roman" w:hAnsi="Times New Roman"/>
                <w:lang w:val="en-US" w:eastAsia="zh-CN"/>
              </w:rPr>
              <w:t>花发改函</w:t>
            </w:r>
            <w:r>
              <w:rPr>
                <w:rFonts w:hint="eastAsia" w:ascii="Times New Roman" w:hAnsi="Times New Roman"/>
                <w:lang w:eastAsia="zh-CN"/>
              </w:rPr>
              <w:t>〔202</w:t>
            </w:r>
            <w:r>
              <w:rPr>
                <w:rFonts w:hint="eastAsia" w:ascii="Times New Roman" w:hAnsi="Times New Roman"/>
                <w:lang w:val="en-US" w:eastAsia="zh-CN"/>
              </w:rPr>
              <w:t>3</w:t>
            </w:r>
            <w:r>
              <w:rPr>
                <w:rFonts w:hint="eastAsia" w:ascii="Times New Roman" w:hAnsi="Times New Roman"/>
                <w:lang w:eastAsia="zh-CN"/>
              </w:rPr>
              <w:t>〕</w:t>
            </w:r>
            <w:r>
              <w:rPr>
                <w:rFonts w:hint="eastAsia" w:ascii="Times New Roman" w:hAnsi="Times New Roman"/>
                <w:lang w:val="en-US" w:eastAsia="zh-CN"/>
              </w:rPr>
              <w:t>39</w:t>
            </w:r>
            <w:r>
              <w:rPr>
                <w:rFonts w:hint="eastAsia" w:ascii="Times New Roman" w:hAnsi="Times New Roman"/>
                <w:lang w:eastAsia="zh-CN"/>
              </w:rPr>
              <w:t>号）</w:t>
            </w:r>
          </w:p>
        </w:tc>
      </w:tr>
      <w:tr w14:paraId="12E72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2864" w:type="dxa"/>
            <w:vAlign w:val="center"/>
          </w:tcPr>
          <w:p w14:paraId="320D0C09">
            <w:pPr>
              <w:pStyle w:val="5"/>
              <w:spacing w:before="190" w:beforeLines="50" w:after="190" w:afterLines="50" w:line="240" w:lineRule="auto"/>
              <w:ind w:left="0" w:firstLine="0" w:firstLineChars="0"/>
              <w:jc w:val="both"/>
              <w:rPr>
                <w:kern w:val="2"/>
                <w:lang w:eastAsia="zh-CN"/>
              </w:rPr>
            </w:pPr>
            <w:r>
              <w:rPr>
                <w:kern w:val="2"/>
                <w:lang w:eastAsia="zh-CN"/>
              </w:rPr>
              <w:t>本所及/或本所律师</w:t>
            </w:r>
          </w:p>
        </w:tc>
        <w:tc>
          <w:tcPr>
            <w:tcW w:w="646" w:type="dxa"/>
            <w:vAlign w:val="center"/>
          </w:tcPr>
          <w:p w14:paraId="33DFC1AA">
            <w:pPr>
              <w:pStyle w:val="5"/>
              <w:spacing w:before="190" w:beforeLines="50" w:after="190" w:afterLines="50" w:line="240" w:lineRule="auto"/>
              <w:ind w:left="0" w:firstLine="0" w:firstLineChars="0"/>
              <w:jc w:val="center"/>
              <w:rPr>
                <w:kern w:val="2"/>
                <w:lang w:eastAsia="zh-CN"/>
              </w:rPr>
            </w:pPr>
            <w:r>
              <w:rPr>
                <w:kern w:val="2"/>
                <w:lang w:eastAsia="zh-CN"/>
              </w:rPr>
              <w:t>指</w:t>
            </w:r>
          </w:p>
        </w:tc>
        <w:tc>
          <w:tcPr>
            <w:tcW w:w="4826" w:type="dxa"/>
            <w:vAlign w:val="center"/>
          </w:tcPr>
          <w:p w14:paraId="26512167">
            <w:pPr>
              <w:pStyle w:val="5"/>
              <w:spacing w:before="190" w:beforeLines="50" w:after="190" w:afterLines="50" w:line="240" w:lineRule="auto"/>
              <w:ind w:left="0" w:firstLine="0" w:firstLineChars="0"/>
              <w:jc w:val="both"/>
              <w:rPr>
                <w:kern w:val="2"/>
                <w:lang w:eastAsia="zh-CN"/>
              </w:rPr>
            </w:pPr>
            <w:r>
              <w:rPr>
                <w:kern w:val="2"/>
                <w:lang w:eastAsia="zh-CN"/>
              </w:rPr>
              <w:t>北京大成（广州）律师事务所及/或其经办律师</w:t>
            </w:r>
          </w:p>
        </w:tc>
      </w:tr>
      <w:tr w14:paraId="5206C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369779E4">
            <w:pPr>
              <w:pStyle w:val="5"/>
              <w:spacing w:before="190" w:beforeLines="50" w:after="190" w:afterLines="50" w:line="240" w:lineRule="auto"/>
              <w:ind w:left="0" w:firstLine="0" w:firstLineChars="0"/>
              <w:jc w:val="both"/>
              <w:rPr>
                <w:kern w:val="2"/>
                <w:lang w:eastAsia="zh-CN"/>
              </w:rPr>
            </w:pPr>
            <w:r>
              <w:rPr>
                <w:rFonts w:hint="eastAsia"/>
                <w:kern w:val="2"/>
                <w:lang w:eastAsia="zh-CN"/>
              </w:rPr>
              <w:t>光领会计所</w:t>
            </w:r>
          </w:p>
        </w:tc>
        <w:tc>
          <w:tcPr>
            <w:tcW w:w="646" w:type="dxa"/>
            <w:vAlign w:val="center"/>
          </w:tcPr>
          <w:p w14:paraId="0AB45983">
            <w:pPr>
              <w:pStyle w:val="5"/>
              <w:spacing w:before="190" w:beforeLines="50" w:after="190" w:afterLines="50" w:line="240" w:lineRule="auto"/>
              <w:ind w:left="0" w:firstLine="0" w:firstLineChars="0"/>
              <w:jc w:val="center"/>
              <w:rPr>
                <w:kern w:val="2"/>
                <w:lang w:eastAsia="zh-CN"/>
              </w:rPr>
            </w:pPr>
            <w:r>
              <w:rPr>
                <w:rFonts w:hint="eastAsia"/>
                <w:kern w:val="2"/>
                <w:lang w:eastAsia="zh-CN"/>
              </w:rPr>
              <w:t>指</w:t>
            </w:r>
          </w:p>
        </w:tc>
        <w:tc>
          <w:tcPr>
            <w:tcW w:w="4826" w:type="dxa"/>
            <w:vAlign w:val="center"/>
          </w:tcPr>
          <w:p w14:paraId="6B339D2D">
            <w:pPr>
              <w:pStyle w:val="5"/>
              <w:spacing w:before="190" w:beforeLines="50" w:after="190" w:afterLines="50" w:line="240" w:lineRule="auto"/>
              <w:ind w:left="0" w:firstLine="0" w:firstLineChars="0"/>
              <w:jc w:val="both"/>
              <w:rPr>
                <w:kern w:val="2"/>
                <w:lang w:eastAsia="zh-CN"/>
              </w:rPr>
            </w:pPr>
            <w:r>
              <w:rPr>
                <w:rFonts w:hint="eastAsia"/>
                <w:kern w:val="2"/>
                <w:lang w:eastAsia="zh-CN"/>
              </w:rPr>
              <w:t>广州市光领有限责任会计师事务所</w:t>
            </w:r>
          </w:p>
        </w:tc>
      </w:tr>
      <w:tr w14:paraId="5E9D3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683226C3">
            <w:pPr>
              <w:pStyle w:val="5"/>
              <w:spacing w:before="190" w:beforeLines="50" w:after="190" w:afterLines="50" w:line="240" w:lineRule="auto"/>
              <w:ind w:left="0" w:firstLine="0" w:firstLineChars="0"/>
              <w:jc w:val="both"/>
              <w:rPr>
                <w:kern w:val="2"/>
                <w:lang w:eastAsia="zh-CN"/>
              </w:rPr>
            </w:pPr>
            <w:r>
              <w:rPr>
                <w:kern w:val="2"/>
                <w:lang w:eastAsia="zh-CN"/>
              </w:rPr>
              <w:t>元、万元</w:t>
            </w:r>
            <w:r>
              <w:rPr>
                <w:rFonts w:hint="eastAsia"/>
                <w:kern w:val="2"/>
                <w:lang w:eastAsia="zh-CN"/>
              </w:rPr>
              <w:t>、亿元</w:t>
            </w:r>
          </w:p>
        </w:tc>
        <w:tc>
          <w:tcPr>
            <w:tcW w:w="646" w:type="dxa"/>
            <w:vAlign w:val="center"/>
          </w:tcPr>
          <w:p w14:paraId="6A1C1ED7">
            <w:pPr>
              <w:pStyle w:val="5"/>
              <w:spacing w:before="190" w:beforeLines="50" w:after="190" w:afterLines="50" w:line="240" w:lineRule="auto"/>
              <w:ind w:left="0" w:firstLine="0" w:firstLineChars="0"/>
              <w:jc w:val="center"/>
              <w:rPr>
                <w:kern w:val="2"/>
                <w:lang w:eastAsia="zh-CN"/>
              </w:rPr>
            </w:pPr>
            <w:r>
              <w:rPr>
                <w:kern w:val="2"/>
                <w:lang w:eastAsia="zh-CN"/>
              </w:rPr>
              <w:t>指</w:t>
            </w:r>
          </w:p>
        </w:tc>
        <w:tc>
          <w:tcPr>
            <w:tcW w:w="4826" w:type="dxa"/>
            <w:vAlign w:val="center"/>
          </w:tcPr>
          <w:p w14:paraId="2F339600">
            <w:pPr>
              <w:pStyle w:val="5"/>
              <w:spacing w:before="190" w:beforeLines="50" w:after="190" w:afterLines="50" w:line="240" w:lineRule="auto"/>
              <w:ind w:left="0" w:firstLine="0" w:firstLineChars="0"/>
              <w:jc w:val="both"/>
              <w:rPr>
                <w:kern w:val="2"/>
                <w:lang w:eastAsia="zh-CN"/>
              </w:rPr>
            </w:pPr>
            <w:r>
              <w:rPr>
                <w:kern w:val="2"/>
                <w:lang w:eastAsia="zh-CN"/>
              </w:rPr>
              <w:t>人民币元、人民币万元</w:t>
            </w:r>
            <w:r>
              <w:rPr>
                <w:rFonts w:hint="eastAsia"/>
                <w:kern w:val="2"/>
                <w:lang w:eastAsia="zh-CN"/>
              </w:rPr>
              <w:t>、</w:t>
            </w:r>
            <w:r>
              <w:rPr>
                <w:kern w:val="2"/>
                <w:lang w:eastAsia="zh-CN"/>
              </w:rPr>
              <w:t>人民币</w:t>
            </w:r>
            <w:r>
              <w:rPr>
                <w:rFonts w:hint="eastAsia"/>
                <w:kern w:val="2"/>
                <w:lang w:eastAsia="zh-CN"/>
              </w:rPr>
              <w:t>亿元</w:t>
            </w:r>
          </w:p>
        </w:tc>
      </w:tr>
    </w:tbl>
    <w:p w14:paraId="606590E4">
      <w:pPr>
        <w:widowControl/>
        <w:spacing w:line="500" w:lineRule="exact"/>
        <w:ind w:firstLine="0" w:firstLineChars="0"/>
        <w:jc w:val="left"/>
        <w:rPr>
          <w:rFonts w:ascii="宋体" w:hAnsi="宋体" w:cs="Times New Roman"/>
          <w:b/>
          <w:kern w:val="0"/>
          <w:sz w:val="30"/>
          <w:szCs w:val="30"/>
        </w:rPr>
      </w:pPr>
      <w:r>
        <w:rPr>
          <w:rFonts w:ascii="宋体" w:hAnsi="宋体" w:cs="Times New Roman"/>
          <w:b/>
          <w:kern w:val="0"/>
          <w:sz w:val="30"/>
          <w:szCs w:val="30"/>
        </w:rPr>
        <w:br w:type="page"/>
      </w:r>
    </w:p>
    <w:p w14:paraId="557FE78F">
      <w:pPr>
        <w:widowControl/>
        <w:spacing w:line="240" w:lineRule="atLeast"/>
        <w:ind w:firstLine="0" w:firstLineChars="0"/>
        <w:jc w:val="center"/>
        <w:rPr>
          <w:rFonts w:ascii="宋体" w:hAnsi="宋体" w:cs="Times New Roman"/>
          <w:b/>
          <w:kern w:val="0"/>
          <w:sz w:val="30"/>
          <w:szCs w:val="30"/>
        </w:rPr>
      </w:pPr>
      <w:r>
        <w:rPr>
          <w:rFonts w:ascii="宋体" w:hAnsi="宋体" w:cs="Times New Roman"/>
          <w:b/>
          <w:kern w:val="0"/>
          <w:sz w:val="30"/>
          <w:szCs w:val="30"/>
        </w:rPr>
        <w:t>北京大成</w:t>
      </w:r>
      <w:r>
        <w:rPr>
          <w:rFonts w:hint="eastAsia" w:ascii="宋体" w:hAnsi="宋体" w:cs="Times New Roman"/>
          <w:b/>
          <w:kern w:val="0"/>
          <w:sz w:val="30"/>
          <w:szCs w:val="30"/>
        </w:rPr>
        <w:t>（广州）</w:t>
      </w:r>
      <w:r>
        <w:rPr>
          <w:rFonts w:ascii="宋体" w:hAnsi="宋体" w:cs="Times New Roman"/>
          <w:b/>
          <w:kern w:val="0"/>
          <w:sz w:val="30"/>
          <w:szCs w:val="30"/>
        </w:rPr>
        <w:t>律师事务所</w:t>
      </w:r>
    </w:p>
    <w:p w14:paraId="02CC805C">
      <w:pPr>
        <w:widowControl/>
        <w:spacing w:line="240" w:lineRule="atLeast"/>
        <w:ind w:firstLine="0" w:firstLineChars="0"/>
        <w:jc w:val="center"/>
        <w:rPr>
          <w:rFonts w:ascii="宋体" w:hAnsi="宋体" w:cs="Times New Roman"/>
          <w:b/>
          <w:kern w:val="0"/>
          <w:sz w:val="30"/>
          <w:szCs w:val="30"/>
        </w:rPr>
      </w:pPr>
      <w:r>
        <w:rPr>
          <w:rFonts w:hint="eastAsia" w:ascii="宋体" w:hAnsi="宋体" w:cs="Times New Roman"/>
          <w:b/>
          <w:kern w:val="0"/>
          <w:sz w:val="30"/>
          <w:szCs w:val="30"/>
        </w:rPr>
        <w:t>关于</w:t>
      </w:r>
      <w:r>
        <w:rPr>
          <w:rFonts w:hint="eastAsia" w:ascii="宋体" w:hAnsi="宋体" w:cs="Times New Roman"/>
          <w:b/>
          <w:kern w:val="0"/>
          <w:sz w:val="30"/>
          <w:szCs w:val="30"/>
          <w:lang w:eastAsia="zh-CN"/>
        </w:rPr>
        <w:t>花都区智能装备科创产业园</w:t>
      </w:r>
      <w:r>
        <w:rPr>
          <w:rFonts w:hint="eastAsia" w:ascii="宋体" w:hAnsi="宋体" w:cs="Times New Roman"/>
          <w:b/>
          <w:kern w:val="0"/>
          <w:sz w:val="30"/>
          <w:szCs w:val="30"/>
          <w:lang w:val="en-US" w:eastAsia="zh-CN"/>
        </w:rPr>
        <w:t>配套</w:t>
      </w:r>
      <w:r>
        <w:rPr>
          <w:rFonts w:hint="eastAsia" w:ascii="宋体" w:hAnsi="宋体" w:cs="Times New Roman"/>
          <w:b/>
          <w:kern w:val="0"/>
          <w:sz w:val="30"/>
          <w:szCs w:val="30"/>
          <w:lang w:eastAsia="zh-CN"/>
        </w:rPr>
        <w:t>基础设施建设项目</w:t>
      </w:r>
      <w:r>
        <w:rPr>
          <w:rFonts w:hint="eastAsia" w:ascii="宋体" w:hAnsi="宋体" w:cs="Times New Roman"/>
          <w:b/>
          <w:kern w:val="0"/>
          <w:sz w:val="30"/>
          <w:szCs w:val="30"/>
        </w:rPr>
        <w:t>之</w:t>
      </w:r>
    </w:p>
    <w:p w14:paraId="6929059E">
      <w:pPr>
        <w:widowControl/>
        <w:spacing w:line="240" w:lineRule="atLeast"/>
        <w:ind w:firstLine="0" w:firstLineChars="0"/>
        <w:jc w:val="center"/>
        <w:rPr>
          <w:rFonts w:ascii="宋体" w:hAnsi="宋体" w:cs="Times New Roman"/>
          <w:kern w:val="0"/>
          <w:szCs w:val="24"/>
        </w:rPr>
      </w:pPr>
      <w:r>
        <w:rPr>
          <w:rFonts w:hint="eastAsia" w:ascii="宋体" w:hAnsi="宋体" w:cs="Times New Roman"/>
          <w:b/>
          <w:kern w:val="0"/>
          <w:sz w:val="30"/>
          <w:szCs w:val="30"/>
        </w:rPr>
        <w:t>法律意见书</w:t>
      </w:r>
    </w:p>
    <w:p w14:paraId="29ADE2C0">
      <w:pPr>
        <w:pStyle w:val="5"/>
        <w:spacing w:before="190" w:beforeLines="50" w:after="190" w:afterLines="50" w:line="360" w:lineRule="auto"/>
        <w:ind w:left="0" w:firstLine="0" w:firstLineChars="0"/>
        <w:jc w:val="both"/>
        <w:rPr>
          <w:rFonts w:ascii="Times New Roman" w:hAnsi="Times New Roman"/>
          <w:b/>
          <w:bCs/>
          <w:highlight w:val="yellow"/>
          <w:lang w:eastAsia="zh-CN"/>
        </w:rPr>
      </w:pPr>
      <w:r>
        <w:rPr>
          <w:rFonts w:ascii="Times New Roman" w:hAnsi="Times New Roman"/>
          <w:b/>
          <w:bCs/>
          <w:lang w:eastAsia="zh-CN"/>
        </w:rPr>
        <w:t>致：</w:t>
      </w:r>
      <w:r>
        <w:rPr>
          <w:rFonts w:hint="eastAsia" w:ascii="Times New Roman" w:hAnsi="Times New Roman"/>
          <w:b/>
          <w:bCs/>
          <w:lang w:val="en-US" w:eastAsia="zh-CN"/>
        </w:rPr>
        <w:t>广州市</w:t>
      </w:r>
      <w:r>
        <w:rPr>
          <w:rFonts w:hint="eastAsia" w:ascii="Times New Roman" w:hAnsi="Times New Roman"/>
          <w:b/>
          <w:bCs/>
          <w:lang w:eastAsia="zh-CN"/>
        </w:rPr>
        <w:t>财政局</w:t>
      </w:r>
    </w:p>
    <w:p w14:paraId="1FBAFA74">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根据《中华人民共和国预算法》、《国务院关于加强地方政府性债务管理的意见》（国发〔2014〕43号）、《关于对地方政府债务实行限额管理的实施意见》（财预〔2015〕225号）、《地方政府专项债务预算管理办法》（财预〔2016〕155号）、《关于试点发展项目收益与融资自求平衡的地方政府专项债券品种的通知》（财预〔2017〕89号）、《关于做好地方政府专项债券发行工作的意见》（财库〔2018〕72号）、《财政部关于做好地方政府债券发行工作的意见》（财库〔2019〕23号）、《关于进一步做好地方政府债券发行工作的意见》（财库〔2020〕36号）、《关于印发〈地方政府债券发行管理办法〉的通知》（财库〔2020〕43号）、《关于加快地方政府专项债券发行使用有关工作的通知》（财预〔2020〕94号）、《财政部关于印发〈地方政府专项债券项目资金绩效管理办法〉的通知》（财预〔2021〕61号）等法律、法规及规范性文件的有关规定，北京大成（广州）律师事务所（以下简称“本所”）作为本项目专项债券（以下简称“本次债券发行”）专项法律顾问，按照律师行业公认的业务标准、道德规范和勤勉尽责精神，就本次债券发行事宜，出具本法律意见书。</w:t>
      </w:r>
    </w:p>
    <w:p w14:paraId="514AC946">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为出具本法律意见书，本所特作出如下声明和假设：</w:t>
      </w:r>
    </w:p>
    <w:p w14:paraId="57CA3B3F">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1.</w:t>
      </w:r>
      <w:r>
        <w:rPr>
          <w:rFonts w:hint="eastAsia" w:ascii="Times New Roman" w:hAnsi="Times New Roman"/>
          <w:szCs w:val="24"/>
        </w:rPr>
        <w:tab/>
      </w:r>
      <w:r>
        <w:rPr>
          <w:rFonts w:ascii="Times New Roman" w:hAnsi="Times New Roman"/>
          <w:szCs w:val="24"/>
        </w:rPr>
        <w:t xml:space="preserve"> </w:t>
      </w:r>
      <w:r>
        <w:rPr>
          <w:rFonts w:hint="eastAsia" w:ascii="Times New Roman" w:hAnsi="Times New Roman"/>
          <w:szCs w:val="24"/>
        </w:rPr>
        <w:t>贵方业已向本所提供了本所认为制作法律意见书所必需的原始书面材料、副本材料、复印材料、确认函或证明及口头证言，其所提供的文件和材料是真实、准确、完整和有效的，并无隐瞒记载、虚假陈述和重大遗漏之处，且文件材料为副本或复印件的，其与原件一致和相符。</w:t>
      </w:r>
    </w:p>
    <w:p w14:paraId="524CD9CC">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2.</w:t>
      </w:r>
      <w:r>
        <w:rPr>
          <w:rFonts w:hint="eastAsia" w:ascii="Times New Roman" w:hAnsi="Times New Roman"/>
          <w:szCs w:val="24"/>
        </w:rPr>
        <w:tab/>
      </w:r>
      <w:r>
        <w:rPr>
          <w:rFonts w:hint="eastAsia" w:ascii="Times New Roman" w:hAnsi="Times New Roman"/>
          <w:szCs w:val="24"/>
        </w:rPr>
        <w:t>对本法律意见书至关重要而又无法得到独立证据支持的事实，本所律师有赖于有关政府部门、贵方或者其他有关机构、人员出具的证明文件或提供的证言，或者政府部门官方网站的检索信息作为制作本法律意见书的依据。</w:t>
      </w:r>
    </w:p>
    <w:p w14:paraId="3C395A58">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3.</w:t>
      </w:r>
      <w:r>
        <w:rPr>
          <w:rFonts w:hint="eastAsia" w:ascii="Times New Roman" w:hAnsi="Times New Roman"/>
          <w:szCs w:val="24"/>
        </w:rPr>
        <w:tab/>
      </w:r>
      <w:r>
        <w:rPr>
          <w:rFonts w:hint="eastAsia" w:ascii="Times New Roman" w:hAnsi="Times New Roman"/>
          <w:szCs w:val="24"/>
        </w:rPr>
        <w:t>本所在本法律意见书中仅就与本项目有关的法律问题发表意见，且仅根据现行中国法律发表法律意见，并不依据任何中国境外法律发表法律意见，不对有关信用评级、会计、审计、资产评估、财务分析、投资决策、业务发展等法律之外的专业事项发表意见；本所在本法律意见书中对于有关报表、业务报告、财务审计和资产评估等文件中的某些数据和结论的引用，并不意味着本所对这些数据和结论的真实性和准确性做出任何明示或默示的保证，对于该等内容本所及本所律师无核查和做出判断的适当资格。</w:t>
      </w:r>
    </w:p>
    <w:p w14:paraId="097324F4">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4.</w:t>
      </w:r>
      <w:r>
        <w:rPr>
          <w:rFonts w:hint="eastAsia" w:ascii="Times New Roman" w:hAnsi="Times New Roman"/>
          <w:szCs w:val="24"/>
        </w:rPr>
        <w:tab/>
      </w:r>
      <w:r>
        <w:rPr>
          <w:rFonts w:hint="eastAsia" w:ascii="Times New Roman" w:hAnsi="Times New Roman"/>
          <w:szCs w:val="24"/>
        </w:rPr>
        <w:t>本法律意见书仅本次债券发行之目的使用，除非事先取得本所律师的书面授权，任何单位和个人均不得将本法律意见书或其任何部分用作其他任何目的。</w:t>
      </w:r>
    </w:p>
    <w:p w14:paraId="256F0704">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基于上述声明，本所律师在对贵方提供的有关文件和事实进行核查和验证的基础上，现出具法律意见书如下。</w:t>
      </w:r>
      <w:bookmarkStart w:id="18" w:name="_Toc14931"/>
      <w:bookmarkStart w:id="19" w:name="_Toc13131"/>
      <w:bookmarkStart w:id="20" w:name="_Toc5971"/>
      <w:bookmarkStart w:id="21" w:name="_Toc24077"/>
      <w:bookmarkStart w:id="22" w:name="_Toc16551"/>
    </w:p>
    <w:p w14:paraId="6BADC6EE">
      <w:pPr>
        <w:spacing w:before="190" w:beforeLines="50" w:after="190" w:afterLines="50" w:line="360" w:lineRule="auto"/>
        <w:ind w:firstLine="480"/>
        <w:rPr>
          <w:rFonts w:ascii="Times New Roman" w:hAnsi="Times New Roman"/>
          <w:szCs w:val="24"/>
        </w:rPr>
      </w:pPr>
    </w:p>
    <w:p w14:paraId="4006B223">
      <w:pPr>
        <w:widowControl/>
        <w:spacing w:line="500" w:lineRule="exact"/>
        <w:ind w:firstLine="0" w:firstLineChars="0"/>
        <w:jc w:val="left"/>
        <w:rPr>
          <w:rFonts w:ascii="Times New Roman" w:hAnsi="Times New Roman"/>
          <w:szCs w:val="24"/>
        </w:rPr>
      </w:pPr>
      <w:r>
        <w:rPr>
          <w:rFonts w:ascii="Times New Roman" w:hAnsi="Times New Roman"/>
          <w:szCs w:val="24"/>
        </w:rPr>
        <w:br w:type="page"/>
      </w:r>
    </w:p>
    <w:p w14:paraId="5C3D2B52">
      <w:pPr>
        <w:pStyle w:val="2"/>
      </w:pPr>
      <w:r>
        <w:rPr>
          <w:rFonts w:hint="eastAsia"/>
        </w:rPr>
        <w:t>一、发行主体</w:t>
      </w:r>
      <w:bookmarkEnd w:id="18"/>
      <w:bookmarkEnd w:id="19"/>
      <w:bookmarkEnd w:id="20"/>
      <w:bookmarkEnd w:id="21"/>
      <w:bookmarkEnd w:id="22"/>
    </w:p>
    <w:p w14:paraId="5D56C33C">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《中华人民共和国预算法》第三十五条规定，经国务院批准的省、自治区、直辖市的预算中必需的建设投资的部分资金，可以在国务院确定的限额内，通过发行地方政府债券举借债务的方式筹措。</w:t>
      </w:r>
    </w:p>
    <w:p w14:paraId="7741A435">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《关于对地方政府债务实行限额管理的实施意见》</w:t>
      </w:r>
      <w:r>
        <w:rPr>
          <w:rFonts w:hint="eastAsia" w:ascii="Times New Roman" w:hAnsi="Times New Roman" w:cs="Times New Roman"/>
          <w:szCs w:val="24"/>
        </w:rPr>
        <w:t>（</w:t>
      </w:r>
      <w:r>
        <w:rPr>
          <w:rFonts w:ascii="Times New Roman" w:hAnsi="Times New Roman" w:cs="Times New Roman"/>
          <w:szCs w:val="24"/>
        </w:rPr>
        <w:t>财预〔2015〕225号</w:t>
      </w:r>
      <w:r>
        <w:rPr>
          <w:rFonts w:hint="eastAsia" w:ascii="Times New Roman" w:hAnsi="Times New Roman" w:cs="Times New Roman"/>
          <w:szCs w:val="24"/>
        </w:rPr>
        <w:t>）</w:t>
      </w:r>
      <w:r>
        <w:rPr>
          <w:rFonts w:ascii="Times New Roman" w:hAnsi="Times New Roman" w:cs="Times New Roman"/>
          <w:szCs w:val="24"/>
        </w:rPr>
        <w:t>第一条第（二）款规定，市县级政府确需举借债务的，依照经批准的限额提出本地区当年政府债务举借和使用计划，列入预算调整方案，报本级人大常委会批准，报省级政府备案并由省级政府代为举借。</w:t>
      </w:r>
    </w:p>
    <w:p w14:paraId="2FDE4FA5">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《地方政府专项债务预算管理办法》（财预〔2016〕155号）第四条规定，省、自治区、直辖市政府为专项债券的发行主体。</w:t>
      </w:r>
    </w:p>
    <w:p w14:paraId="3D47CD08">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根据上述相关规定，市县级政府确需举借相关专项债务的，依法由省级政府代为分类发行专项债券、转贷市县使用。因此，本次债券发行主体为广东省人民政府。</w:t>
      </w:r>
    </w:p>
    <w:p w14:paraId="5F8E861D">
      <w:pPr>
        <w:spacing w:before="190" w:beforeLines="50" w:after="190" w:afterLines="50" w:line="360" w:lineRule="auto"/>
        <w:ind w:firstLine="480"/>
        <w:rPr>
          <w:rFonts w:ascii="Times New Roman" w:hAnsi="Times New Roman" w:cs="Times New Roman"/>
          <w:szCs w:val="24"/>
        </w:rPr>
      </w:pPr>
    </w:p>
    <w:p w14:paraId="368E2BC3">
      <w:pPr>
        <w:pStyle w:val="2"/>
      </w:pPr>
      <w:bookmarkStart w:id="23" w:name="_Toc22380"/>
      <w:bookmarkStart w:id="24" w:name="_Toc18412"/>
      <w:bookmarkStart w:id="25" w:name="_Toc6198"/>
      <w:bookmarkStart w:id="26" w:name="_Toc31037"/>
      <w:bookmarkStart w:id="27" w:name="_Toc27395"/>
      <w:bookmarkStart w:id="28" w:name="_Toc13324"/>
      <w:bookmarkStart w:id="29" w:name="_Toc14366"/>
      <w:bookmarkStart w:id="30" w:name="_Toc7923"/>
      <w:bookmarkStart w:id="31" w:name="_Toc6556"/>
      <w:r>
        <w:t>二、实施主体</w:t>
      </w:r>
      <w:bookmarkEnd w:id="23"/>
      <w:bookmarkEnd w:id="24"/>
      <w:bookmarkEnd w:id="25"/>
      <w:bookmarkEnd w:id="26"/>
      <w:bookmarkEnd w:id="27"/>
      <w:bookmarkEnd w:id="28"/>
      <w:bookmarkEnd w:id="29"/>
      <w:bookmarkEnd w:id="30"/>
      <w:bookmarkEnd w:id="31"/>
    </w:p>
    <w:p w14:paraId="01947AE9">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根据《实施方案》</w:t>
      </w:r>
      <w:r>
        <w:rPr>
          <w:rFonts w:hint="eastAsia" w:ascii="Times New Roman" w:hAnsi="Times New Roman" w:cs="Times New Roman"/>
          <w:szCs w:val="24"/>
        </w:rPr>
        <w:t>、</w:t>
      </w:r>
      <w:r>
        <w:rPr>
          <w:rFonts w:hint="eastAsia"/>
        </w:rPr>
        <w:t>《</w:t>
      </w:r>
      <w:r>
        <w:rPr>
          <w:rFonts w:hint="eastAsia" w:ascii="Times New Roman" w:hAnsi="Times New Roman" w:cs="Times New Roman"/>
          <w:szCs w:val="24"/>
        </w:rPr>
        <w:t>可行性研究报告的</w:t>
      </w:r>
      <w:r>
        <w:rPr>
          <w:rFonts w:hint="eastAsia" w:ascii="Times New Roman" w:hAnsi="Times New Roman" w:cs="Times New Roman"/>
          <w:szCs w:val="24"/>
          <w:lang w:val="en-US" w:eastAsia="zh-CN"/>
        </w:rPr>
        <w:t>复函</w:t>
      </w:r>
      <w:r>
        <w:rPr>
          <w:rFonts w:hint="eastAsia"/>
        </w:rPr>
        <w:t>》</w:t>
      </w:r>
      <w:r>
        <w:rPr>
          <w:rFonts w:ascii="Times New Roman" w:hAnsi="Times New Roman" w:cs="Times New Roman"/>
          <w:szCs w:val="24"/>
        </w:rPr>
        <w:t>，本次债券发行</w:t>
      </w:r>
      <w:r>
        <w:rPr>
          <w:rFonts w:hint="eastAsia" w:ascii="Times New Roman" w:hAnsi="Times New Roman" w:cs="Times New Roman"/>
          <w:szCs w:val="24"/>
          <w:lang w:val="en-US" w:eastAsia="zh-CN"/>
        </w:rPr>
        <w:t>的</w:t>
      </w:r>
      <w:r>
        <w:rPr>
          <w:rFonts w:hint="eastAsia" w:ascii="Times New Roman" w:hAnsi="Times New Roman" w:cs="Times New Roman"/>
          <w:szCs w:val="24"/>
        </w:rPr>
        <w:t>实施主体为</w:t>
      </w:r>
      <w:r>
        <w:rPr>
          <w:rFonts w:hint="eastAsia" w:ascii="Times New Roman" w:hAnsi="Times New Roman" w:cs="Times New Roman"/>
          <w:szCs w:val="24"/>
          <w:lang w:val="en-US" w:eastAsia="zh-CN"/>
        </w:rPr>
        <w:t>新雅街道办</w:t>
      </w:r>
      <w:r>
        <w:rPr>
          <w:rFonts w:hint="eastAsia" w:ascii="Times New Roman" w:hAnsi="Times New Roman" w:cs="Times New Roman"/>
          <w:szCs w:val="24"/>
        </w:rPr>
        <w:t>。</w:t>
      </w:r>
      <w:r>
        <w:rPr>
          <w:rFonts w:ascii="Times New Roman" w:hAnsi="Times New Roman" w:cs="Times New Roman"/>
          <w:szCs w:val="24"/>
        </w:rPr>
        <w:t>经本所律师于202</w:t>
      </w:r>
      <w:r>
        <w:rPr>
          <w:rFonts w:hint="eastAsia" w:ascii="Times New Roman" w:hAnsi="Times New Roman" w:cs="Times New Roman"/>
          <w:szCs w:val="24"/>
          <w:lang w:val="en-US" w:eastAsia="zh-CN"/>
        </w:rPr>
        <w:t>4</w:t>
      </w:r>
      <w:r>
        <w:rPr>
          <w:rFonts w:ascii="Times New Roman" w:hAnsi="Times New Roman" w:cs="Times New Roman"/>
          <w:szCs w:val="24"/>
        </w:rPr>
        <w:t>年</w:t>
      </w:r>
      <w:r>
        <w:rPr>
          <w:rFonts w:hint="eastAsia" w:ascii="Times New Roman" w:hAnsi="Times New Roman" w:cs="Times New Roman"/>
          <w:szCs w:val="24"/>
          <w:lang w:val="en-US" w:eastAsia="zh-CN"/>
        </w:rPr>
        <w:t>8</w:t>
      </w:r>
      <w:r>
        <w:rPr>
          <w:rFonts w:ascii="Times New Roman" w:hAnsi="Times New Roman" w:cs="Times New Roman"/>
          <w:szCs w:val="24"/>
        </w:rPr>
        <w:t>月</w:t>
      </w:r>
      <w:r>
        <w:rPr>
          <w:rFonts w:hint="eastAsia" w:ascii="Times New Roman" w:hAnsi="Times New Roman" w:cs="Times New Roman"/>
          <w:szCs w:val="24"/>
          <w:lang w:val="en-US" w:eastAsia="zh-CN"/>
        </w:rPr>
        <w:t>16</w:t>
      </w:r>
      <w:r>
        <w:rPr>
          <w:rFonts w:ascii="Times New Roman" w:hAnsi="Times New Roman" w:cs="Times New Roman"/>
          <w:szCs w:val="24"/>
        </w:rPr>
        <w:t>日登录全国组织机构统一社会信用代码公示查询平台（https://www.cods.org.cn/gscx/）进行核查，</w:t>
      </w:r>
      <w:r>
        <w:rPr>
          <w:rFonts w:hint="eastAsia" w:ascii="Times New Roman" w:hAnsi="Times New Roman" w:cs="Times New Roman"/>
          <w:szCs w:val="24"/>
          <w:lang w:val="en-US" w:eastAsia="zh-CN"/>
        </w:rPr>
        <w:t>新雅街道办</w:t>
      </w:r>
      <w:r>
        <w:rPr>
          <w:rFonts w:ascii="Times New Roman" w:hAnsi="Times New Roman" w:cs="Times New Roman"/>
          <w:szCs w:val="24"/>
        </w:rPr>
        <w:t>作为本项目的实施主体，其基本信息如下：</w:t>
      </w:r>
    </w:p>
    <w:tbl>
      <w:tblPr>
        <w:tblStyle w:val="18"/>
        <w:tblW w:w="87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2"/>
        <w:gridCol w:w="6454"/>
      </w:tblGrid>
      <w:tr w14:paraId="6CD4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2" w:type="dxa"/>
            <w:vAlign w:val="center"/>
          </w:tcPr>
          <w:p w14:paraId="71FD990D">
            <w:pPr>
              <w:spacing w:before="190" w:beforeLines="50" w:after="190" w:afterLines="50" w:line="240" w:lineRule="auto"/>
              <w:ind w:firstLine="0" w:firstLineChars="0"/>
              <w:jc w:val="center"/>
              <w:rPr>
                <w:rFonts w:ascii="Times New Roman" w:hAnsi="Times New Roman" w:cs="Times New Roman"/>
                <w:sz w:val="21"/>
              </w:rPr>
            </w:pPr>
            <w:r>
              <w:rPr>
                <w:rFonts w:ascii="Times New Roman" w:hAnsi="Times New Roman" w:cs="Times New Roman"/>
                <w:sz w:val="21"/>
              </w:rPr>
              <w:t>名称</w:t>
            </w:r>
          </w:p>
        </w:tc>
        <w:tc>
          <w:tcPr>
            <w:tcW w:w="6454" w:type="dxa"/>
            <w:vAlign w:val="center"/>
          </w:tcPr>
          <w:p w14:paraId="54062F3D">
            <w:pPr>
              <w:spacing w:before="190" w:beforeLines="50" w:after="190" w:afterLines="50" w:line="240" w:lineRule="auto"/>
              <w:ind w:firstLine="0" w:firstLineChars="0"/>
              <w:jc w:val="center"/>
              <w:rPr>
                <w:rFonts w:ascii="Times New Roman" w:hAnsi="Times New Roman" w:cs="Times New Roman"/>
                <w:sz w:val="21"/>
              </w:rPr>
            </w:pPr>
            <w:r>
              <w:rPr>
                <w:rFonts w:hint="eastAsia" w:ascii="Times New Roman" w:hAnsi="Times New Roman" w:cs="Times New Roman"/>
                <w:sz w:val="21"/>
              </w:rPr>
              <w:t>广州市花都区人民政府新雅街道办事处</w:t>
            </w:r>
          </w:p>
        </w:tc>
      </w:tr>
      <w:tr w14:paraId="4688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2" w:type="dxa"/>
            <w:vAlign w:val="center"/>
          </w:tcPr>
          <w:p w14:paraId="3A95AAFF">
            <w:pPr>
              <w:spacing w:before="190" w:beforeLines="50" w:after="190" w:afterLines="50" w:line="240" w:lineRule="auto"/>
              <w:ind w:firstLine="0" w:firstLineChars="0"/>
              <w:jc w:val="center"/>
              <w:rPr>
                <w:rFonts w:ascii="Times New Roman" w:hAnsi="Times New Roman" w:cs="Times New Roman"/>
                <w:sz w:val="21"/>
              </w:rPr>
            </w:pPr>
            <w:r>
              <w:rPr>
                <w:rFonts w:ascii="Times New Roman" w:hAnsi="Times New Roman" w:cs="Times New Roman"/>
                <w:sz w:val="21"/>
              </w:rPr>
              <w:t>统一社会信用代码</w:t>
            </w:r>
          </w:p>
        </w:tc>
        <w:tc>
          <w:tcPr>
            <w:tcW w:w="6454" w:type="dxa"/>
            <w:vAlign w:val="center"/>
          </w:tcPr>
          <w:p w14:paraId="1FEEC635">
            <w:pPr>
              <w:spacing w:before="190" w:beforeLines="50" w:after="190" w:afterLines="50" w:line="240" w:lineRule="auto"/>
              <w:ind w:firstLine="0" w:firstLineChars="0"/>
              <w:jc w:val="center"/>
              <w:rPr>
                <w:rFonts w:ascii="Times New Roman" w:hAnsi="Times New Roman" w:cs="Times New Roman"/>
                <w:sz w:val="21"/>
              </w:rPr>
            </w:pPr>
            <w:r>
              <w:rPr>
                <w:rFonts w:hint="eastAsia" w:ascii="Times New Roman" w:hAnsi="Times New Roman" w:cs="Times New Roman"/>
                <w:sz w:val="21"/>
              </w:rPr>
              <w:t>11440114007486234F</w:t>
            </w:r>
          </w:p>
        </w:tc>
      </w:tr>
      <w:tr w14:paraId="6D00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2" w:type="dxa"/>
            <w:vAlign w:val="center"/>
          </w:tcPr>
          <w:p w14:paraId="172B57F2">
            <w:pPr>
              <w:spacing w:before="190" w:beforeLines="50" w:after="190" w:afterLines="50" w:line="240" w:lineRule="auto"/>
              <w:ind w:firstLine="0" w:firstLineChars="0"/>
              <w:jc w:val="center"/>
              <w:rPr>
                <w:rFonts w:ascii="Times New Roman" w:hAnsi="Times New Roman" w:cs="Times New Roman"/>
                <w:sz w:val="21"/>
              </w:rPr>
            </w:pPr>
            <w:r>
              <w:rPr>
                <w:rFonts w:ascii="Times New Roman" w:hAnsi="Times New Roman" w:cs="Times New Roman"/>
                <w:sz w:val="21"/>
              </w:rPr>
              <w:t>机构类型</w:t>
            </w:r>
          </w:p>
        </w:tc>
        <w:tc>
          <w:tcPr>
            <w:tcW w:w="6454" w:type="dxa"/>
            <w:vAlign w:val="center"/>
          </w:tcPr>
          <w:p w14:paraId="4B13C798">
            <w:pPr>
              <w:spacing w:before="190" w:beforeLines="50" w:after="190" w:afterLines="50" w:line="240" w:lineRule="auto"/>
              <w:ind w:firstLine="0" w:firstLineChars="0"/>
              <w:jc w:val="center"/>
              <w:rPr>
                <w:rFonts w:hint="eastAsia" w:ascii="Times New Roman" w:hAnsi="Times New Roman" w:eastAsia="宋体" w:cs="Times New Roman"/>
                <w:sz w:val="21"/>
                <w:lang w:eastAsia="zh-CN"/>
              </w:rPr>
            </w:pPr>
            <w:r>
              <w:rPr>
                <w:rFonts w:hint="eastAsia" w:ascii="Times New Roman" w:hAnsi="Times New Roman" w:cs="Times New Roman"/>
                <w:sz w:val="21"/>
                <w:lang w:val="en-US" w:eastAsia="zh-CN"/>
              </w:rPr>
              <w:t>机关</w:t>
            </w:r>
          </w:p>
        </w:tc>
      </w:tr>
      <w:tr w14:paraId="0273B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2" w:type="dxa"/>
            <w:vAlign w:val="center"/>
          </w:tcPr>
          <w:p w14:paraId="1169AA0F">
            <w:pPr>
              <w:spacing w:before="190" w:beforeLines="50" w:after="190" w:afterLines="50" w:line="240" w:lineRule="auto"/>
              <w:ind w:firstLine="0" w:firstLineChars="0"/>
              <w:jc w:val="center"/>
              <w:rPr>
                <w:rFonts w:ascii="Times New Roman" w:hAnsi="Times New Roman" w:cs="Times New Roman"/>
                <w:sz w:val="21"/>
              </w:rPr>
            </w:pPr>
            <w:r>
              <w:rPr>
                <w:rFonts w:ascii="Times New Roman" w:hAnsi="Times New Roman" w:cs="Times New Roman"/>
                <w:sz w:val="21"/>
              </w:rPr>
              <w:t>机构地址</w:t>
            </w:r>
          </w:p>
        </w:tc>
        <w:tc>
          <w:tcPr>
            <w:tcW w:w="6454" w:type="dxa"/>
            <w:vAlign w:val="center"/>
          </w:tcPr>
          <w:p w14:paraId="1D412B35">
            <w:pPr>
              <w:spacing w:before="190" w:beforeLines="50" w:after="190" w:afterLines="50" w:line="240" w:lineRule="auto"/>
              <w:ind w:firstLine="0" w:firstLineChars="0"/>
              <w:jc w:val="center"/>
              <w:rPr>
                <w:rFonts w:hint="eastAsia" w:ascii="Times New Roman" w:hAnsi="Times New Roman" w:cs="Times New Roman"/>
                <w:sz w:val="21"/>
              </w:rPr>
            </w:pPr>
            <w:r>
              <w:rPr>
                <w:rFonts w:hint="eastAsia" w:ascii="Times New Roman" w:hAnsi="Times New Roman" w:cs="Times New Roman"/>
                <w:sz w:val="21"/>
              </w:rPr>
              <w:t>广东省广州市花都区新雅街雅源中路18号</w:t>
            </w:r>
          </w:p>
        </w:tc>
      </w:tr>
    </w:tbl>
    <w:p w14:paraId="6ED01821">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综上，本所律师认为，</w:t>
      </w:r>
      <w:r>
        <w:rPr>
          <w:rFonts w:hint="eastAsia" w:ascii="Times New Roman" w:hAnsi="Times New Roman" w:cs="Times New Roman"/>
          <w:szCs w:val="24"/>
          <w:lang w:val="en-US" w:eastAsia="zh-CN"/>
        </w:rPr>
        <w:t>新雅街道办</w:t>
      </w:r>
      <w:r>
        <w:rPr>
          <w:rFonts w:ascii="Times New Roman" w:hAnsi="Times New Roman" w:cs="Times New Roman"/>
          <w:szCs w:val="24"/>
        </w:rPr>
        <w:t>系在我国境内依法成立、有效存续的</w:t>
      </w:r>
      <w:r>
        <w:rPr>
          <w:rFonts w:hint="eastAsia" w:ascii="Times New Roman" w:hAnsi="Times New Roman" w:cs="Times New Roman"/>
          <w:szCs w:val="24"/>
          <w:lang w:val="en-US" w:eastAsia="zh-CN"/>
        </w:rPr>
        <w:t>机关</w:t>
      </w:r>
      <w:r>
        <w:rPr>
          <w:rFonts w:ascii="Times New Roman" w:hAnsi="Times New Roman" w:cs="Times New Roman"/>
          <w:szCs w:val="24"/>
        </w:rPr>
        <w:t>单位，具备实施对应的募投项目的主体资格。</w:t>
      </w:r>
    </w:p>
    <w:p w14:paraId="4264AEF7">
      <w:pPr>
        <w:spacing w:before="190" w:beforeLines="50" w:after="190" w:afterLines="50" w:line="360" w:lineRule="auto"/>
        <w:ind w:firstLine="480"/>
        <w:rPr>
          <w:rFonts w:ascii="Times New Roman" w:hAnsi="Times New Roman" w:cs="Times New Roman"/>
          <w:szCs w:val="24"/>
        </w:rPr>
      </w:pPr>
    </w:p>
    <w:p w14:paraId="4F7E31B5">
      <w:pPr>
        <w:pStyle w:val="2"/>
      </w:pPr>
      <w:bookmarkStart w:id="32" w:name="_Toc24515"/>
      <w:bookmarkStart w:id="33" w:name="_Toc14947"/>
      <w:bookmarkStart w:id="34" w:name="_Toc22306"/>
      <w:bookmarkStart w:id="35" w:name="_Toc26237"/>
      <w:bookmarkStart w:id="36" w:name="_Toc29015"/>
      <w:bookmarkStart w:id="37" w:name="_Toc30949"/>
      <w:bookmarkStart w:id="38" w:name="_Toc15858"/>
      <w:bookmarkStart w:id="39" w:name="_Toc15657"/>
      <w:bookmarkStart w:id="40" w:name="_Toc3883"/>
      <w:r>
        <w:t>三、本次债券发行对应的募投项目</w:t>
      </w:r>
      <w:bookmarkEnd w:id="32"/>
      <w:bookmarkEnd w:id="33"/>
      <w:bookmarkEnd w:id="34"/>
      <w:bookmarkEnd w:id="35"/>
      <w:bookmarkEnd w:id="36"/>
      <w:bookmarkEnd w:id="37"/>
      <w:bookmarkEnd w:id="38"/>
      <w:bookmarkEnd w:id="39"/>
      <w:bookmarkEnd w:id="40"/>
    </w:p>
    <w:p w14:paraId="0377BAC3">
      <w:pPr>
        <w:autoSpaceDE w:val="0"/>
        <w:autoSpaceDN w:val="0"/>
        <w:spacing w:before="190" w:beforeLines="50" w:after="190" w:afterLines="50" w:line="360" w:lineRule="auto"/>
        <w:ind w:firstLine="480"/>
        <w:rPr>
          <w:rFonts w:ascii="Times New Roman" w:hAnsi="Times New Roman" w:cs="Times New Roman"/>
          <w:spacing w:val="-11"/>
          <w:szCs w:val="24"/>
          <w:lang w:val="zh-CN" w:bidi="zh-CN"/>
        </w:rPr>
      </w:pPr>
      <w:r>
        <w:rPr>
          <w:rFonts w:ascii="Times New Roman" w:hAnsi="Times New Roman" w:cs="Times New Roman"/>
          <w:szCs w:val="24"/>
        </w:rPr>
        <w:t>根据《实施方案》</w:t>
      </w:r>
      <w:r>
        <w:rPr>
          <w:rFonts w:hint="eastAsia" w:ascii="Times New Roman" w:hAnsi="Times New Roman" w:cs="Times New Roman"/>
          <w:szCs w:val="24"/>
        </w:rPr>
        <w:t>、</w:t>
      </w:r>
      <w:r>
        <w:rPr>
          <w:rFonts w:hint="eastAsia"/>
        </w:rPr>
        <w:t>《</w:t>
      </w:r>
      <w:r>
        <w:rPr>
          <w:rFonts w:hint="eastAsia" w:ascii="Times New Roman" w:hAnsi="Times New Roman" w:cs="Times New Roman"/>
          <w:szCs w:val="24"/>
        </w:rPr>
        <w:t>可行性研究报告</w:t>
      </w:r>
      <w:r>
        <w:rPr>
          <w:rFonts w:hint="eastAsia" w:ascii="Times New Roman" w:hAnsi="Times New Roman" w:cs="Times New Roman"/>
          <w:szCs w:val="24"/>
          <w:lang w:val="en-US" w:eastAsia="zh-CN"/>
        </w:rPr>
        <w:t>的复函</w:t>
      </w:r>
      <w:r>
        <w:rPr>
          <w:rFonts w:hint="eastAsia"/>
        </w:rPr>
        <w:t>》</w:t>
      </w:r>
      <w:r>
        <w:rPr>
          <w:rFonts w:hint="eastAsia"/>
          <w:lang w:eastAsia="zh-CN"/>
        </w:rPr>
        <w:t>、《</w:t>
      </w:r>
      <w:r>
        <w:rPr>
          <w:rFonts w:hint="eastAsia" w:ascii="Times New Roman" w:hAnsi="Times New Roman" w:cs="Times New Roman"/>
          <w:szCs w:val="24"/>
        </w:rPr>
        <w:t>可行性研究报告</w:t>
      </w:r>
      <w:r>
        <w:rPr>
          <w:rFonts w:hint="eastAsia"/>
          <w:lang w:eastAsia="zh-CN"/>
        </w:rPr>
        <w:t>》</w:t>
      </w:r>
      <w:r>
        <w:rPr>
          <w:rFonts w:hint="eastAsia"/>
        </w:rPr>
        <w:t>等</w:t>
      </w:r>
      <w:r>
        <w:rPr>
          <w:rFonts w:ascii="Times New Roman" w:hAnsi="Times New Roman" w:cs="Times New Roman"/>
          <w:spacing w:val="-11"/>
          <w:szCs w:val="24"/>
          <w:lang w:val="zh-CN" w:bidi="zh-CN"/>
        </w:rPr>
        <w:t>文件资料，</w:t>
      </w:r>
      <w:r>
        <w:rPr>
          <w:rFonts w:hint="eastAsia" w:ascii="Times New Roman" w:hAnsi="Times New Roman" w:cs="Times New Roman"/>
          <w:spacing w:val="-11"/>
          <w:szCs w:val="24"/>
          <w:lang w:val="zh-CN" w:bidi="zh-CN"/>
        </w:rPr>
        <w:t>本次债券发行募集资金用于花都区智能装备科创产业园</w:t>
      </w:r>
      <w:r>
        <w:rPr>
          <w:rFonts w:hint="eastAsia" w:ascii="Times New Roman" w:hAnsi="Times New Roman" w:cs="Times New Roman"/>
          <w:spacing w:val="-11"/>
          <w:szCs w:val="24"/>
          <w:lang w:val="en-US" w:bidi="zh-CN"/>
        </w:rPr>
        <w:t>配套</w:t>
      </w:r>
      <w:r>
        <w:rPr>
          <w:rFonts w:hint="eastAsia" w:ascii="Times New Roman" w:hAnsi="Times New Roman" w:cs="Times New Roman"/>
          <w:spacing w:val="-11"/>
          <w:szCs w:val="24"/>
          <w:lang w:val="zh-CN" w:bidi="zh-CN"/>
        </w:rPr>
        <w:t>基础设施建设项目。具体情况如下：</w:t>
      </w:r>
    </w:p>
    <w:p w14:paraId="0A0F6E75">
      <w:pPr>
        <w:pStyle w:val="3"/>
        <w:spacing w:before="190" w:after="190"/>
        <w:ind w:firstLine="508"/>
      </w:pPr>
      <w:r>
        <w:t>（一）</w:t>
      </w:r>
      <w:r>
        <w:rPr>
          <w:rFonts w:hint="eastAsia"/>
        </w:rPr>
        <w:t>项目概述</w:t>
      </w:r>
    </w:p>
    <w:p w14:paraId="134C74AA">
      <w:pPr>
        <w:autoSpaceDE w:val="0"/>
        <w:autoSpaceDN w:val="0"/>
        <w:spacing w:before="190" w:beforeLines="50" w:after="190" w:afterLines="50" w:line="360" w:lineRule="auto"/>
        <w:ind w:firstLine="480"/>
        <w:rPr>
          <w:rFonts w:hint="default" w:ascii="Times New Roman" w:hAnsi="Times New Roman" w:cs="Times New Roman"/>
          <w:b w:val="0"/>
          <w:bCs w:val="0"/>
          <w:szCs w:val="24"/>
          <w:lang w:val="en-US" w:eastAsia="zh-CN"/>
        </w:rPr>
      </w:pPr>
      <w:r>
        <w:rPr>
          <w:rFonts w:hint="default" w:ascii="Times New Roman" w:hAnsi="Times New Roman" w:cs="Times New Roman"/>
          <w:b w:val="0"/>
          <w:bCs w:val="0"/>
          <w:szCs w:val="24"/>
          <w:lang w:val="en-US" w:eastAsia="zh-CN"/>
        </w:rPr>
        <w:t>项目位于花都区新雅街，主要建设内容包括新建及改造园区路网 39.2公里；电力迁改工程 5.5公里；老旧小区雨污分流面积 35388平方米，污水管网改造 4.15公里；新建产业园配套服务中心建筑面积 30000平方米；新建充电桩 300套</w:t>
      </w:r>
      <w:r>
        <w:rPr>
          <w:rFonts w:hint="eastAsia" w:ascii="Times New Roman" w:hAnsi="Times New Roman" w:cs="Times New Roman"/>
          <w:b w:val="0"/>
          <w:bCs w:val="0"/>
          <w:szCs w:val="24"/>
          <w:lang w:val="en-US" w:eastAsia="zh-CN"/>
        </w:rPr>
        <w:t>等</w:t>
      </w:r>
      <w:r>
        <w:rPr>
          <w:rFonts w:hint="default" w:ascii="Times New Roman" w:hAnsi="Times New Roman" w:cs="Times New Roman"/>
          <w:b w:val="0"/>
          <w:bCs w:val="0"/>
          <w:szCs w:val="24"/>
          <w:lang w:val="en-US" w:eastAsia="zh-CN"/>
        </w:rPr>
        <w:t>；以及其他</w:t>
      </w:r>
      <w:r>
        <w:rPr>
          <w:rFonts w:hint="eastAsia" w:ascii="Times New Roman" w:hAnsi="Times New Roman" w:cs="Times New Roman"/>
          <w:b w:val="0"/>
          <w:bCs w:val="0"/>
          <w:szCs w:val="24"/>
          <w:lang w:val="en-US" w:eastAsia="zh-CN"/>
        </w:rPr>
        <w:t>建设内容及</w:t>
      </w:r>
      <w:r>
        <w:rPr>
          <w:rFonts w:hint="default" w:ascii="Times New Roman" w:hAnsi="Times New Roman" w:cs="Times New Roman"/>
          <w:b w:val="0"/>
          <w:bCs w:val="0"/>
          <w:szCs w:val="24"/>
          <w:lang w:val="en-US" w:eastAsia="zh-CN"/>
        </w:rPr>
        <w:t>配套基础设施建设。</w:t>
      </w:r>
    </w:p>
    <w:p w14:paraId="47317719">
      <w:pPr>
        <w:rPr>
          <w:rFonts w:hint="eastAsia" w:ascii="Times New Roman" w:hAnsi="Times New Roman" w:cs="Times New Roman"/>
          <w:spacing w:val="-5"/>
          <w:szCs w:val="24"/>
          <w:lang w:val="zh-CN" w:bidi="zh-CN"/>
        </w:rPr>
      </w:pPr>
      <w:r>
        <w:rPr>
          <w:rFonts w:hint="eastAsia"/>
          <w:b w:val="0"/>
          <w:bCs w:val="0"/>
          <w:lang w:val="en-US" w:eastAsia="zh-CN"/>
        </w:rPr>
        <w:t>本项目</w:t>
      </w:r>
      <w:r>
        <w:rPr>
          <w:rFonts w:hint="eastAsia" w:ascii="Times New Roman" w:hAnsi="Times New Roman" w:cs="Times New Roman"/>
          <w:spacing w:val="-5"/>
          <w:szCs w:val="24"/>
          <w:lang w:val="zh-CN" w:bidi="zh-CN"/>
        </w:rPr>
        <w:t>中具体包括了</w:t>
      </w:r>
      <w:r>
        <w:rPr>
          <w:rFonts w:hint="eastAsia" w:ascii="Times New Roman" w:hAnsi="Times New Roman" w:cs="Times New Roman"/>
          <w:spacing w:val="-5"/>
          <w:szCs w:val="24"/>
          <w:lang w:val="en-US" w:bidi="zh-CN"/>
        </w:rPr>
        <w:t>28</w:t>
      </w:r>
      <w:r>
        <w:rPr>
          <w:rFonts w:hint="eastAsia" w:ascii="Times New Roman" w:hAnsi="Times New Roman" w:cs="Times New Roman"/>
          <w:spacing w:val="-5"/>
          <w:szCs w:val="24"/>
          <w:lang w:val="zh-CN" w:bidi="zh-CN"/>
        </w:rPr>
        <w:t>个子项目，各子项目具体建设内容如下：</w:t>
      </w:r>
    </w:p>
    <w:p w14:paraId="5EDD3591">
      <w:pPr>
        <w:pStyle w:val="25"/>
        <w:rPr>
          <w:rFonts w:hint="eastAsia"/>
          <w:lang w:val="zh-CN"/>
        </w:rPr>
      </w:pPr>
    </w:p>
    <w:tbl>
      <w:tblPr>
        <w:tblStyle w:val="18"/>
        <w:tblW w:w="8632" w:type="dxa"/>
        <w:jc w:val="center"/>
        <w:tblLayout w:type="fixed"/>
        <w:tblCellMar>
          <w:top w:w="0" w:type="dxa"/>
          <w:left w:w="108" w:type="dxa"/>
          <w:bottom w:w="0" w:type="dxa"/>
          <w:right w:w="108" w:type="dxa"/>
        </w:tblCellMar>
      </w:tblPr>
      <w:tblGrid>
        <w:gridCol w:w="761"/>
        <w:gridCol w:w="1855"/>
        <w:gridCol w:w="6016"/>
      </w:tblGrid>
      <w:tr w14:paraId="5D2A1846">
        <w:tblPrEx>
          <w:tblCellMar>
            <w:top w:w="0" w:type="dxa"/>
            <w:left w:w="108" w:type="dxa"/>
            <w:bottom w:w="0" w:type="dxa"/>
            <w:right w:w="108" w:type="dxa"/>
          </w:tblCellMar>
        </w:tblPrEx>
        <w:trPr>
          <w:trHeight w:val="280" w:hRule="atLeast"/>
          <w:tblHeader/>
          <w:jc w:val="center"/>
        </w:trPr>
        <w:tc>
          <w:tcPr>
            <w:tcW w:w="761"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noWrap/>
            <w:vAlign w:val="center"/>
          </w:tcPr>
          <w:p w14:paraId="7E69996E">
            <w:pPr>
              <w:autoSpaceDE w:val="0"/>
              <w:autoSpaceDN w:val="0"/>
              <w:spacing w:before="190" w:beforeLines="50" w:after="190" w:afterLines="50" w:line="240" w:lineRule="auto"/>
              <w:ind w:firstLine="0" w:firstLineChars="0"/>
              <w:jc w:val="center"/>
              <w:rPr>
                <w:rFonts w:hint="eastAsia" w:ascii="宋体" w:hAnsi="宋体" w:eastAsia="宋体" w:cs="宋体"/>
                <w:b/>
                <w:w w:val="105"/>
                <w:sz w:val="21"/>
                <w:lang w:bidi="zh-CN"/>
              </w:rPr>
            </w:pPr>
            <w:r>
              <w:rPr>
                <w:rFonts w:hint="eastAsia" w:ascii="宋体" w:hAnsi="宋体" w:eastAsia="宋体" w:cs="宋体"/>
                <w:b/>
                <w:w w:val="105"/>
                <w:sz w:val="21"/>
                <w:lang w:bidi="zh-CN"/>
              </w:rPr>
              <w:t>序号</w:t>
            </w:r>
          </w:p>
        </w:tc>
        <w:tc>
          <w:tcPr>
            <w:tcW w:w="1855"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noWrap/>
            <w:vAlign w:val="center"/>
          </w:tcPr>
          <w:p w14:paraId="4500BED9">
            <w:pPr>
              <w:autoSpaceDE w:val="0"/>
              <w:autoSpaceDN w:val="0"/>
              <w:spacing w:before="190" w:beforeLines="50" w:after="190" w:afterLines="50" w:line="240" w:lineRule="auto"/>
              <w:ind w:firstLine="0" w:firstLineChars="0"/>
              <w:jc w:val="center"/>
              <w:rPr>
                <w:rFonts w:hint="eastAsia" w:ascii="宋体" w:hAnsi="宋体" w:eastAsia="宋体" w:cs="宋体"/>
                <w:b/>
                <w:w w:val="105"/>
                <w:sz w:val="21"/>
                <w:lang w:bidi="zh-CN"/>
              </w:rPr>
            </w:pPr>
            <w:r>
              <w:rPr>
                <w:rFonts w:hint="eastAsia" w:ascii="宋体" w:hAnsi="宋体" w:eastAsia="宋体" w:cs="宋体"/>
                <w:b/>
                <w:w w:val="105"/>
                <w:sz w:val="21"/>
                <w:lang w:bidi="zh-CN"/>
              </w:rPr>
              <w:t>项目名称</w:t>
            </w:r>
          </w:p>
        </w:tc>
        <w:tc>
          <w:tcPr>
            <w:tcW w:w="6016"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noWrap/>
            <w:vAlign w:val="center"/>
          </w:tcPr>
          <w:p w14:paraId="15E5D5CD">
            <w:pPr>
              <w:autoSpaceDE w:val="0"/>
              <w:autoSpaceDN w:val="0"/>
              <w:spacing w:before="190" w:beforeLines="50" w:after="190" w:afterLines="50" w:line="240" w:lineRule="auto"/>
              <w:ind w:firstLine="0" w:firstLineChars="0"/>
              <w:jc w:val="center"/>
              <w:rPr>
                <w:rFonts w:hint="eastAsia" w:ascii="宋体" w:hAnsi="宋体" w:eastAsia="宋体" w:cs="宋体"/>
                <w:b/>
                <w:w w:val="105"/>
                <w:sz w:val="21"/>
                <w:lang w:bidi="zh-CN"/>
              </w:rPr>
            </w:pPr>
            <w:r>
              <w:rPr>
                <w:rFonts w:hint="eastAsia" w:ascii="宋体" w:hAnsi="宋体" w:eastAsia="宋体" w:cs="宋体"/>
                <w:b/>
                <w:w w:val="105"/>
                <w:sz w:val="21"/>
                <w:lang w:bidi="zh-CN"/>
              </w:rPr>
              <w:t>建设内容</w:t>
            </w:r>
          </w:p>
        </w:tc>
      </w:tr>
      <w:tr w14:paraId="7EC7B9BA">
        <w:tblPrEx>
          <w:tblCellMar>
            <w:top w:w="0" w:type="dxa"/>
            <w:left w:w="108" w:type="dxa"/>
            <w:bottom w:w="0" w:type="dxa"/>
            <w:right w:w="108" w:type="dxa"/>
          </w:tblCellMar>
        </w:tblPrEx>
        <w:trPr>
          <w:trHeight w:val="608" w:hRule="atLeast"/>
          <w:jc w:val="center"/>
        </w:trPr>
        <w:tc>
          <w:tcPr>
            <w:tcW w:w="7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5178A4F">
            <w:pPr>
              <w:widowControl/>
              <w:spacing w:before="190" w:beforeLines="50" w:after="190" w:afterLines="50" w:line="240" w:lineRule="auto"/>
              <w:ind w:firstLine="0" w:firstLineChars="0"/>
              <w:jc w:val="center"/>
              <w:rPr>
                <w:rFonts w:hint="eastAsia" w:ascii="宋体" w:hAnsi="宋体" w:eastAsia="宋体" w:cs="宋体"/>
                <w:color w:val="000000"/>
                <w:kern w:val="0"/>
                <w:sz w:val="21"/>
                <w:lang w:bidi="ar"/>
              </w:rPr>
            </w:pPr>
            <w:r>
              <w:rPr>
                <w:rFonts w:hint="eastAsia" w:ascii="宋体" w:hAnsi="宋体" w:eastAsia="宋体" w:cs="宋体"/>
                <w:color w:val="000000"/>
                <w:kern w:val="0"/>
                <w:sz w:val="21"/>
                <w:lang w:bidi="ar"/>
              </w:rPr>
              <w:t>1</w:t>
            </w:r>
          </w:p>
        </w:tc>
        <w:tc>
          <w:tcPr>
            <w:tcW w:w="1855" w:type="dxa"/>
            <w:tcBorders>
              <w:top w:val="single" w:color="000000" w:sz="4" w:space="0"/>
              <w:left w:val="single" w:color="000000" w:sz="4" w:space="0"/>
              <w:bottom w:val="single" w:color="auto" w:sz="4" w:space="0"/>
              <w:right w:val="single" w:color="000000" w:sz="4" w:space="0"/>
            </w:tcBorders>
            <w:shd w:val="clear" w:color="auto" w:fill="auto"/>
            <w:vAlign w:val="center"/>
          </w:tcPr>
          <w:p w14:paraId="562448BE">
            <w:pPr>
              <w:widowControl/>
              <w:ind w:firstLine="420" w:firstLineChars="200"/>
              <w:jc w:val="both"/>
              <w:textAlignment w:val="center"/>
              <w:rPr>
                <w:rFonts w:hint="eastAsia" w:ascii="宋体" w:hAnsi="宋体" w:eastAsia="宋体" w:cs="宋体"/>
                <w:kern w:val="0"/>
                <w:sz w:val="21"/>
                <w:szCs w:val="21"/>
                <w:lang w:eastAsia="zh-Hans"/>
              </w:rPr>
            </w:pPr>
            <w:r>
              <w:rPr>
                <w:rFonts w:hint="eastAsia" w:ascii="宋体" w:hAnsi="宋体" w:cs="宋体"/>
                <w:kern w:val="0"/>
                <w:sz w:val="21"/>
                <w:szCs w:val="21"/>
                <w:lang w:eastAsia="zh-Hans" w:bidi="ar"/>
              </w:rPr>
              <w:t>凤凰路及邝村东路电力迁改工程</w:t>
            </w:r>
          </w:p>
        </w:tc>
        <w:tc>
          <w:tcPr>
            <w:tcW w:w="6016" w:type="dxa"/>
            <w:tcBorders>
              <w:top w:val="single" w:color="000000" w:sz="4" w:space="0"/>
              <w:left w:val="single" w:color="000000" w:sz="4" w:space="0"/>
              <w:bottom w:val="single" w:color="auto" w:sz="4" w:space="0"/>
              <w:right w:val="single" w:color="000000" w:sz="4" w:space="0"/>
            </w:tcBorders>
            <w:shd w:val="clear" w:color="auto" w:fill="auto"/>
            <w:vAlign w:val="center"/>
          </w:tcPr>
          <w:p w14:paraId="12398ABB">
            <w:pPr>
              <w:widowControl/>
              <w:ind w:firstLine="420" w:firstLineChars="200"/>
              <w:jc w:val="both"/>
              <w:textAlignment w:val="center"/>
              <w:rPr>
                <w:rFonts w:hint="eastAsia" w:ascii="宋体" w:hAnsi="宋体" w:eastAsia="宋体" w:cs="宋体"/>
                <w:kern w:val="0"/>
                <w:sz w:val="21"/>
                <w:szCs w:val="21"/>
                <w:lang w:eastAsia="zh-Hans" w:bidi="ar"/>
              </w:rPr>
            </w:pPr>
            <w:r>
              <w:rPr>
                <w:rFonts w:hint="eastAsia" w:ascii="宋体" w:hAnsi="宋体" w:cs="宋体"/>
                <w:kern w:val="0"/>
                <w:sz w:val="21"/>
                <w:szCs w:val="21"/>
                <w:lang w:eastAsia="zh-Hans" w:bidi="ar"/>
              </w:rPr>
              <w:t>本工程包含两条道路范围内的电力迁改工程：</w:t>
            </w:r>
            <w:r>
              <w:rPr>
                <w:rFonts w:hint="eastAsia" w:ascii="宋体" w:hAnsi="宋体" w:cs="宋体"/>
                <w:kern w:val="0"/>
                <w:sz w:val="21"/>
                <w:szCs w:val="21"/>
                <w:lang w:eastAsia="zh-Hans" w:bidi="ar"/>
              </w:rPr>
              <w:br w:type="textWrapping"/>
            </w:r>
            <w:r>
              <w:rPr>
                <w:rFonts w:hint="eastAsia" w:ascii="宋体" w:hAnsi="宋体" w:cs="宋体"/>
                <w:kern w:val="0"/>
                <w:sz w:val="21"/>
                <w:szCs w:val="21"/>
                <w:lang w:eastAsia="zh-Hans" w:bidi="ar"/>
              </w:rPr>
              <w:t>1、凤凰路（空铁大道以北段），建设长度2.2公里，建设8孔10kV电力管沟、配建2座开关房及现状高压线迁改；</w:t>
            </w:r>
            <w:r>
              <w:rPr>
                <w:rFonts w:hint="eastAsia" w:ascii="宋体" w:hAnsi="宋体" w:cs="宋体"/>
                <w:kern w:val="0"/>
                <w:sz w:val="21"/>
                <w:szCs w:val="21"/>
                <w:lang w:eastAsia="zh-Hans" w:bidi="ar"/>
              </w:rPr>
              <w:br w:type="textWrapping"/>
            </w:r>
            <w:r>
              <w:rPr>
                <w:rFonts w:hint="eastAsia" w:ascii="宋体" w:hAnsi="宋体" w:cs="宋体"/>
                <w:kern w:val="0"/>
                <w:sz w:val="21"/>
                <w:szCs w:val="21"/>
                <w:lang w:eastAsia="zh-Hans" w:bidi="ar"/>
              </w:rPr>
              <w:t>2、邝村东路，建设长度1.7公里，建设12孔10kV电力管沟、配建2座开关房及现状高压线迁改。</w:t>
            </w:r>
          </w:p>
        </w:tc>
      </w:tr>
      <w:tr w14:paraId="69040878">
        <w:tblPrEx>
          <w:tblCellMar>
            <w:top w:w="0" w:type="dxa"/>
            <w:left w:w="108" w:type="dxa"/>
            <w:bottom w:w="0" w:type="dxa"/>
            <w:right w:w="108" w:type="dxa"/>
          </w:tblCellMar>
        </w:tblPrEx>
        <w:trPr>
          <w:trHeight w:val="1134" w:hRule="atLeast"/>
          <w:jc w:val="center"/>
        </w:trPr>
        <w:tc>
          <w:tcPr>
            <w:tcW w:w="7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D242C4">
            <w:pPr>
              <w:widowControl/>
              <w:spacing w:before="190" w:beforeLines="50" w:after="190" w:afterLines="50" w:line="240" w:lineRule="auto"/>
              <w:ind w:firstLine="0" w:firstLineChars="0"/>
              <w:jc w:val="center"/>
              <w:rPr>
                <w:rFonts w:hint="eastAsia" w:ascii="宋体" w:hAnsi="宋体" w:eastAsia="宋体" w:cs="宋体"/>
                <w:color w:val="000000"/>
                <w:kern w:val="0"/>
                <w:sz w:val="21"/>
                <w:lang w:val="en-US" w:eastAsia="zh-CN" w:bidi="ar"/>
              </w:rPr>
            </w:pPr>
            <w:r>
              <w:rPr>
                <w:rFonts w:hint="eastAsia" w:ascii="宋体" w:hAnsi="宋体" w:eastAsia="宋体" w:cs="宋体"/>
                <w:color w:val="000000"/>
                <w:kern w:val="0"/>
                <w:sz w:val="21"/>
                <w:lang w:val="en-US" w:eastAsia="zh-CN" w:bidi="ar"/>
              </w:rPr>
              <w:t>2</w:t>
            </w:r>
          </w:p>
        </w:tc>
        <w:tc>
          <w:tcPr>
            <w:tcW w:w="1855" w:type="dxa"/>
            <w:tcBorders>
              <w:top w:val="single" w:color="auto" w:sz="4" w:space="0"/>
              <w:left w:val="single" w:color="auto" w:sz="4" w:space="0"/>
              <w:bottom w:val="single" w:color="auto" w:sz="4" w:space="0"/>
              <w:right w:val="single" w:color="auto" w:sz="4" w:space="0"/>
            </w:tcBorders>
            <w:shd w:val="clear" w:color="auto" w:fill="auto"/>
            <w:vAlign w:val="center"/>
          </w:tcPr>
          <w:p w14:paraId="47E2948D">
            <w:pPr>
              <w:widowControl/>
              <w:ind w:firstLine="420" w:firstLineChars="200"/>
              <w:jc w:val="both"/>
              <w:textAlignment w:val="center"/>
              <w:rPr>
                <w:rFonts w:hint="eastAsia" w:ascii="宋体" w:hAnsi="宋体" w:eastAsia="宋体" w:cs="宋体"/>
                <w:kern w:val="0"/>
                <w:sz w:val="21"/>
                <w:szCs w:val="21"/>
                <w:lang w:eastAsia="zh-Hans"/>
              </w:rPr>
            </w:pPr>
            <w:r>
              <w:rPr>
                <w:rFonts w:hint="eastAsia" w:ascii="宋体" w:hAnsi="宋体" w:cs="宋体"/>
                <w:kern w:val="0"/>
                <w:sz w:val="21"/>
                <w:szCs w:val="21"/>
                <w:lang w:eastAsia="zh-Hans" w:bidi="ar"/>
              </w:rPr>
              <w:t>凤凰南路110千伏超高压电力线路迁改工程</w:t>
            </w:r>
          </w:p>
        </w:tc>
        <w:tc>
          <w:tcPr>
            <w:tcW w:w="6016" w:type="dxa"/>
            <w:tcBorders>
              <w:top w:val="single" w:color="auto" w:sz="4" w:space="0"/>
              <w:left w:val="single" w:color="auto" w:sz="4" w:space="0"/>
              <w:bottom w:val="single" w:color="auto" w:sz="4" w:space="0"/>
              <w:right w:val="single" w:color="auto" w:sz="4" w:space="0"/>
            </w:tcBorders>
            <w:shd w:val="clear" w:color="auto" w:fill="auto"/>
            <w:vAlign w:val="center"/>
          </w:tcPr>
          <w:p w14:paraId="4EEA3E76">
            <w:pPr>
              <w:widowControl/>
              <w:ind w:firstLine="420" w:firstLineChars="200"/>
              <w:jc w:val="both"/>
              <w:textAlignment w:val="center"/>
              <w:rPr>
                <w:rFonts w:hint="eastAsia" w:ascii="宋体" w:hAnsi="宋体" w:eastAsia="宋体" w:cs="宋体"/>
                <w:kern w:val="0"/>
                <w:sz w:val="21"/>
                <w:szCs w:val="21"/>
                <w:lang w:eastAsia="zh-Hans" w:bidi="ar"/>
              </w:rPr>
            </w:pPr>
            <w:r>
              <w:rPr>
                <w:rFonts w:hint="eastAsia" w:ascii="宋体" w:hAnsi="宋体" w:cs="宋体"/>
                <w:kern w:val="0"/>
                <w:sz w:val="21"/>
                <w:szCs w:val="21"/>
                <w:lang w:eastAsia="zh-Hans" w:bidi="ar"/>
              </w:rPr>
              <w:t>本工程包含凤凰路110千伏超高压电力线路迁改，建设长度约1.6公里，建设4孔110kv管沟，不需建设开关房。</w:t>
            </w:r>
          </w:p>
        </w:tc>
      </w:tr>
      <w:tr w14:paraId="38DA6D9E">
        <w:tblPrEx>
          <w:tblCellMar>
            <w:top w:w="0" w:type="dxa"/>
            <w:left w:w="108" w:type="dxa"/>
            <w:bottom w:w="0" w:type="dxa"/>
            <w:right w:w="108" w:type="dxa"/>
          </w:tblCellMar>
        </w:tblPrEx>
        <w:trPr>
          <w:trHeight w:val="1194" w:hRule="atLeast"/>
          <w:jc w:val="center"/>
        </w:trPr>
        <w:tc>
          <w:tcPr>
            <w:tcW w:w="7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C49CD0">
            <w:pPr>
              <w:widowControl/>
              <w:spacing w:before="190" w:beforeLines="50" w:after="190" w:afterLines="50" w:line="240" w:lineRule="auto"/>
              <w:ind w:firstLine="0" w:firstLineChars="0"/>
              <w:jc w:val="center"/>
              <w:rPr>
                <w:rFonts w:hint="eastAsia" w:ascii="宋体" w:hAnsi="宋体" w:eastAsia="宋体" w:cs="宋体"/>
                <w:color w:val="000000"/>
                <w:kern w:val="0"/>
                <w:sz w:val="21"/>
                <w:lang w:val="en-US" w:eastAsia="zh-CN" w:bidi="ar"/>
              </w:rPr>
            </w:pPr>
            <w:r>
              <w:rPr>
                <w:rFonts w:hint="eastAsia" w:ascii="宋体" w:hAnsi="宋体" w:eastAsia="宋体" w:cs="宋体"/>
                <w:color w:val="000000"/>
                <w:kern w:val="0"/>
                <w:sz w:val="21"/>
                <w:lang w:val="en-US" w:eastAsia="zh-CN" w:bidi="ar"/>
              </w:rPr>
              <w:t>3</w:t>
            </w:r>
          </w:p>
        </w:tc>
        <w:tc>
          <w:tcPr>
            <w:tcW w:w="1855" w:type="dxa"/>
            <w:tcBorders>
              <w:top w:val="single" w:color="auto" w:sz="4" w:space="0"/>
              <w:left w:val="single" w:color="auto" w:sz="4" w:space="0"/>
              <w:bottom w:val="single" w:color="auto" w:sz="4" w:space="0"/>
              <w:right w:val="single" w:color="auto" w:sz="4" w:space="0"/>
            </w:tcBorders>
            <w:shd w:val="clear" w:color="auto" w:fill="auto"/>
            <w:vAlign w:val="center"/>
          </w:tcPr>
          <w:p w14:paraId="70FB888A">
            <w:pPr>
              <w:widowControl/>
              <w:ind w:firstLine="420" w:firstLineChars="200"/>
              <w:jc w:val="both"/>
              <w:textAlignment w:val="center"/>
              <w:rPr>
                <w:rFonts w:hint="eastAsia" w:ascii="宋体" w:hAnsi="宋体" w:eastAsia="宋体" w:cs="宋体"/>
                <w:kern w:val="0"/>
                <w:sz w:val="21"/>
                <w:szCs w:val="21"/>
                <w:lang w:eastAsia="zh-Hans"/>
              </w:rPr>
            </w:pPr>
            <w:r>
              <w:rPr>
                <w:rFonts w:hint="eastAsia" w:ascii="宋体" w:hAnsi="宋体" w:cs="宋体"/>
                <w:kern w:val="0"/>
                <w:sz w:val="21"/>
                <w:szCs w:val="21"/>
                <w:lang w:eastAsia="zh-Hans" w:bidi="ar"/>
              </w:rPr>
              <w:t>雅瑶中学西侧道路工程</w:t>
            </w:r>
          </w:p>
        </w:tc>
        <w:tc>
          <w:tcPr>
            <w:tcW w:w="6016" w:type="dxa"/>
            <w:tcBorders>
              <w:top w:val="single" w:color="auto" w:sz="4" w:space="0"/>
              <w:left w:val="single" w:color="auto" w:sz="4" w:space="0"/>
              <w:bottom w:val="single" w:color="auto" w:sz="4" w:space="0"/>
              <w:right w:val="single" w:color="auto" w:sz="4" w:space="0"/>
            </w:tcBorders>
            <w:shd w:val="clear" w:color="auto" w:fill="auto"/>
            <w:vAlign w:val="center"/>
          </w:tcPr>
          <w:p w14:paraId="539C92C4">
            <w:pPr>
              <w:widowControl/>
              <w:ind w:firstLine="420" w:firstLineChars="200"/>
              <w:jc w:val="both"/>
              <w:textAlignment w:val="center"/>
              <w:rPr>
                <w:rFonts w:hint="eastAsia" w:ascii="宋体" w:hAnsi="宋体" w:eastAsia="宋体" w:cs="宋体"/>
                <w:kern w:val="0"/>
                <w:sz w:val="21"/>
                <w:szCs w:val="21"/>
                <w:lang w:eastAsia="zh-Hans" w:bidi="ar"/>
              </w:rPr>
            </w:pPr>
            <w:r>
              <w:rPr>
                <w:rFonts w:hint="eastAsia" w:ascii="宋体" w:hAnsi="宋体" w:eastAsia="宋体" w:cs="宋体"/>
                <w:kern w:val="0"/>
                <w:sz w:val="21"/>
                <w:szCs w:val="21"/>
                <w:lang w:eastAsia="zh-Hans" w:bidi="ar"/>
              </w:rPr>
              <w:t>新建设</w:t>
            </w:r>
            <w:r>
              <w:rPr>
                <w:rFonts w:hint="eastAsia" w:ascii="宋体" w:hAnsi="宋体" w:cs="宋体"/>
                <w:kern w:val="0"/>
                <w:sz w:val="21"/>
                <w:szCs w:val="21"/>
                <w:lang w:eastAsia="zh-Hans" w:bidi="ar"/>
              </w:rPr>
              <w:t>道路</w:t>
            </w:r>
            <w:r>
              <w:rPr>
                <w:rFonts w:hint="eastAsia" w:ascii="宋体" w:hAnsi="宋体" w:eastAsia="宋体" w:cs="宋体"/>
                <w:kern w:val="0"/>
                <w:sz w:val="21"/>
                <w:szCs w:val="21"/>
                <w:lang w:eastAsia="zh-Hans" w:bidi="ar"/>
              </w:rPr>
              <w:t>，北起三向东路，南至雅瑶东路，规划红线15米宽，为城市支路。</w:t>
            </w:r>
            <w:r>
              <w:rPr>
                <w:rFonts w:hint="eastAsia" w:ascii="宋体" w:hAnsi="宋体" w:cs="宋体"/>
                <w:kern w:val="0"/>
                <w:sz w:val="21"/>
                <w:szCs w:val="21"/>
                <w:lang w:eastAsia="zh-Hans" w:bidi="ar"/>
              </w:rPr>
              <w:t>全长428米，规划红线宽15米，城市支路。建设内容：道路工程、排水工程、照明工程、绿化工程、交通工程(包含交通疏解)等。</w:t>
            </w:r>
          </w:p>
        </w:tc>
      </w:tr>
      <w:tr w14:paraId="40E7A5B1">
        <w:tblPrEx>
          <w:tblCellMar>
            <w:top w:w="0" w:type="dxa"/>
            <w:left w:w="108" w:type="dxa"/>
            <w:bottom w:w="0" w:type="dxa"/>
            <w:right w:w="108" w:type="dxa"/>
          </w:tblCellMar>
        </w:tblPrEx>
        <w:trPr>
          <w:trHeight w:val="1134" w:hRule="atLeast"/>
          <w:jc w:val="center"/>
        </w:trPr>
        <w:tc>
          <w:tcPr>
            <w:tcW w:w="7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1BEE1A">
            <w:pPr>
              <w:widowControl/>
              <w:spacing w:before="190" w:beforeLines="50" w:after="190" w:afterLines="50" w:line="240" w:lineRule="auto"/>
              <w:ind w:firstLine="0" w:firstLineChars="0"/>
              <w:jc w:val="center"/>
              <w:rPr>
                <w:rFonts w:hint="eastAsia" w:ascii="宋体" w:hAnsi="宋体" w:eastAsia="宋体" w:cs="宋体"/>
                <w:color w:val="000000"/>
                <w:kern w:val="0"/>
                <w:sz w:val="21"/>
                <w:lang w:val="en-US" w:eastAsia="zh-CN" w:bidi="ar"/>
              </w:rPr>
            </w:pPr>
            <w:r>
              <w:rPr>
                <w:rFonts w:hint="eastAsia" w:ascii="宋体" w:hAnsi="宋体" w:eastAsia="宋体" w:cs="宋体"/>
                <w:color w:val="000000"/>
                <w:kern w:val="0"/>
                <w:sz w:val="21"/>
                <w:lang w:val="en-US" w:eastAsia="zh-CN" w:bidi="ar"/>
              </w:rPr>
              <w:t>4</w:t>
            </w:r>
          </w:p>
        </w:tc>
        <w:tc>
          <w:tcPr>
            <w:tcW w:w="1855" w:type="dxa"/>
            <w:tcBorders>
              <w:top w:val="single" w:color="auto" w:sz="4" w:space="0"/>
              <w:left w:val="single" w:color="auto" w:sz="4" w:space="0"/>
              <w:bottom w:val="single" w:color="auto" w:sz="4" w:space="0"/>
              <w:right w:val="single" w:color="auto" w:sz="4" w:space="0"/>
            </w:tcBorders>
            <w:shd w:val="clear" w:color="auto" w:fill="auto"/>
            <w:vAlign w:val="center"/>
          </w:tcPr>
          <w:p w14:paraId="4B960061">
            <w:pPr>
              <w:widowControl/>
              <w:ind w:firstLine="420" w:firstLineChars="200"/>
              <w:jc w:val="both"/>
              <w:textAlignment w:val="center"/>
              <w:rPr>
                <w:rFonts w:hint="eastAsia" w:ascii="宋体" w:hAnsi="宋体" w:eastAsia="宋体" w:cs="宋体"/>
                <w:kern w:val="0"/>
                <w:sz w:val="21"/>
                <w:szCs w:val="21"/>
                <w:lang w:eastAsia="zh-Hans"/>
              </w:rPr>
            </w:pPr>
            <w:r>
              <w:rPr>
                <w:rFonts w:hint="eastAsia" w:ascii="宋体" w:hAnsi="宋体" w:cs="宋体"/>
                <w:kern w:val="0"/>
                <w:sz w:val="21"/>
                <w:szCs w:val="21"/>
                <w:lang w:eastAsia="zh-Hans" w:bidi="ar"/>
              </w:rPr>
              <w:t>总部园区城市道路优化工程</w:t>
            </w:r>
          </w:p>
        </w:tc>
        <w:tc>
          <w:tcPr>
            <w:tcW w:w="6016" w:type="dxa"/>
            <w:tcBorders>
              <w:top w:val="single" w:color="auto" w:sz="4" w:space="0"/>
              <w:left w:val="single" w:color="auto" w:sz="4" w:space="0"/>
              <w:bottom w:val="single" w:color="auto" w:sz="4" w:space="0"/>
              <w:right w:val="single" w:color="auto" w:sz="4" w:space="0"/>
            </w:tcBorders>
            <w:shd w:val="clear" w:color="auto" w:fill="auto"/>
            <w:vAlign w:val="center"/>
          </w:tcPr>
          <w:p w14:paraId="265E03F9">
            <w:pPr>
              <w:widowControl/>
              <w:ind w:firstLine="420" w:firstLineChars="200"/>
              <w:jc w:val="both"/>
              <w:textAlignment w:val="center"/>
              <w:rPr>
                <w:rFonts w:hint="eastAsia" w:ascii="宋体" w:hAnsi="宋体" w:eastAsia="宋体" w:cs="宋体"/>
                <w:kern w:val="0"/>
                <w:sz w:val="21"/>
                <w:szCs w:val="21"/>
                <w:lang w:eastAsia="zh-Hans" w:bidi="ar"/>
              </w:rPr>
            </w:pPr>
            <w:r>
              <w:rPr>
                <w:rFonts w:hint="eastAsia" w:ascii="宋体" w:hAnsi="宋体" w:eastAsia="宋体" w:cs="宋体"/>
                <w:kern w:val="0"/>
                <w:sz w:val="21"/>
                <w:szCs w:val="21"/>
                <w:lang w:eastAsia="zh-Hans" w:bidi="ar"/>
              </w:rPr>
              <w:t>总部园区内部拟建设道路，宽约15米。开展车行道路面，人行道，交通工程(包含交通疏解)，照明工程等工程。</w:t>
            </w:r>
            <w:r>
              <w:rPr>
                <w:rFonts w:hint="eastAsia" w:ascii="宋体" w:hAnsi="宋体" w:cs="宋体"/>
                <w:kern w:val="0"/>
                <w:sz w:val="21"/>
                <w:szCs w:val="21"/>
                <w:lang w:eastAsia="zh-Hans" w:bidi="ar"/>
              </w:rPr>
              <w:t>全长约748米</w:t>
            </w:r>
          </w:p>
        </w:tc>
      </w:tr>
      <w:tr w14:paraId="5BC87F6A">
        <w:tblPrEx>
          <w:tblCellMar>
            <w:top w:w="0" w:type="dxa"/>
            <w:left w:w="108" w:type="dxa"/>
            <w:bottom w:w="0" w:type="dxa"/>
            <w:right w:w="108" w:type="dxa"/>
          </w:tblCellMar>
        </w:tblPrEx>
        <w:trPr>
          <w:trHeight w:val="1134" w:hRule="atLeast"/>
          <w:jc w:val="center"/>
        </w:trPr>
        <w:tc>
          <w:tcPr>
            <w:tcW w:w="7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CBAD0B">
            <w:pPr>
              <w:widowControl/>
              <w:spacing w:before="190" w:beforeLines="50" w:after="190" w:afterLines="50" w:line="240" w:lineRule="auto"/>
              <w:ind w:firstLine="0" w:firstLineChars="0"/>
              <w:jc w:val="center"/>
              <w:rPr>
                <w:rFonts w:hint="eastAsia" w:ascii="宋体" w:hAnsi="宋体" w:eastAsia="宋体" w:cs="宋体"/>
                <w:color w:val="000000"/>
                <w:kern w:val="0"/>
                <w:sz w:val="21"/>
                <w:lang w:val="en-US" w:eastAsia="zh-CN" w:bidi="ar"/>
              </w:rPr>
            </w:pPr>
            <w:r>
              <w:rPr>
                <w:rFonts w:hint="eastAsia" w:ascii="宋体" w:hAnsi="宋体" w:eastAsia="宋体" w:cs="宋体"/>
                <w:color w:val="000000"/>
                <w:kern w:val="0"/>
                <w:sz w:val="21"/>
                <w:lang w:val="en-US" w:eastAsia="zh-CN" w:bidi="ar"/>
              </w:rPr>
              <w:t>5</w:t>
            </w:r>
          </w:p>
        </w:tc>
        <w:tc>
          <w:tcPr>
            <w:tcW w:w="1855" w:type="dxa"/>
            <w:tcBorders>
              <w:top w:val="single" w:color="auto" w:sz="4" w:space="0"/>
              <w:left w:val="single" w:color="auto" w:sz="4" w:space="0"/>
              <w:bottom w:val="single" w:color="auto" w:sz="4" w:space="0"/>
              <w:right w:val="single" w:color="auto" w:sz="4" w:space="0"/>
            </w:tcBorders>
            <w:shd w:val="clear" w:color="auto" w:fill="auto"/>
            <w:vAlign w:val="center"/>
          </w:tcPr>
          <w:p w14:paraId="475D3C6C">
            <w:pPr>
              <w:widowControl/>
              <w:ind w:firstLine="420" w:firstLineChars="200"/>
              <w:jc w:val="both"/>
              <w:textAlignment w:val="center"/>
              <w:rPr>
                <w:rFonts w:hint="eastAsia" w:ascii="宋体" w:hAnsi="宋体" w:eastAsia="宋体" w:cs="宋体"/>
                <w:kern w:val="0"/>
                <w:sz w:val="21"/>
                <w:szCs w:val="21"/>
                <w:lang w:eastAsia="zh-Hans"/>
              </w:rPr>
            </w:pPr>
            <w:r>
              <w:rPr>
                <w:rFonts w:hint="eastAsia" w:ascii="宋体" w:hAnsi="宋体" w:cs="宋体"/>
                <w:kern w:val="0"/>
                <w:sz w:val="21"/>
                <w:szCs w:val="21"/>
                <w:lang w:eastAsia="zh-Hans" w:bidi="ar"/>
              </w:rPr>
              <w:t>中旅广花路项目周边道路工程</w:t>
            </w:r>
          </w:p>
        </w:tc>
        <w:tc>
          <w:tcPr>
            <w:tcW w:w="6016" w:type="dxa"/>
            <w:tcBorders>
              <w:top w:val="single" w:color="auto" w:sz="4" w:space="0"/>
              <w:left w:val="single" w:color="auto" w:sz="4" w:space="0"/>
              <w:bottom w:val="single" w:color="auto" w:sz="4" w:space="0"/>
              <w:right w:val="single" w:color="auto" w:sz="4" w:space="0"/>
            </w:tcBorders>
            <w:shd w:val="clear" w:color="auto" w:fill="auto"/>
            <w:vAlign w:val="center"/>
          </w:tcPr>
          <w:p w14:paraId="575E89C9">
            <w:pPr>
              <w:widowControl/>
              <w:ind w:firstLine="420" w:firstLineChars="200"/>
              <w:jc w:val="both"/>
              <w:textAlignment w:val="center"/>
              <w:rPr>
                <w:rFonts w:hint="eastAsia" w:ascii="宋体" w:hAnsi="宋体" w:eastAsia="宋体" w:cs="宋体"/>
                <w:kern w:val="0"/>
                <w:sz w:val="21"/>
                <w:szCs w:val="21"/>
                <w:lang w:val="en-US" w:eastAsia="zh-Hans" w:bidi="ar"/>
              </w:rPr>
            </w:pPr>
            <w:r>
              <w:rPr>
                <w:rFonts w:hint="eastAsia" w:ascii="宋体" w:hAnsi="宋体" w:eastAsia="宋体" w:cs="宋体"/>
                <w:kern w:val="0"/>
                <w:sz w:val="21"/>
                <w:szCs w:val="21"/>
                <w:lang w:eastAsia="zh-Hans" w:bidi="ar"/>
              </w:rPr>
              <w:t>新建4条道路（含配套工程），道路宽度40米，为城市次干道。</w:t>
            </w:r>
            <w:r>
              <w:rPr>
                <w:rFonts w:hint="eastAsia" w:ascii="宋体" w:hAnsi="宋体" w:cs="宋体"/>
                <w:kern w:val="0"/>
                <w:sz w:val="21"/>
                <w:szCs w:val="21"/>
                <w:lang w:eastAsia="zh-Hans" w:bidi="ar"/>
              </w:rPr>
              <w:t>全长约2000米</w:t>
            </w:r>
          </w:p>
        </w:tc>
      </w:tr>
      <w:tr w14:paraId="7B3EF9AD">
        <w:tblPrEx>
          <w:tblCellMar>
            <w:top w:w="0" w:type="dxa"/>
            <w:left w:w="108" w:type="dxa"/>
            <w:bottom w:w="0" w:type="dxa"/>
            <w:right w:w="108" w:type="dxa"/>
          </w:tblCellMar>
        </w:tblPrEx>
        <w:trPr>
          <w:trHeight w:val="1134" w:hRule="atLeast"/>
          <w:jc w:val="center"/>
        </w:trPr>
        <w:tc>
          <w:tcPr>
            <w:tcW w:w="7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0E90F1">
            <w:pPr>
              <w:widowControl/>
              <w:spacing w:before="190" w:beforeLines="50" w:after="190" w:afterLines="50" w:line="240" w:lineRule="auto"/>
              <w:ind w:firstLine="0" w:firstLineChars="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6</w:t>
            </w:r>
          </w:p>
        </w:tc>
        <w:tc>
          <w:tcPr>
            <w:tcW w:w="1855" w:type="dxa"/>
            <w:tcBorders>
              <w:top w:val="single" w:color="auto" w:sz="4" w:space="0"/>
              <w:left w:val="single" w:color="auto" w:sz="4" w:space="0"/>
              <w:bottom w:val="single" w:color="auto" w:sz="4" w:space="0"/>
              <w:right w:val="single" w:color="auto" w:sz="4" w:space="0"/>
            </w:tcBorders>
            <w:shd w:val="clear" w:color="auto" w:fill="auto"/>
            <w:vAlign w:val="center"/>
          </w:tcPr>
          <w:p w14:paraId="7A98ECE1">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国光工业园北侧城市道路连通工程</w:t>
            </w:r>
          </w:p>
        </w:tc>
        <w:tc>
          <w:tcPr>
            <w:tcW w:w="6016" w:type="dxa"/>
            <w:tcBorders>
              <w:top w:val="single" w:color="auto" w:sz="4" w:space="0"/>
              <w:left w:val="single" w:color="auto" w:sz="4" w:space="0"/>
              <w:bottom w:val="single" w:color="auto" w:sz="4" w:space="0"/>
              <w:right w:val="single" w:color="auto" w:sz="4" w:space="0"/>
            </w:tcBorders>
            <w:shd w:val="clear" w:color="auto" w:fill="auto"/>
            <w:vAlign w:val="center"/>
          </w:tcPr>
          <w:p w14:paraId="086E3301">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总部园区内部拟建设道路1000米，宽约15米。开展车行道路面，人行道，交通工程(包含交通疏解)，照明工程等工程。</w:t>
            </w:r>
          </w:p>
        </w:tc>
      </w:tr>
      <w:tr w14:paraId="0FE502CE">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12BF228">
            <w:pPr>
              <w:widowControl/>
              <w:spacing w:before="190" w:beforeLines="50" w:after="190" w:afterLines="50" w:line="240" w:lineRule="auto"/>
              <w:ind w:firstLine="0" w:firstLineChars="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7</w:t>
            </w:r>
          </w:p>
        </w:tc>
        <w:tc>
          <w:tcPr>
            <w:tcW w:w="1855" w:type="dxa"/>
            <w:tcBorders>
              <w:top w:val="single" w:color="auto" w:sz="4" w:space="0"/>
              <w:left w:val="single" w:color="auto" w:sz="4" w:space="0"/>
              <w:bottom w:val="single" w:color="auto" w:sz="4" w:space="0"/>
              <w:right w:val="single" w:color="auto" w:sz="4" w:space="0"/>
            </w:tcBorders>
            <w:vAlign w:val="center"/>
          </w:tcPr>
          <w:p w14:paraId="7C9319EE">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蔗园路与联乡南路改造工程</w:t>
            </w:r>
          </w:p>
        </w:tc>
        <w:tc>
          <w:tcPr>
            <w:tcW w:w="6016" w:type="dxa"/>
            <w:tcBorders>
              <w:top w:val="single" w:color="auto" w:sz="4" w:space="0"/>
              <w:left w:val="single" w:color="auto" w:sz="4" w:space="0"/>
              <w:bottom w:val="single" w:color="auto" w:sz="4" w:space="0"/>
              <w:right w:val="single" w:color="auto" w:sz="4" w:space="0"/>
            </w:tcBorders>
            <w:vAlign w:val="center"/>
          </w:tcPr>
          <w:p w14:paraId="01CD59E6">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eastAsia="宋体" w:cs="宋体"/>
                <w:kern w:val="0"/>
                <w:sz w:val="21"/>
                <w:szCs w:val="21"/>
                <w:lang w:eastAsia="zh-Hans" w:bidi="ar"/>
              </w:rPr>
              <w:t>蔗园路为城市支路，西起邝村东路，东至镜湖大道北，规划红线宽度为30米。主要建设内容为车行道路面改造，人行道改造，交通工程改造(包含交通疏解)。</w:t>
            </w:r>
            <w:r>
              <w:rPr>
                <w:rFonts w:hint="eastAsia" w:ascii="宋体" w:hAnsi="宋体" w:cs="宋体"/>
                <w:kern w:val="0"/>
                <w:sz w:val="21"/>
                <w:szCs w:val="21"/>
                <w:lang w:eastAsia="zh-Hans" w:bidi="ar"/>
              </w:rPr>
              <w:t>蔗园路长约1200米；联乡南路约840米；</w:t>
            </w:r>
          </w:p>
        </w:tc>
      </w:tr>
      <w:tr w14:paraId="437AE943">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91169F7">
            <w:pPr>
              <w:widowControl/>
              <w:spacing w:before="190" w:beforeLines="50" w:after="190" w:afterLines="50" w:line="240" w:lineRule="auto"/>
              <w:ind w:firstLine="0" w:firstLineChars="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8</w:t>
            </w:r>
          </w:p>
        </w:tc>
        <w:tc>
          <w:tcPr>
            <w:tcW w:w="1855" w:type="dxa"/>
            <w:tcBorders>
              <w:top w:val="single" w:color="auto" w:sz="4" w:space="0"/>
              <w:left w:val="single" w:color="auto" w:sz="4" w:space="0"/>
              <w:bottom w:val="single" w:color="auto" w:sz="4" w:space="0"/>
              <w:right w:val="single" w:color="auto" w:sz="4" w:space="0"/>
            </w:tcBorders>
            <w:vAlign w:val="center"/>
          </w:tcPr>
          <w:p w14:paraId="684199BA">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镜湖大道（北段）与永利路改造工程</w:t>
            </w:r>
          </w:p>
        </w:tc>
        <w:tc>
          <w:tcPr>
            <w:tcW w:w="6016" w:type="dxa"/>
            <w:tcBorders>
              <w:top w:val="single" w:color="auto" w:sz="4" w:space="0"/>
              <w:left w:val="single" w:color="auto" w:sz="4" w:space="0"/>
              <w:bottom w:val="single" w:color="auto" w:sz="4" w:space="0"/>
              <w:right w:val="single" w:color="auto" w:sz="4" w:space="0"/>
            </w:tcBorders>
            <w:vAlign w:val="center"/>
          </w:tcPr>
          <w:p w14:paraId="7931EA70">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eastAsia="宋体" w:cs="宋体"/>
                <w:kern w:val="0"/>
                <w:sz w:val="21"/>
                <w:szCs w:val="21"/>
                <w:lang w:eastAsia="zh-Hans" w:bidi="ar"/>
              </w:rPr>
              <w:t>1、镜湖大道，其中镜湖大道北起于迎宾大道，终于迎春路，为城市主干路，道路红线宽60米，改造内容包括车行道路面改造，人行道改造，交通工程改造(包含交通疏解)。</w:t>
            </w:r>
            <w:r>
              <w:rPr>
                <w:rFonts w:hint="eastAsia" w:ascii="宋体" w:hAnsi="宋体" w:cs="宋体"/>
                <w:kern w:val="0"/>
                <w:sz w:val="21"/>
                <w:szCs w:val="21"/>
                <w:lang w:eastAsia="zh-Hans" w:bidi="ar"/>
              </w:rPr>
              <w:t>镜湖大道（北段）总长约2500米</w:t>
            </w:r>
            <w:r>
              <w:rPr>
                <w:rFonts w:hint="eastAsia" w:ascii="宋体" w:hAnsi="宋体" w:eastAsia="宋体" w:cs="宋体"/>
                <w:kern w:val="0"/>
                <w:sz w:val="21"/>
                <w:szCs w:val="21"/>
                <w:lang w:eastAsia="zh-Hans" w:bidi="ar"/>
              </w:rPr>
              <w:br w:type="textWrapping"/>
            </w:r>
            <w:r>
              <w:rPr>
                <w:rFonts w:hint="eastAsia" w:ascii="宋体" w:hAnsi="宋体" w:eastAsia="宋体" w:cs="宋体"/>
                <w:kern w:val="0"/>
                <w:sz w:val="21"/>
                <w:szCs w:val="21"/>
                <w:lang w:eastAsia="zh-Hans" w:bidi="ar"/>
              </w:rPr>
              <w:t>2、永利路为城市次干路，西起凤凰大道，东至镜湖大道北，规划红线宽度为40米。建设内容包括车行道路面改造，人行道改造，交通工程改造(包含交通疏解)，照明工程。</w:t>
            </w:r>
            <w:r>
              <w:rPr>
                <w:rFonts w:hint="eastAsia" w:ascii="宋体" w:hAnsi="宋体" w:cs="宋体"/>
                <w:kern w:val="0"/>
                <w:sz w:val="21"/>
                <w:szCs w:val="21"/>
                <w:lang w:eastAsia="zh-Hans" w:bidi="ar"/>
              </w:rPr>
              <w:t>永利路长约1200米</w:t>
            </w:r>
          </w:p>
        </w:tc>
      </w:tr>
      <w:tr w14:paraId="7FA9A8BD">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59FA530">
            <w:pPr>
              <w:widowControl/>
              <w:spacing w:before="190" w:beforeLines="50" w:after="190" w:afterLines="50" w:line="240" w:lineRule="auto"/>
              <w:ind w:firstLine="0" w:firstLineChars="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9</w:t>
            </w:r>
          </w:p>
        </w:tc>
        <w:tc>
          <w:tcPr>
            <w:tcW w:w="1855" w:type="dxa"/>
            <w:tcBorders>
              <w:top w:val="single" w:color="auto" w:sz="4" w:space="0"/>
              <w:left w:val="single" w:color="auto" w:sz="4" w:space="0"/>
              <w:bottom w:val="single" w:color="auto" w:sz="4" w:space="0"/>
              <w:right w:val="single" w:color="auto" w:sz="4" w:space="0"/>
            </w:tcBorders>
            <w:vAlign w:val="center"/>
          </w:tcPr>
          <w:p w14:paraId="418737FF">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村级工业园周边整治工程</w:t>
            </w:r>
          </w:p>
        </w:tc>
        <w:tc>
          <w:tcPr>
            <w:tcW w:w="6016" w:type="dxa"/>
            <w:tcBorders>
              <w:top w:val="single" w:color="auto" w:sz="4" w:space="0"/>
              <w:left w:val="single" w:color="auto" w:sz="4" w:space="0"/>
              <w:bottom w:val="single" w:color="auto" w:sz="4" w:space="0"/>
              <w:right w:val="single" w:color="auto" w:sz="4" w:space="0"/>
            </w:tcBorders>
            <w:vAlign w:val="center"/>
          </w:tcPr>
          <w:p w14:paraId="0C206DC1">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eastAsia="宋体" w:cs="宋体"/>
                <w:kern w:val="0"/>
                <w:sz w:val="21"/>
                <w:szCs w:val="21"/>
                <w:lang w:eastAsia="zh-Hans" w:bidi="ar"/>
              </w:rPr>
              <w:t>本工程包含雅瑶新村、团结村、石塘村、东莞村、广塘村的村级工业园周边环境整治。主要建设为疏导道路排水，完善道路附属设施，提升道路交通功能等。</w:t>
            </w:r>
            <w:r>
              <w:rPr>
                <w:rFonts w:hint="eastAsia" w:ascii="宋体" w:hAnsi="宋体" w:cs="宋体"/>
                <w:kern w:val="0"/>
                <w:sz w:val="21"/>
                <w:szCs w:val="21"/>
                <w:lang w:eastAsia="zh-Hans" w:bidi="ar"/>
              </w:rPr>
              <w:t>路长约2700米</w:t>
            </w:r>
          </w:p>
        </w:tc>
      </w:tr>
      <w:tr w14:paraId="07378968">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49F4D83">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10</w:t>
            </w:r>
          </w:p>
        </w:tc>
        <w:tc>
          <w:tcPr>
            <w:tcW w:w="1855" w:type="dxa"/>
            <w:tcBorders>
              <w:top w:val="single" w:color="auto" w:sz="4" w:space="0"/>
              <w:left w:val="single" w:color="auto" w:sz="4" w:space="0"/>
              <w:bottom w:val="single" w:color="auto" w:sz="4" w:space="0"/>
              <w:right w:val="single" w:color="auto" w:sz="4" w:space="0"/>
            </w:tcBorders>
            <w:vAlign w:val="center"/>
          </w:tcPr>
          <w:p w14:paraId="2FACFCD0">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示范村综合环境整治工程</w:t>
            </w:r>
          </w:p>
        </w:tc>
        <w:tc>
          <w:tcPr>
            <w:tcW w:w="6016" w:type="dxa"/>
            <w:tcBorders>
              <w:top w:val="single" w:color="auto" w:sz="4" w:space="0"/>
              <w:left w:val="single" w:color="auto" w:sz="4" w:space="0"/>
              <w:bottom w:val="single" w:color="auto" w:sz="4" w:space="0"/>
              <w:right w:val="single" w:color="auto" w:sz="4" w:space="0"/>
            </w:tcBorders>
            <w:vAlign w:val="center"/>
          </w:tcPr>
          <w:p w14:paraId="5D107972">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eastAsia="宋体" w:cs="宋体"/>
                <w:kern w:val="0"/>
                <w:sz w:val="21"/>
                <w:szCs w:val="21"/>
                <w:lang w:eastAsia="zh-Hans" w:bidi="ar"/>
              </w:rPr>
              <w:t>本工程包含邝家庄村、雅瑶旧村、岑境村三条示范村综合整治提升，维持现状基础的前提下，解决村内周边环境整治问题。疏导道路排水，完善道路附属设施，提升道路交通功能等。</w:t>
            </w:r>
            <w:r>
              <w:rPr>
                <w:rFonts w:hint="eastAsia" w:ascii="宋体" w:hAnsi="宋体" w:cs="宋体"/>
                <w:kern w:val="0"/>
                <w:sz w:val="21"/>
                <w:szCs w:val="21"/>
                <w:lang w:eastAsia="zh-Hans" w:bidi="ar"/>
              </w:rPr>
              <w:t>路长约2000米</w:t>
            </w:r>
          </w:p>
        </w:tc>
      </w:tr>
      <w:tr w14:paraId="211FAFAA">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1697058">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11</w:t>
            </w:r>
          </w:p>
        </w:tc>
        <w:tc>
          <w:tcPr>
            <w:tcW w:w="1855" w:type="dxa"/>
            <w:tcBorders>
              <w:top w:val="single" w:color="auto" w:sz="4" w:space="0"/>
              <w:left w:val="single" w:color="auto" w:sz="4" w:space="0"/>
              <w:bottom w:val="single" w:color="auto" w:sz="4" w:space="0"/>
              <w:right w:val="single" w:color="auto" w:sz="4" w:space="0"/>
            </w:tcBorders>
            <w:vAlign w:val="center"/>
          </w:tcPr>
          <w:p w14:paraId="5C2C6CB3">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花都湖周边雨污分流和道路改造工程</w:t>
            </w:r>
          </w:p>
        </w:tc>
        <w:tc>
          <w:tcPr>
            <w:tcW w:w="6016" w:type="dxa"/>
            <w:tcBorders>
              <w:top w:val="single" w:color="auto" w:sz="4" w:space="0"/>
              <w:left w:val="single" w:color="auto" w:sz="4" w:space="0"/>
              <w:bottom w:val="single" w:color="auto" w:sz="4" w:space="0"/>
              <w:right w:val="single" w:color="auto" w:sz="4" w:space="0"/>
            </w:tcBorders>
            <w:vAlign w:val="center"/>
          </w:tcPr>
          <w:p w14:paraId="2D2C4C75">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eastAsia="宋体" w:cs="宋体"/>
                <w:kern w:val="0"/>
                <w:sz w:val="21"/>
                <w:szCs w:val="21"/>
                <w:lang w:eastAsia="zh-Hans" w:bidi="ar"/>
              </w:rPr>
              <w:t>1、</w:t>
            </w:r>
            <w:r>
              <w:rPr>
                <w:rFonts w:hint="eastAsia" w:ascii="宋体" w:hAnsi="宋体" w:eastAsia="宋体" w:cs="宋体"/>
                <w:b w:val="0"/>
                <w:bCs w:val="0"/>
                <w:kern w:val="0"/>
                <w:sz w:val="21"/>
                <w:szCs w:val="21"/>
                <w:u w:val="none"/>
                <w:lang w:eastAsia="zh-Hans" w:bidi="ar"/>
              </w:rPr>
              <w:t>对雅瑶社区雅苑大厦、雅乐苑小区等无物业小区进行雨污分流改造，</w:t>
            </w:r>
            <w:r>
              <w:rPr>
                <w:rFonts w:hint="eastAsia" w:ascii="宋体" w:hAnsi="宋体" w:cs="宋体"/>
                <w:kern w:val="0"/>
                <w:sz w:val="21"/>
                <w:szCs w:val="21"/>
                <w:lang w:eastAsia="zh-Hans" w:bidi="ar"/>
              </w:rPr>
              <w:t>面积约35388平方米</w:t>
            </w:r>
            <w:r>
              <w:rPr>
                <w:rFonts w:hint="eastAsia" w:ascii="宋体" w:hAnsi="宋体" w:eastAsia="宋体" w:cs="宋体"/>
                <w:b w:val="0"/>
                <w:bCs w:val="0"/>
                <w:kern w:val="0"/>
                <w:sz w:val="21"/>
                <w:szCs w:val="21"/>
                <w:u w:val="none"/>
                <w:lang w:eastAsia="zh-Hans" w:bidi="ar"/>
              </w:rPr>
              <w:t>。</w:t>
            </w:r>
            <w:r>
              <w:rPr>
                <w:rFonts w:hint="eastAsia" w:ascii="宋体" w:hAnsi="宋体" w:eastAsia="宋体" w:cs="宋体"/>
                <w:kern w:val="0"/>
                <w:sz w:val="21"/>
                <w:szCs w:val="21"/>
                <w:lang w:eastAsia="zh-Hans" w:bidi="ar"/>
              </w:rPr>
              <w:br w:type="textWrapping"/>
            </w:r>
            <w:r>
              <w:rPr>
                <w:rFonts w:hint="eastAsia" w:ascii="宋体" w:hAnsi="宋体" w:eastAsia="宋体" w:cs="宋体"/>
                <w:kern w:val="0"/>
                <w:sz w:val="21"/>
                <w:szCs w:val="21"/>
                <w:lang w:eastAsia="zh-Hans" w:bidi="ar"/>
              </w:rPr>
              <w:t>2、廊海西路道路建设</w:t>
            </w:r>
            <w:r>
              <w:rPr>
                <w:rFonts w:hint="eastAsia" w:ascii="宋体" w:hAnsi="宋体" w:cs="宋体"/>
                <w:kern w:val="0"/>
                <w:sz w:val="21"/>
                <w:szCs w:val="21"/>
                <w:lang w:eastAsia="zh-Hans" w:bidi="ar"/>
              </w:rPr>
              <w:t>约120米</w:t>
            </w:r>
            <w:r>
              <w:rPr>
                <w:rFonts w:hint="eastAsia" w:ascii="宋体" w:hAnsi="宋体" w:eastAsia="宋体" w:cs="宋体"/>
                <w:kern w:val="0"/>
                <w:sz w:val="21"/>
                <w:szCs w:val="21"/>
                <w:lang w:eastAsia="zh-Hans" w:bidi="ar"/>
              </w:rPr>
              <w:t>，包括排水、照明等工程。</w:t>
            </w:r>
          </w:p>
        </w:tc>
      </w:tr>
      <w:tr w14:paraId="0B91547D">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2447694">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12</w:t>
            </w:r>
          </w:p>
        </w:tc>
        <w:tc>
          <w:tcPr>
            <w:tcW w:w="1855" w:type="dxa"/>
            <w:tcBorders>
              <w:top w:val="single" w:color="auto" w:sz="4" w:space="0"/>
              <w:left w:val="single" w:color="auto" w:sz="4" w:space="0"/>
              <w:bottom w:val="single" w:color="auto" w:sz="4" w:space="0"/>
              <w:right w:val="single" w:color="auto" w:sz="4" w:space="0"/>
            </w:tcBorders>
            <w:vAlign w:val="center"/>
          </w:tcPr>
          <w:p w14:paraId="0C70CB88">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新雅街河堤整治、修复工程</w:t>
            </w:r>
          </w:p>
        </w:tc>
        <w:tc>
          <w:tcPr>
            <w:tcW w:w="6016" w:type="dxa"/>
            <w:tcBorders>
              <w:top w:val="single" w:color="auto" w:sz="4" w:space="0"/>
              <w:left w:val="single" w:color="auto" w:sz="4" w:space="0"/>
              <w:bottom w:val="single" w:color="auto" w:sz="4" w:space="0"/>
              <w:right w:val="single" w:color="auto" w:sz="4" w:space="0"/>
            </w:tcBorders>
            <w:vAlign w:val="center"/>
          </w:tcPr>
          <w:p w14:paraId="158A3C19">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eastAsia="宋体" w:cs="宋体"/>
                <w:kern w:val="0"/>
                <w:sz w:val="21"/>
                <w:szCs w:val="21"/>
                <w:lang w:eastAsia="zh-Hans" w:bidi="ar"/>
              </w:rPr>
              <w:t>对新街河支流2进行修复整治，</w:t>
            </w:r>
            <w:r>
              <w:rPr>
                <w:rFonts w:hint="eastAsia" w:ascii="宋体" w:hAnsi="宋体" w:eastAsia="宋体" w:cs="宋体"/>
                <w:b w:val="0"/>
                <w:bCs w:val="0"/>
                <w:kern w:val="0"/>
                <w:sz w:val="21"/>
                <w:szCs w:val="21"/>
                <w:u w:val="none"/>
                <w:lang w:eastAsia="zh-Hans" w:bidi="ar"/>
              </w:rPr>
              <w:t>新建约1200米混凝土挡墙</w:t>
            </w:r>
            <w:r>
              <w:rPr>
                <w:rFonts w:hint="eastAsia" w:ascii="宋体" w:hAnsi="宋体" w:eastAsia="宋体" w:cs="宋体"/>
                <w:kern w:val="0"/>
                <w:sz w:val="21"/>
                <w:szCs w:val="21"/>
                <w:lang w:eastAsia="zh-Hans" w:bidi="ar"/>
              </w:rPr>
              <w:t>；对雅瑶支涌部分存在安全隐患的河堤进行整治修复。</w:t>
            </w:r>
          </w:p>
        </w:tc>
      </w:tr>
      <w:tr w14:paraId="47DDCD05">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D9590F9">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13</w:t>
            </w:r>
          </w:p>
        </w:tc>
        <w:tc>
          <w:tcPr>
            <w:tcW w:w="1855" w:type="dxa"/>
            <w:tcBorders>
              <w:top w:val="single" w:color="auto" w:sz="4" w:space="0"/>
              <w:left w:val="single" w:color="auto" w:sz="4" w:space="0"/>
              <w:bottom w:val="single" w:color="auto" w:sz="4" w:space="0"/>
              <w:right w:val="single" w:color="auto" w:sz="4" w:space="0"/>
            </w:tcBorders>
            <w:vAlign w:val="center"/>
          </w:tcPr>
          <w:p w14:paraId="6C518F18">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新雅街广塘村环村圳污水整治</w:t>
            </w:r>
          </w:p>
        </w:tc>
        <w:tc>
          <w:tcPr>
            <w:tcW w:w="6016" w:type="dxa"/>
            <w:tcBorders>
              <w:top w:val="single" w:color="auto" w:sz="4" w:space="0"/>
              <w:left w:val="single" w:color="auto" w:sz="4" w:space="0"/>
              <w:bottom w:val="single" w:color="auto" w:sz="4" w:space="0"/>
              <w:right w:val="single" w:color="auto" w:sz="4" w:space="0"/>
            </w:tcBorders>
            <w:vAlign w:val="center"/>
          </w:tcPr>
          <w:p w14:paraId="7A7CF947">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eastAsia="宋体" w:cs="宋体"/>
                <w:kern w:val="0"/>
                <w:sz w:val="21"/>
                <w:szCs w:val="21"/>
                <w:lang w:eastAsia="zh-Hans" w:bidi="ar"/>
              </w:rPr>
              <w:t>广塘村环村圳污水管网进行污水整治，</w:t>
            </w:r>
            <w:r>
              <w:rPr>
                <w:rFonts w:hint="eastAsia" w:ascii="宋体" w:hAnsi="宋体" w:cs="宋体"/>
                <w:kern w:val="0"/>
                <w:sz w:val="21"/>
                <w:szCs w:val="21"/>
                <w:lang w:eastAsia="zh-Hans" w:bidi="ar"/>
              </w:rPr>
              <w:t>新建约1650米污水管道、新建约120座方井。</w:t>
            </w:r>
          </w:p>
        </w:tc>
      </w:tr>
      <w:tr w14:paraId="185F5530">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B277934">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14</w:t>
            </w:r>
          </w:p>
        </w:tc>
        <w:tc>
          <w:tcPr>
            <w:tcW w:w="1855" w:type="dxa"/>
            <w:tcBorders>
              <w:top w:val="single" w:color="auto" w:sz="4" w:space="0"/>
              <w:left w:val="single" w:color="auto" w:sz="4" w:space="0"/>
              <w:bottom w:val="single" w:color="auto" w:sz="4" w:space="0"/>
              <w:right w:val="single" w:color="auto" w:sz="4" w:space="0"/>
            </w:tcBorders>
            <w:vAlign w:val="center"/>
          </w:tcPr>
          <w:p w14:paraId="4499AFAF">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中山大学附属仁济医院西侧基础设施改造</w:t>
            </w:r>
          </w:p>
        </w:tc>
        <w:tc>
          <w:tcPr>
            <w:tcW w:w="6016" w:type="dxa"/>
            <w:tcBorders>
              <w:top w:val="single" w:color="auto" w:sz="4" w:space="0"/>
              <w:left w:val="single" w:color="auto" w:sz="4" w:space="0"/>
              <w:bottom w:val="single" w:color="auto" w:sz="4" w:space="0"/>
              <w:right w:val="single" w:color="auto" w:sz="4" w:space="0"/>
            </w:tcBorders>
            <w:vAlign w:val="center"/>
          </w:tcPr>
          <w:p w14:paraId="62502082">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新建排水设施、人行道铺装、单车道铺设、周边设施整治等。</w:t>
            </w:r>
          </w:p>
        </w:tc>
      </w:tr>
      <w:tr w14:paraId="615E3890">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7CD1802">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15</w:t>
            </w:r>
          </w:p>
        </w:tc>
        <w:tc>
          <w:tcPr>
            <w:tcW w:w="1855" w:type="dxa"/>
            <w:tcBorders>
              <w:top w:val="single" w:color="auto" w:sz="4" w:space="0"/>
              <w:left w:val="single" w:color="auto" w:sz="4" w:space="0"/>
              <w:bottom w:val="single" w:color="auto" w:sz="4" w:space="0"/>
              <w:right w:val="single" w:color="auto" w:sz="4" w:space="0"/>
            </w:tcBorders>
            <w:vAlign w:val="center"/>
          </w:tcPr>
          <w:p w14:paraId="7287C5D0">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凤凰南路路段沥青加铺改造工程</w:t>
            </w:r>
          </w:p>
        </w:tc>
        <w:tc>
          <w:tcPr>
            <w:tcW w:w="6016" w:type="dxa"/>
            <w:tcBorders>
              <w:top w:val="single" w:color="auto" w:sz="4" w:space="0"/>
              <w:left w:val="single" w:color="auto" w:sz="4" w:space="0"/>
              <w:bottom w:val="single" w:color="auto" w:sz="4" w:space="0"/>
              <w:right w:val="single" w:color="auto" w:sz="4" w:space="0"/>
            </w:tcBorders>
            <w:vAlign w:val="center"/>
          </w:tcPr>
          <w:p w14:paraId="52AFE2F2">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维持现状道路中线不变的基础上，解决凤凰南路路段约</w:t>
            </w:r>
            <w:r>
              <w:rPr>
                <w:rFonts w:hint="eastAsia" w:ascii="宋体" w:hAnsi="宋体" w:cs="宋体"/>
                <w:kern w:val="0"/>
                <w:lang w:eastAsia="zh-Hans" w:bidi="ar"/>
              </w:rPr>
              <w:t>1.4</w:t>
            </w:r>
            <w:r>
              <w:rPr>
                <w:rFonts w:hint="eastAsia" w:ascii="宋体" w:hAnsi="宋体" w:cs="宋体"/>
                <w:kern w:val="0"/>
                <w:sz w:val="21"/>
                <w:szCs w:val="21"/>
                <w:lang w:eastAsia="zh-Hans" w:bidi="ar"/>
              </w:rPr>
              <w:t>公里路面及桥梁病害，疏导道路排水，完善道路附属设施，提升道路交通功能等。</w:t>
            </w:r>
          </w:p>
        </w:tc>
      </w:tr>
      <w:tr w14:paraId="3C9167CE">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682E9C5">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16</w:t>
            </w:r>
          </w:p>
        </w:tc>
        <w:tc>
          <w:tcPr>
            <w:tcW w:w="1855" w:type="dxa"/>
            <w:tcBorders>
              <w:top w:val="single" w:color="auto" w:sz="4" w:space="0"/>
              <w:left w:val="single" w:color="auto" w:sz="4" w:space="0"/>
              <w:bottom w:val="single" w:color="auto" w:sz="4" w:space="0"/>
              <w:right w:val="single" w:color="auto" w:sz="4" w:space="0"/>
            </w:tcBorders>
            <w:vAlign w:val="center"/>
          </w:tcPr>
          <w:p w14:paraId="42A91CEB">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龙湖路及周边基础设施提升改造工程</w:t>
            </w:r>
          </w:p>
        </w:tc>
        <w:tc>
          <w:tcPr>
            <w:tcW w:w="6016" w:type="dxa"/>
            <w:tcBorders>
              <w:top w:val="single" w:color="auto" w:sz="4" w:space="0"/>
              <w:left w:val="single" w:color="auto" w:sz="4" w:space="0"/>
              <w:bottom w:val="single" w:color="auto" w:sz="4" w:space="0"/>
              <w:right w:val="single" w:color="auto" w:sz="4" w:space="0"/>
            </w:tcBorders>
            <w:vAlign w:val="center"/>
          </w:tcPr>
          <w:p w14:paraId="0FC6EBC1">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对龙湖路及周边产业园配套基础设施进行综合整治提升，主要包含</w:t>
            </w:r>
            <w:r>
              <w:rPr>
                <w:rFonts w:hint="eastAsia" w:ascii="宋体" w:hAnsi="宋体" w:cs="宋体"/>
                <w:kern w:val="0"/>
                <w:lang w:eastAsia="zh-Hans" w:bidi="ar"/>
              </w:rPr>
              <w:t>:</w:t>
            </w:r>
            <w:r>
              <w:rPr>
                <w:rFonts w:hint="eastAsia" w:ascii="宋体" w:hAnsi="宋体" w:cs="宋体"/>
                <w:kern w:val="0"/>
                <w:sz w:val="21"/>
                <w:szCs w:val="21"/>
                <w:lang w:eastAsia="zh-Hans" w:bidi="ar"/>
              </w:rPr>
              <w:t>龙湖路及周边支路品质提升工程，总长</w:t>
            </w:r>
            <w:r>
              <w:rPr>
                <w:rFonts w:hint="eastAsia" w:ascii="宋体" w:hAnsi="宋体" w:cs="宋体"/>
                <w:kern w:val="0"/>
                <w:lang w:eastAsia="zh-Hans" w:bidi="ar"/>
              </w:rPr>
              <w:t>2.4</w:t>
            </w:r>
            <w:r>
              <w:rPr>
                <w:rFonts w:hint="eastAsia" w:ascii="宋体" w:hAnsi="宋体" w:cs="宋体"/>
                <w:kern w:val="0"/>
                <w:sz w:val="21"/>
                <w:szCs w:val="21"/>
                <w:lang w:eastAsia="zh-Hans" w:bidi="ar"/>
              </w:rPr>
              <w:t>公里，改造面积</w:t>
            </w:r>
            <w:r>
              <w:rPr>
                <w:rFonts w:hint="eastAsia" w:ascii="宋体" w:hAnsi="宋体" w:cs="宋体"/>
                <w:kern w:val="0"/>
                <w:lang w:eastAsia="zh-Hans" w:bidi="ar"/>
              </w:rPr>
              <w:t>31364</w:t>
            </w:r>
            <w:r>
              <w:rPr>
                <w:rFonts w:hint="eastAsia" w:ascii="宋体" w:hAnsi="宋体" w:cs="宋体"/>
                <w:kern w:val="0"/>
                <w:sz w:val="21"/>
                <w:szCs w:val="21"/>
                <w:lang w:eastAsia="zh-Hans" w:bidi="ar"/>
              </w:rPr>
              <w:t>平方米，龙湖路周边区域雨污排水设施改造；龙湖路创业服务中心及周边提升，改造龙湖路路侧停车场、邝村东路路侧停车场、邝家庄北侧停车场，总面积</w:t>
            </w:r>
            <w:r>
              <w:rPr>
                <w:rFonts w:hint="eastAsia" w:ascii="宋体" w:hAnsi="宋体" w:cs="宋体"/>
                <w:kern w:val="0"/>
                <w:lang w:eastAsia="zh-Hans" w:bidi="ar"/>
              </w:rPr>
              <w:t>8900</w:t>
            </w:r>
            <w:r>
              <w:rPr>
                <w:rFonts w:hint="eastAsia" w:ascii="宋体" w:hAnsi="宋体" w:cs="宋体"/>
                <w:kern w:val="0"/>
                <w:sz w:val="21"/>
                <w:szCs w:val="21"/>
                <w:lang w:eastAsia="zh-Hans" w:bidi="ar"/>
              </w:rPr>
              <w:t>平方米；新建充电桩</w:t>
            </w:r>
            <w:r>
              <w:rPr>
                <w:rFonts w:hint="eastAsia" w:ascii="宋体" w:hAnsi="宋体" w:cs="宋体"/>
                <w:kern w:val="0"/>
                <w:lang w:eastAsia="zh-Hans" w:bidi="ar"/>
              </w:rPr>
              <w:t>50</w:t>
            </w:r>
            <w:r>
              <w:rPr>
                <w:rFonts w:hint="eastAsia" w:ascii="宋体" w:hAnsi="宋体" w:cs="宋体"/>
                <w:kern w:val="0"/>
                <w:sz w:val="21"/>
                <w:szCs w:val="21"/>
                <w:lang w:eastAsia="zh-Hans" w:bidi="ar"/>
              </w:rPr>
              <w:t>套等。</w:t>
            </w:r>
          </w:p>
        </w:tc>
      </w:tr>
      <w:tr w14:paraId="200A9B3E">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E785776">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17</w:t>
            </w:r>
          </w:p>
        </w:tc>
        <w:tc>
          <w:tcPr>
            <w:tcW w:w="1855" w:type="dxa"/>
            <w:tcBorders>
              <w:top w:val="single" w:color="auto" w:sz="4" w:space="0"/>
              <w:left w:val="single" w:color="auto" w:sz="4" w:space="0"/>
              <w:bottom w:val="single" w:color="auto" w:sz="4" w:space="0"/>
              <w:right w:val="single" w:color="auto" w:sz="4" w:space="0"/>
            </w:tcBorders>
            <w:vAlign w:val="center"/>
          </w:tcPr>
          <w:p w14:paraId="0F720C87">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镜华路贯通工程</w:t>
            </w:r>
          </w:p>
        </w:tc>
        <w:tc>
          <w:tcPr>
            <w:tcW w:w="6016" w:type="dxa"/>
            <w:tcBorders>
              <w:top w:val="single" w:color="auto" w:sz="4" w:space="0"/>
              <w:left w:val="single" w:color="auto" w:sz="4" w:space="0"/>
              <w:bottom w:val="single" w:color="auto" w:sz="4" w:space="0"/>
              <w:right w:val="single" w:color="auto" w:sz="4" w:space="0"/>
            </w:tcBorders>
            <w:vAlign w:val="center"/>
          </w:tcPr>
          <w:p w14:paraId="2420C73D">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本工程包含一条道路（镜华路），总长度约为</w:t>
            </w:r>
            <w:r>
              <w:rPr>
                <w:rFonts w:hint="eastAsia" w:ascii="宋体" w:hAnsi="宋体" w:cs="宋体"/>
                <w:kern w:val="0"/>
                <w:lang w:eastAsia="zh-Hans" w:bidi="ar"/>
              </w:rPr>
              <w:t>450m</w:t>
            </w:r>
            <w:r>
              <w:rPr>
                <w:rFonts w:hint="eastAsia" w:ascii="宋体" w:hAnsi="宋体" w:cs="宋体"/>
                <w:kern w:val="0"/>
                <w:sz w:val="21"/>
                <w:szCs w:val="21"/>
                <w:lang w:eastAsia="zh-Hans" w:bidi="ar"/>
              </w:rPr>
              <w:t>，为支路，起点接迎春路，终点接石塘庄路，为东西走向，规划红线宽度为</w:t>
            </w:r>
            <w:r>
              <w:rPr>
                <w:rFonts w:hint="eastAsia" w:ascii="宋体" w:hAnsi="宋体" w:cs="宋体"/>
                <w:kern w:val="0"/>
                <w:lang w:eastAsia="zh-Hans" w:bidi="ar"/>
              </w:rPr>
              <w:t>30m</w:t>
            </w:r>
            <w:r>
              <w:rPr>
                <w:rFonts w:hint="eastAsia" w:ascii="宋体" w:hAnsi="宋体" w:cs="宋体"/>
                <w:kern w:val="0"/>
                <w:sz w:val="21"/>
                <w:szCs w:val="21"/>
                <w:lang w:eastAsia="zh-Hans" w:bidi="ar"/>
              </w:rPr>
              <w:t>。建设内容：道路工程、排水工程、照明工程、交通工程</w:t>
            </w:r>
            <w:r>
              <w:rPr>
                <w:rFonts w:hint="eastAsia" w:ascii="宋体" w:hAnsi="宋体" w:cs="宋体"/>
                <w:kern w:val="0"/>
                <w:lang w:eastAsia="zh-Hans" w:bidi="ar"/>
              </w:rPr>
              <w:t>(</w:t>
            </w:r>
            <w:r>
              <w:rPr>
                <w:rFonts w:hint="eastAsia" w:ascii="宋体" w:hAnsi="宋体" w:cs="宋体"/>
                <w:kern w:val="0"/>
                <w:sz w:val="21"/>
                <w:szCs w:val="21"/>
                <w:lang w:eastAsia="zh-Hans" w:bidi="ar"/>
              </w:rPr>
              <w:t>包含交通疏解</w:t>
            </w:r>
            <w:r>
              <w:rPr>
                <w:rFonts w:hint="eastAsia" w:ascii="宋体" w:hAnsi="宋体" w:cs="宋体"/>
                <w:kern w:val="0"/>
                <w:lang w:eastAsia="zh-Hans" w:bidi="ar"/>
              </w:rPr>
              <w:t>)</w:t>
            </w:r>
            <w:r>
              <w:rPr>
                <w:rFonts w:hint="eastAsia" w:ascii="宋体" w:hAnsi="宋体" w:cs="宋体"/>
                <w:kern w:val="0"/>
                <w:sz w:val="21"/>
                <w:szCs w:val="21"/>
                <w:lang w:eastAsia="zh-Hans" w:bidi="ar"/>
              </w:rPr>
              <w:t>等。</w:t>
            </w:r>
          </w:p>
        </w:tc>
      </w:tr>
      <w:tr w14:paraId="43064D8A">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BF3FEE5">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18</w:t>
            </w:r>
          </w:p>
        </w:tc>
        <w:tc>
          <w:tcPr>
            <w:tcW w:w="1855" w:type="dxa"/>
            <w:tcBorders>
              <w:top w:val="single" w:color="auto" w:sz="4" w:space="0"/>
              <w:left w:val="single" w:color="auto" w:sz="4" w:space="0"/>
              <w:bottom w:val="single" w:color="auto" w:sz="4" w:space="0"/>
              <w:right w:val="single" w:color="auto" w:sz="4" w:space="0"/>
            </w:tcBorders>
            <w:vAlign w:val="center"/>
          </w:tcPr>
          <w:p w14:paraId="01AD515C">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华兴工业园和镜湖工业园内部道路工程</w:t>
            </w:r>
          </w:p>
        </w:tc>
        <w:tc>
          <w:tcPr>
            <w:tcW w:w="6016" w:type="dxa"/>
            <w:tcBorders>
              <w:top w:val="single" w:color="auto" w:sz="4" w:space="0"/>
              <w:left w:val="single" w:color="auto" w:sz="4" w:space="0"/>
              <w:bottom w:val="single" w:color="auto" w:sz="4" w:space="0"/>
              <w:right w:val="single" w:color="auto" w:sz="4" w:space="0"/>
            </w:tcBorders>
            <w:vAlign w:val="center"/>
          </w:tcPr>
          <w:p w14:paraId="2C0ECDF2">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本工程包含</w:t>
            </w:r>
            <w:r>
              <w:rPr>
                <w:rFonts w:hint="eastAsia" w:ascii="宋体" w:hAnsi="宋体" w:cs="宋体"/>
                <w:kern w:val="0"/>
                <w:lang w:eastAsia="zh-Hans" w:bidi="ar"/>
              </w:rPr>
              <w:t>13</w:t>
            </w:r>
            <w:r>
              <w:rPr>
                <w:rFonts w:hint="eastAsia" w:ascii="宋体" w:hAnsi="宋体" w:cs="宋体"/>
                <w:kern w:val="0"/>
                <w:sz w:val="21"/>
                <w:szCs w:val="21"/>
                <w:lang w:eastAsia="zh-Hans" w:bidi="ar"/>
              </w:rPr>
              <w:t>条道路（华兴中路，东升路，华兴南路，曙光路，华兴东路；富源一，富源二路，富源三路，始太路，邦盛一路，邦盛二路，邦盛三路，规划路），</w:t>
            </w:r>
            <w:r>
              <w:rPr>
                <w:rFonts w:hint="eastAsia" w:ascii="宋体" w:hAnsi="宋体" w:eastAsia="宋体" w:cs="宋体"/>
                <w:kern w:val="0"/>
                <w:lang w:eastAsia="zh-Hans" w:bidi="ar"/>
              </w:rPr>
              <w:t>总长度约为</w:t>
            </w:r>
            <w:r>
              <w:rPr>
                <w:rFonts w:hint="eastAsia" w:ascii="宋体" w:hAnsi="宋体" w:cs="宋体"/>
                <w:kern w:val="0"/>
                <w:lang w:eastAsia="zh-Hans" w:bidi="ar"/>
              </w:rPr>
              <w:t>11.15km</w:t>
            </w:r>
            <w:r>
              <w:rPr>
                <w:rFonts w:hint="eastAsia" w:ascii="宋体" w:hAnsi="宋体" w:cs="宋体"/>
                <w:kern w:val="0"/>
                <w:sz w:val="21"/>
                <w:szCs w:val="21"/>
                <w:lang w:eastAsia="zh-Hans" w:bidi="ar"/>
              </w:rPr>
              <w:t>，为城市次干道及支路，规划红线宽度为</w:t>
            </w:r>
            <w:r>
              <w:rPr>
                <w:rFonts w:hint="eastAsia" w:ascii="宋体" w:hAnsi="宋体" w:cs="宋体"/>
                <w:kern w:val="0"/>
                <w:lang w:eastAsia="zh-Hans" w:bidi="ar"/>
              </w:rPr>
              <w:t>20-40m</w:t>
            </w:r>
            <w:r>
              <w:rPr>
                <w:rFonts w:hint="eastAsia" w:ascii="宋体" w:hAnsi="宋体" w:cs="宋体"/>
                <w:kern w:val="0"/>
                <w:sz w:val="21"/>
                <w:szCs w:val="21"/>
                <w:lang w:eastAsia="zh-Hans" w:bidi="ar"/>
              </w:rPr>
              <w:t>。建设内容：道路工程、照明工程、交通工程</w:t>
            </w:r>
            <w:r>
              <w:rPr>
                <w:rFonts w:hint="eastAsia" w:ascii="宋体" w:hAnsi="宋体" w:cs="宋体"/>
                <w:kern w:val="0"/>
                <w:lang w:eastAsia="zh-Hans" w:bidi="ar"/>
              </w:rPr>
              <w:t>(</w:t>
            </w:r>
            <w:r>
              <w:rPr>
                <w:rFonts w:hint="eastAsia" w:ascii="宋体" w:hAnsi="宋体" w:cs="宋体"/>
                <w:kern w:val="0"/>
                <w:sz w:val="21"/>
                <w:szCs w:val="21"/>
                <w:lang w:eastAsia="zh-Hans" w:bidi="ar"/>
              </w:rPr>
              <w:t>包含交通疏解</w:t>
            </w:r>
            <w:r>
              <w:rPr>
                <w:rFonts w:hint="eastAsia" w:ascii="宋体" w:hAnsi="宋体" w:cs="宋体"/>
                <w:kern w:val="0"/>
                <w:lang w:eastAsia="zh-Hans" w:bidi="ar"/>
              </w:rPr>
              <w:t>)</w:t>
            </w:r>
            <w:r>
              <w:rPr>
                <w:rFonts w:hint="eastAsia" w:ascii="宋体" w:hAnsi="宋体" w:cs="宋体"/>
                <w:kern w:val="0"/>
                <w:sz w:val="21"/>
                <w:szCs w:val="21"/>
                <w:lang w:eastAsia="zh-Hans" w:bidi="ar"/>
              </w:rPr>
              <w:t>等。</w:t>
            </w:r>
          </w:p>
        </w:tc>
      </w:tr>
      <w:tr w14:paraId="680BC33F">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58633A4">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19</w:t>
            </w:r>
          </w:p>
        </w:tc>
        <w:tc>
          <w:tcPr>
            <w:tcW w:w="1855" w:type="dxa"/>
            <w:tcBorders>
              <w:top w:val="single" w:color="auto" w:sz="4" w:space="0"/>
              <w:left w:val="single" w:color="auto" w:sz="4" w:space="0"/>
              <w:bottom w:val="single" w:color="auto" w:sz="4" w:space="0"/>
              <w:right w:val="single" w:color="auto" w:sz="4" w:space="0"/>
            </w:tcBorders>
            <w:vAlign w:val="center"/>
          </w:tcPr>
          <w:p w14:paraId="10689B75">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旧广花路道路工程</w:t>
            </w:r>
          </w:p>
        </w:tc>
        <w:tc>
          <w:tcPr>
            <w:tcW w:w="6016" w:type="dxa"/>
            <w:tcBorders>
              <w:top w:val="single" w:color="auto" w:sz="4" w:space="0"/>
              <w:left w:val="single" w:color="auto" w:sz="4" w:space="0"/>
              <w:bottom w:val="single" w:color="auto" w:sz="4" w:space="0"/>
              <w:right w:val="single" w:color="auto" w:sz="4" w:space="0"/>
            </w:tcBorders>
            <w:vAlign w:val="center"/>
          </w:tcPr>
          <w:p w14:paraId="68F25AB8">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本工程包含一条道路（旧广花路），总长度约为</w:t>
            </w:r>
            <w:r>
              <w:rPr>
                <w:rFonts w:hint="eastAsia" w:ascii="宋体" w:hAnsi="宋体" w:cs="宋体"/>
                <w:kern w:val="0"/>
                <w:lang w:eastAsia="zh-Hans" w:bidi="ar"/>
              </w:rPr>
              <w:t>1950m</w:t>
            </w:r>
            <w:r>
              <w:rPr>
                <w:rFonts w:hint="eastAsia" w:ascii="宋体" w:hAnsi="宋体" w:cs="宋体"/>
                <w:kern w:val="0"/>
                <w:sz w:val="21"/>
                <w:szCs w:val="21"/>
                <w:lang w:eastAsia="zh-Hans" w:bidi="ar"/>
              </w:rPr>
              <w:t>，为城市次干道，起点接广花五路，终点接广花五路，为南北走向，规划红线宽度为</w:t>
            </w:r>
            <w:r>
              <w:rPr>
                <w:rFonts w:hint="eastAsia" w:ascii="宋体" w:hAnsi="宋体" w:cs="宋体"/>
                <w:kern w:val="0"/>
                <w:lang w:eastAsia="zh-Hans" w:bidi="ar"/>
              </w:rPr>
              <w:t>30m</w:t>
            </w:r>
            <w:r>
              <w:rPr>
                <w:rFonts w:hint="eastAsia" w:ascii="宋体" w:hAnsi="宋体" w:cs="宋体"/>
                <w:kern w:val="0"/>
                <w:sz w:val="21"/>
                <w:szCs w:val="21"/>
                <w:lang w:eastAsia="zh-Hans" w:bidi="ar"/>
              </w:rPr>
              <w:t>。建设内容：道路工程、排水工程、照明工程、交通工程</w:t>
            </w:r>
            <w:r>
              <w:rPr>
                <w:rFonts w:hint="eastAsia" w:ascii="宋体" w:hAnsi="宋体" w:cs="宋体"/>
                <w:kern w:val="0"/>
                <w:lang w:eastAsia="zh-Hans" w:bidi="ar"/>
              </w:rPr>
              <w:t>(</w:t>
            </w:r>
            <w:r>
              <w:rPr>
                <w:rFonts w:hint="eastAsia" w:ascii="宋体" w:hAnsi="宋体" w:cs="宋体"/>
                <w:kern w:val="0"/>
                <w:sz w:val="21"/>
                <w:szCs w:val="21"/>
                <w:lang w:eastAsia="zh-Hans" w:bidi="ar"/>
              </w:rPr>
              <w:t>包含交通疏解</w:t>
            </w:r>
            <w:r>
              <w:rPr>
                <w:rFonts w:hint="eastAsia" w:ascii="宋体" w:hAnsi="宋体" w:cs="宋体"/>
                <w:kern w:val="0"/>
                <w:lang w:eastAsia="zh-Hans" w:bidi="ar"/>
              </w:rPr>
              <w:t>)</w:t>
            </w:r>
            <w:r>
              <w:rPr>
                <w:rFonts w:hint="eastAsia" w:ascii="宋体" w:hAnsi="宋体" w:cs="宋体"/>
                <w:kern w:val="0"/>
                <w:sz w:val="21"/>
                <w:szCs w:val="21"/>
                <w:lang w:eastAsia="zh-Hans" w:bidi="ar"/>
              </w:rPr>
              <w:t>等。</w:t>
            </w:r>
          </w:p>
        </w:tc>
      </w:tr>
      <w:tr w14:paraId="6D304302">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0DF3B8F">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20</w:t>
            </w:r>
          </w:p>
        </w:tc>
        <w:tc>
          <w:tcPr>
            <w:tcW w:w="1855" w:type="dxa"/>
            <w:tcBorders>
              <w:top w:val="single" w:color="auto" w:sz="4" w:space="0"/>
              <w:left w:val="single" w:color="auto" w:sz="4" w:space="0"/>
              <w:bottom w:val="single" w:color="auto" w:sz="4" w:space="0"/>
              <w:right w:val="single" w:color="auto" w:sz="4" w:space="0"/>
            </w:tcBorders>
            <w:vAlign w:val="center"/>
          </w:tcPr>
          <w:p w14:paraId="4558B695">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镜塘路（西段）新建工程</w:t>
            </w:r>
          </w:p>
        </w:tc>
        <w:tc>
          <w:tcPr>
            <w:tcW w:w="6016" w:type="dxa"/>
            <w:tcBorders>
              <w:top w:val="single" w:color="auto" w:sz="4" w:space="0"/>
              <w:left w:val="single" w:color="auto" w:sz="4" w:space="0"/>
              <w:bottom w:val="single" w:color="auto" w:sz="4" w:space="0"/>
              <w:right w:val="single" w:color="auto" w:sz="4" w:space="0"/>
            </w:tcBorders>
            <w:vAlign w:val="center"/>
          </w:tcPr>
          <w:p w14:paraId="0568EC31">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本工程包含一条道路（镜塘路西段），总长度约为</w:t>
            </w:r>
            <w:r>
              <w:rPr>
                <w:rFonts w:hint="eastAsia" w:ascii="宋体" w:hAnsi="宋体" w:cs="宋体"/>
                <w:kern w:val="0"/>
                <w:lang w:eastAsia="zh-Hans" w:bidi="ar"/>
              </w:rPr>
              <w:t>1760m</w:t>
            </w:r>
            <w:r>
              <w:rPr>
                <w:rFonts w:hint="eastAsia" w:ascii="宋体" w:hAnsi="宋体" w:cs="宋体"/>
                <w:kern w:val="0"/>
                <w:sz w:val="21"/>
                <w:szCs w:val="21"/>
                <w:lang w:eastAsia="zh-Hans" w:bidi="ar"/>
              </w:rPr>
              <w:t>，为城市次干道，起点接商业大道，终点接迎春路，为东西走向，规划红线宽度为</w:t>
            </w:r>
            <w:r>
              <w:rPr>
                <w:rFonts w:hint="eastAsia" w:ascii="宋体" w:hAnsi="宋体" w:cs="宋体"/>
                <w:kern w:val="0"/>
                <w:lang w:eastAsia="zh-Hans" w:bidi="ar"/>
              </w:rPr>
              <w:t>30m</w:t>
            </w:r>
            <w:r>
              <w:rPr>
                <w:rFonts w:hint="eastAsia" w:ascii="宋体" w:hAnsi="宋体" w:cs="宋体"/>
                <w:kern w:val="0"/>
                <w:sz w:val="21"/>
                <w:szCs w:val="21"/>
                <w:lang w:eastAsia="zh-Hans" w:bidi="ar"/>
              </w:rPr>
              <w:t>。建设内容：道路工程、排水工程、照明工程、交通工程</w:t>
            </w:r>
            <w:r>
              <w:rPr>
                <w:rFonts w:hint="eastAsia" w:ascii="宋体" w:hAnsi="宋体" w:cs="宋体"/>
                <w:kern w:val="0"/>
                <w:lang w:eastAsia="zh-Hans" w:bidi="ar"/>
              </w:rPr>
              <w:t>(</w:t>
            </w:r>
            <w:r>
              <w:rPr>
                <w:rFonts w:hint="eastAsia" w:ascii="宋体" w:hAnsi="宋体" w:cs="宋体"/>
                <w:kern w:val="0"/>
                <w:sz w:val="21"/>
                <w:szCs w:val="21"/>
                <w:lang w:eastAsia="zh-Hans" w:bidi="ar"/>
              </w:rPr>
              <w:t>包含交通疏解</w:t>
            </w:r>
            <w:r>
              <w:rPr>
                <w:rFonts w:hint="eastAsia" w:ascii="宋体" w:hAnsi="宋体" w:cs="宋体"/>
                <w:kern w:val="0"/>
                <w:lang w:eastAsia="zh-Hans" w:bidi="ar"/>
              </w:rPr>
              <w:t>)</w:t>
            </w:r>
            <w:r>
              <w:rPr>
                <w:rFonts w:hint="eastAsia" w:ascii="宋体" w:hAnsi="宋体" w:cs="宋体"/>
                <w:kern w:val="0"/>
                <w:sz w:val="21"/>
                <w:szCs w:val="21"/>
                <w:lang w:eastAsia="zh-Hans" w:bidi="ar"/>
              </w:rPr>
              <w:t>等。</w:t>
            </w:r>
          </w:p>
        </w:tc>
      </w:tr>
      <w:tr w14:paraId="7B09077A">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3425F9E">
            <w:pPr>
              <w:widowControl/>
              <w:spacing w:before="190" w:beforeLines="50" w:after="190" w:afterLines="50" w:line="240" w:lineRule="auto"/>
              <w:ind w:firstLine="0" w:firstLineChars="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21</w:t>
            </w:r>
          </w:p>
        </w:tc>
        <w:tc>
          <w:tcPr>
            <w:tcW w:w="1855" w:type="dxa"/>
            <w:tcBorders>
              <w:top w:val="single" w:color="auto" w:sz="4" w:space="0"/>
              <w:left w:val="single" w:color="auto" w:sz="4" w:space="0"/>
              <w:bottom w:val="single" w:color="auto" w:sz="4" w:space="0"/>
              <w:right w:val="single" w:color="auto" w:sz="4" w:space="0"/>
            </w:tcBorders>
            <w:vAlign w:val="center"/>
          </w:tcPr>
          <w:p w14:paraId="78F59216">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富邦路提升与北延工程</w:t>
            </w:r>
          </w:p>
        </w:tc>
        <w:tc>
          <w:tcPr>
            <w:tcW w:w="6016" w:type="dxa"/>
            <w:tcBorders>
              <w:top w:val="single" w:color="auto" w:sz="4" w:space="0"/>
              <w:left w:val="single" w:color="auto" w:sz="4" w:space="0"/>
              <w:bottom w:val="single" w:color="auto" w:sz="4" w:space="0"/>
              <w:right w:val="single" w:color="auto" w:sz="4" w:space="0"/>
            </w:tcBorders>
            <w:vAlign w:val="center"/>
          </w:tcPr>
          <w:p w14:paraId="4B9D888F">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本工程包含一条道路（富邦路），总长度约为</w:t>
            </w:r>
            <w:r>
              <w:rPr>
                <w:rFonts w:hint="eastAsia" w:ascii="宋体" w:hAnsi="宋体" w:cs="宋体"/>
                <w:kern w:val="0"/>
                <w:lang w:eastAsia="zh-Hans" w:bidi="ar"/>
              </w:rPr>
              <w:t>1050m</w:t>
            </w:r>
            <w:r>
              <w:rPr>
                <w:rFonts w:hint="eastAsia" w:ascii="宋体" w:hAnsi="宋体" w:cs="宋体"/>
                <w:kern w:val="0"/>
                <w:sz w:val="21"/>
                <w:szCs w:val="21"/>
                <w:lang w:eastAsia="zh-Hans" w:bidi="ar"/>
              </w:rPr>
              <w:t>，其中提升</w:t>
            </w:r>
            <w:r>
              <w:rPr>
                <w:rFonts w:hint="eastAsia" w:ascii="宋体" w:hAnsi="宋体" w:cs="宋体"/>
                <w:kern w:val="0"/>
                <w:lang w:eastAsia="zh-Hans" w:bidi="ar"/>
              </w:rPr>
              <w:t>880m</w:t>
            </w:r>
            <w:r>
              <w:rPr>
                <w:rFonts w:hint="eastAsia" w:ascii="宋体" w:hAnsi="宋体" w:cs="宋体"/>
                <w:kern w:val="0"/>
                <w:sz w:val="21"/>
                <w:szCs w:val="21"/>
                <w:lang w:eastAsia="zh-Hans" w:bidi="ar"/>
              </w:rPr>
              <w:t>，新建</w:t>
            </w:r>
            <w:r>
              <w:rPr>
                <w:rFonts w:hint="eastAsia" w:ascii="宋体" w:hAnsi="宋体" w:cs="宋体"/>
                <w:kern w:val="0"/>
                <w:lang w:eastAsia="zh-Hans" w:bidi="ar"/>
              </w:rPr>
              <w:t>170m</w:t>
            </w:r>
            <w:r>
              <w:rPr>
                <w:rFonts w:hint="eastAsia" w:ascii="宋体" w:hAnsi="宋体" w:cs="宋体"/>
                <w:kern w:val="0"/>
                <w:sz w:val="21"/>
                <w:szCs w:val="21"/>
                <w:lang w:eastAsia="zh-Hans" w:bidi="ar"/>
              </w:rPr>
              <w:t>，为支路，起点接雅瑶涌，终点接空铁大道，为南北走向，规划红线宽度为</w:t>
            </w:r>
            <w:r>
              <w:rPr>
                <w:rFonts w:hint="eastAsia" w:ascii="宋体" w:hAnsi="宋体" w:cs="宋体"/>
                <w:kern w:val="0"/>
                <w:lang w:eastAsia="zh-Hans" w:bidi="ar"/>
              </w:rPr>
              <w:t>30m</w:t>
            </w:r>
            <w:r>
              <w:rPr>
                <w:rFonts w:hint="eastAsia" w:ascii="宋体" w:hAnsi="宋体" w:cs="宋体"/>
                <w:kern w:val="0"/>
                <w:sz w:val="21"/>
                <w:szCs w:val="21"/>
                <w:lang w:eastAsia="zh-Hans" w:bidi="ar"/>
              </w:rPr>
              <w:t>。建设内容：道路工程、照明工程、交通工程</w:t>
            </w:r>
            <w:r>
              <w:rPr>
                <w:rFonts w:hint="eastAsia" w:ascii="宋体" w:hAnsi="宋体" w:cs="宋体"/>
                <w:kern w:val="0"/>
                <w:lang w:eastAsia="zh-Hans" w:bidi="ar"/>
              </w:rPr>
              <w:t>(</w:t>
            </w:r>
            <w:r>
              <w:rPr>
                <w:rFonts w:hint="eastAsia" w:ascii="宋体" w:hAnsi="宋体" w:cs="宋体"/>
                <w:kern w:val="0"/>
                <w:sz w:val="21"/>
                <w:szCs w:val="21"/>
                <w:lang w:eastAsia="zh-Hans" w:bidi="ar"/>
              </w:rPr>
              <w:t>包含交通疏解</w:t>
            </w:r>
            <w:r>
              <w:rPr>
                <w:rFonts w:hint="eastAsia" w:ascii="宋体" w:hAnsi="宋体" w:cs="宋体"/>
                <w:kern w:val="0"/>
                <w:lang w:eastAsia="zh-Hans" w:bidi="ar"/>
              </w:rPr>
              <w:t>)</w:t>
            </w:r>
            <w:r>
              <w:rPr>
                <w:rFonts w:hint="eastAsia" w:ascii="宋体" w:hAnsi="宋体" w:cs="宋体"/>
                <w:kern w:val="0"/>
                <w:sz w:val="21"/>
                <w:szCs w:val="21"/>
                <w:lang w:eastAsia="zh-Hans" w:bidi="ar"/>
              </w:rPr>
              <w:t>等。</w:t>
            </w:r>
          </w:p>
        </w:tc>
      </w:tr>
      <w:tr w14:paraId="793FC904">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488E195">
            <w:pPr>
              <w:widowControl/>
              <w:spacing w:before="190" w:beforeLines="50" w:after="190" w:afterLines="50" w:line="240" w:lineRule="auto"/>
              <w:ind w:firstLine="0" w:firstLineChars="0"/>
              <w:jc w:val="center"/>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22</w:t>
            </w:r>
          </w:p>
        </w:tc>
        <w:tc>
          <w:tcPr>
            <w:tcW w:w="1855" w:type="dxa"/>
            <w:tcBorders>
              <w:top w:val="single" w:color="auto" w:sz="4" w:space="0"/>
              <w:left w:val="single" w:color="auto" w:sz="4" w:space="0"/>
              <w:bottom w:val="single" w:color="auto" w:sz="4" w:space="0"/>
              <w:right w:val="single" w:color="auto" w:sz="4" w:space="0"/>
            </w:tcBorders>
            <w:vAlign w:val="center"/>
          </w:tcPr>
          <w:p w14:paraId="276C5074">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雅瑶涌北街新建工程</w:t>
            </w:r>
          </w:p>
        </w:tc>
        <w:tc>
          <w:tcPr>
            <w:tcW w:w="6016" w:type="dxa"/>
            <w:tcBorders>
              <w:top w:val="single" w:color="auto" w:sz="4" w:space="0"/>
              <w:left w:val="single" w:color="auto" w:sz="4" w:space="0"/>
              <w:bottom w:val="single" w:color="auto" w:sz="4" w:space="0"/>
              <w:right w:val="single" w:color="auto" w:sz="4" w:space="0"/>
            </w:tcBorders>
            <w:vAlign w:val="center"/>
          </w:tcPr>
          <w:p w14:paraId="3E0F08F5">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本工程包含一条道路（雅瑶涌北街），总长度约</w:t>
            </w:r>
            <w:r>
              <w:rPr>
                <w:rFonts w:hint="eastAsia" w:ascii="宋体" w:hAnsi="宋体" w:cs="宋体"/>
                <w:kern w:val="0"/>
                <w:lang w:eastAsia="zh-Hans" w:bidi="ar"/>
              </w:rPr>
              <w:t>2750m</w:t>
            </w:r>
            <w:r>
              <w:rPr>
                <w:rFonts w:hint="eastAsia" w:ascii="宋体" w:hAnsi="宋体" w:cs="宋体"/>
                <w:kern w:val="0"/>
                <w:sz w:val="21"/>
                <w:szCs w:val="21"/>
                <w:lang w:eastAsia="zh-Hans" w:bidi="ar"/>
              </w:rPr>
              <w:t>，为支路，起点接曙光路，终点接镜湖大道北，为东西走向，规划红线宽度为</w:t>
            </w:r>
            <w:r>
              <w:rPr>
                <w:rFonts w:hint="eastAsia" w:ascii="宋体" w:hAnsi="宋体" w:cs="宋体"/>
                <w:kern w:val="0"/>
                <w:lang w:eastAsia="zh-Hans" w:bidi="ar"/>
              </w:rPr>
              <w:t>20m</w:t>
            </w:r>
            <w:r>
              <w:rPr>
                <w:rFonts w:hint="eastAsia" w:ascii="宋体" w:hAnsi="宋体" w:cs="宋体"/>
                <w:kern w:val="0"/>
                <w:sz w:val="21"/>
                <w:szCs w:val="21"/>
                <w:lang w:eastAsia="zh-Hans" w:bidi="ar"/>
              </w:rPr>
              <w:t>。建设内容：道路工程、照明工程、交通工程</w:t>
            </w:r>
            <w:r>
              <w:rPr>
                <w:rFonts w:hint="eastAsia" w:ascii="宋体" w:hAnsi="宋体" w:cs="宋体"/>
                <w:kern w:val="0"/>
                <w:lang w:eastAsia="zh-Hans" w:bidi="ar"/>
              </w:rPr>
              <w:t>(</w:t>
            </w:r>
            <w:r>
              <w:rPr>
                <w:rFonts w:hint="eastAsia" w:ascii="宋体" w:hAnsi="宋体" w:cs="宋体"/>
                <w:kern w:val="0"/>
                <w:sz w:val="21"/>
                <w:szCs w:val="21"/>
                <w:lang w:eastAsia="zh-Hans" w:bidi="ar"/>
              </w:rPr>
              <w:t>包含交通疏解</w:t>
            </w:r>
            <w:r>
              <w:rPr>
                <w:rFonts w:hint="eastAsia" w:ascii="宋体" w:hAnsi="宋体" w:cs="宋体"/>
                <w:kern w:val="0"/>
                <w:lang w:eastAsia="zh-Hans" w:bidi="ar"/>
              </w:rPr>
              <w:t>)</w:t>
            </w:r>
            <w:r>
              <w:rPr>
                <w:rFonts w:hint="eastAsia" w:ascii="宋体" w:hAnsi="宋体" w:cs="宋体"/>
                <w:kern w:val="0"/>
                <w:sz w:val="21"/>
                <w:szCs w:val="21"/>
                <w:lang w:eastAsia="zh-Hans" w:bidi="ar"/>
              </w:rPr>
              <w:t>。</w:t>
            </w:r>
          </w:p>
        </w:tc>
      </w:tr>
      <w:tr w14:paraId="31553E39">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53C8D01">
            <w:pPr>
              <w:widowControl/>
              <w:spacing w:before="190" w:beforeLines="50" w:after="190" w:afterLines="50" w:line="240" w:lineRule="auto"/>
              <w:ind w:firstLine="0" w:firstLineChars="0"/>
              <w:jc w:val="center"/>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23</w:t>
            </w:r>
          </w:p>
        </w:tc>
        <w:tc>
          <w:tcPr>
            <w:tcW w:w="1855" w:type="dxa"/>
            <w:tcBorders>
              <w:top w:val="single" w:color="auto" w:sz="4" w:space="0"/>
              <w:left w:val="single" w:color="auto" w:sz="4" w:space="0"/>
              <w:bottom w:val="single" w:color="auto" w:sz="4" w:space="0"/>
              <w:right w:val="single" w:color="auto" w:sz="4" w:space="0"/>
            </w:tcBorders>
            <w:vAlign w:val="center"/>
          </w:tcPr>
          <w:p w14:paraId="3AEC0B21">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曙光路</w:t>
            </w:r>
            <w:r>
              <w:rPr>
                <w:rFonts w:hint="eastAsia" w:ascii="宋体" w:hAnsi="宋体" w:cs="宋体"/>
                <w:kern w:val="0"/>
                <w:lang w:eastAsia="zh-Hans" w:bidi="ar"/>
              </w:rPr>
              <w:t>-</w:t>
            </w:r>
            <w:r>
              <w:rPr>
                <w:rFonts w:hint="eastAsia" w:ascii="宋体" w:hAnsi="宋体" w:cs="宋体"/>
                <w:kern w:val="0"/>
                <w:sz w:val="21"/>
                <w:szCs w:val="21"/>
                <w:lang w:eastAsia="zh-Hans" w:bidi="ar"/>
              </w:rPr>
              <w:t>永利路连通工程</w:t>
            </w:r>
          </w:p>
        </w:tc>
        <w:tc>
          <w:tcPr>
            <w:tcW w:w="6016" w:type="dxa"/>
            <w:tcBorders>
              <w:top w:val="single" w:color="auto" w:sz="4" w:space="0"/>
              <w:left w:val="single" w:color="auto" w:sz="4" w:space="0"/>
              <w:bottom w:val="single" w:color="auto" w:sz="4" w:space="0"/>
              <w:right w:val="single" w:color="auto" w:sz="4" w:space="0"/>
            </w:tcBorders>
            <w:vAlign w:val="center"/>
          </w:tcPr>
          <w:p w14:paraId="1F1B3095">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本工程包含</w:t>
            </w:r>
            <w:r>
              <w:rPr>
                <w:rFonts w:hint="eastAsia" w:ascii="宋体" w:hAnsi="宋体" w:cs="宋体"/>
                <w:kern w:val="0"/>
                <w:lang w:eastAsia="zh-Hans" w:bidi="ar"/>
              </w:rPr>
              <w:t>2</w:t>
            </w:r>
            <w:r>
              <w:rPr>
                <w:rFonts w:hint="eastAsia" w:ascii="宋体" w:hAnsi="宋体" w:cs="宋体"/>
                <w:kern w:val="0"/>
                <w:sz w:val="21"/>
                <w:szCs w:val="21"/>
                <w:lang w:eastAsia="zh-Hans" w:bidi="ar"/>
              </w:rPr>
              <w:t>条道路（曙光路南段，永利路西段），总长度约</w:t>
            </w:r>
            <w:r>
              <w:rPr>
                <w:rFonts w:hint="eastAsia" w:ascii="宋体" w:hAnsi="宋体" w:cs="宋体"/>
                <w:kern w:val="0"/>
                <w:lang w:eastAsia="zh-Hans" w:bidi="ar"/>
              </w:rPr>
              <w:t>1560m</w:t>
            </w:r>
            <w:r>
              <w:rPr>
                <w:rFonts w:hint="eastAsia" w:ascii="宋体" w:hAnsi="宋体" w:cs="宋体"/>
                <w:kern w:val="0"/>
                <w:sz w:val="21"/>
                <w:szCs w:val="21"/>
                <w:lang w:eastAsia="zh-Hans" w:bidi="ar"/>
              </w:rPr>
              <w:t>。其中曙光路</w:t>
            </w:r>
            <w:r>
              <w:rPr>
                <w:rFonts w:hint="eastAsia" w:ascii="宋体" w:hAnsi="宋体" w:cs="宋体"/>
                <w:kern w:val="0"/>
                <w:lang w:eastAsia="zh-Hans" w:bidi="ar"/>
              </w:rPr>
              <w:t>640m</w:t>
            </w:r>
            <w:r>
              <w:rPr>
                <w:rFonts w:hint="eastAsia" w:ascii="宋体" w:hAnsi="宋体" w:cs="宋体"/>
                <w:kern w:val="0"/>
                <w:sz w:val="21"/>
                <w:szCs w:val="21"/>
                <w:lang w:eastAsia="zh-Hans" w:bidi="ar"/>
              </w:rPr>
              <w:t>，为城市次干道，起点接空铁大道，终点接永利路，为南北走向，规划红线宽度为</w:t>
            </w:r>
            <w:r>
              <w:rPr>
                <w:rFonts w:hint="eastAsia" w:ascii="宋体" w:hAnsi="宋体" w:cs="宋体"/>
                <w:kern w:val="0"/>
                <w:lang w:eastAsia="zh-Hans" w:bidi="ar"/>
              </w:rPr>
              <w:t>40m</w:t>
            </w:r>
            <w:r>
              <w:rPr>
                <w:rFonts w:hint="eastAsia" w:ascii="宋体" w:hAnsi="宋体" w:cs="宋体"/>
                <w:kern w:val="0"/>
                <w:sz w:val="21"/>
                <w:szCs w:val="21"/>
                <w:lang w:eastAsia="zh-Hans" w:bidi="ar"/>
              </w:rPr>
              <w:t>；永利路西段</w:t>
            </w:r>
            <w:r>
              <w:rPr>
                <w:rFonts w:hint="eastAsia" w:ascii="宋体" w:hAnsi="宋体" w:cs="宋体"/>
                <w:kern w:val="0"/>
                <w:lang w:eastAsia="zh-Hans" w:bidi="ar"/>
              </w:rPr>
              <w:t>920</w:t>
            </w:r>
            <w:r>
              <w:rPr>
                <w:rFonts w:hint="eastAsia" w:ascii="宋体" w:hAnsi="宋体" w:cs="宋体"/>
                <w:kern w:val="0"/>
                <w:sz w:val="21"/>
                <w:szCs w:val="21"/>
                <w:lang w:eastAsia="zh-Hans" w:bidi="ar"/>
              </w:rPr>
              <w:t>米，为城市次干道，起点接曙光路，终点接凤凰南路，为东西走向，规划红线宽度为</w:t>
            </w:r>
            <w:r>
              <w:rPr>
                <w:rFonts w:hint="eastAsia" w:ascii="宋体" w:hAnsi="宋体" w:cs="宋体"/>
                <w:kern w:val="0"/>
                <w:lang w:eastAsia="zh-Hans" w:bidi="ar"/>
              </w:rPr>
              <w:t>40m</w:t>
            </w:r>
            <w:r>
              <w:rPr>
                <w:rFonts w:hint="eastAsia" w:ascii="宋体" w:hAnsi="宋体" w:cs="宋体"/>
                <w:kern w:val="0"/>
                <w:sz w:val="21"/>
                <w:szCs w:val="21"/>
                <w:lang w:eastAsia="zh-Hans" w:bidi="ar"/>
              </w:rPr>
              <w:t>。建设内容：道路工程、排水工程、照明工程、交通工程</w:t>
            </w:r>
            <w:r>
              <w:rPr>
                <w:rFonts w:hint="eastAsia" w:ascii="宋体" w:hAnsi="宋体" w:cs="宋体"/>
                <w:kern w:val="0"/>
                <w:lang w:eastAsia="zh-Hans" w:bidi="ar"/>
              </w:rPr>
              <w:t>(</w:t>
            </w:r>
            <w:r>
              <w:rPr>
                <w:rFonts w:hint="eastAsia" w:ascii="宋体" w:hAnsi="宋体" w:cs="宋体"/>
                <w:kern w:val="0"/>
                <w:sz w:val="21"/>
                <w:szCs w:val="21"/>
                <w:lang w:eastAsia="zh-Hans" w:bidi="ar"/>
              </w:rPr>
              <w:t>包含交通疏解</w:t>
            </w:r>
            <w:r>
              <w:rPr>
                <w:rFonts w:hint="eastAsia" w:ascii="宋体" w:hAnsi="宋体" w:cs="宋体"/>
                <w:kern w:val="0"/>
                <w:lang w:eastAsia="zh-Hans" w:bidi="ar"/>
              </w:rPr>
              <w:t>)</w:t>
            </w:r>
            <w:r>
              <w:rPr>
                <w:rFonts w:hint="eastAsia" w:ascii="宋体" w:hAnsi="宋体" w:cs="宋体"/>
                <w:kern w:val="0"/>
                <w:sz w:val="21"/>
                <w:szCs w:val="21"/>
                <w:lang w:eastAsia="zh-Hans" w:bidi="ar"/>
              </w:rPr>
              <w:t>等。</w:t>
            </w:r>
          </w:p>
        </w:tc>
      </w:tr>
      <w:tr w14:paraId="6454AF1E">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D735D0B">
            <w:pPr>
              <w:widowControl/>
              <w:spacing w:before="190" w:beforeLines="50" w:after="190" w:afterLines="50" w:line="240" w:lineRule="auto"/>
              <w:ind w:firstLine="0" w:firstLineChars="0"/>
              <w:jc w:val="center"/>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24</w:t>
            </w:r>
          </w:p>
        </w:tc>
        <w:tc>
          <w:tcPr>
            <w:tcW w:w="1855" w:type="dxa"/>
            <w:tcBorders>
              <w:top w:val="single" w:color="auto" w:sz="4" w:space="0"/>
              <w:left w:val="single" w:color="auto" w:sz="4" w:space="0"/>
              <w:bottom w:val="single" w:color="auto" w:sz="4" w:space="0"/>
              <w:right w:val="single" w:color="auto" w:sz="4" w:space="0"/>
            </w:tcBorders>
            <w:vAlign w:val="center"/>
          </w:tcPr>
          <w:p w14:paraId="34256113">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新雅街污水截污和管道改造清疏工程</w:t>
            </w:r>
          </w:p>
        </w:tc>
        <w:tc>
          <w:tcPr>
            <w:tcW w:w="6016" w:type="dxa"/>
            <w:tcBorders>
              <w:top w:val="single" w:color="auto" w:sz="4" w:space="0"/>
              <w:left w:val="single" w:color="auto" w:sz="4" w:space="0"/>
              <w:bottom w:val="single" w:color="auto" w:sz="4" w:space="0"/>
              <w:right w:val="single" w:color="auto" w:sz="4" w:space="0"/>
            </w:tcBorders>
            <w:vAlign w:val="center"/>
          </w:tcPr>
          <w:p w14:paraId="0D74D638">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本工程对片区内的管道进行新建、改造和清疏，总长度约2.5公里。</w:t>
            </w:r>
          </w:p>
        </w:tc>
      </w:tr>
      <w:tr w14:paraId="672A53EC">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63E1ACD">
            <w:pPr>
              <w:widowControl/>
              <w:spacing w:before="190" w:beforeLines="50" w:after="190" w:afterLines="50" w:line="240" w:lineRule="auto"/>
              <w:ind w:firstLine="0" w:firstLineChars="0"/>
              <w:jc w:val="center"/>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25</w:t>
            </w:r>
          </w:p>
        </w:tc>
        <w:tc>
          <w:tcPr>
            <w:tcW w:w="1855" w:type="dxa"/>
            <w:tcBorders>
              <w:top w:val="single" w:color="auto" w:sz="4" w:space="0"/>
              <w:left w:val="single" w:color="auto" w:sz="4" w:space="0"/>
              <w:bottom w:val="single" w:color="auto" w:sz="4" w:space="0"/>
              <w:right w:val="single" w:color="auto" w:sz="4" w:space="0"/>
            </w:tcBorders>
            <w:vAlign w:val="center"/>
          </w:tcPr>
          <w:p w14:paraId="7C749AC9">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产业园配套服务中心建设工程</w:t>
            </w:r>
          </w:p>
        </w:tc>
        <w:tc>
          <w:tcPr>
            <w:tcW w:w="6016" w:type="dxa"/>
            <w:tcBorders>
              <w:top w:val="single" w:color="auto" w:sz="4" w:space="0"/>
              <w:left w:val="single" w:color="auto" w:sz="4" w:space="0"/>
              <w:bottom w:val="single" w:color="auto" w:sz="4" w:space="0"/>
              <w:right w:val="single" w:color="auto" w:sz="4" w:space="0"/>
            </w:tcBorders>
            <w:vAlign w:val="center"/>
          </w:tcPr>
          <w:p w14:paraId="3B4C5D0C">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本工程在国光工业区西侧和朝胜路沿线建设服务中心。其中朝胜路南侧智能交通产业服务中心建筑面积</w:t>
            </w:r>
            <w:r>
              <w:rPr>
                <w:rFonts w:hint="eastAsia" w:ascii="宋体" w:hAnsi="宋体" w:cs="宋体"/>
                <w:kern w:val="0"/>
                <w:lang w:eastAsia="zh-Hans" w:bidi="ar"/>
              </w:rPr>
              <w:t>7000</w:t>
            </w:r>
            <w:r>
              <w:rPr>
                <w:rFonts w:hint="eastAsia" w:ascii="宋体" w:hAnsi="宋体" w:cs="宋体"/>
                <w:kern w:val="0"/>
                <w:sz w:val="21"/>
                <w:szCs w:val="21"/>
                <w:lang w:eastAsia="zh-Hans" w:bidi="ar"/>
              </w:rPr>
              <w:t>平方米，主要功能为邻里购物中心、便民服务、老幼保育；美妆产业服务中心建筑面积</w:t>
            </w:r>
            <w:r>
              <w:rPr>
                <w:rFonts w:hint="eastAsia" w:ascii="宋体" w:hAnsi="宋体" w:cs="宋体"/>
                <w:kern w:val="0"/>
                <w:lang w:eastAsia="zh-Hans" w:bidi="ar"/>
              </w:rPr>
              <w:t>8000</w:t>
            </w:r>
            <w:r>
              <w:rPr>
                <w:rFonts w:hint="eastAsia" w:ascii="宋体" w:hAnsi="宋体" w:cs="宋体"/>
                <w:kern w:val="0"/>
                <w:sz w:val="21"/>
                <w:szCs w:val="21"/>
                <w:lang w:eastAsia="zh-Hans" w:bidi="ar"/>
              </w:rPr>
              <w:t>平方米，主要功能为便民服务、老幼保育。</w:t>
            </w:r>
          </w:p>
        </w:tc>
      </w:tr>
      <w:tr w14:paraId="3A2D6D1A">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9569C5D">
            <w:pPr>
              <w:widowControl/>
              <w:spacing w:before="190" w:beforeLines="50" w:after="190" w:afterLines="50" w:line="240" w:lineRule="auto"/>
              <w:ind w:firstLine="0" w:firstLineChars="0"/>
              <w:jc w:val="center"/>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26</w:t>
            </w:r>
          </w:p>
        </w:tc>
        <w:tc>
          <w:tcPr>
            <w:tcW w:w="1855" w:type="dxa"/>
            <w:tcBorders>
              <w:top w:val="single" w:color="auto" w:sz="4" w:space="0"/>
              <w:left w:val="single" w:color="auto" w:sz="4" w:space="0"/>
              <w:bottom w:val="single" w:color="auto" w:sz="4" w:space="0"/>
              <w:right w:val="single" w:color="auto" w:sz="4" w:space="0"/>
            </w:tcBorders>
            <w:vAlign w:val="center"/>
          </w:tcPr>
          <w:p w14:paraId="711B3C70">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产业园沿街立面改造工程</w:t>
            </w:r>
          </w:p>
        </w:tc>
        <w:tc>
          <w:tcPr>
            <w:tcW w:w="6016" w:type="dxa"/>
            <w:tcBorders>
              <w:top w:val="single" w:color="auto" w:sz="4" w:space="0"/>
              <w:left w:val="single" w:color="auto" w:sz="4" w:space="0"/>
              <w:bottom w:val="single" w:color="auto" w:sz="4" w:space="0"/>
              <w:right w:val="single" w:color="auto" w:sz="4" w:space="0"/>
            </w:tcBorders>
            <w:vAlign w:val="center"/>
          </w:tcPr>
          <w:p w14:paraId="1B316166">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本工程改造国光工业区、灿博科技园厂房沿街立面，界面总长度约</w:t>
            </w:r>
            <w:r>
              <w:rPr>
                <w:rFonts w:hint="eastAsia" w:ascii="宋体" w:hAnsi="宋体" w:cs="宋体"/>
                <w:kern w:val="0"/>
                <w:lang w:eastAsia="zh-Hans" w:bidi="ar"/>
              </w:rPr>
              <w:t>2</w:t>
            </w:r>
            <w:r>
              <w:rPr>
                <w:rFonts w:hint="eastAsia" w:ascii="宋体" w:hAnsi="宋体" w:cs="宋体"/>
                <w:kern w:val="0"/>
                <w:sz w:val="21"/>
                <w:szCs w:val="21"/>
                <w:lang w:eastAsia="zh-Hans" w:bidi="ar"/>
              </w:rPr>
              <w:t>千米。</w:t>
            </w:r>
          </w:p>
        </w:tc>
      </w:tr>
      <w:tr w14:paraId="32FC1AED">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C5CA302">
            <w:pPr>
              <w:widowControl/>
              <w:spacing w:before="190" w:beforeLines="50" w:after="190" w:afterLines="50" w:line="240" w:lineRule="auto"/>
              <w:ind w:firstLine="0" w:firstLineChars="0"/>
              <w:jc w:val="center"/>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27</w:t>
            </w:r>
          </w:p>
        </w:tc>
        <w:tc>
          <w:tcPr>
            <w:tcW w:w="1855" w:type="dxa"/>
            <w:tcBorders>
              <w:top w:val="single" w:color="auto" w:sz="4" w:space="0"/>
              <w:left w:val="single" w:color="auto" w:sz="4" w:space="0"/>
              <w:bottom w:val="single" w:color="auto" w:sz="4" w:space="0"/>
              <w:right w:val="single" w:color="auto" w:sz="4" w:space="0"/>
            </w:tcBorders>
            <w:vAlign w:val="center"/>
          </w:tcPr>
          <w:p w14:paraId="227E1005">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公共停车楼建设工程</w:t>
            </w:r>
          </w:p>
        </w:tc>
        <w:tc>
          <w:tcPr>
            <w:tcW w:w="6016" w:type="dxa"/>
            <w:tcBorders>
              <w:top w:val="single" w:color="auto" w:sz="4" w:space="0"/>
              <w:left w:val="single" w:color="auto" w:sz="4" w:space="0"/>
              <w:bottom w:val="single" w:color="auto" w:sz="4" w:space="0"/>
              <w:right w:val="single" w:color="auto" w:sz="4" w:space="0"/>
            </w:tcBorders>
            <w:vAlign w:val="center"/>
          </w:tcPr>
          <w:p w14:paraId="18F62D85">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本工程在蔗园路南侧和朝胜路南侧新建公共停车楼</w:t>
            </w:r>
            <w:r>
              <w:rPr>
                <w:rFonts w:hint="eastAsia" w:ascii="宋体" w:hAnsi="宋体" w:cs="宋体"/>
                <w:kern w:val="0"/>
                <w:lang w:eastAsia="zh-Hans" w:bidi="ar"/>
              </w:rPr>
              <w:t>98589459</w:t>
            </w:r>
            <w:r>
              <w:rPr>
                <w:rFonts w:hint="eastAsia" w:ascii="宋体" w:hAnsi="宋体" w:cs="宋体"/>
                <w:kern w:val="0"/>
                <w:sz w:val="21"/>
                <w:szCs w:val="21"/>
                <w:lang w:eastAsia="zh-Hans" w:bidi="ar"/>
              </w:rPr>
              <w:t>，其中蔗园路南侧新建</w:t>
            </w:r>
            <w:r>
              <w:rPr>
                <w:rFonts w:hint="eastAsia" w:ascii="宋体" w:hAnsi="宋体" w:cs="宋体"/>
                <w:kern w:val="0"/>
                <w:lang w:eastAsia="zh-Hans" w:bidi="ar"/>
              </w:rPr>
              <w:t>7000</w:t>
            </w:r>
            <w:r>
              <w:rPr>
                <w:rFonts w:hint="eastAsia" w:ascii="宋体" w:hAnsi="宋体" w:cs="宋体"/>
                <w:kern w:val="0"/>
                <w:sz w:val="21"/>
                <w:szCs w:val="21"/>
                <w:lang w:eastAsia="zh-Hans" w:bidi="ar"/>
              </w:rPr>
              <w:t>平方米公共停车楼，泊位</w:t>
            </w:r>
            <w:r>
              <w:rPr>
                <w:rFonts w:hint="eastAsia" w:ascii="宋体" w:hAnsi="宋体" w:cs="宋体"/>
                <w:kern w:val="0"/>
                <w:lang w:eastAsia="zh-Hans" w:bidi="ar"/>
              </w:rPr>
              <w:t>300</w:t>
            </w:r>
            <w:r>
              <w:rPr>
                <w:rFonts w:hint="eastAsia" w:ascii="宋体" w:hAnsi="宋体" w:cs="宋体"/>
                <w:kern w:val="0"/>
                <w:sz w:val="21"/>
                <w:szCs w:val="21"/>
                <w:lang w:eastAsia="zh-Hans" w:bidi="ar"/>
              </w:rPr>
              <w:t>泊，充电桩</w:t>
            </w:r>
            <w:r>
              <w:rPr>
                <w:rFonts w:hint="eastAsia" w:ascii="宋体" w:hAnsi="宋体" w:cs="宋体"/>
                <w:kern w:val="0"/>
                <w:lang w:eastAsia="zh-Hans" w:bidi="ar"/>
              </w:rPr>
              <w:t>70</w:t>
            </w:r>
            <w:r>
              <w:rPr>
                <w:rFonts w:hint="eastAsia" w:ascii="宋体" w:hAnsi="宋体" w:cs="宋体"/>
                <w:kern w:val="0"/>
                <w:sz w:val="21"/>
                <w:szCs w:val="21"/>
                <w:lang w:eastAsia="zh-Hans" w:bidi="ar"/>
              </w:rPr>
              <w:t>座；朝胜路南侧新建</w:t>
            </w:r>
            <w:r>
              <w:rPr>
                <w:rFonts w:hint="eastAsia" w:ascii="宋体" w:hAnsi="宋体" w:cs="宋体"/>
                <w:kern w:val="0"/>
                <w:lang w:eastAsia="zh-Hans" w:bidi="ar"/>
              </w:rPr>
              <w:t>8000</w:t>
            </w:r>
            <w:r>
              <w:rPr>
                <w:rFonts w:hint="eastAsia" w:ascii="宋体" w:hAnsi="宋体" w:cs="宋体"/>
                <w:kern w:val="0"/>
                <w:sz w:val="21"/>
                <w:szCs w:val="21"/>
                <w:lang w:eastAsia="zh-Hans" w:bidi="ar"/>
              </w:rPr>
              <w:t>平方米智慧停车楼，泊位</w:t>
            </w:r>
            <w:r>
              <w:rPr>
                <w:rFonts w:hint="eastAsia" w:ascii="宋体" w:hAnsi="宋体" w:cs="宋体"/>
                <w:kern w:val="0"/>
                <w:lang w:eastAsia="zh-Hans" w:bidi="ar"/>
              </w:rPr>
              <w:t>250</w:t>
            </w:r>
            <w:r>
              <w:rPr>
                <w:rFonts w:hint="eastAsia" w:ascii="宋体" w:hAnsi="宋体" w:cs="宋体"/>
                <w:kern w:val="0"/>
                <w:sz w:val="21"/>
                <w:szCs w:val="21"/>
                <w:lang w:eastAsia="zh-Hans" w:bidi="ar"/>
              </w:rPr>
              <w:t>泊，充电桩</w:t>
            </w:r>
            <w:r>
              <w:rPr>
                <w:rFonts w:hint="eastAsia" w:ascii="宋体" w:hAnsi="宋体" w:cs="宋体"/>
                <w:kern w:val="0"/>
                <w:lang w:eastAsia="zh-Hans" w:bidi="ar"/>
              </w:rPr>
              <w:t>80</w:t>
            </w:r>
            <w:r>
              <w:rPr>
                <w:rFonts w:hint="eastAsia" w:ascii="宋体" w:hAnsi="宋体" w:cs="宋体"/>
                <w:kern w:val="0"/>
                <w:sz w:val="21"/>
                <w:szCs w:val="21"/>
                <w:lang w:eastAsia="zh-Hans" w:bidi="ar"/>
              </w:rPr>
              <w:t>座。</w:t>
            </w:r>
          </w:p>
        </w:tc>
      </w:tr>
      <w:tr w14:paraId="0E6187E9">
        <w:tblPrEx>
          <w:tblCellMar>
            <w:top w:w="0" w:type="dxa"/>
            <w:left w:w="108" w:type="dxa"/>
            <w:bottom w:w="0" w:type="dxa"/>
            <w:right w:w="108" w:type="dxa"/>
          </w:tblCellMar>
        </w:tblPrEx>
        <w:trPr>
          <w:trHeight w:val="113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75974F7">
            <w:pPr>
              <w:widowControl/>
              <w:spacing w:before="190" w:beforeLines="50" w:after="190" w:afterLines="50" w:line="240" w:lineRule="auto"/>
              <w:ind w:firstLine="0" w:firstLineChars="0"/>
              <w:jc w:val="center"/>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28</w:t>
            </w:r>
          </w:p>
        </w:tc>
        <w:tc>
          <w:tcPr>
            <w:tcW w:w="1855" w:type="dxa"/>
            <w:tcBorders>
              <w:top w:val="single" w:color="auto" w:sz="4" w:space="0"/>
              <w:left w:val="single" w:color="auto" w:sz="4" w:space="0"/>
              <w:bottom w:val="single" w:color="auto" w:sz="4" w:space="0"/>
              <w:right w:val="single" w:color="auto" w:sz="4" w:space="0"/>
            </w:tcBorders>
            <w:vAlign w:val="center"/>
          </w:tcPr>
          <w:p w14:paraId="0F15B713">
            <w:pPr>
              <w:widowControl/>
              <w:ind w:firstLine="420" w:firstLineChars="200"/>
              <w:jc w:val="both"/>
              <w:textAlignment w:val="center"/>
              <w:rPr>
                <w:rFonts w:hint="eastAsia" w:ascii="宋体" w:hAnsi="宋体" w:eastAsia="宋体" w:cs="宋体"/>
                <w:kern w:val="0"/>
                <w:sz w:val="21"/>
                <w:szCs w:val="21"/>
                <w:lang w:val="zh-TW" w:eastAsia="zh-Hans" w:bidi="zh-TW"/>
              </w:rPr>
            </w:pPr>
            <w:r>
              <w:rPr>
                <w:rFonts w:hint="eastAsia" w:ascii="宋体" w:hAnsi="宋体" w:cs="宋体"/>
                <w:kern w:val="0"/>
                <w:sz w:val="21"/>
                <w:szCs w:val="21"/>
                <w:lang w:eastAsia="zh-Hans" w:bidi="ar"/>
              </w:rPr>
              <w:t>道路沿线路边停车带增补工程</w:t>
            </w:r>
          </w:p>
        </w:tc>
        <w:tc>
          <w:tcPr>
            <w:tcW w:w="6016" w:type="dxa"/>
            <w:tcBorders>
              <w:top w:val="single" w:color="auto" w:sz="4" w:space="0"/>
              <w:left w:val="single" w:color="auto" w:sz="4" w:space="0"/>
              <w:bottom w:val="single" w:color="auto" w:sz="4" w:space="0"/>
              <w:right w:val="single" w:color="auto" w:sz="4" w:space="0"/>
            </w:tcBorders>
            <w:vAlign w:val="center"/>
          </w:tcPr>
          <w:p w14:paraId="001EE1BC">
            <w:pPr>
              <w:widowControl/>
              <w:ind w:firstLine="420" w:firstLineChars="200"/>
              <w:jc w:val="both"/>
              <w:textAlignment w:val="center"/>
              <w:rPr>
                <w:rFonts w:hint="eastAsia" w:ascii="宋体" w:hAnsi="宋体" w:eastAsia="宋体" w:cs="宋体"/>
                <w:kern w:val="0"/>
                <w:sz w:val="21"/>
                <w:szCs w:val="21"/>
                <w:lang w:val="zh-TW" w:eastAsia="zh-Hans" w:bidi="ar"/>
              </w:rPr>
            </w:pPr>
            <w:r>
              <w:rPr>
                <w:rFonts w:hint="eastAsia" w:ascii="宋体" w:hAnsi="宋体" w:cs="宋体"/>
                <w:kern w:val="0"/>
                <w:sz w:val="21"/>
                <w:szCs w:val="21"/>
                <w:lang w:eastAsia="zh-Hans" w:bidi="ar"/>
              </w:rPr>
              <w:t>本工程在永利路和蔗园路沿线增补路边停车泊位</w:t>
            </w:r>
            <w:r>
              <w:rPr>
                <w:rFonts w:hint="eastAsia" w:ascii="宋体" w:hAnsi="宋体" w:cs="宋体"/>
                <w:kern w:val="0"/>
                <w:lang w:eastAsia="zh-Hans" w:bidi="ar"/>
              </w:rPr>
              <w:t>500</w:t>
            </w:r>
            <w:r>
              <w:rPr>
                <w:rFonts w:hint="eastAsia" w:ascii="宋体" w:hAnsi="宋体" w:cs="宋体"/>
                <w:kern w:val="0"/>
                <w:sz w:val="21"/>
                <w:szCs w:val="21"/>
                <w:lang w:eastAsia="zh-Hans" w:bidi="ar"/>
              </w:rPr>
              <w:t>个，总长</w:t>
            </w:r>
            <w:r>
              <w:rPr>
                <w:rFonts w:hint="eastAsia" w:ascii="宋体" w:hAnsi="宋体" w:cs="宋体"/>
                <w:kern w:val="0"/>
                <w:lang w:eastAsia="zh-Hans" w:bidi="ar"/>
              </w:rPr>
              <w:t>2000</w:t>
            </w:r>
            <w:r>
              <w:rPr>
                <w:rFonts w:hint="eastAsia" w:ascii="宋体" w:hAnsi="宋体" w:cs="宋体"/>
                <w:kern w:val="0"/>
                <w:sz w:val="21"/>
                <w:szCs w:val="21"/>
                <w:lang w:eastAsia="zh-Hans" w:bidi="ar"/>
              </w:rPr>
              <w:t>米，充电桩</w:t>
            </w:r>
            <w:r>
              <w:rPr>
                <w:rFonts w:hint="eastAsia" w:ascii="宋体" w:hAnsi="宋体" w:cs="宋体"/>
                <w:kern w:val="0"/>
                <w:lang w:eastAsia="zh-Hans" w:bidi="ar"/>
              </w:rPr>
              <w:t>100</w:t>
            </w:r>
            <w:r>
              <w:rPr>
                <w:rFonts w:hint="eastAsia" w:ascii="宋体" w:hAnsi="宋体" w:cs="宋体"/>
                <w:kern w:val="0"/>
                <w:sz w:val="21"/>
                <w:szCs w:val="21"/>
                <w:lang w:eastAsia="zh-Hans" w:bidi="ar"/>
              </w:rPr>
              <w:t>座。其中永利路路旁停车带长</w:t>
            </w:r>
            <w:r>
              <w:rPr>
                <w:rFonts w:hint="eastAsia" w:ascii="宋体" w:hAnsi="宋体" w:cs="宋体"/>
                <w:kern w:val="0"/>
                <w:lang w:eastAsia="zh-Hans" w:bidi="ar"/>
              </w:rPr>
              <w:t>1100</w:t>
            </w:r>
            <w:r>
              <w:rPr>
                <w:rFonts w:hint="eastAsia" w:ascii="宋体" w:hAnsi="宋体" w:cs="宋体"/>
                <w:kern w:val="0"/>
                <w:sz w:val="21"/>
                <w:szCs w:val="21"/>
                <w:lang w:eastAsia="zh-Hans" w:bidi="ar"/>
              </w:rPr>
              <w:t>米，泊位</w:t>
            </w:r>
            <w:r>
              <w:rPr>
                <w:rFonts w:hint="eastAsia" w:ascii="宋体" w:hAnsi="宋体" w:cs="宋体"/>
                <w:kern w:val="0"/>
                <w:lang w:eastAsia="zh-Hans" w:bidi="ar"/>
              </w:rPr>
              <w:t>250</w:t>
            </w:r>
            <w:r>
              <w:rPr>
                <w:rFonts w:hint="eastAsia" w:ascii="宋体" w:hAnsi="宋体" w:cs="宋体"/>
                <w:kern w:val="0"/>
                <w:sz w:val="21"/>
                <w:szCs w:val="21"/>
                <w:lang w:eastAsia="zh-Hans" w:bidi="ar"/>
              </w:rPr>
              <w:t>个，充电桩</w:t>
            </w:r>
            <w:r>
              <w:rPr>
                <w:rFonts w:hint="eastAsia" w:ascii="宋体" w:hAnsi="宋体" w:cs="宋体"/>
                <w:kern w:val="0"/>
                <w:lang w:eastAsia="zh-Hans" w:bidi="ar"/>
              </w:rPr>
              <w:t>50</w:t>
            </w:r>
            <w:r>
              <w:rPr>
                <w:rFonts w:hint="eastAsia" w:ascii="宋体" w:hAnsi="宋体" w:cs="宋体"/>
                <w:kern w:val="0"/>
                <w:sz w:val="21"/>
                <w:szCs w:val="21"/>
                <w:lang w:eastAsia="zh-Hans" w:bidi="ar"/>
              </w:rPr>
              <w:t>座；蔗园路路旁停车带长</w:t>
            </w:r>
            <w:r>
              <w:rPr>
                <w:rFonts w:hint="eastAsia" w:ascii="宋体" w:hAnsi="宋体" w:cs="宋体"/>
                <w:kern w:val="0"/>
                <w:lang w:eastAsia="zh-Hans" w:bidi="ar"/>
              </w:rPr>
              <w:t>900</w:t>
            </w:r>
            <w:r>
              <w:rPr>
                <w:rFonts w:hint="eastAsia" w:ascii="宋体" w:hAnsi="宋体" w:cs="宋体"/>
                <w:kern w:val="0"/>
                <w:sz w:val="21"/>
                <w:szCs w:val="21"/>
                <w:lang w:eastAsia="zh-Hans" w:bidi="ar"/>
              </w:rPr>
              <w:t>米，泊位</w:t>
            </w:r>
            <w:r>
              <w:rPr>
                <w:rFonts w:hint="eastAsia" w:ascii="宋体" w:hAnsi="宋体" w:cs="宋体"/>
                <w:kern w:val="0"/>
                <w:lang w:eastAsia="zh-Hans" w:bidi="ar"/>
              </w:rPr>
              <w:t>250</w:t>
            </w:r>
            <w:r>
              <w:rPr>
                <w:rFonts w:hint="eastAsia" w:ascii="宋体" w:hAnsi="宋体" w:cs="宋体"/>
                <w:kern w:val="0"/>
                <w:sz w:val="21"/>
                <w:szCs w:val="21"/>
                <w:lang w:eastAsia="zh-Hans" w:bidi="ar"/>
              </w:rPr>
              <w:t>个，充电桩</w:t>
            </w:r>
            <w:r>
              <w:rPr>
                <w:rFonts w:hint="eastAsia" w:ascii="宋体" w:hAnsi="宋体" w:cs="宋体"/>
                <w:kern w:val="0"/>
                <w:lang w:eastAsia="zh-Hans" w:bidi="ar"/>
              </w:rPr>
              <w:t>50</w:t>
            </w:r>
            <w:r>
              <w:rPr>
                <w:rFonts w:hint="eastAsia" w:ascii="宋体" w:hAnsi="宋体" w:cs="宋体"/>
                <w:kern w:val="0"/>
                <w:sz w:val="21"/>
                <w:szCs w:val="21"/>
                <w:lang w:eastAsia="zh-Hans" w:bidi="ar"/>
              </w:rPr>
              <w:t>座。</w:t>
            </w:r>
          </w:p>
        </w:tc>
      </w:tr>
    </w:tbl>
    <w:p w14:paraId="1EEE7C97">
      <w:pPr>
        <w:pStyle w:val="5"/>
        <w:rPr>
          <w:rFonts w:hint="eastAsia"/>
          <w:lang w:val="en-US" w:eastAsia="zh-CN"/>
        </w:rPr>
      </w:pPr>
    </w:p>
    <w:p w14:paraId="39242681">
      <w:pPr>
        <w:pStyle w:val="4"/>
        <w:spacing w:before="190" w:beforeLines="50" w:after="190" w:afterLines="50" w:line="360" w:lineRule="auto"/>
        <w:ind w:firstLine="508"/>
        <w:rPr>
          <w:lang w:val="zh-CN"/>
        </w:rPr>
      </w:pPr>
      <w:r>
        <w:rPr>
          <w:rFonts w:hint="eastAsia"/>
        </w:rPr>
        <w:t>（</w:t>
      </w:r>
      <w:r>
        <w:rPr>
          <w:rFonts w:hint="eastAsia"/>
          <w:lang w:val="en-US"/>
        </w:rPr>
        <w:t>二）</w:t>
      </w:r>
      <w:r>
        <w:rPr>
          <w:w w:val="105"/>
          <w:lang w:val="zh-CN"/>
        </w:rPr>
        <w:t>项目已经取得的批复</w:t>
      </w:r>
    </w:p>
    <w:p w14:paraId="78BB93AF">
      <w:pPr>
        <w:autoSpaceDE w:val="0"/>
        <w:autoSpaceDN w:val="0"/>
        <w:spacing w:before="190" w:beforeLines="50" w:after="190" w:afterLines="50" w:line="360" w:lineRule="auto"/>
        <w:ind w:firstLine="480"/>
        <w:rPr>
          <w:rFonts w:ascii="Times New Roman" w:hAnsi="Times New Roman" w:cs="Times New Roman"/>
          <w:szCs w:val="24"/>
          <w:lang w:val="zh-CN" w:bidi="zh-CN"/>
        </w:rPr>
      </w:pPr>
      <w:r>
        <w:rPr>
          <w:rFonts w:ascii="Times New Roman" w:hAnsi="Times New Roman" w:cs="Times New Roman"/>
          <w:szCs w:val="24"/>
          <w:lang w:val="zh-CN" w:bidi="zh-CN"/>
        </w:rPr>
        <w:t>截止至本法律意见书出具之日，</w:t>
      </w:r>
      <w:r>
        <w:rPr>
          <w:rFonts w:ascii="Times New Roman" w:hAnsi="Times New Roman" w:cs="Times New Roman"/>
          <w:szCs w:val="24"/>
          <w:lang w:bidi="zh-CN"/>
        </w:rPr>
        <w:t>该</w:t>
      </w:r>
      <w:r>
        <w:rPr>
          <w:rFonts w:ascii="Times New Roman" w:hAnsi="Times New Roman" w:cs="Times New Roman"/>
          <w:szCs w:val="24"/>
          <w:lang w:val="zh-CN" w:bidi="zh-CN"/>
        </w:rPr>
        <w:t>项目</w:t>
      </w:r>
      <w:r>
        <w:rPr>
          <w:rFonts w:hint="eastAsia" w:ascii="Times New Roman" w:hAnsi="Times New Roman" w:cs="Times New Roman"/>
          <w:szCs w:val="24"/>
          <w:lang w:val="en-US" w:bidi="zh-CN"/>
        </w:rPr>
        <w:t>及子项目</w:t>
      </w:r>
      <w:r>
        <w:rPr>
          <w:rFonts w:ascii="Times New Roman" w:hAnsi="Times New Roman" w:cs="Times New Roman"/>
          <w:szCs w:val="24"/>
          <w:lang w:val="zh-CN" w:bidi="zh-CN"/>
        </w:rPr>
        <w:t>已取得的主要批复如下：</w:t>
      </w:r>
    </w:p>
    <w:tbl>
      <w:tblPr>
        <w:tblStyle w:val="18"/>
        <w:tblW w:w="86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2"/>
        <w:gridCol w:w="2611"/>
        <w:gridCol w:w="2167"/>
        <w:gridCol w:w="1348"/>
        <w:gridCol w:w="1992"/>
      </w:tblGrid>
      <w:tr w14:paraId="5E955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jc w:val="center"/>
        </w:trPr>
        <w:tc>
          <w:tcPr>
            <w:tcW w:w="492" w:type="dxa"/>
            <w:shd w:val="clear" w:color="auto" w:fill="D8D8D8"/>
            <w:vAlign w:val="center"/>
          </w:tcPr>
          <w:p w14:paraId="4B36C4A5">
            <w:pPr>
              <w:autoSpaceDE w:val="0"/>
              <w:autoSpaceDN w:val="0"/>
              <w:spacing w:before="190" w:beforeLines="50" w:after="190" w:afterLines="50" w:line="240" w:lineRule="auto"/>
              <w:ind w:firstLine="0" w:firstLineChars="0"/>
              <w:jc w:val="center"/>
              <w:rPr>
                <w:rFonts w:ascii="Times New Roman" w:hAnsi="Times New Roman" w:cs="Times New Roman"/>
                <w:b/>
                <w:w w:val="105"/>
                <w:sz w:val="20"/>
                <w:szCs w:val="22"/>
                <w:lang w:bidi="zh-CN"/>
              </w:rPr>
            </w:pPr>
            <w:r>
              <w:rPr>
                <w:rFonts w:ascii="Times New Roman" w:hAnsi="Times New Roman" w:cs="Times New Roman"/>
                <w:b/>
                <w:w w:val="105"/>
                <w:sz w:val="20"/>
                <w:szCs w:val="22"/>
                <w:lang w:bidi="zh-CN"/>
              </w:rPr>
              <w:t>序号</w:t>
            </w:r>
          </w:p>
        </w:tc>
        <w:tc>
          <w:tcPr>
            <w:tcW w:w="2611" w:type="dxa"/>
            <w:shd w:val="clear" w:color="auto" w:fill="D8D8D8"/>
            <w:vAlign w:val="center"/>
          </w:tcPr>
          <w:p w14:paraId="3EE1C032">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val="zh-CN" w:bidi="zh-CN"/>
              </w:rPr>
            </w:pPr>
            <w:r>
              <w:rPr>
                <w:rFonts w:ascii="Times New Roman" w:hAnsi="Times New Roman" w:cs="Times New Roman"/>
                <w:b/>
                <w:w w:val="105"/>
                <w:sz w:val="20"/>
                <w:szCs w:val="22"/>
                <w:lang w:bidi="zh-CN"/>
              </w:rPr>
              <w:t>文件</w:t>
            </w:r>
            <w:r>
              <w:rPr>
                <w:rFonts w:ascii="Times New Roman" w:hAnsi="Times New Roman" w:cs="Times New Roman"/>
                <w:b/>
                <w:w w:val="105"/>
                <w:sz w:val="20"/>
                <w:szCs w:val="22"/>
                <w:lang w:val="zh-CN" w:bidi="zh-CN"/>
              </w:rPr>
              <w:t>名称</w:t>
            </w:r>
          </w:p>
        </w:tc>
        <w:tc>
          <w:tcPr>
            <w:tcW w:w="2167" w:type="dxa"/>
            <w:shd w:val="clear" w:color="auto" w:fill="D8D8D8"/>
            <w:vAlign w:val="center"/>
          </w:tcPr>
          <w:p w14:paraId="7C46CBD6">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val="zh-CN" w:bidi="zh-CN"/>
              </w:rPr>
            </w:pPr>
            <w:r>
              <w:rPr>
                <w:rFonts w:ascii="Times New Roman" w:hAnsi="Times New Roman" w:cs="Times New Roman"/>
                <w:b/>
                <w:w w:val="105"/>
                <w:sz w:val="20"/>
                <w:szCs w:val="22"/>
                <w:lang w:val="zh-CN" w:bidi="zh-CN"/>
              </w:rPr>
              <w:t>发文主体</w:t>
            </w:r>
          </w:p>
        </w:tc>
        <w:tc>
          <w:tcPr>
            <w:tcW w:w="1348" w:type="dxa"/>
            <w:shd w:val="clear" w:color="auto" w:fill="D8D8D8"/>
            <w:vAlign w:val="center"/>
          </w:tcPr>
          <w:p w14:paraId="1C291380">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bidi="zh-CN"/>
              </w:rPr>
            </w:pPr>
            <w:r>
              <w:rPr>
                <w:rFonts w:ascii="Times New Roman" w:hAnsi="Times New Roman" w:cs="Times New Roman"/>
                <w:b/>
                <w:w w:val="105"/>
                <w:sz w:val="20"/>
                <w:szCs w:val="22"/>
                <w:lang w:bidi="zh-CN"/>
              </w:rPr>
              <w:t>发文时间</w:t>
            </w:r>
          </w:p>
        </w:tc>
        <w:tc>
          <w:tcPr>
            <w:tcW w:w="1992" w:type="dxa"/>
            <w:shd w:val="clear" w:color="auto" w:fill="D8D8D8"/>
            <w:vAlign w:val="center"/>
          </w:tcPr>
          <w:p w14:paraId="62AAAB7C">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bidi="zh-CN"/>
              </w:rPr>
            </w:pPr>
            <w:r>
              <w:rPr>
                <w:rFonts w:ascii="Times New Roman" w:hAnsi="Times New Roman" w:cs="Times New Roman"/>
                <w:b/>
                <w:w w:val="105"/>
                <w:sz w:val="20"/>
                <w:szCs w:val="22"/>
                <w:lang w:bidi="zh-CN"/>
              </w:rPr>
              <w:t>文号</w:t>
            </w:r>
          </w:p>
        </w:tc>
      </w:tr>
      <w:tr w14:paraId="68E46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92" w:type="dxa"/>
            <w:vAlign w:val="center"/>
          </w:tcPr>
          <w:p w14:paraId="4EC9D237">
            <w:pPr>
              <w:autoSpaceDE w:val="0"/>
              <w:autoSpaceDN w:val="0"/>
              <w:spacing w:before="190" w:beforeLines="50" w:after="190" w:afterLines="50" w:line="240" w:lineRule="auto"/>
              <w:ind w:firstLine="0" w:firstLineChars="0"/>
              <w:jc w:val="center"/>
              <w:rPr>
                <w:rFonts w:ascii="Times New Roman" w:hAnsi="Times New Roman" w:cs="Times New Roman"/>
                <w:sz w:val="21"/>
                <w:szCs w:val="22"/>
                <w:lang w:bidi="zh-CN"/>
              </w:rPr>
            </w:pPr>
            <w:r>
              <w:rPr>
                <w:rFonts w:ascii="Times New Roman" w:hAnsi="Times New Roman" w:cs="Times New Roman"/>
                <w:sz w:val="21"/>
                <w:szCs w:val="22"/>
                <w:lang w:bidi="zh-CN"/>
              </w:rPr>
              <w:t>1</w:t>
            </w:r>
          </w:p>
        </w:tc>
        <w:tc>
          <w:tcPr>
            <w:tcW w:w="2611" w:type="dxa"/>
            <w:vAlign w:val="center"/>
          </w:tcPr>
          <w:p w14:paraId="69F89021">
            <w:pPr>
              <w:widowControl/>
              <w:spacing w:before="190" w:beforeLines="50" w:after="190" w:afterLines="50" w:line="240" w:lineRule="auto"/>
              <w:ind w:firstLine="0" w:firstLineChars="0"/>
              <w:jc w:val="center"/>
              <w:rPr>
                <w:rFonts w:ascii="Times New Roman" w:hAnsi="Times New Roman" w:cs="Times New Roman"/>
                <w:sz w:val="21"/>
                <w:szCs w:val="22"/>
                <w:lang w:bidi="zh-CN"/>
              </w:rPr>
            </w:pPr>
            <w:r>
              <w:rPr>
                <w:rFonts w:hint="eastAsia" w:ascii="Times New Roman" w:hAnsi="Times New Roman" w:cs="Times New Roman"/>
                <w:sz w:val="21"/>
                <w:szCs w:val="22"/>
                <w:lang w:bidi="zh-CN"/>
              </w:rPr>
              <w:t>《</w:t>
            </w:r>
            <w:r>
              <w:rPr>
                <w:rFonts w:hint="eastAsia" w:ascii="Times New Roman" w:hAnsi="Times New Roman" w:cs="Times New Roman"/>
                <w:sz w:val="21"/>
                <w:szCs w:val="22"/>
                <w:lang w:val="en-US" w:bidi="zh-CN"/>
              </w:rPr>
              <w:t>广州市花都区发展和改革局</w:t>
            </w:r>
            <w:r>
              <w:rPr>
                <w:rFonts w:hint="eastAsia" w:ascii="Times New Roman" w:hAnsi="Times New Roman" w:cs="Times New Roman"/>
                <w:sz w:val="21"/>
                <w:szCs w:val="22"/>
                <w:lang w:bidi="zh-CN"/>
              </w:rPr>
              <w:t>关于花都区智能装备科创产业园</w:t>
            </w:r>
            <w:r>
              <w:rPr>
                <w:rFonts w:hint="eastAsia" w:ascii="Times New Roman" w:hAnsi="Times New Roman" w:cs="Times New Roman"/>
                <w:sz w:val="21"/>
                <w:szCs w:val="22"/>
                <w:lang w:val="en-US" w:bidi="zh-CN"/>
              </w:rPr>
              <w:t>配套</w:t>
            </w:r>
            <w:r>
              <w:rPr>
                <w:rFonts w:hint="eastAsia" w:ascii="Times New Roman" w:hAnsi="Times New Roman" w:cs="Times New Roman"/>
                <w:sz w:val="21"/>
                <w:szCs w:val="22"/>
                <w:lang w:bidi="zh-CN"/>
              </w:rPr>
              <w:t>基础设施建设项目可行性研究报告的复函》</w:t>
            </w:r>
          </w:p>
        </w:tc>
        <w:tc>
          <w:tcPr>
            <w:tcW w:w="2167" w:type="dxa"/>
            <w:vAlign w:val="center"/>
          </w:tcPr>
          <w:p w14:paraId="5D5C883B">
            <w:pPr>
              <w:widowControl/>
              <w:spacing w:before="190" w:beforeLines="50" w:after="190" w:afterLines="50" w:line="240" w:lineRule="auto"/>
              <w:ind w:firstLine="0" w:firstLineChars="0"/>
              <w:jc w:val="center"/>
              <w:rPr>
                <w:rFonts w:ascii="Times New Roman" w:hAnsi="Times New Roman" w:cs="Times New Roman"/>
                <w:sz w:val="21"/>
                <w:szCs w:val="22"/>
                <w:lang w:val="zh-CN" w:bidi="zh-CN"/>
              </w:rPr>
            </w:pPr>
            <w:r>
              <w:rPr>
                <w:rFonts w:hint="eastAsia" w:ascii="Times New Roman" w:hAnsi="Times New Roman" w:cs="Times New Roman"/>
                <w:sz w:val="21"/>
                <w:szCs w:val="22"/>
                <w:lang w:bidi="zh-CN"/>
              </w:rPr>
              <w:t>广州市花都区发展和改革局</w:t>
            </w:r>
          </w:p>
        </w:tc>
        <w:tc>
          <w:tcPr>
            <w:tcW w:w="1348" w:type="dxa"/>
            <w:vAlign w:val="center"/>
          </w:tcPr>
          <w:p w14:paraId="154ECDBF">
            <w:pPr>
              <w:widowControl/>
              <w:spacing w:before="190" w:beforeLines="50" w:after="190" w:afterLines="50" w:line="240" w:lineRule="auto"/>
              <w:ind w:firstLine="0" w:firstLineChars="0"/>
              <w:jc w:val="center"/>
              <w:rPr>
                <w:rFonts w:hint="default" w:ascii="Times New Roman" w:hAnsi="Times New Roman" w:eastAsia="宋体" w:cs="Times New Roman"/>
                <w:sz w:val="21"/>
                <w:szCs w:val="22"/>
                <w:lang w:val="en-US" w:eastAsia="zh-CN" w:bidi="zh-CN"/>
              </w:rPr>
            </w:pPr>
            <w:r>
              <w:rPr>
                <w:rFonts w:ascii="Times New Roman" w:hAnsi="Times New Roman" w:cs="Times New Roman"/>
                <w:color w:val="000000"/>
                <w:kern w:val="0"/>
                <w:sz w:val="21"/>
                <w:lang w:bidi="ar"/>
              </w:rPr>
              <w:t>20</w:t>
            </w:r>
            <w:r>
              <w:rPr>
                <w:rFonts w:hint="eastAsia" w:ascii="Times New Roman" w:hAnsi="Times New Roman" w:cs="Times New Roman"/>
                <w:color w:val="000000"/>
                <w:kern w:val="0"/>
                <w:sz w:val="21"/>
                <w:lang w:bidi="ar"/>
              </w:rPr>
              <w:t>2</w:t>
            </w:r>
            <w:r>
              <w:rPr>
                <w:rFonts w:hint="eastAsia" w:ascii="Times New Roman" w:hAnsi="Times New Roman" w:cs="Times New Roman"/>
                <w:color w:val="000000"/>
                <w:kern w:val="0"/>
                <w:sz w:val="21"/>
                <w:lang w:val="en-US" w:eastAsia="zh-CN" w:bidi="ar"/>
              </w:rPr>
              <w:t>3</w:t>
            </w:r>
            <w:r>
              <w:rPr>
                <w:rFonts w:ascii="Times New Roman" w:hAnsi="Times New Roman" w:cs="Times New Roman"/>
                <w:color w:val="000000"/>
                <w:kern w:val="0"/>
                <w:sz w:val="21"/>
                <w:lang w:bidi="ar"/>
              </w:rPr>
              <w:t>-</w:t>
            </w:r>
            <w:r>
              <w:rPr>
                <w:rFonts w:hint="eastAsia" w:ascii="Times New Roman" w:hAnsi="Times New Roman" w:cs="Times New Roman"/>
                <w:color w:val="000000"/>
                <w:kern w:val="0"/>
                <w:sz w:val="21"/>
                <w:lang w:val="en-US" w:eastAsia="zh-CN" w:bidi="ar"/>
              </w:rPr>
              <w:t>4</w:t>
            </w:r>
            <w:r>
              <w:rPr>
                <w:rFonts w:ascii="Times New Roman" w:hAnsi="Times New Roman" w:cs="Times New Roman"/>
                <w:color w:val="000000"/>
                <w:kern w:val="0"/>
                <w:sz w:val="21"/>
                <w:lang w:bidi="ar"/>
              </w:rPr>
              <w:t>-</w:t>
            </w:r>
            <w:r>
              <w:rPr>
                <w:rFonts w:hint="eastAsia" w:ascii="Times New Roman" w:hAnsi="Times New Roman" w:cs="Times New Roman"/>
                <w:color w:val="000000"/>
                <w:kern w:val="0"/>
                <w:sz w:val="21"/>
                <w:lang w:val="en-US" w:eastAsia="zh-CN" w:bidi="ar"/>
              </w:rPr>
              <w:t>3</w:t>
            </w:r>
          </w:p>
        </w:tc>
        <w:tc>
          <w:tcPr>
            <w:tcW w:w="1992" w:type="dxa"/>
            <w:vAlign w:val="center"/>
          </w:tcPr>
          <w:p w14:paraId="19FAF6FE">
            <w:pPr>
              <w:autoSpaceDE w:val="0"/>
              <w:autoSpaceDN w:val="0"/>
              <w:spacing w:before="190" w:beforeLines="50" w:after="190" w:afterLines="50" w:line="240" w:lineRule="auto"/>
              <w:ind w:firstLine="0" w:firstLineChars="0"/>
              <w:jc w:val="center"/>
              <w:rPr>
                <w:rFonts w:ascii="Times New Roman" w:hAnsi="Times New Roman" w:cs="Times New Roman"/>
                <w:sz w:val="21"/>
                <w:szCs w:val="22"/>
                <w:lang w:val="zh-CN" w:bidi="zh-CN"/>
              </w:rPr>
            </w:pPr>
            <w:r>
              <w:rPr>
                <w:rFonts w:hint="eastAsia" w:ascii="Times New Roman" w:hAnsi="Times New Roman" w:cs="Times New Roman"/>
                <w:sz w:val="21"/>
                <w:szCs w:val="22"/>
                <w:lang w:val="zh-CN" w:bidi="zh-CN"/>
              </w:rPr>
              <w:t>花发改</w:t>
            </w:r>
            <w:r>
              <w:rPr>
                <w:rFonts w:hint="eastAsia" w:ascii="Times New Roman" w:hAnsi="Times New Roman" w:cs="Times New Roman"/>
                <w:sz w:val="21"/>
                <w:szCs w:val="22"/>
                <w:lang w:val="en-US" w:bidi="zh-CN"/>
              </w:rPr>
              <w:t>函</w:t>
            </w:r>
            <w:r>
              <w:rPr>
                <w:rFonts w:hint="eastAsia" w:ascii="Times New Roman" w:hAnsi="Times New Roman" w:cs="Times New Roman"/>
                <w:sz w:val="21"/>
                <w:szCs w:val="22"/>
                <w:lang w:val="zh-CN" w:bidi="zh-CN"/>
              </w:rPr>
              <w:t>〔2023〕</w:t>
            </w:r>
            <w:r>
              <w:rPr>
                <w:rFonts w:hint="eastAsia" w:ascii="Times New Roman" w:hAnsi="Times New Roman" w:cs="Times New Roman"/>
                <w:sz w:val="21"/>
                <w:szCs w:val="22"/>
                <w:lang w:val="en-US" w:bidi="zh-CN"/>
              </w:rPr>
              <w:t>39</w:t>
            </w:r>
            <w:r>
              <w:rPr>
                <w:rFonts w:hint="eastAsia" w:ascii="Times New Roman" w:hAnsi="Times New Roman" w:cs="Times New Roman"/>
                <w:sz w:val="21"/>
                <w:szCs w:val="22"/>
                <w:lang w:val="zh-CN" w:bidi="zh-CN"/>
              </w:rPr>
              <w:t>号</w:t>
            </w:r>
          </w:p>
        </w:tc>
      </w:tr>
    </w:tbl>
    <w:p w14:paraId="1A365F4E">
      <w:pPr>
        <w:autoSpaceDE w:val="0"/>
        <w:autoSpaceDN w:val="0"/>
        <w:spacing w:before="50" w:after="50" w:line="360" w:lineRule="auto"/>
        <w:ind w:firstLine="482"/>
        <w:rPr>
          <w:rFonts w:ascii="Times New Roman" w:hAnsi="Times New Roman" w:cs="Times New Roman"/>
          <w:b/>
          <w:w w:val="105"/>
          <w:kern w:val="0"/>
          <w:szCs w:val="24"/>
          <w:lang w:val="zh-CN" w:bidi="zh-CN"/>
        </w:rPr>
      </w:pPr>
      <w:bookmarkStart w:id="41" w:name="_Hlk123289711"/>
      <w:r>
        <w:rPr>
          <w:rFonts w:hint="eastAsia" w:ascii="Times New Roman" w:hAnsi="Times New Roman" w:cs="Times New Roman"/>
          <w:b/>
          <w:kern w:val="0"/>
          <w:szCs w:val="24"/>
          <w:lang w:val="zh-CN" w:bidi="zh-CN"/>
        </w:rPr>
        <w:t>综上，本所律师认为，本次债券发行募投项目已经开展立项有关工作，有实施项目的资金需求，后续项目需根据建设进度，按照有关法律、法规的规定办理审批手续</w:t>
      </w:r>
      <w:bookmarkEnd w:id="41"/>
      <w:r>
        <w:rPr>
          <w:rFonts w:ascii="Times New Roman" w:hAnsi="Times New Roman" w:cs="Times New Roman"/>
          <w:b/>
          <w:w w:val="105"/>
          <w:kern w:val="0"/>
          <w:szCs w:val="24"/>
          <w:lang w:val="zh-CN" w:bidi="zh-CN"/>
        </w:rPr>
        <w:t>。</w:t>
      </w:r>
    </w:p>
    <w:p w14:paraId="0353C751">
      <w:pPr>
        <w:spacing w:before="190" w:beforeLines="50" w:after="190" w:afterLines="50" w:line="360" w:lineRule="auto"/>
        <w:ind w:firstLine="480"/>
        <w:rPr>
          <w:rFonts w:ascii="Times New Roman" w:hAnsi="Times New Roman" w:cs="Times New Roman"/>
          <w:szCs w:val="24"/>
        </w:rPr>
      </w:pPr>
    </w:p>
    <w:p w14:paraId="44314206">
      <w:pPr>
        <w:pStyle w:val="2"/>
      </w:pPr>
      <w:bookmarkStart w:id="42" w:name="_Toc21523"/>
      <w:bookmarkStart w:id="43" w:name="_Toc19846"/>
      <w:bookmarkStart w:id="44" w:name="_Toc31742"/>
      <w:bookmarkStart w:id="45" w:name="_Toc7735"/>
      <w:bookmarkStart w:id="46" w:name="_Toc25572"/>
      <w:bookmarkStart w:id="47" w:name="_Toc9328"/>
      <w:r>
        <w:t>四、项目公益性及收益与融资平衡情况</w:t>
      </w:r>
      <w:bookmarkEnd w:id="42"/>
      <w:bookmarkEnd w:id="43"/>
      <w:bookmarkEnd w:id="44"/>
      <w:bookmarkEnd w:id="45"/>
      <w:bookmarkEnd w:id="46"/>
      <w:bookmarkEnd w:id="47"/>
    </w:p>
    <w:p w14:paraId="1FC1D560">
      <w:pPr>
        <w:pStyle w:val="3"/>
        <w:spacing w:before="190" w:after="190"/>
        <w:ind w:firstLine="508"/>
      </w:pPr>
      <w:bookmarkStart w:id="48" w:name="_Toc460"/>
      <w:bookmarkStart w:id="49" w:name="_Toc8596"/>
      <w:bookmarkStart w:id="50" w:name="_Toc18719"/>
      <w:bookmarkStart w:id="51" w:name="_Toc21834"/>
      <w:bookmarkStart w:id="52" w:name="_Toc11498"/>
      <w:bookmarkStart w:id="53" w:name="_Toc3438"/>
      <w:bookmarkStart w:id="54" w:name="_Toc25127"/>
      <w:r>
        <w:t>（一）公益性</w:t>
      </w:r>
    </w:p>
    <w:p w14:paraId="37D35137">
      <w:pPr>
        <w:spacing w:before="190" w:beforeLines="50" w:after="190" w:afterLines="50" w:line="360" w:lineRule="auto"/>
        <w:rPr>
          <w:rFonts w:ascii="Times New Roman" w:hAnsi="Times New Roman" w:cs="Times New Roman"/>
          <w:szCs w:val="24"/>
        </w:rPr>
      </w:pPr>
      <w:r>
        <w:rPr>
          <w:rFonts w:hint="eastAsia" w:ascii="Segoe UI Symbol" w:hAnsi="Segoe UI Symbol" w:cs="Segoe UI Symbol"/>
          <w:b w:val="0"/>
          <w:color w:val="auto"/>
          <w:szCs w:val="28"/>
          <w:lang w:val="en-US" w:eastAsia="zh-CN"/>
        </w:rPr>
        <w:t>本项目</w:t>
      </w:r>
      <w:r>
        <w:rPr>
          <w:rFonts w:hint="default" w:ascii="Times New Roman" w:hAnsi="Times New Roman" w:cs="Times New Roman"/>
          <w:b w:val="0"/>
          <w:bCs w:val="0"/>
          <w:szCs w:val="24"/>
          <w:lang w:val="en-US" w:eastAsia="zh-CN"/>
        </w:rPr>
        <w:t>主要建设内容包括新建及改造园区路网 39.2公里；电力迁改工程 5.5公里；老旧小区雨污分流面 积 35388平方米，污水管网改造 4.15公里；新建产业园配套服务中心建筑面积 30000平方米；新建充电桩 300套；以及其他配套基础设施建设</w:t>
      </w:r>
      <w:r>
        <w:rPr>
          <w:rFonts w:hint="eastAsia" w:ascii="Segoe UI Symbol" w:hAnsi="Segoe UI Symbol" w:cs="Segoe UI Symbol"/>
          <w:b w:val="0"/>
          <w:color w:val="auto"/>
          <w:szCs w:val="28"/>
          <w:lang w:val="en-US" w:eastAsia="zh-CN"/>
        </w:rPr>
        <w:t>，为公益性的基础设施建设项目，</w:t>
      </w:r>
      <w:r>
        <w:rPr>
          <w:rFonts w:ascii="Times New Roman" w:hAnsi="Times New Roman" w:cs="Times New Roman"/>
          <w:szCs w:val="24"/>
        </w:rPr>
        <w:t>符合《关于试点发展项目收益与融资自求平衡的地方政府专项债券品种的通知》（财预〔2017〕89号）的有关规定。</w:t>
      </w:r>
    </w:p>
    <w:p w14:paraId="52AEBB0F">
      <w:pPr>
        <w:pStyle w:val="3"/>
        <w:spacing w:before="190" w:after="190"/>
        <w:ind w:firstLine="508"/>
      </w:pPr>
      <w:r>
        <w:t>（</w:t>
      </w:r>
      <w:r>
        <w:rPr>
          <w:lang w:val="en-US"/>
        </w:rPr>
        <w:t>二</w:t>
      </w:r>
      <w:r>
        <w:t>）</w:t>
      </w:r>
      <w:bookmarkEnd w:id="48"/>
      <w:bookmarkEnd w:id="49"/>
      <w:bookmarkEnd w:id="50"/>
      <w:bookmarkEnd w:id="51"/>
      <w:bookmarkEnd w:id="52"/>
      <w:bookmarkEnd w:id="53"/>
      <w:bookmarkEnd w:id="54"/>
      <w:r>
        <w:t>收益与融资平衡</w:t>
      </w:r>
    </w:p>
    <w:p w14:paraId="559E1E3D">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根据光领会计所出具的《评价报告》</w:t>
      </w:r>
      <w:r>
        <w:rPr>
          <w:rFonts w:hint="eastAsia" w:ascii="Times New Roman" w:hAnsi="Times New Roman" w:cs="Times New Roman"/>
          <w:szCs w:val="24"/>
          <w:lang w:eastAsia="zh-CN"/>
        </w:rPr>
        <w:t>：经专项审核，</w:t>
      </w:r>
      <w:r>
        <w:rPr>
          <w:rFonts w:ascii="Times New Roman" w:hAnsi="Times New Roman" w:cs="Times New Roman"/>
          <w:szCs w:val="24"/>
        </w:rPr>
        <w:t>光领会计所</w:t>
      </w:r>
      <w:r>
        <w:rPr>
          <w:rFonts w:hint="eastAsia" w:ascii="Times New Roman" w:hAnsi="Times New Roman" w:cs="Times New Roman"/>
          <w:szCs w:val="24"/>
          <w:lang w:eastAsia="zh-CN"/>
        </w:rPr>
        <w:t>认为，在相关项目单位对项目收益预测及其所依据的各项假设前提下，本次评价的“花都区智能装备科创产业园基础设施建设项目”，预期土地出让收入对应的政府性基金收入和项目其他综合收益能够合理保障偿还融资本金和利息，实现项目收益和融资自求平衡。</w:t>
      </w:r>
    </w:p>
    <w:p w14:paraId="62F918DD">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综上，本次债券发行对应融资项目为公益性建设项目，预期收益能够合理保障偿还融资本金和利息，实现项目收益和融资自求平衡，符合《关于试点发展项目收益与融资自求平衡的地方政府专项债券品种的通知》（财预〔2017〕89号）的有关规定。</w:t>
      </w:r>
    </w:p>
    <w:p w14:paraId="77BA52D2">
      <w:pPr>
        <w:spacing w:before="190" w:beforeLines="50" w:after="190" w:afterLines="50" w:line="360" w:lineRule="auto"/>
        <w:ind w:firstLine="480"/>
        <w:rPr>
          <w:rFonts w:ascii="Times New Roman" w:hAnsi="Times New Roman" w:cs="Times New Roman"/>
          <w:szCs w:val="24"/>
        </w:rPr>
      </w:pPr>
    </w:p>
    <w:p w14:paraId="41273187">
      <w:pPr>
        <w:pStyle w:val="2"/>
        <w:spacing w:before="50" w:beforeLines="0" w:after="50" w:afterLines="0"/>
      </w:pPr>
      <w:bookmarkStart w:id="55" w:name="_Toc32082"/>
      <w:bookmarkStart w:id="56" w:name="_Toc22188"/>
      <w:bookmarkStart w:id="57" w:name="_Toc21280"/>
      <w:bookmarkStart w:id="58" w:name="_Toc26176"/>
      <w:bookmarkStart w:id="59" w:name="_Toc17879"/>
      <w:bookmarkStart w:id="60" w:name="_Toc26996"/>
      <w:r>
        <w:t>五、</w:t>
      </w:r>
      <w:bookmarkEnd w:id="55"/>
      <w:bookmarkEnd w:id="56"/>
      <w:bookmarkEnd w:id="57"/>
      <w:bookmarkEnd w:id="58"/>
      <w:bookmarkEnd w:id="59"/>
      <w:bookmarkStart w:id="61" w:name="_Toc115"/>
      <w:bookmarkStart w:id="62" w:name="_Toc23"/>
      <w:bookmarkStart w:id="63" w:name="_Toc20190"/>
      <w:bookmarkStart w:id="64" w:name="_Toc15837"/>
      <w:bookmarkStart w:id="65" w:name="_Toc22096"/>
      <w:r>
        <w:t>发行文件及发行</w:t>
      </w:r>
      <w:r>
        <w:rPr>
          <w:rFonts w:hint="eastAsia"/>
        </w:rPr>
        <w:t>服务</w:t>
      </w:r>
      <w:r>
        <w:t>机构</w:t>
      </w:r>
      <w:bookmarkEnd w:id="60"/>
      <w:bookmarkEnd w:id="61"/>
      <w:bookmarkEnd w:id="62"/>
      <w:bookmarkEnd w:id="63"/>
      <w:bookmarkEnd w:id="64"/>
      <w:bookmarkEnd w:id="65"/>
    </w:p>
    <w:p w14:paraId="387BF2DB">
      <w:pPr>
        <w:pStyle w:val="3"/>
        <w:spacing w:before="50" w:beforeLines="0" w:after="50" w:afterLines="0"/>
        <w:ind w:firstLine="508"/>
      </w:pPr>
      <w:bookmarkStart w:id="66" w:name="_Toc13899"/>
      <w:bookmarkStart w:id="67" w:name="_Toc18675"/>
      <w:bookmarkStart w:id="68" w:name="_Toc23151"/>
      <w:bookmarkStart w:id="69" w:name="_Toc26033"/>
      <w:bookmarkStart w:id="70" w:name="_Toc25935"/>
      <w:bookmarkStart w:id="71" w:name="_Toc19614"/>
      <w:bookmarkStart w:id="72" w:name="_Toc31237"/>
      <w:r>
        <w:t>（一）实施方案</w:t>
      </w:r>
      <w:bookmarkEnd w:id="66"/>
      <w:bookmarkEnd w:id="67"/>
      <w:bookmarkEnd w:id="68"/>
      <w:bookmarkEnd w:id="69"/>
      <w:bookmarkEnd w:id="70"/>
      <w:bookmarkEnd w:id="71"/>
      <w:bookmarkEnd w:id="72"/>
    </w:p>
    <w:p w14:paraId="5E5C10E3">
      <w:pPr>
        <w:spacing w:before="50" w:after="50" w:line="360" w:lineRule="auto"/>
        <w:ind w:firstLine="480"/>
        <w:rPr>
          <w:rFonts w:ascii="Times New Roman" w:hAnsi="Times New Roman" w:cs="Times New Roman"/>
          <w:szCs w:val="24"/>
        </w:rPr>
      </w:pPr>
      <w:r>
        <w:rPr>
          <w:rFonts w:ascii="Times New Roman" w:hAnsi="Times New Roman" w:cs="Times New Roman"/>
          <w:szCs w:val="24"/>
        </w:rPr>
        <w:t>本项目《实施方案》包含了项目基本情况、项目投资估算</w:t>
      </w:r>
      <w:r>
        <w:rPr>
          <w:rFonts w:hint="eastAsia" w:ascii="Times New Roman" w:hAnsi="Times New Roman" w:cs="Times New Roman"/>
          <w:szCs w:val="24"/>
        </w:rPr>
        <w:t>、</w:t>
      </w:r>
      <w:r>
        <w:rPr>
          <w:rFonts w:ascii="Times New Roman" w:hAnsi="Times New Roman" w:cs="Times New Roman"/>
          <w:szCs w:val="24"/>
        </w:rPr>
        <w:t>资金筹措方案</w:t>
      </w:r>
      <w:r>
        <w:rPr>
          <w:rFonts w:hint="eastAsia" w:ascii="Times New Roman" w:hAnsi="Times New Roman" w:cs="Times New Roman"/>
          <w:szCs w:val="24"/>
        </w:rPr>
        <w:t>及使用计划、</w:t>
      </w:r>
      <w:r>
        <w:rPr>
          <w:rFonts w:ascii="Times New Roman" w:hAnsi="Times New Roman" w:cs="Times New Roman"/>
          <w:szCs w:val="24"/>
        </w:rPr>
        <w:t>项目收益</w:t>
      </w:r>
      <w:r>
        <w:rPr>
          <w:rFonts w:hint="eastAsia" w:ascii="Times New Roman" w:hAnsi="Times New Roman" w:cs="Times New Roman"/>
          <w:szCs w:val="24"/>
        </w:rPr>
        <w:t>与</w:t>
      </w:r>
      <w:r>
        <w:rPr>
          <w:rFonts w:ascii="Times New Roman" w:hAnsi="Times New Roman" w:cs="Times New Roman"/>
          <w:szCs w:val="24"/>
        </w:rPr>
        <w:t>融资平衡情况、项目风险</w:t>
      </w:r>
      <w:r>
        <w:rPr>
          <w:rFonts w:hint="eastAsia" w:ascii="Times New Roman" w:hAnsi="Times New Roman" w:cs="Times New Roman"/>
          <w:szCs w:val="24"/>
        </w:rPr>
        <w:t>控制</w:t>
      </w:r>
      <w:r>
        <w:rPr>
          <w:rFonts w:ascii="Times New Roman" w:hAnsi="Times New Roman" w:cs="Times New Roman"/>
          <w:szCs w:val="24"/>
        </w:rPr>
        <w:t>、事前绩效评估报告等。</w:t>
      </w:r>
    </w:p>
    <w:p w14:paraId="6186B2E7">
      <w:pPr>
        <w:spacing w:before="50" w:after="50" w:line="360" w:lineRule="auto"/>
        <w:ind w:firstLine="480"/>
        <w:rPr>
          <w:rFonts w:ascii="Times New Roman" w:hAnsi="Times New Roman" w:cs="Times New Roman"/>
          <w:szCs w:val="24"/>
        </w:rPr>
      </w:pPr>
      <w:r>
        <w:rPr>
          <w:rFonts w:ascii="Times New Roman" w:hAnsi="Times New Roman" w:cs="Times New Roman"/>
          <w:szCs w:val="24"/>
        </w:rPr>
        <w:t>本所律师认为，《实施方案》内容具体明确，已包含本次债券发行所涉及的主要内容。</w:t>
      </w:r>
    </w:p>
    <w:p w14:paraId="3ABE3979">
      <w:pPr>
        <w:pStyle w:val="3"/>
        <w:spacing w:before="50" w:beforeLines="0" w:after="50" w:afterLines="0"/>
        <w:ind w:firstLine="508"/>
      </w:pPr>
      <w:bookmarkStart w:id="73" w:name="_Toc30321"/>
      <w:bookmarkStart w:id="74" w:name="_Toc1526"/>
      <w:bookmarkStart w:id="75" w:name="_Toc1821"/>
      <w:bookmarkStart w:id="76" w:name="_Toc4259"/>
      <w:bookmarkStart w:id="77" w:name="_Toc9813"/>
      <w:bookmarkStart w:id="78" w:name="_Toc1339"/>
      <w:bookmarkStart w:id="79" w:name="_Toc14567"/>
      <w:r>
        <w:rPr>
          <w:rFonts w:hint="eastAsia"/>
        </w:rPr>
        <w:t>（二）财务专项评价报告</w:t>
      </w:r>
      <w:bookmarkEnd w:id="73"/>
      <w:bookmarkEnd w:id="74"/>
      <w:bookmarkEnd w:id="75"/>
      <w:bookmarkEnd w:id="76"/>
      <w:bookmarkEnd w:id="77"/>
      <w:bookmarkEnd w:id="78"/>
      <w:bookmarkEnd w:id="79"/>
    </w:p>
    <w:p w14:paraId="04D03308">
      <w:pPr>
        <w:spacing w:before="50" w:after="50" w:line="360" w:lineRule="auto"/>
        <w:ind w:firstLine="480"/>
        <w:rPr>
          <w:rFonts w:ascii="Times New Roman" w:hAnsi="Times New Roman" w:cs="Times New Roman"/>
          <w:szCs w:val="24"/>
        </w:rPr>
      </w:pPr>
      <w:r>
        <w:rPr>
          <w:rFonts w:ascii="Times New Roman" w:hAnsi="Times New Roman" w:cs="Times New Roman"/>
          <w:szCs w:val="24"/>
        </w:rPr>
        <w:t>光领会计所就本项目出具了《评价报告》</w:t>
      </w:r>
      <w:r>
        <w:rPr>
          <w:rFonts w:hint="eastAsia" w:ascii="Times New Roman" w:hAnsi="Times New Roman" w:cs="Times New Roman"/>
          <w:szCs w:val="24"/>
          <w:lang w:eastAsia="zh-CN"/>
        </w:rPr>
        <w:t>，</w:t>
      </w:r>
      <w:r>
        <w:rPr>
          <w:rFonts w:ascii="Times New Roman" w:hAnsi="Times New Roman" w:cs="Times New Roman"/>
          <w:szCs w:val="24"/>
        </w:rPr>
        <w:t>光领会计所持有广州市越秀区市场监督管理局核发的统一社会信用代码为91440101716357654X的《营业执照》和广东省财政厅颁发的证书编号为44010048的《会计师事务所执业证书》，光领会计所为在中国境内依法设立且有效存续的会计师事务所。</w:t>
      </w:r>
    </w:p>
    <w:p w14:paraId="7C40816A">
      <w:pPr>
        <w:spacing w:before="50" w:after="50" w:line="360" w:lineRule="auto"/>
        <w:ind w:firstLine="480"/>
        <w:rPr>
          <w:rFonts w:ascii="Times New Roman" w:hAnsi="Times New Roman" w:cs="Times New Roman"/>
          <w:szCs w:val="24"/>
        </w:rPr>
      </w:pPr>
      <w:r>
        <w:rPr>
          <w:rFonts w:ascii="Times New Roman" w:hAnsi="Times New Roman" w:cs="Times New Roman"/>
          <w:szCs w:val="24"/>
        </w:rPr>
        <w:t>本所律师认为，光领会计所具有为本项目发行出具《评价报告》的从业资格。</w:t>
      </w:r>
    </w:p>
    <w:p w14:paraId="40707B92">
      <w:pPr>
        <w:pStyle w:val="3"/>
        <w:spacing w:before="50" w:beforeLines="0" w:after="50" w:afterLines="0"/>
        <w:ind w:firstLine="508"/>
      </w:pPr>
      <w:bookmarkStart w:id="80" w:name="_Toc19101"/>
      <w:bookmarkStart w:id="81" w:name="_Toc32549"/>
      <w:bookmarkStart w:id="82" w:name="_Toc13102"/>
      <w:bookmarkStart w:id="83" w:name="_Toc13460"/>
      <w:bookmarkStart w:id="84" w:name="_Toc11570"/>
      <w:bookmarkStart w:id="85" w:name="_Toc27747"/>
      <w:bookmarkStart w:id="86" w:name="_Toc14714"/>
      <w:r>
        <w:t>（三）法律意见书</w:t>
      </w:r>
      <w:bookmarkEnd w:id="80"/>
      <w:bookmarkEnd w:id="81"/>
      <w:bookmarkEnd w:id="82"/>
      <w:bookmarkEnd w:id="83"/>
      <w:bookmarkEnd w:id="84"/>
      <w:bookmarkEnd w:id="85"/>
      <w:bookmarkEnd w:id="86"/>
    </w:p>
    <w:p w14:paraId="56CD19FB">
      <w:pPr>
        <w:spacing w:before="50" w:after="50" w:line="360" w:lineRule="auto"/>
        <w:ind w:firstLine="480"/>
        <w:rPr>
          <w:rFonts w:ascii="Times New Roman" w:hAnsi="Times New Roman" w:cs="Times New Roman"/>
          <w:szCs w:val="24"/>
        </w:rPr>
      </w:pPr>
      <w:r>
        <w:rPr>
          <w:rFonts w:hint="eastAsia" w:ascii="Times New Roman" w:hAnsi="Times New Roman" w:cs="Times New Roman"/>
          <w:szCs w:val="24"/>
          <w:lang w:val="en-US" w:eastAsia="zh-CN"/>
        </w:rPr>
        <w:t>法律意见书由本所出具。</w:t>
      </w:r>
      <w:r>
        <w:rPr>
          <w:rFonts w:ascii="Times New Roman" w:hAnsi="Times New Roman" w:cs="Times New Roman"/>
          <w:szCs w:val="24"/>
        </w:rPr>
        <w:t>本所是经广东省司法厅批准设立并合法存续的合伙制律师事务所，现持有广东省司法厅颁发的《律师事务所执业许可证》（证号：31440000729897588T），并已通过历年年审。本所指派的两位经办律师均持有广东省司法厅颁发的《中华人民共和国律师执业证》，并已通过历年年审。</w:t>
      </w:r>
    </w:p>
    <w:p w14:paraId="3A078F65">
      <w:pPr>
        <w:spacing w:before="50" w:after="50" w:line="360" w:lineRule="auto"/>
        <w:ind w:firstLine="480"/>
        <w:rPr>
          <w:rFonts w:ascii="Times New Roman" w:hAnsi="Times New Roman" w:cs="Times New Roman"/>
          <w:szCs w:val="24"/>
        </w:rPr>
      </w:pPr>
      <w:r>
        <w:rPr>
          <w:rFonts w:ascii="Times New Roman" w:hAnsi="Times New Roman" w:cs="Times New Roman"/>
          <w:szCs w:val="24"/>
        </w:rPr>
        <w:t>本所律师认为，本所系依法成立且有效存续的律师事务所，具备为本项目发行出具法律意见书的资质；本法律意见书上签字的两名执业律师均具备相应的执业资格。</w:t>
      </w:r>
    </w:p>
    <w:p w14:paraId="22E020F1">
      <w:pPr>
        <w:spacing w:before="190" w:beforeLines="50" w:after="190" w:afterLines="50" w:line="360" w:lineRule="auto"/>
        <w:ind w:firstLine="480"/>
        <w:rPr>
          <w:rFonts w:ascii="Times New Roman" w:hAnsi="Times New Roman" w:cs="Times New Roman"/>
          <w:szCs w:val="24"/>
        </w:rPr>
      </w:pPr>
    </w:p>
    <w:p w14:paraId="2C3D4E52">
      <w:pPr>
        <w:pStyle w:val="2"/>
      </w:pPr>
      <w:bookmarkStart w:id="87" w:name="_Toc4917"/>
      <w:bookmarkStart w:id="88" w:name="_Toc28840"/>
      <w:bookmarkStart w:id="89" w:name="_Toc6545"/>
      <w:bookmarkStart w:id="90" w:name="_Toc16779"/>
      <w:bookmarkStart w:id="91" w:name="_Toc14258"/>
      <w:bookmarkStart w:id="92" w:name="_Toc8742"/>
      <w:r>
        <w:t>六、项目风险提示</w:t>
      </w:r>
      <w:bookmarkEnd w:id="87"/>
      <w:bookmarkEnd w:id="88"/>
      <w:bookmarkEnd w:id="89"/>
      <w:bookmarkEnd w:id="90"/>
      <w:bookmarkEnd w:id="91"/>
      <w:bookmarkEnd w:id="92"/>
    </w:p>
    <w:p w14:paraId="2DDC973C">
      <w:pPr>
        <w:numPr>
          <w:ilvl w:val="255"/>
          <w:numId w:val="0"/>
        </w:num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根据《实施方案》，</w:t>
      </w:r>
      <w:r>
        <w:rPr>
          <w:rFonts w:hint="eastAsia" w:ascii="Times New Roman" w:hAnsi="Times New Roman" w:cs="Times New Roman"/>
          <w:szCs w:val="24"/>
          <w:lang w:val="en-US" w:eastAsia="zh-CN"/>
        </w:rPr>
        <w:t>本</w:t>
      </w:r>
      <w:r>
        <w:rPr>
          <w:rFonts w:hint="eastAsia" w:ascii="Times New Roman" w:hAnsi="Times New Roman" w:cs="Times New Roman"/>
          <w:szCs w:val="24"/>
        </w:rPr>
        <w:t>项目可能存在潜在的工程实施风险、组织及管理风险、财务及融资风险、收益实现规模与预期存在差异的风险、收益专项用于偿债的操作风险、利率波动风险。</w:t>
      </w:r>
    </w:p>
    <w:p w14:paraId="553C39FB">
      <w:pPr>
        <w:spacing w:before="190" w:beforeLines="50" w:after="190" w:afterLines="50" w:line="360" w:lineRule="auto"/>
        <w:rPr>
          <w:rFonts w:ascii="Times New Roman" w:hAnsi="Times New Roman"/>
          <w:szCs w:val="24"/>
        </w:rPr>
      </w:pPr>
    </w:p>
    <w:p w14:paraId="450FBAC7">
      <w:pPr>
        <w:pStyle w:val="2"/>
        <w:spacing w:before="50" w:beforeLines="0" w:after="50" w:afterLines="0"/>
      </w:pPr>
      <w:bookmarkStart w:id="93" w:name="_Toc28147"/>
      <w:bookmarkStart w:id="94" w:name="_Toc27570"/>
      <w:bookmarkStart w:id="95" w:name="_Toc18653"/>
      <w:bookmarkStart w:id="96" w:name="_Toc21982"/>
      <w:bookmarkStart w:id="97" w:name="_Toc25534"/>
      <w:bookmarkStart w:id="98" w:name="_Toc28568"/>
      <w:r>
        <w:t>七、总体结论性意见</w:t>
      </w:r>
      <w:bookmarkEnd w:id="93"/>
      <w:bookmarkEnd w:id="94"/>
      <w:bookmarkEnd w:id="95"/>
      <w:bookmarkEnd w:id="96"/>
      <w:bookmarkEnd w:id="97"/>
      <w:bookmarkEnd w:id="98"/>
    </w:p>
    <w:p w14:paraId="43FB44EA">
      <w:pPr>
        <w:spacing w:before="50" w:after="50" w:line="360" w:lineRule="auto"/>
        <w:ind w:firstLine="480"/>
        <w:rPr>
          <w:rFonts w:ascii="Times New Roman" w:hAnsi="Times New Roman" w:cs="Times New Roman"/>
          <w:szCs w:val="24"/>
        </w:rPr>
      </w:pPr>
      <w:r>
        <w:rPr>
          <w:rFonts w:ascii="Times New Roman" w:hAnsi="Times New Roman" w:cs="Times New Roman"/>
          <w:szCs w:val="24"/>
        </w:rPr>
        <w:t>综上所述，本所律师认为：</w:t>
      </w:r>
    </w:p>
    <w:p w14:paraId="7C83B82F">
      <w:pPr>
        <w:spacing w:before="50" w:after="50" w:line="360" w:lineRule="auto"/>
        <w:ind w:firstLine="480"/>
        <w:rPr>
          <w:rFonts w:ascii="Times New Roman" w:hAnsi="Times New Roman" w:cs="Times New Roman"/>
          <w:szCs w:val="24"/>
        </w:rPr>
      </w:pPr>
      <w:r>
        <w:rPr>
          <w:rFonts w:hint="eastAsia" w:ascii="Times New Roman" w:hAnsi="Times New Roman" w:cs="Times New Roman"/>
          <w:szCs w:val="24"/>
        </w:rPr>
        <w:t>1</w:t>
      </w:r>
      <w:r>
        <w:rPr>
          <w:rFonts w:ascii="Times New Roman" w:hAnsi="Times New Roman" w:cs="Times New Roman"/>
          <w:szCs w:val="24"/>
        </w:rPr>
        <w:t>.本次债券发行的发行主体广东省人民政府具备发行地方政府专项债券的主体资格。</w:t>
      </w:r>
    </w:p>
    <w:p w14:paraId="04197B33">
      <w:pPr>
        <w:spacing w:before="50" w:after="50" w:line="360" w:lineRule="auto"/>
        <w:ind w:firstLine="480"/>
        <w:rPr>
          <w:rFonts w:ascii="Times New Roman" w:hAnsi="Times New Roman" w:cs="Times New Roman"/>
          <w:szCs w:val="24"/>
        </w:rPr>
      </w:pPr>
      <w:r>
        <w:rPr>
          <w:rFonts w:ascii="Times New Roman" w:hAnsi="Times New Roman" w:cs="Times New Roman"/>
          <w:szCs w:val="24"/>
        </w:rPr>
        <w:t>2.募投项目的实施主体为</w:t>
      </w:r>
      <w:r>
        <w:rPr>
          <w:rFonts w:hint="eastAsia"/>
        </w:rPr>
        <w:t>广州市花都区</w:t>
      </w:r>
      <w:r>
        <w:rPr>
          <w:rFonts w:hint="eastAsia"/>
          <w:lang w:val="en-US" w:eastAsia="zh-CN"/>
        </w:rPr>
        <w:t>新雅镇街道办事处</w:t>
      </w:r>
      <w:r>
        <w:rPr>
          <w:rFonts w:ascii="Times New Roman" w:hAnsi="Times New Roman" w:cs="Times New Roman"/>
          <w:szCs w:val="24"/>
        </w:rPr>
        <w:t>，负责项目</w:t>
      </w:r>
      <w:r>
        <w:rPr>
          <w:rFonts w:hint="eastAsia" w:ascii="Times New Roman" w:hAnsi="Times New Roman" w:cs="Times New Roman"/>
          <w:szCs w:val="24"/>
          <w:lang w:val="en-US" w:eastAsia="zh-CN"/>
        </w:rPr>
        <w:t>组织实施</w:t>
      </w:r>
      <w:r>
        <w:rPr>
          <w:rFonts w:ascii="Times New Roman" w:hAnsi="Times New Roman" w:cs="Times New Roman"/>
          <w:szCs w:val="24"/>
        </w:rPr>
        <w:t>。</w:t>
      </w:r>
    </w:p>
    <w:p w14:paraId="1F62C3EE">
      <w:pPr>
        <w:spacing w:before="50" w:after="50" w:line="360" w:lineRule="auto"/>
        <w:ind w:firstLine="480"/>
        <w:rPr>
          <w:rFonts w:ascii="Times New Roman" w:hAnsi="Times New Roman" w:cs="Times New Roman"/>
          <w:szCs w:val="24"/>
        </w:rPr>
      </w:pPr>
      <w:r>
        <w:rPr>
          <w:rFonts w:hint="eastAsia" w:ascii="Times New Roman" w:hAnsi="Times New Roman" w:cs="Times New Roman"/>
          <w:szCs w:val="24"/>
        </w:rPr>
        <w:t>3</w:t>
      </w:r>
      <w:r>
        <w:rPr>
          <w:rFonts w:ascii="Times New Roman" w:hAnsi="Times New Roman" w:cs="Times New Roman"/>
          <w:szCs w:val="24"/>
        </w:rPr>
        <w:t>.本次债券募集资金将用于</w:t>
      </w:r>
      <w:r>
        <w:rPr>
          <w:rFonts w:hint="eastAsia" w:ascii="Times New Roman" w:hAnsi="Times New Roman" w:cs="Times New Roman"/>
          <w:szCs w:val="24"/>
        </w:rPr>
        <w:t>的</w:t>
      </w:r>
      <w:r>
        <w:rPr>
          <w:rFonts w:hint="eastAsia" w:ascii="Times New Roman" w:hAnsi="Times New Roman" w:cs="Times New Roman"/>
          <w:szCs w:val="24"/>
          <w:lang w:eastAsia="zh-CN"/>
        </w:rPr>
        <w:t>花都区智能装备科创产业园基础设施建设项目</w:t>
      </w:r>
      <w:r>
        <w:rPr>
          <w:rFonts w:hint="eastAsia" w:ascii="Times New Roman" w:hAnsi="Times New Roman" w:cs="Times New Roman"/>
          <w:szCs w:val="24"/>
        </w:rPr>
        <w:t>已经开展立项有关工作，有实施项目的资金需求，后续项目需根据建设进度，按照有关法律、法规的规定办理审批手续。</w:t>
      </w:r>
    </w:p>
    <w:p w14:paraId="6C5F51F6">
      <w:pPr>
        <w:numPr>
          <w:ilvl w:val="255"/>
          <w:numId w:val="0"/>
        </w:numPr>
        <w:spacing w:before="50" w:after="50" w:line="360" w:lineRule="auto"/>
        <w:ind w:firstLine="480"/>
        <w:rPr>
          <w:rFonts w:ascii="Times New Roman" w:hAnsi="Times New Roman" w:cs="Times New Roman"/>
          <w:szCs w:val="24"/>
        </w:rPr>
      </w:pPr>
      <w:r>
        <w:rPr>
          <w:rFonts w:ascii="Times New Roman" w:hAnsi="Times New Roman" w:cs="Times New Roman"/>
          <w:szCs w:val="24"/>
        </w:rPr>
        <w:t>4. 本次债券</w:t>
      </w:r>
      <w:r>
        <w:rPr>
          <w:rFonts w:hint="eastAsia" w:ascii="Times New Roman" w:hAnsi="Times New Roman" w:cs="Times New Roman"/>
          <w:szCs w:val="24"/>
        </w:rPr>
        <w:t>经光领会计所评价可</w:t>
      </w:r>
      <w:r>
        <w:rPr>
          <w:rFonts w:ascii="Times New Roman" w:hAnsi="Times New Roman" w:cs="Times New Roman"/>
          <w:szCs w:val="24"/>
        </w:rPr>
        <w:t>满足项目收益与融资自求平衡的要求，符合《关于试点发展项目收益与融资自求平衡的地方政府专项债券品种的通知》（财预〔2017〕89号）的规定。</w:t>
      </w:r>
    </w:p>
    <w:p w14:paraId="5610CDD3">
      <w:pPr>
        <w:numPr>
          <w:ilvl w:val="255"/>
          <w:numId w:val="0"/>
        </w:numPr>
        <w:spacing w:before="50" w:after="50" w:line="360" w:lineRule="auto"/>
        <w:ind w:firstLine="480"/>
        <w:rPr>
          <w:rFonts w:ascii="Times New Roman" w:hAnsi="Times New Roman" w:cs="Times New Roman"/>
          <w:szCs w:val="24"/>
        </w:rPr>
      </w:pPr>
      <w:r>
        <w:rPr>
          <w:rFonts w:ascii="Times New Roman" w:hAnsi="Times New Roman" w:cs="Times New Roman"/>
          <w:szCs w:val="24"/>
        </w:rPr>
        <w:t>5.《实施方案》对本次债券发行进行了事前绩效评估，已披露项目情况、项目投资估算及资金筹措方案、项目预期收益与融资平衡情况等主要内容，符合《地方政府债券发行管理办法》（财库〔2020〕43号）、《财政部关于印发&lt;地方政府专项债券项目资金绩效管理办法&gt;的通知》</w:t>
      </w:r>
      <w:r>
        <w:rPr>
          <w:rFonts w:hint="eastAsia" w:ascii="Times New Roman" w:hAnsi="Times New Roman" w:cs="Times New Roman"/>
          <w:szCs w:val="24"/>
        </w:rPr>
        <w:t>（</w:t>
      </w:r>
      <w:r>
        <w:rPr>
          <w:rFonts w:ascii="Times New Roman" w:hAnsi="Times New Roman" w:cs="Times New Roman"/>
          <w:szCs w:val="24"/>
        </w:rPr>
        <w:t>财预〔2021〕61号</w:t>
      </w:r>
      <w:r>
        <w:rPr>
          <w:rFonts w:hint="eastAsia" w:ascii="Times New Roman" w:hAnsi="Times New Roman" w:cs="Times New Roman"/>
          <w:szCs w:val="24"/>
        </w:rPr>
        <w:t>）</w:t>
      </w:r>
      <w:r>
        <w:rPr>
          <w:rFonts w:ascii="Times New Roman" w:hAnsi="Times New Roman" w:cs="Times New Roman"/>
          <w:szCs w:val="24"/>
        </w:rPr>
        <w:t>等规范性文件对地方政府专项债券信息披露的要求。</w:t>
      </w:r>
    </w:p>
    <w:p w14:paraId="256AFD74">
      <w:pPr>
        <w:spacing w:before="50" w:after="50" w:line="360" w:lineRule="auto"/>
        <w:ind w:firstLine="480"/>
        <w:rPr>
          <w:rFonts w:ascii="Times New Roman" w:hAnsi="Times New Roman" w:cs="Times New Roman"/>
          <w:szCs w:val="24"/>
        </w:rPr>
      </w:pPr>
      <w:r>
        <w:rPr>
          <w:rFonts w:ascii="Times New Roman" w:hAnsi="Times New Roman" w:cs="Times New Roman"/>
          <w:szCs w:val="24"/>
        </w:rPr>
        <w:t>6.为本次债券发行提供财务专项评价报告、法律意见书的专业机构均具备相应的执业资格。</w:t>
      </w:r>
    </w:p>
    <w:p w14:paraId="20E76209">
      <w:pPr>
        <w:spacing w:before="50" w:after="50" w:line="360" w:lineRule="auto"/>
        <w:ind w:firstLine="480"/>
        <w:rPr>
          <w:rFonts w:ascii="Times New Roman" w:hAnsi="Times New Roman" w:cs="Times New Roman"/>
          <w:szCs w:val="24"/>
        </w:rPr>
      </w:pPr>
      <w:r>
        <w:rPr>
          <w:rFonts w:ascii="Times New Roman" w:hAnsi="Times New Roman" w:cs="Times New Roman"/>
          <w:szCs w:val="24"/>
        </w:rPr>
        <w:t>7.本项目发行的风险因素包括</w:t>
      </w:r>
      <w:r>
        <w:rPr>
          <w:rFonts w:hint="eastAsia" w:ascii="Times New Roman" w:hAnsi="Times New Roman" w:cs="Times New Roman"/>
          <w:szCs w:val="24"/>
        </w:rPr>
        <w:t>工程实施风险、组织及管理风险、财务及融资风险、收益实现规模与预期存在差异的风险、收益专项用于偿债的操作风险、利率波动风险</w:t>
      </w:r>
      <w:r>
        <w:rPr>
          <w:rFonts w:hint="eastAsia" w:ascii="Times New Roman" w:hAnsi="Times New Roman" w:cs="Times New Roman"/>
          <w:szCs w:val="24"/>
          <w:lang w:val="en-US" w:eastAsia="zh-CN"/>
        </w:rPr>
        <w:t>等</w:t>
      </w:r>
      <w:r>
        <w:rPr>
          <w:rFonts w:hint="eastAsia" w:ascii="Times New Roman" w:hAnsi="Times New Roman" w:cs="Times New Roman"/>
          <w:szCs w:val="24"/>
        </w:rPr>
        <w:t>。</w:t>
      </w:r>
    </w:p>
    <w:p w14:paraId="4494640B">
      <w:pPr>
        <w:spacing w:before="50" w:after="50" w:line="360" w:lineRule="auto"/>
        <w:ind w:firstLine="480"/>
        <w:rPr>
          <w:rFonts w:ascii="Times New Roman" w:hAnsi="Times New Roman" w:cs="Times New Roman"/>
          <w:szCs w:val="24"/>
        </w:rPr>
      </w:pPr>
      <w:r>
        <w:rPr>
          <w:rFonts w:ascii="Times New Roman" w:hAnsi="Times New Roman" w:cs="Times New Roman"/>
          <w:szCs w:val="24"/>
        </w:rPr>
        <w:t>本法律意见书自本所盖章及经办律师签字后生效；本法律意见书一式三份，本所留存一份，其余两份供发行人为本次债券发行之目的而使用。</w:t>
      </w:r>
    </w:p>
    <w:p w14:paraId="297153FF">
      <w:pPr>
        <w:widowControl/>
        <w:spacing w:before="50" w:after="50" w:line="360" w:lineRule="auto"/>
        <w:ind w:firstLine="0" w:firstLineChars="0"/>
        <w:jc w:val="center"/>
        <w:rPr>
          <w:rFonts w:ascii="Times New Roman" w:hAnsi="Times New Roman" w:cs="Times New Roman"/>
          <w:szCs w:val="24"/>
        </w:rPr>
      </w:pPr>
      <w:r>
        <w:rPr>
          <w:rFonts w:ascii="Times New Roman" w:hAnsi="Times New Roman" w:cs="Times New Roman"/>
          <w:szCs w:val="24"/>
        </w:rPr>
        <w:t>（本页本行以下无正文）</w:t>
      </w:r>
    </w:p>
    <w:p w14:paraId="450A6C77">
      <w:pPr>
        <w:widowControl/>
        <w:spacing w:before="50" w:after="50" w:line="360" w:lineRule="auto"/>
        <w:ind w:firstLine="0" w:firstLineChars="0"/>
        <w:jc w:val="left"/>
        <w:rPr>
          <w:rFonts w:ascii="Times New Roman" w:hAnsi="Times New Roman"/>
          <w:szCs w:val="24"/>
        </w:rPr>
      </w:pPr>
      <w:r>
        <w:rPr>
          <w:rFonts w:ascii="Times New Roman" w:hAnsi="Times New Roman"/>
          <w:szCs w:val="24"/>
        </w:rPr>
        <w:br w:type="page"/>
      </w:r>
    </w:p>
    <w:p w14:paraId="2A208006">
      <w:pPr>
        <w:pStyle w:val="25"/>
        <w:spacing w:line="500" w:lineRule="exact"/>
        <w:rPr>
          <w:rFonts w:ascii="Times New Roman" w:hAnsi="Times New Roman" w:eastAsia="宋体" w:cs="Times New Roman"/>
          <w:b/>
          <w:bCs/>
          <w:color w:val="auto"/>
        </w:rPr>
      </w:pPr>
      <w:r>
        <w:rPr>
          <w:rFonts w:ascii="Times New Roman" w:hAnsi="Times New Roman" w:eastAsia="宋体" w:cs="Times New Roman"/>
          <w:b/>
          <w:bCs/>
          <w:color w:val="auto"/>
          <w:kern w:val="2"/>
        </w:rPr>
        <w:t>（本页无正文，为北京大成（广州）律师事务所出具的《</w:t>
      </w:r>
      <w:r>
        <w:rPr>
          <w:rFonts w:ascii="Times New Roman" w:hAnsi="Times New Roman" w:eastAsia="宋体" w:cs="Times New Roman"/>
          <w:b/>
          <w:bCs/>
          <w:kern w:val="2"/>
        </w:rPr>
        <w:t>法律意见</w:t>
      </w:r>
      <w:r>
        <w:rPr>
          <w:rFonts w:ascii="Times New Roman" w:hAnsi="Times New Roman" w:eastAsia="宋体" w:cs="Times New Roman"/>
          <w:b/>
          <w:bCs/>
          <w:color w:val="auto"/>
          <w:kern w:val="2"/>
        </w:rPr>
        <w:t>书》</w:t>
      </w:r>
      <w:r>
        <w:rPr>
          <w:rFonts w:ascii="Times New Roman" w:hAnsi="Times New Roman" w:eastAsia="宋体" w:cs="Times New Roman"/>
          <w:b/>
          <w:bCs/>
          <w:color w:val="auto"/>
        </w:rPr>
        <w:t>之签署页）</w:t>
      </w:r>
    </w:p>
    <w:p w14:paraId="2CCA840A">
      <w:pPr>
        <w:pStyle w:val="25"/>
        <w:spacing w:line="500" w:lineRule="exact"/>
        <w:rPr>
          <w:rFonts w:ascii="Times New Roman" w:hAnsi="Times New Roman" w:eastAsia="宋体" w:cs="Times New Roman"/>
          <w:color w:val="auto"/>
        </w:rPr>
      </w:pPr>
    </w:p>
    <w:p w14:paraId="1A2E41C0">
      <w:pPr>
        <w:pStyle w:val="25"/>
        <w:spacing w:line="500" w:lineRule="exact"/>
        <w:rPr>
          <w:rFonts w:ascii="Times New Roman" w:hAnsi="Times New Roman" w:eastAsia="宋体" w:cs="Times New Roman"/>
          <w:color w:val="auto"/>
        </w:rPr>
      </w:pPr>
    </w:p>
    <w:p w14:paraId="4979137E">
      <w:pPr>
        <w:pStyle w:val="25"/>
        <w:spacing w:line="500" w:lineRule="exact"/>
        <w:rPr>
          <w:rFonts w:ascii="Times New Roman" w:hAnsi="Times New Roman" w:eastAsia="宋体" w:cs="Times New Roman"/>
          <w:color w:val="auto"/>
        </w:rPr>
      </w:pPr>
      <w:r>
        <w:rPr>
          <w:rFonts w:ascii="Times New Roman" w:hAnsi="Times New Roman" w:eastAsia="宋体" w:cs="Times New Roman"/>
          <w:color w:val="auto"/>
        </w:rPr>
        <w:t>北京大成（广州）律师事务所</w:t>
      </w:r>
    </w:p>
    <w:p w14:paraId="037B9C30">
      <w:pPr>
        <w:pStyle w:val="25"/>
        <w:spacing w:line="500" w:lineRule="exact"/>
        <w:rPr>
          <w:rFonts w:ascii="Times New Roman" w:hAnsi="Times New Roman" w:eastAsia="宋体" w:cs="Times New Roman"/>
          <w:color w:val="auto"/>
        </w:rPr>
      </w:pPr>
    </w:p>
    <w:p w14:paraId="1879DDA8">
      <w:pPr>
        <w:pStyle w:val="25"/>
        <w:spacing w:line="500" w:lineRule="exact"/>
        <w:rPr>
          <w:rFonts w:ascii="Times New Roman" w:hAnsi="Times New Roman" w:eastAsia="宋体" w:cs="Times New Roman"/>
          <w:color w:val="auto"/>
        </w:rPr>
      </w:pPr>
      <w:r>
        <w:rPr>
          <w:rFonts w:hint="eastAsia" w:ascii="Times New Roman" w:hAnsi="Times New Roman" w:eastAsia="宋体" w:cs="Times New Roman"/>
          <w:color w:val="auto"/>
          <w:lang w:eastAsia="zh-CN"/>
        </w:rPr>
        <w:drawing>
          <wp:anchor distT="0" distB="0" distL="114300" distR="114300" simplePos="0" relativeHeight="251659264" behindDoc="1" locked="0" layoutInCell="1" allowOverlap="1">
            <wp:simplePos x="0" y="0"/>
            <wp:positionH relativeFrom="column">
              <wp:posOffset>3829050</wp:posOffset>
            </wp:positionH>
            <wp:positionV relativeFrom="paragraph">
              <wp:posOffset>109855</wp:posOffset>
            </wp:positionV>
            <wp:extent cx="1050925" cy="631825"/>
            <wp:effectExtent l="0" t="0" r="6350" b="6350"/>
            <wp:wrapNone/>
            <wp:docPr id="2" name="图片 2" descr="20b253499ae7ea09905988234b66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b253499ae7ea09905988234b66467"/>
                    <pic:cNvPicPr>
                      <a:picLocks noChangeAspect="1"/>
                    </pic:cNvPicPr>
                  </pic:nvPicPr>
                  <pic:blipFill>
                    <a:blip r:embed="rId9"/>
                    <a:stretch>
                      <a:fillRect/>
                    </a:stretch>
                  </pic:blipFill>
                  <pic:spPr>
                    <a:xfrm>
                      <a:off x="0" y="0"/>
                      <a:ext cx="1050925" cy="631825"/>
                    </a:xfrm>
                    <a:prstGeom prst="rect">
                      <a:avLst/>
                    </a:prstGeom>
                    <a:noFill/>
                    <a:ln>
                      <a:noFill/>
                    </a:ln>
                  </pic:spPr>
                </pic:pic>
              </a:graphicData>
            </a:graphic>
          </wp:anchor>
        </w:drawing>
      </w:r>
    </w:p>
    <w:p w14:paraId="59C5F722">
      <w:pPr>
        <w:pStyle w:val="25"/>
        <w:tabs>
          <w:tab w:val="left" w:pos="4820"/>
        </w:tabs>
        <w:spacing w:line="500" w:lineRule="exact"/>
        <w:rPr>
          <w:rFonts w:ascii="Times New Roman" w:hAnsi="Times New Roman" w:eastAsia="宋体" w:cs="Times New Roman"/>
          <w:color w:val="auto"/>
        </w:rPr>
      </w:pPr>
      <w:r>
        <w:rPr>
          <w:rFonts w:ascii="Times New Roman" w:hAnsi="Times New Roman" w:eastAsia="宋体" w:cs="Times New Roman"/>
          <w:color w:val="auto"/>
        </w:rPr>
        <w:tab/>
      </w:r>
      <w:r>
        <w:rPr>
          <w:rFonts w:ascii="Times New Roman" w:hAnsi="Times New Roman" w:eastAsia="宋体" w:cs="Times New Roman"/>
          <w:color w:val="auto"/>
        </w:rPr>
        <w:t>经办律师：________________</w:t>
      </w:r>
    </w:p>
    <w:p w14:paraId="50EDCB74">
      <w:pPr>
        <w:pStyle w:val="25"/>
        <w:tabs>
          <w:tab w:val="left" w:pos="4820"/>
        </w:tabs>
        <w:spacing w:line="500" w:lineRule="exact"/>
        <w:rPr>
          <w:rFonts w:ascii="Times New Roman" w:hAnsi="Times New Roman" w:eastAsia="宋体" w:cs="Times New Roman"/>
          <w:color w:val="auto"/>
        </w:rPr>
      </w:pPr>
    </w:p>
    <w:p w14:paraId="55CF7462">
      <w:pPr>
        <w:pStyle w:val="25"/>
        <w:tabs>
          <w:tab w:val="left" w:pos="4820"/>
        </w:tabs>
        <w:spacing w:line="500" w:lineRule="exact"/>
        <w:rPr>
          <w:rFonts w:ascii="Times New Roman" w:hAnsi="Times New Roman" w:eastAsia="宋体" w:cs="Times New Roman"/>
          <w:color w:val="auto"/>
        </w:rPr>
      </w:pPr>
      <w:r>
        <w:drawing>
          <wp:anchor distT="0" distB="0" distL="114300" distR="114300" simplePos="0" relativeHeight="251660288" behindDoc="1" locked="0" layoutInCell="1" allowOverlap="1">
            <wp:simplePos x="0" y="0"/>
            <wp:positionH relativeFrom="column">
              <wp:posOffset>3780155</wp:posOffset>
            </wp:positionH>
            <wp:positionV relativeFrom="paragraph">
              <wp:posOffset>30480</wp:posOffset>
            </wp:positionV>
            <wp:extent cx="1266190" cy="878840"/>
            <wp:effectExtent l="0" t="0" r="635" b="698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1266190" cy="878840"/>
                    </a:xfrm>
                    <a:prstGeom prst="rect">
                      <a:avLst/>
                    </a:prstGeom>
                    <a:noFill/>
                    <a:ln>
                      <a:noFill/>
                    </a:ln>
                  </pic:spPr>
                </pic:pic>
              </a:graphicData>
            </a:graphic>
          </wp:anchor>
        </w:drawing>
      </w:r>
    </w:p>
    <w:p w14:paraId="2E17A4CB">
      <w:pPr>
        <w:pStyle w:val="25"/>
        <w:tabs>
          <w:tab w:val="left" w:pos="4820"/>
        </w:tabs>
        <w:spacing w:line="500" w:lineRule="exact"/>
        <w:rPr>
          <w:rFonts w:ascii="Times New Roman" w:hAnsi="Times New Roman" w:eastAsia="宋体" w:cs="Times New Roman"/>
          <w:color w:val="auto"/>
        </w:rPr>
      </w:pPr>
      <w:r>
        <w:rPr>
          <w:rFonts w:ascii="Times New Roman" w:hAnsi="Times New Roman" w:eastAsia="宋体" w:cs="Times New Roman"/>
          <w:color w:val="auto"/>
        </w:rPr>
        <w:tab/>
      </w:r>
      <w:r>
        <w:rPr>
          <w:rFonts w:ascii="Times New Roman" w:hAnsi="Times New Roman" w:eastAsia="宋体" w:cs="Times New Roman"/>
          <w:color w:val="auto"/>
        </w:rPr>
        <w:t>经办律师：________________</w:t>
      </w:r>
    </w:p>
    <w:p w14:paraId="1108EB5B">
      <w:pPr>
        <w:pStyle w:val="25"/>
        <w:tabs>
          <w:tab w:val="left" w:pos="4820"/>
        </w:tabs>
        <w:spacing w:line="500" w:lineRule="exact"/>
        <w:rPr>
          <w:rFonts w:ascii="Times New Roman" w:hAnsi="Times New Roman" w:eastAsia="宋体" w:cs="Times New Roman"/>
          <w:color w:val="auto"/>
        </w:rPr>
      </w:pPr>
    </w:p>
    <w:p w14:paraId="1FA86B7E">
      <w:pPr>
        <w:pStyle w:val="25"/>
        <w:tabs>
          <w:tab w:val="left" w:pos="4820"/>
        </w:tabs>
        <w:spacing w:line="500" w:lineRule="exact"/>
        <w:rPr>
          <w:rFonts w:ascii="Times New Roman" w:hAnsi="Times New Roman" w:eastAsia="宋体" w:cs="Times New Roman"/>
          <w:color w:val="auto"/>
        </w:rPr>
      </w:pPr>
    </w:p>
    <w:p w14:paraId="38BAC4AD">
      <w:pPr>
        <w:pStyle w:val="25"/>
        <w:tabs>
          <w:tab w:val="left" w:pos="4820"/>
        </w:tabs>
        <w:spacing w:line="500" w:lineRule="exact"/>
        <w:rPr>
          <w:rFonts w:ascii="Times New Roman" w:hAnsi="Times New Roman" w:eastAsia="宋体" w:cs="Times New Roman"/>
          <w:color w:val="auto"/>
        </w:rPr>
      </w:pPr>
    </w:p>
    <w:p w14:paraId="27695B28">
      <w:pPr>
        <w:pStyle w:val="25"/>
        <w:tabs>
          <w:tab w:val="left" w:pos="5812"/>
        </w:tabs>
        <w:spacing w:line="500" w:lineRule="exact"/>
        <w:ind w:firstLine="480"/>
        <w:rPr>
          <w:rFonts w:ascii="Times New Roman" w:hAnsi="Times New Roman" w:eastAsia="宋体" w:cs="Times New Roman"/>
          <w:kern w:val="2"/>
        </w:rPr>
      </w:pPr>
      <w:r>
        <w:rPr>
          <w:rFonts w:ascii="Times New Roman" w:hAnsi="Times New Roman" w:eastAsia="宋体" w:cs="Times New Roman"/>
          <w:color w:val="auto"/>
          <w:kern w:val="2"/>
        </w:rPr>
        <w:tab/>
      </w:r>
      <w:r>
        <w:rPr>
          <w:rFonts w:hint="eastAsia" w:ascii="Times New Roman" w:hAnsi="Times New Roman" w:eastAsia="宋体" w:cs="Times New Roman"/>
          <w:color w:val="auto"/>
          <w:kern w:val="2"/>
          <w:lang w:val="en-US" w:eastAsia="zh-CN"/>
        </w:rPr>
        <w:t xml:space="preserve">2024 </w:t>
      </w:r>
      <w:bookmarkStart w:id="99" w:name="_GoBack"/>
      <w:bookmarkEnd w:id="99"/>
      <w:r>
        <w:rPr>
          <w:rFonts w:ascii="Times New Roman" w:hAnsi="Times New Roman" w:eastAsia="宋体" w:cs="Times New Roman"/>
          <w:color w:val="auto"/>
          <w:kern w:val="2"/>
        </w:rPr>
        <w:t xml:space="preserve">年   </w:t>
      </w:r>
      <w:r>
        <w:rPr>
          <w:rFonts w:hint="eastAsia" w:ascii="Times New Roman" w:hAnsi="Times New Roman" w:eastAsia="宋体" w:cs="Times New Roman"/>
          <w:color w:val="auto"/>
          <w:kern w:val="2"/>
          <w:lang w:val="en-US" w:eastAsia="zh-CN"/>
        </w:rPr>
        <w:t>8</w:t>
      </w:r>
      <w:r>
        <w:rPr>
          <w:rFonts w:ascii="Times New Roman" w:hAnsi="Times New Roman" w:eastAsia="宋体" w:cs="Times New Roman"/>
          <w:color w:val="auto"/>
          <w:kern w:val="2"/>
        </w:rPr>
        <w:t xml:space="preserve">  月   </w:t>
      </w:r>
      <w:r>
        <w:rPr>
          <w:rFonts w:hint="eastAsia" w:ascii="Times New Roman" w:hAnsi="Times New Roman" w:eastAsia="宋体" w:cs="Times New Roman"/>
          <w:color w:val="auto"/>
          <w:kern w:val="2"/>
          <w:lang w:val="en-US" w:eastAsia="zh-CN"/>
        </w:rPr>
        <w:t>21</w:t>
      </w:r>
      <w:r>
        <w:rPr>
          <w:rFonts w:ascii="Times New Roman" w:hAnsi="Times New Roman" w:eastAsia="宋体" w:cs="Times New Roman"/>
          <w:color w:val="auto"/>
          <w:kern w:val="2"/>
        </w:rPr>
        <w:t xml:space="preserve">  日</w:t>
      </w:r>
    </w:p>
    <w:sectPr>
      <w:footerReference r:id="rId7" w:type="first"/>
      <w:footerReference r:id="rId5" w:type="default"/>
      <w:footerReference r:id="rId6" w:type="even"/>
      <w:pgSz w:w="11906" w:h="16838"/>
      <w:pgMar w:top="1440" w:right="1800" w:bottom="1440" w:left="1800" w:header="850"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1" w:fontKey="{A69165A1-8F10-48D7-AC52-CB62917D3EEE}"/>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embedRegular r:id="rId2" w:fontKey="{4C9BE93C-B9CF-4B8F-B578-16BDB171EA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1"/>
        <w:rFonts w:ascii="Times New Roman" w:hAnsi="Times New Roman" w:cs="Times New Roman"/>
        <w:sz w:val="18"/>
      </w:rPr>
      <w:id w:val="1588721290"/>
    </w:sdtPr>
    <w:sdtEndPr>
      <w:rPr>
        <w:rStyle w:val="21"/>
        <w:rFonts w:ascii="Times New Roman" w:hAnsi="Times New Roman" w:cs="Times New Roman"/>
        <w:sz w:val="18"/>
      </w:rPr>
    </w:sdtEndPr>
    <w:sdtContent>
      <w:p w14:paraId="6CA24B2C">
        <w:pPr>
          <w:pStyle w:val="10"/>
          <w:framePr w:wrap="auto" w:vAnchor="text" w:hAnchor="margin" w:xAlign="center" w:y="1"/>
          <w:rPr>
            <w:rStyle w:val="21"/>
            <w:rFonts w:ascii="Times New Roman" w:hAnsi="Times New Roman" w:cs="Times New Roman"/>
            <w:sz w:val="18"/>
          </w:rPr>
        </w:pPr>
        <w:r>
          <w:rPr>
            <w:rStyle w:val="21"/>
            <w:rFonts w:ascii="Times New Roman" w:hAnsi="Times New Roman" w:cs="Times New Roman"/>
            <w:sz w:val="18"/>
          </w:rPr>
          <w:fldChar w:fldCharType="begin"/>
        </w:r>
        <w:r>
          <w:rPr>
            <w:rStyle w:val="21"/>
            <w:rFonts w:ascii="Times New Roman" w:hAnsi="Times New Roman" w:cs="Times New Roman"/>
            <w:sz w:val="18"/>
          </w:rPr>
          <w:instrText xml:space="preserve"> PAGE </w:instrText>
        </w:r>
        <w:r>
          <w:rPr>
            <w:rStyle w:val="21"/>
            <w:rFonts w:ascii="Times New Roman" w:hAnsi="Times New Roman" w:cs="Times New Roman"/>
            <w:sz w:val="18"/>
          </w:rPr>
          <w:fldChar w:fldCharType="separate"/>
        </w:r>
        <w:r>
          <w:rPr>
            <w:rStyle w:val="21"/>
            <w:rFonts w:ascii="Times New Roman" w:hAnsi="Times New Roman" w:cs="Times New Roman"/>
            <w:sz w:val="18"/>
          </w:rPr>
          <w:t>2</w:t>
        </w:r>
        <w:r>
          <w:rPr>
            <w:rStyle w:val="21"/>
            <w:rFonts w:ascii="Times New Roman" w:hAnsi="Times New Roman" w:cs="Times New Roman"/>
            <w:sz w:val="18"/>
          </w:rPr>
          <w:fldChar w:fldCharType="end"/>
        </w:r>
      </w:p>
    </w:sdtContent>
  </w:sdt>
  <w:p w14:paraId="31B8BF9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1"/>
      </w:rPr>
      <w:id w:val="885519751"/>
    </w:sdtPr>
    <w:sdtEndPr>
      <w:rPr>
        <w:rStyle w:val="21"/>
      </w:rPr>
    </w:sdtEndPr>
    <w:sdtContent>
      <w:p w14:paraId="387309CB">
        <w:pPr>
          <w:pStyle w:val="10"/>
          <w:framePr w:wrap="auto" w:vAnchor="text" w:hAnchor="margin" w:xAlign="center" w:y="1"/>
          <w:rPr>
            <w:rStyle w:val="21"/>
          </w:rPr>
        </w:pPr>
        <w:r>
          <w:rPr>
            <w:rStyle w:val="21"/>
          </w:rPr>
          <w:fldChar w:fldCharType="begin"/>
        </w:r>
        <w:r>
          <w:rPr>
            <w:rStyle w:val="21"/>
          </w:rPr>
          <w:instrText xml:space="preserve"> PAGE </w:instrText>
        </w:r>
        <w:r>
          <w:rPr>
            <w:rStyle w:val="21"/>
          </w:rPr>
          <w:fldChar w:fldCharType="separate"/>
        </w:r>
        <w:r>
          <w:rPr>
            <w:rStyle w:val="21"/>
          </w:rPr>
          <w:t>3</w:t>
        </w:r>
        <w:r>
          <w:rPr>
            <w:rStyle w:val="21"/>
          </w:rPr>
          <w:fldChar w:fldCharType="end"/>
        </w:r>
      </w:p>
    </w:sdtContent>
  </w:sdt>
  <w:p w14:paraId="3C1E989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CEE2F">
    <w:pPr>
      <w:pStyle w:val="10"/>
      <w:ind w:firstLine="48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9C2076"/>
    <w:multiLevelType w:val="multilevel"/>
    <w:tmpl w:val="6B9C2076"/>
    <w:lvl w:ilvl="0" w:tentative="0">
      <w:start w:val="1"/>
      <w:numFmt w:val="chineseCountingThousand"/>
      <w:pStyle w:val="38"/>
      <w:lvlText w:val="%1、"/>
      <w:lvlJc w:val="left"/>
      <w:pPr>
        <w:ind w:left="2546" w:hanging="420"/>
      </w:pPr>
    </w:lvl>
    <w:lvl w:ilvl="1" w:tentative="0">
      <w:start w:val="1"/>
      <w:numFmt w:val="lowerLetter"/>
      <w:lvlText w:val="%2)"/>
      <w:lvlJc w:val="left"/>
      <w:pPr>
        <w:ind w:left="698" w:hanging="420"/>
      </w:pPr>
    </w:lvl>
    <w:lvl w:ilvl="2" w:tentative="0">
      <w:start w:val="1"/>
      <w:numFmt w:val="lowerRoman"/>
      <w:lvlText w:val="%3."/>
      <w:lvlJc w:val="right"/>
      <w:pPr>
        <w:ind w:left="1118" w:hanging="420"/>
      </w:pPr>
    </w:lvl>
    <w:lvl w:ilvl="3" w:tentative="0">
      <w:start w:val="1"/>
      <w:numFmt w:val="decimal"/>
      <w:lvlText w:val="%4."/>
      <w:lvlJc w:val="left"/>
      <w:pPr>
        <w:ind w:left="1538" w:hanging="420"/>
      </w:pPr>
    </w:lvl>
    <w:lvl w:ilvl="4" w:tentative="0">
      <w:start w:val="1"/>
      <w:numFmt w:val="lowerLetter"/>
      <w:lvlText w:val="%5)"/>
      <w:lvlJc w:val="left"/>
      <w:pPr>
        <w:ind w:left="1958" w:hanging="420"/>
      </w:pPr>
    </w:lvl>
    <w:lvl w:ilvl="5" w:tentative="0">
      <w:start w:val="1"/>
      <w:numFmt w:val="lowerRoman"/>
      <w:lvlText w:val="%6."/>
      <w:lvlJc w:val="right"/>
      <w:pPr>
        <w:ind w:left="2378" w:hanging="420"/>
      </w:pPr>
    </w:lvl>
    <w:lvl w:ilvl="6" w:tentative="0">
      <w:start w:val="1"/>
      <w:numFmt w:val="decimal"/>
      <w:lvlText w:val="%7."/>
      <w:lvlJc w:val="left"/>
      <w:pPr>
        <w:ind w:left="2798" w:hanging="420"/>
      </w:pPr>
    </w:lvl>
    <w:lvl w:ilvl="7" w:tentative="0">
      <w:start w:val="1"/>
      <w:numFmt w:val="lowerLetter"/>
      <w:lvlText w:val="%8)"/>
      <w:lvlJc w:val="left"/>
      <w:pPr>
        <w:ind w:left="3218" w:hanging="420"/>
      </w:pPr>
    </w:lvl>
    <w:lvl w:ilvl="8" w:tentative="0">
      <w:start w:val="1"/>
      <w:numFmt w:val="lowerRoman"/>
      <w:lvlText w:val="%9."/>
      <w:lvlJc w:val="right"/>
      <w:pPr>
        <w:ind w:left="363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2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iZDIzMjBhYjY3YjcwYmIxYWI1NjM4YzVmYjEyMDMifQ=="/>
  </w:docVars>
  <w:rsids>
    <w:rsidRoot w:val="00000000"/>
    <w:rsid w:val="0063254C"/>
    <w:rsid w:val="043E0C7C"/>
    <w:rsid w:val="10057AA2"/>
    <w:rsid w:val="1B5A5FA8"/>
    <w:rsid w:val="1E436B93"/>
    <w:rsid w:val="1F945498"/>
    <w:rsid w:val="23714A77"/>
    <w:rsid w:val="25197CFE"/>
    <w:rsid w:val="2818578D"/>
    <w:rsid w:val="290D3DB4"/>
    <w:rsid w:val="2D1170A8"/>
    <w:rsid w:val="37EA0C97"/>
    <w:rsid w:val="38BA045D"/>
    <w:rsid w:val="43086A9D"/>
    <w:rsid w:val="44EC02A6"/>
    <w:rsid w:val="496A2D20"/>
    <w:rsid w:val="4D7F5649"/>
    <w:rsid w:val="4FC108E2"/>
    <w:rsid w:val="5B7831A0"/>
    <w:rsid w:val="5E22075B"/>
    <w:rsid w:val="5E257683"/>
    <w:rsid w:val="62A32CAD"/>
    <w:rsid w:val="6719583A"/>
    <w:rsid w:val="74D15A17"/>
    <w:rsid w:val="76375D4D"/>
    <w:rsid w:val="779C7A93"/>
    <w:rsid w:val="7FC50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200" w:firstLineChars="200"/>
      <w:jc w:val="both"/>
    </w:pPr>
    <w:rPr>
      <w:rFonts w:ascii="Arial" w:hAnsi="Arial" w:eastAsia="宋体" w:cstheme="minorBidi"/>
      <w:kern w:val="2"/>
      <w:sz w:val="24"/>
      <w:szCs w:val="21"/>
      <w:lang w:val="en-US" w:eastAsia="zh-CN" w:bidi="ar-SA"/>
    </w:rPr>
  </w:style>
  <w:style w:type="paragraph" w:styleId="2">
    <w:name w:val="heading 1"/>
    <w:basedOn w:val="1"/>
    <w:next w:val="1"/>
    <w:link w:val="35"/>
    <w:autoRedefine/>
    <w:qFormat/>
    <w:uiPriority w:val="0"/>
    <w:pPr>
      <w:spacing w:before="190" w:beforeLines="50" w:after="190" w:afterLines="50" w:line="360" w:lineRule="auto"/>
      <w:ind w:firstLine="482"/>
      <w:outlineLvl w:val="0"/>
    </w:pPr>
    <w:rPr>
      <w:rFonts w:ascii="Times New Roman" w:hAnsi="Times New Roman" w:cs="Times New Roman"/>
      <w:b/>
      <w:bCs/>
      <w:szCs w:val="24"/>
    </w:rPr>
  </w:style>
  <w:style w:type="paragraph" w:styleId="3">
    <w:name w:val="heading 2"/>
    <w:basedOn w:val="4"/>
    <w:next w:val="5"/>
    <w:link w:val="37"/>
    <w:autoRedefine/>
    <w:qFormat/>
    <w:uiPriority w:val="9"/>
    <w:pPr>
      <w:widowControl/>
      <w:autoSpaceDE w:val="0"/>
      <w:autoSpaceDN w:val="0"/>
      <w:spacing w:before="156" w:beforeLines="50" w:after="156" w:afterLines="50" w:line="360" w:lineRule="auto"/>
      <w:ind w:firstLine="504"/>
      <w:outlineLvl w:val="1"/>
    </w:pPr>
    <w:rPr>
      <w:rFonts w:ascii="Times New Roman" w:hAnsi="Times New Roman" w:cs="Times New Roman"/>
      <w:w w:val="105"/>
      <w:kern w:val="0"/>
      <w:szCs w:val="24"/>
      <w:lang w:val="zh-CN" w:bidi="zh-CN"/>
    </w:rPr>
  </w:style>
  <w:style w:type="paragraph" w:styleId="4">
    <w:name w:val="heading 3"/>
    <w:basedOn w:val="5"/>
    <w:next w:val="5"/>
    <w:autoRedefine/>
    <w:qFormat/>
    <w:uiPriority w:val="0"/>
    <w:pPr>
      <w:keepNext/>
      <w:keepLines/>
      <w:ind w:firstLine="482"/>
      <w:outlineLvl w:val="2"/>
    </w:pPr>
    <w:rPr>
      <w:rFonts w:ascii="Times New Roman" w:hAnsi="Times New Roman" w:cs="Times New Roman"/>
      <w:b/>
      <w:bCs/>
      <w:color w:val="000000"/>
    </w:rPr>
  </w:style>
  <w:style w:type="paragraph" w:styleId="6">
    <w:name w:val="heading 6"/>
    <w:basedOn w:val="1"/>
    <w:next w:val="1"/>
    <w:autoRedefine/>
    <w:semiHidden/>
    <w:unhideWhenUsed/>
    <w:qFormat/>
    <w:uiPriority w:val="9"/>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5">
    <w:name w:val="Body Text"/>
    <w:basedOn w:val="1"/>
    <w:link w:val="36"/>
    <w:autoRedefine/>
    <w:qFormat/>
    <w:uiPriority w:val="0"/>
    <w:pPr>
      <w:spacing w:line="413" w:lineRule="auto"/>
      <w:ind w:left="118"/>
      <w:jc w:val="left"/>
    </w:pPr>
    <w:rPr>
      <w:rFonts w:ascii="宋体" w:hAnsi="宋体" w:cs="Times New Roman"/>
      <w:kern w:val="0"/>
      <w:szCs w:val="24"/>
      <w:lang w:eastAsia="en-US"/>
    </w:rPr>
  </w:style>
  <w:style w:type="paragraph" w:styleId="7">
    <w:name w:val="annotation text"/>
    <w:basedOn w:val="1"/>
    <w:link w:val="30"/>
    <w:autoRedefine/>
    <w:unhideWhenUsed/>
    <w:qFormat/>
    <w:uiPriority w:val="99"/>
    <w:pPr>
      <w:jc w:val="left"/>
    </w:pPr>
  </w:style>
  <w:style w:type="paragraph" w:styleId="8">
    <w:name w:val="toc 3"/>
    <w:basedOn w:val="1"/>
    <w:next w:val="1"/>
    <w:autoRedefine/>
    <w:semiHidden/>
    <w:unhideWhenUsed/>
    <w:qFormat/>
    <w:uiPriority w:val="39"/>
    <w:pPr>
      <w:ind w:left="840" w:leftChars="400"/>
    </w:pPr>
  </w:style>
  <w:style w:type="paragraph" w:styleId="9">
    <w:name w:val="Balloon Text"/>
    <w:basedOn w:val="1"/>
    <w:link w:val="29"/>
    <w:autoRedefine/>
    <w:unhideWhenUsed/>
    <w:qFormat/>
    <w:uiPriority w:val="99"/>
    <w:pPr>
      <w:spacing w:line="240" w:lineRule="auto"/>
    </w:pPr>
    <w:rPr>
      <w:rFonts w:eastAsia="仿宋_GB2312"/>
      <w:sz w:val="18"/>
      <w:szCs w:val="18"/>
    </w:rPr>
  </w:style>
  <w:style w:type="paragraph" w:styleId="10">
    <w:name w:val="footer"/>
    <w:link w:val="27"/>
    <w:autoRedefine/>
    <w:unhideWhenUsed/>
    <w:qFormat/>
    <w:uiPriority w:val="99"/>
    <w:pPr>
      <w:tabs>
        <w:tab w:val="center" w:pos="4153"/>
        <w:tab w:val="right" w:pos="8306"/>
      </w:tabs>
      <w:snapToGrid w:val="0"/>
    </w:pPr>
    <w:rPr>
      <w:rFonts w:ascii="Arial" w:hAnsi="Arial" w:eastAsia="宋体" w:cstheme="minorBidi"/>
      <w:kern w:val="2"/>
      <w:sz w:val="14"/>
      <w:szCs w:val="18"/>
      <w:lang w:val="en-US" w:eastAsia="zh-CN" w:bidi="ar-SA"/>
    </w:rPr>
  </w:style>
  <w:style w:type="paragraph" w:styleId="11">
    <w:name w:val="header"/>
    <w:link w:val="26"/>
    <w:autoRedefine/>
    <w:unhideWhenUsed/>
    <w:qFormat/>
    <w:uiPriority w:val="99"/>
    <w:pPr>
      <w:tabs>
        <w:tab w:val="center" w:pos="4153"/>
        <w:tab w:val="right" w:pos="8306"/>
      </w:tabs>
      <w:snapToGrid w:val="0"/>
      <w:jc w:val="right"/>
    </w:pPr>
    <w:rPr>
      <w:rFonts w:ascii="Arial" w:hAnsi="Arial" w:eastAsia="宋体" w:cstheme="minorBidi"/>
      <w:kern w:val="2"/>
      <w:sz w:val="14"/>
      <w:szCs w:val="18"/>
      <w:lang w:val="en-US" w:eastAsia="zh-CN" w:bidi="ar-SA"/>
    </w:rPr>
  </w:style>
  <w:style w:type="paragraph" w:styleId="12">
    <w:name w:val="toc 1"/>
    <w:basedOn w:val="1"/>
    <w:next w:val="1"/>
    <w:autoRedefine/>
    <w:unhideWhenUsed/>
    <w:qFormat/>
    <w:uiPriority w:val="39"/>
  </w:style>
  <w:style w:type="paragraph" w:styleId="13">
    <w:name w:val="footnote text"/>
    <w:basedOn w:val="1"/>
    <w:link w:val="39"/>
    <w:autoRedefine/>
    <w:unhideWhenUsed/>
    <w:qFormat/>
    <w:uiPriority w:val="99"/>
    <w:pPr>
      <w:snapToGrid w:val="0"/>
      <w:spacing w:line="240" w:lineRule="auto"/>
      <w:ind w:firstLine="0" w:firstLineChars="0"/>
      <w:jc w:val="left"/>
    </w:pPr>
    <w:rPr>
      <w:rFonts w:ascii="Calibri" w:hAnsi="Calibri" w:cs="Times New Roman"/>
      <w:sz w:val="18"/>
      <w:szCs w:val="18"/>
    </w:rPr>
  </w:style>
  <w:style w:type="paragraph" w:styleId="14">
    <w:name w:val="toc 2"/>
    <w:basedOn w:val="1"/>
    <w:next w:val="1"/>
    <w:autoRedefine/>
    <w:semiHidden/>
    <w:unhideWhenUsed/>
    <w:qFormat/>
    <w:uiPriority w:val="39"/>
    <w:pPr>
      <w:ind w:left="420" w:leftChars="200"/>
    </w:p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next w:val="1"/>
    <w:link w:val="28"/>
    <w:autoRedefine/>
    <w:qFormat/>
    <w:uiPriority w:val="10"/>
    <w:pPr>
      <w:spacing w:before="360" w:after="360" w:line="360" w:lineRule="auto"/>
      <w:jc w:val="center"/>
      <w:outlineLvl w:val="0"/>
    </w:pPr>
    <w:rPr>
      <w:rFonts w:ascii="Arial" w:hAnsi="Arial" w:eastAsia="华文中宋" w:cstheme="majorBidi"/>
      <w:b/>
      <w:bCs/>
      <w:kern w:val="2"/>
      <w:sz w:val="36"/>
      <w:szCs w:val="32"/>
      <w:lang w:val="en-US" w:eastAsia="zh-CN" w:bidi="ar-SA"/>
    </w:rPr>
  </w:style>
  <w:style w:type="paragraph" w:styleId="17">
    <w:name w:val="annotation subject"/>
    <w:basedOn w:val="7"/>
    <w:next w:val="7"/>
    <w:link w:val="31"/>
    <w:autoRedefine/>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semiHidden/>
    <w:unhideWhenUsed/>
    <w:qFormat/>
    <w:uiPriority w:val="99"/>
  </w:style>
  <w:style w:type="character" w:styleId="22">
    <w:name w:val="Hyperlink"/>
    <w:autoRedefine/>
    <w:unhideWhenUsed/>
    <w:qFormat/>
    <w:uiPriority w:val="99"/>
    <w:rPr>
      <w:color w:val="0000FF"/>
      <w:u w:val="single"/>
    </w:rPr>
  </w:style>
  <w:style w:type="character" w:styleId="23">
    <w:name w:val="annotation reference"/>
    <w:basedOn w:val="20"/>
    <w:autoRedefine/>
    <w:unhideWhenUsed/>
    <w:qFormat/>
    <w:uiPriority w:val="99"/>
    <w:rPr>
      <w:sz w:val="21"/>
      <w:szCs w:val="21"/>
    </w:rPr>
  </w:style>
  <w:style w:type="character" w:styleId="24">
    <w:name w:val="footnote reference"/>
    <w:basedOn w:val="20"/>
    <w:autoRedefine/>
    <w:unhideWhenUsed/>
    <w:qFormat/>
    <w:uiPriority w:val="99"/>
    <w:rPr>
      <w:vertAlign w:val="superscript"/>
    </w:rPr>
  </w:style>
  <w:style w:type="paragraph" w:customStyle="1" w:styleId="25">
    <w:name w:val="Default"/>
    <w:autoRedefine/>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 w:type="character" w:customStyle="1" w:styleId="26">
    <w:name w:val="页眉 字符"/>
    <w:basedOn w:val="20"/>
    <w:link w:val="11"/>
    <w:autoRedefine/>
    <w:qFormat/>
    <w:uiPriority w:val="99"/>
    <w:rPr>
      <w:rFonts w:ascii="Arial" w:hAnsi="Arial" w:eastAsia="宋体"/>
      <w:sz w:val="14"/>
      <w:szCs w:val="18"/>
    </w:rPr>
  </w:style>
  <w:style w:type="character" w:customStyle="1" w:styleId="27">
    <w:name w:val="页脚 字符"/>
    <w:basedOn w:val="20"/>
    <w:link w:val="10"/>
    <w:autoRedefine/>
    <w:qFormat/>
    <w:uiPriority w:val="99"/>
    <w:rPr>
      <w:rFonts w:ascii="Arial" w:hAnsi="Arial" w:eastAsia="宋体"/>
      <w:sz w:val="14"/>
      <w:szCs w:val="18"/>
    </w:rPr>
  </w:style>
  <w:style w:type="character" w:customStyle="1" w:styleId="28">
    <w:name w:val="标题 字符"/>
    <w:basedOn w:val="20"/>
    <w:link w:val="16"/>
    <w:autoRedefine/>
    <w:qFormat/>
    <w:uiPriority w:val="10"/>
    <w:rPr>
      <w:rFonts w:ascii="Arial" w:hAnsi="Arial" w:eastAsia="华文中宋" w:cstheme="majorBidi"/>
      <w:b/>
      <w:bCs/>
      <w:sz w:val="36"/>
      <w:szCs w:val="32"/>
    </w:rPr>
  </w:style>
  <w:style w:type="character" w:customStyle="1" w:styleId="29">
    <w:name w:val="批注框文本 字符"/>
    <w:basedOn w:val="20"/>
    <w:link w:val="9"/>
    <w:autoRedefine/>
    <w:semiHidden/>
    <w:qFormat/>
    <w:uiPriority w:val="99"/>
    <w:rPr>
      <w:rFonts w:ascii="Arial" w:hAnsi="Arial" w:eastAsia="仿宋_GB2312"/>
      <w:sz w:val="18"/>
      <w:szCs w:val="18"/>
    </w:rPr>
  </w:style>
  <w:style w:type="character" w:customStyle="1" w:styleId="30">
    <w:name w:val="批注文字 字符"/>
    <w:basedOn w:val="20"/>
    <w:link w:val="7"/>
    <w:autoRedefine/>
    <w:semiHidden/>
    <w:qFormat/>
    <w:uiPriority w:val="99"/>
    <w:rPr>
      <w:rFonts w:ascii="Arial" w:hAnsi="Arial" w:eastAsia="宋体"/>
      <w:sz w:val="24"/>
    </w:rPr>
  </w:style>
  <w:style w:type="character" w:customStyle="1" w:styleId="31">
    <w:name w:val="批注主题 字符"/>
    <w:basedOn w:val="30"/>
    <w:link w:val="17"/>
    <w:autoRedefine/>
    <w:semiHidden/>
    <w:qFormat/>
    <w:uiPriority w:val="99"/>
    <w:rPr>
      <w:rFonts w:ascii="Arial" w:hAnsi="Arial" w:eastAsia="宋体"/>
      <w:b/>
      <w:bCs/>
      <w:sz w:val="24"/>
    </w:rPr>
  </w:style>
  <w:style w:type="paragraph" w:customStyle="1" w:styleId="32">
    <w:name w:val="列表段落1"/>
    <w:basedOn w:val="1"/>
    <w:autoRedefine/>
    <w:qFormat/>
    <w:uiPriority w:val="34"/>
    <w:pPr>
      <w:ind w:firstLine="420"/>
    </w:pPr>
  </w:style>
  <w:style w:type="table" w:customStyle="1" w:styleId="33">
    <w:name w:val="网格型1"/>
    <w:basedOn w:val="18"/>
    <w:autoRedefine/>
    <w:qFormat/>
    <w:uiPriority w:val="39"/>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
    <w:name w:val="修订1"/>
    <w:autoRedefine/>
    <w:hidden/>
    <w:semiHidden/>
    <w:qFormat/>
    <w:uiPriority w:val="99"/>
    <w:rPr>
      <w:rFonts w:ascii="Arial" w:hAnsi="Arial" w:eastAsia="宋体" w:cstheme="minorBidi"/>
      <w:kern w:val="2"/>
      <w:sz w:val="24"/>
      <w:szCs w:val="21"/>
      <w:lang w:val="en-US" w:eastAsia="zh-CN" w:bidi="ar-SA"/>
    </w:rPr>
  </w:style>
  <w:style w:type="character" w:customStyle="1" w:styleId="35">
    <w:name w:val="标题 1 字符"/>
    <w:basedOn w:val="20"/>
    <w:link w:val="2"/>
    <w:autoRedefine/>
    <w:qFormat/>
    <w:uiPriority w:val="0"/>
    <w:rPr>
      <w:b/>
      <w:bCs/>
      <w:kern w:val="2"/>
      <w:sz w:val="24"/>
      <w:szCs w:val="24"/>
    </w:rPr>
  </w:style>
  <w:style w:type="character" w:customStyle="1" w:styleId="36">
    <w:name w:val="正文文本 字符"/>
    <w:basedOn w:val="20"/>
    <w:link w:val="5"/>
    <w:autoRedefine/>
    <w:qFormat/>
    <w:uiPriority w:val="0"/>
    <w:rPr>
      <w:rFonts w:ascii="宋体" w:hAnsi="宋体" w:eastAsia="宋体" w:cs="Times New Roman"/>
      <w:sz w:val="24"/>
      <w:szCs w:val="24"/>
      <w:lang w:eastAsia="en-US"/>
    </w:rPr>
  </w:style>
  <w:style w:type="character" w:customStyle="1" w:styleId="37">
    <w:name w:val="标题 2 字符"/>
    <w:basedOn w:val="20"/>
    <w:link w:val="3"/>
    <w:autoRedefine/>
    <w:qFormat/>
    <w:uiPriority w:val="9"/>
    <w:rPr>
      <w:b/>
      <w:w w:val="105"/>
      <w:sz w:val="24"/>
      <w:szCs w:val="24"/>
      <w:lang w:val="zh-CN" w:bidi="zh-CN"/>
    </w:rPr>
  </w:style>
  <w:style w:type="paragraph" w:customStyle="1" w:styleId="38">
    <w:name w:val="一级标题"/>
    <w:basedOn w:val="3"/>
    <w:autoRedefine/>
    <w:qFormat/>
    <w:uiPriority w:val="0"/>
    <w:pPr>
      <w:numPr>
        <w:ilvl w:val="0"/>
        <w:numId w:val="1"/>
      </w:numPr>
      <w:outlineLvl w:val="0"/>
    </w:pPr>
    <w:rPr>
      <w:rFonts w:ascii="宋体" w:hAnsi="宋体"/>
    </w:rPr>
  </w:style>
  <w:style w:type="character" w:customStyle="1" w:styleId="39">
    <w:name w:val="脚注文本 字符"/>
    <w:basedOn w:val="20"/>
    <w:link w:val="13"/>
    <w:autoRedefine/>
    <w:qFormat/>
    <w:uiPriority w:val="99"/>
    <w:rPr>
      <w:rFonts w:ascii="Calibri" w:hAnsi="Calibri" w:eastAsia="宋体" w:cs="Times New Roman"/>
      <w:kern w:val="2"/>
      <w:sz w:val="18"/>
      <w:szCs w:val="18"/>
    </w:rPr>
  </w:style>
  <w:style w:type="paragraph" w:customStyle="1" w:styleId="40">
    <w:name w:val="列出段落11"/>
    <w:basedOn w:val="1"/>
    <w:autoRedefine/>
    <w:qFormat/>
    <w:uiPriority w:val="34"/>
    <w:pPr>
      <w:spacing w:line="240" w:lineRule="auto"/>
      <w:ind w:firstLine="420"/>
    </w:pPr>
    <w:rPr>
      <w:rFonts w:ascii="Calibri" w:hAnsi="Calibri" w:cs="Times New Roman"/>
      <w:sz w:val="21"/>
    </w:rPr>
  </w:style>
  <w:style w:type="character" w:customStyle="1" w:styleId="41">
    <w:name w:val="未处理的提及1"/>
    <w:basedOn w:val="20"/>
    <w:autoRedefine/>
    <w:unhideWhenUsed/>
    <w:qFormat/>
    <w:uiPriority w:val="99"/>
    <w:rPr>
      <w:color w:val="605E5C"/>
      <w:shd w:val="clear" w:color="auto" w:fill="E1DFDD"/>
    </w:rPr>
  </w:style>
  <w:style w:type="paragraph" w:customStyle="1" w:styleId="42">
    <w:name w:val="修订2"/>
    <w:autoRedefine/>
    <w:hidden/>
    <w:semiHidden/>
    <w:qFormat/>
    <w:uiPriority w:val="99"/>
    <w:rPr>
      <w:rFonts w:ascii="Arial" w:hAnsi="Arial" w:eastAsia="宋体" w:cstheme="minorBidi"/>
      <w:kern w:val="2"/>
      <w:sz w:val="24"/>
      <w:szCs w:val="21"/>
      <w:lang w:val="en-US" w:eastAsia="zh-CN" w:bidi="ar-SA"/>
    </w:rPr>
  </w:style>
  <w:style w:type="paragraph" w:customStyle="1" w:styleId="43">
    <w:name w:val="列出段落1"/>
    <w:basedOn w:val="1"/>
    <w:autoRedefine/>
    <w:qFormat/>
    <w:uiPriority w:val="34"/>
    <w:pPr>
      <w:spacing w:line="240" w:lineRule="auto"/>
      <w:ind w:firstLine="420"/>
    </w:pPr>
    <w:rPr>
      <w:rFonts w:ascii="Calibri" w:hAnsi="Calibri" w:cs="Times New Roman"/>
      <w:sz w:val="21"/>
      <w:szCs w:val="22"/>
    </w:rPr>
  </w:style>
  <w:style w:type="paragraph" w:customStyle="1" w:styleId="44">
    <w:name w:val="修订3"/>
    <w:autoRedefine/>
    <w:hidden/>
    <w:semiHidden/>
    <w:qFormat/>
    <w:uiPriority w:val="99"/>
    <w:rPr>
      <w:rFonts w:ascii="Arial" w:hAnsi="Arial" w:eastAsia="宋体" w:cstheme="minorBidi"/>
      <w:kern w:val="2"/>
      <w:sz w:val="24"/>
      <w:szCs w:val="21"/>
      <w:lang w:val="en-US" w:eastAsia="zh-CN" w:bidi="ar-SA"/>
    </w:rPr>
  </w:style>
  <w:style w:type="paragraph" w:customStyle="1" w:styleId="45">
    <w:name w:val="WPSOffice手动目录 1"/>
    <w:autoRedefine/>
    <w:qFormat/>
    <w:uiPriority w:val="0"/>
    <w:rPr>
      <w:rFonts w:ascii="Times New Roman" w:hAnsi="Times New Roman" w:eastAsia="宋体" w:cs="Times New Roman"/>
      <w:lang w:val="en-US" w:eastAsia="zh-CN" w:bidi="ar-SA"/>
    </w:rPr>
  </w:style>
  <w:style w:type="paragraph" w:customStyle="1" w:styleId="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8">
    <w:name w:val="中等深浅网格 1 - 强调文字颜色 21"/>
    <w:basedOn w:val="1"/>
    <w:autoRedefine/>
    <w:qFormat/>
    <w:uiPriority w:val="34"/>
    <w:pPr>
      <w:ind w:firstLine="420"/>
    </w:pPr>
  </w:style>
  <w:style w:type="character" w:customStyle="1" w:styleId="49">
    <w:name w:val="font101"/>
    <w:basedOn w:val="20"/>
    <w:qFormat/>
    <w:uiPriority w:val="0"/>
    <w:rPr>
      <w:rFonts w:hint="default" w:ascii="Times New Roman" w:hAnsi="Times New Roman" w:cs="Times New Roman"/>
      <w:color w:val="000000"/>
      <w:sz w:val="21"/>
      <w:szCs w:val="21"/>
      <w:u w:val="none"/>
    </w:rPr>
  </w:style>
  <w:style w:type="character" w:customStyle="1" w:styleId="50">
    <w:name w:val="font41"/>
    <w:basedOn w:val="20"/>
    <w:qFormat/>
    <w:uiPriority w:val="0"/>
    <w:rPr>
      <w:rFonts w:ascii="宋体" w:hAnsi="宋体" w:eastAsia="宋体" w:cs="宋体"/>
      <w:color w:val="000000"/>
      <w:sz w:val="18"/>
      <w:szCs w:val="18"/>
      <w:u w:val="none"/>
    </w:rPr>
  </w:style>
  <w:style w:type="character" w:customStyle="1" w:styleId="51">
    <w:name w:val="font71"/>
    <w:basedOn w:val="20"/>
    <w:qFormat/>
    <w:uiPriority w:val="0"/>
    <w:rPr>
      <w:rFonts w:ascii="宋体" w:hAnsi="宋体" w:eastAsia="宋体" w:cs="宋体"/>
      <w:b/>
      <w:bCs/>
      <w:color w:val="000000"/>
      <w:sz w:val="18"/>
      <w:szCs w:val="18"/>
      <w:u w:val="single"/>
    </w:rPr>
  </w:style>
  <w:style w:type="character" w:customStyle="1" w:styleId="52">
    <w:name w:val="font121"/>
    <w:basedOn w:val="20"/>
    <w:qFormat/>
    <w:uiPriority w:val="0"/>
    <w:rPr>
      <w:rFonts w:hint="eastAsia" w:ascii="宋体" w:hAnsi="宋体" w:eastAsia="宋体" w:cs="宋体"/>
      <w:color w:val="FF0000"/>
      <w:sz w:val="21"/>
      <w:szCs w:val="21"/>
      <w:u w:val="none"/>
    </w:rPr>
  </w:style>
  <w:style w:type="character" w:customStyle="1" w:styleId="53">
    <w:name w:val="font131"/>
    <w:basedOn w:val="20"/>
    <w:qFormat/>
    <w:uiPriority w:val="0"/>
    <w:rPr>
      <w:rFonts w:hint="default" w:ascii="Times New Roman" w:hAnsi="Times New Roman" w:cs="Times New Roman"/>
      <w:color w:val="FF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北京大成（广州）律师事务所</Company>
  <Pages>17</Pages>
  <Words>7102</Words>
  <Characters>7697</Characters>
  <Lines>54</Lines>
  <Paragraphs>15</Paragraphs>
  <TotalTime>2</TotalTime>
  <ScaleCrop>false</ScaleCrop>
  <LinksUpToDate>false</LinksUpToDate>
  <CharactersWithSpaces>7782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2022-12-21T15:40:00Z</dcterms:created>
  <dc:creator>大成-何易艺</dc:creator>
  <cp:lastModifiedBy>zzj</cp:lastModifiedBy>
  <cp:lastPrinted>2024-08-21T05:59:00Z</cp:lastPrinted>
  <dcterms:modified xsi:type="dcterms:W3CDTF">2024-08-21T07:56:50Z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97F0EB9A25A344709F7D39C13E3CDDF8_13</vt:lpwstr>
  </property>
</Properties>
</file>