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3364A0">
      <w:pPr>
        <w:widowControl w:val="0"/>
        <w:spacing w:line="360" w:lineRule="auto"/>
        <w:ind w:firstLine="0" w:firstLineChars="0"/>
        <w:jc w:val="center"/>
        <w:rPr>
          <w:rFonts w:ascii="Times New Roman" w:hAnsi="Times New Roman" w:eastAsia="黑体" w:cs="Times New Roman"/>
          <w:color w:val="auto"/>
          <w:sz w:val="40"/>
          <w:szCs w:val="40"/>
        </w:rPr>
      </w:pPr>
      <w:bookmarkStart w:id="0" w:name="_Toc11731"/>
      <w:bookmarkStart w:id="1" w:name="_Toc20884"/>
      <w:r>
        <w:rPr>
          <w:rFonts w:ascii="Times New Roman" w:hAnsi="Times New Roman" w:eastAsia="黑体" w:cs="Times New Roman"/>
          <w:color w:val="auto"/>
          <w:sz w:val="40"/>
          <w:szCs w:val="40"/>
        </w:rPr>
        <w:t>2024年广东省政府专项债券</w:t>
      </w:r>
      <w:bookmarkEnd w:id="0"/>
      <w:bookmarkEnd w:id="1"/>
    </w:p>
    <w:p w14:paraId="1260A890">
      <w:pPr>
        <w:widowControl w:val="0"/>
        <w:spacing w:line="360" w:lineRule="auto"/>
        <w:ind w:firstLine="0" w:firstLineChars="0"/>
        <w:jc w:val="center"/>
        <w:rPr>
          <w:rFonts w:ascii="Times New Roman" w:hAnsi="Times New Roman" w:eastAsia="黑体" w:cs="Times New Roman"/>
          <w:color w:val="auto"/>
          <w:sz w:val="40"/>
          <w:szCs w:val="40"/>
        </w:rPr>
      </w:pPr>
      <w:r>
        <w:rPr>
          <w:rFonts w:hint="eastAsia" w:ascii="Times New Roman" w:hAnsi="Times New Roman" w:eastAsia="黑体" w:cs="Times New Roman"/>
          <w:color w:val="auto"/>
          <w:sz w:val="40"/>
          <w:szCs w:val="40"/>
        </w:rPr>
        <w:t>花都区智能装备科创产业园配套基础设施建设项目募投报告</w:t>
      </w:r>
    </w:p>
    <w:p w14:paraId="212F5197">
      <w:pPr>
        <w:ind w:firstLine="803"/>
        <w:jc w:val="center"/>
        <w:rPr>
          <w:rFonts w:hint="eastAsia" w:ascii="黑体" w:hAnsi="黑体" w:eastAsia="黑体" w:cs="黑体"/>
          <w:b/>
          <w:bCs/>
          <w:color w:val="auto"/>
          <w:sz w:val="40"/>
          <w:szCs w:val="48"/>
        </w:rPr>
      </w:pPr>
    </w:p>
    <w:p w14:paraId="2F59C6F4">
      <w:pPr>
        <w:ind w:firstLine="800"/>
        <w:rPr>
          <w:rFonts w:hint="eastAsia" w:ascii="黑体" w:hAnsi="黑体" w:eastAsia="黑体" w:cs="黑体"/>
          <w:color w:val="auto"/>
          <w:sz w:val="40"/>
          <w:szCs w:val="48"/>
        </w:rPr>
      </w:pPr>
    </w:p>
    <w:p w14:paraId="223241DA">
      <w:pPr>
        <w:ind w:firstLine="1040"/>
        <w:rPr>
          <w:rFonts w:hint="eastAsia" w:ascii="黑体" w:hAnsi="黑体" w:eastAsia="黑体" w:cs="黑体"/>
          <w:color w:val="auto"/>
          <w:sz w:val="52"/>
          <w:szCs w:val="52"/>
        </w:rPr>
      </w:pPr>
    </w:p>
    <w:p w14:paraId="7D151F69">
      <w:pPr>
        <w:ind w:firstLine="800"/>
        <w:rPr>
          <w:rFonts w:hint="eastAsia" w:ascii="黑体" w:hAnsi="黑体" w:eastAsia="黑体" w:cs="黑体"/>
          <w:color w:val="auto"/>
          <w:sz w:val="40"/>
          <w:szCs w:val="48"/>
        </w:rPr>
      </w:pPr>
    </w:p>
    <w:p w14:paraId="2E62E978">
      <w:pPr>
        <w:pStyle w:val="2"/>
        <w:ind w:left="560" w:firstLine="800"/>
        <w:rPr>
          <w:rFonts w:ascii="黑体" w:hAnsi="黑体" w:eastAsia="黑体" w:cs="黑体"/>
          <w:color w:val="auto"/>
          <w:sz w:val="40"/>
          <w:szCs w:val="48"/>
        </w:rPr>
      </w:pPr>
    </w:p>
    <w:p w14:paraId="23A370D8">
      <w:pPr>
        <w:pStyle w:val="2"/>
        <w:ind w:left="560" w:firstLine="800"/>
        <w:rPr>
          <w:rFonts w:ascii="黑体" w:hAnsi="黑体" w:eastAsia="黑体" w:cs="黑体"/>
          <w:color w:val="auto"/>
          <w:sz w:val="40"/>
          <w:szCs w:val="48"/>
        </w:rPr>
      </w:pPr>
    </w:p>
    <w:p w14:paraId="502CD68D">
      <w:pPr>
        <w:ind w:firstLine="800"/>
        <w:rPr>
          <w:rFonts w:hint="eastAsia" w:ascii="黑体" w:hAnsi="黑体" w:eastAsia="黑体" w:cs="黑体"/>
          <w:color w:val="auto"/>
          <w:sz w:val="40"/>
          <w:szCs w:val="48"/>
        </w:rPr>
      </w:pPr>
    </w:p>
    <w:p w14:paraId="632FAF05">
      <w:pPr>
        <w:ind w:firstLine="560"/>
        <w:rPr>
          <w:color w:val="auto"/>
        </w:rPr>
      </w:pPr>
    </w:p>
    <w:p w14:paraId="375A3DD1">
      <w:pPr>
        <w:ind w:firstLine="0" w:firstLineChars="0"/>
        <w:rPr>
          <w:rFonts w:hint="eastAsia" w:ascii="黑体" w:hAnsi="黑体" w:eastAsia="黑体" w:cs="黑体"/>
          <w:color w:val="auto"/>
          <w:sz w:val="36"/>
          <w:szCs w:val="44"/>
        </w:rPr>
      </w:pPr>
      <w:r>
        <w:rPr>
          <w:rFonts w:hint="eastAsia" w:ascii="黑体" w:hAnsi="黑体" w:eastAsia="黑体" w:cs="黑体"/>
          <w:color w:val="auto"/>
          <w:sz w:val="36"/>
          <w:szCs w:val="44"/>
        </w:rPr>
        <w:t>实施单位盖章：广州市花都区人民政府新雅街道办事处</w:t>
      </w:r>
    </w:p>
    <w:p w14:paraId="1C023D17">
      <w:pPr>
        <w:ind w:firstLine="0" w:firstLineChars="0"/>
        <w:rPr>
          <w:rFonts w:hint="eastAsia" w:ascii="黑体" w:hAnsi="黑体" w:eastAsia="黑体" w:cs="黑体"/>
          <w:color w:val="auto"/>
          <w:sz w:val="36"/>
          <w:szCs w:val="44"/>
        </w:rPr>
      </w:pPr>
    </w:p>
    <w:p w14:paraId="1CEE5DBF">
      <w:pPr>
        <w:ind w:firstLine="0" w:firstLineChars="0"/>
        <w:rPr>
          <w:rFonts w:hint="eastAsia" w:ascii="黑体" w:hAnsi="黑体" w:eastAsia="黑体" w:cs="黑体"/>
          <w:color w:val="auto"/>
          <w:sz w:val="36"/>
          <w:szCs w:val="44"/>
        </w:rPr>
      </w:pPr>
    </w:p>
    <w:p w14:paraId="7F8F1950">
      <w:pPr>
        <w:pStyle w:val="2"/>
        <w:ind w:left="560" w:firstLine="0" w:firstLineChars="0"/>
        <w:rPr>
          <w:color w:val="auto"/>
          <w:sz w:val="22"/>
          <w:szCs w:val="21"/>
        </w:rPr>
      </w:pPr>
    </w:p>
    <w:p w14:paraId="2FCB035B">
      <w:pPr>
        <w:ind w:firstLine="0" w:firstLineChars="0"/>
        <w:rPr>
          <w:rFonts w:hint="eastAsia" w:ascii="黑体" w:hAnsi="黑体" w:eastAsia="黑体" w:cs="黑体"/>
          <w:color w:val="auto"/>
          <w:sz w:val="36"/>
          <w:szCs w:val="44"/>
        </w:rPr>
      </w:pPr>
      <w:r>
        <w:rPr>
          <w:rFonts w:hint="eastAsia" w:ascii="黑体" w:hAnsi="黑体" w:eastAsia="黑体" w:cs="黑体"/>
          <w:color w:val="auto"/>
          <w:sz w:val="36"/>
          <w:szCs w:val="44"/>
        </w:rPr>
        <w:t>主管部门盖章：广州市花都区人民政府新雅街道办事处</w:t>
      </w:r>
      <w:r>
        <w:rPr>
          <w:rFonts w:ascii="黑体" w:hAnsi="黑体" w:eastAsia="黑体" w:cs="黑体"/>
          <w:color w:val="auto"/>
          <w:sz w:val="36"/>
          <w:szCs w:val="44"/>
        </w:rPr>
        <w:t xml:space="preserve"> </w:t>
      </w:r>
    </w:p>
    <w:p w14:paraId="1A4C861D">
      <w:pPr>
        <w:ind w:firstLine="0" w:firstLineChars="0"/>
        <w:rPr>
          <w:rFonts w:hint="eastAsia" w:ascii="黑体" w:hAnsi="黑体" w:eastAsia="黑体" w:cs="黑体"/>
          <w:color w:val="auto"/>
          <w:sz w:val="36"/>
          <w:szCs w:val="44"/>
        </w:rPr>
      </w:pPr>
    </w:p>
    <w:p w14:paraId="04C1C807">
      <w:pPr>
        <w:pStyle w:val="2"/>
        <w:ind w:left="560" w:firstLine="0" w:firstLineChars="0"/>
        <w:rPr>
          <w:color w:val="auto"/>
          <w:sz w:val="22"/>
          <w:szCs w:val="21"/>
        </w:rPr>
      </w:pPr>
    </w:p>
    <w:p w14:paraId="19235E95">
      <w:pPr>
        <w:ind w:firstLine="0" w:firstLineChars="0"/>
        <w:rPr>
          <w:rFonts w:hint="eastAsia" w:ascii="黑体" w:hAnsi="黑体" w:eastAsia="黑体" w:cs="黑体"/>
          <w:color w:val="auto"/>
          <w:sz w:val="36"/>
          <w:szCs w:val="44"/>
        </w:rPr>
      </w:pPr>
    </w:p>
    <w:p w14:paraId="7CF029C8">
      <w:pPr>
        <w:widowControl w:val="0"/>
        <w:spacing w:line="360" w:lineRule="auto"/>
        <w:ind w:firstLine="0" w:firstLineChars="0"/>
        <w:jc w:val="both"/>
        <w:rPr>
          <w:rFonts w:hint="eastAsia" w:ascii="黑体" w:hAnsi="黑体" w:eastAsia="黑体" w:cs="黑体"/>
          <w:color w:val="auto"/>
          <w:sz w:val="36"/>
          <w:szCs w:val="44"/>
        </w:rPr>
      </w:pPr>
      <w:r>
        <w:rPr>
          <w:rFonts w:hint="eastAsia" w:ascii="黑体" w:hAnsi="黑体" w:eastAsia="黑体" w:cs="黑体"/>
          <w:color w:val="auto"/>
          <w:sz w:val="36"/>
          <w:szCs w:val="44"/>
        </w:rPr>
        <w:t>财政部门盖章：</w:t>
      </w:r>
      <w:r>
        <w:rPr>
          <w:rFonts w:ascii="黑体" w:hAnsi="黑体" w:eastAsia="黑体" w:cs="黑体"/>
          <w:color w:val="auto"/>
          <w:sz w:val="36"/>
          <w:szCs w:val="44"/>
        </w:rPr>
        <w:t>广州市花都区财政局</w:t>
      </w:r>
    </w:p>
    <w:p w14:paraId="247FCB94">
      <w:pPr>
        <w:widowControl w:val="0"/>
        <w:spacing w:line="360" w:lineRule="auto"/>
        <w:ind w:firstLine="4000" w:firstLineChars="1000"/>
        <w:jc w:val="both"/>
        <w:rPr>
          <w:rFonts w:hint="eastAsia" w:ascii="黑体" w:hAnsi="黑体" w:eastAsia="黑体" w:cs="黑体"/>
          <w:color w:val="auto"/>
          <w:sz w:val="40"/>
          <w:szCs w:val="48"/>
        </w:rPr>
      </w:pPr>
    </w:p>
    <w:p w14:paraId="1D0F1D29">
      <w:pPr>
        <w:pStyle w:val="2"/>
        <w:ind w:left="560" w:firstLine="800"/>
        <w:rPr>
          <w:rFonts w:ascii="黑体" w:hAnsi="黑体" w:eastAsia="黑体" w:cs="黑体"/>
          <w:color w:val="auto"/>
          <w:sz w:val="40"/>
          <w:szCs w:val="48"/>
        </w:rPr>
      </w:pPr>
    </w:p>
    <w:p w14:paraId="57549557">
      <w:pPr>
        <w:snapToGrid w:val="0"/>
        <w:ind w:firstLine="0" w:firstLineChars="0"/>
        <w:jc w:val="center"/>
        <w:rPr>
          <w:rFonts w:hint="eastAsia" w:ascii="黑体" w:hAnsi="黑体" w:eastAsia="黑体" w:cs="黑体"/>
          <w:color w:val="auto"/>
          <w:sz w:val="32"/>
          <w:szCs w:val="32"/>
        </w:rPr>
        <w:sectPr>
          <w:headerReference r:id="rId7" w:type="first"/>
          <w:footerReference r:id="rId10" w:type="first"/>
          <w:headerReference r:id="rId5" w:type="default"/>
          <w:footerReference r:id="rId8" w:type="default"/>
          <w:headerReference r:id="rId6" w:type="even"/>
          <w:footerReference r:id="rId9" w:type="even"/>
          <w:pgSz w:w="11850" w:h="16783"/>
          <w:pgMar w:top="2041" w:right="1417" w:bottom="1417" w:left="1531" w:header="851" w:footer="992" w:gutter="0"/>
          <w:pgNumType w:fmt="numberInDash" w:start="3"/>
          <w:cols w:space="720" w:num="1"/>
          <w:docGrid w:type="lines" w:linePitch="312" w:charSpace="0"/>
        </w:sectPr>
      </w:pPr>
      <w:r>
        <w:rPr>
          <w:rFonts w:hint="eastAsia" w:ascii="黑体" w:hAnsi="黑体" w:eastAsia="黑体" w:cs="黑体"/>
          <w:color w:val="auto"/>
          <w:sz w:val="40"/>
          <w:szCs w:val="48"/>
        </w:rPr>
        <w:t>2024年</w:t>
      </w:r>
      <w:r>
        <w:rPr>
          <w:rFonts w:hint="eastAsia" w:ascii="黑体" w:hAnsi="黑体" w:eastAsia="黑体" w:cs="黑体"/>
          <w:color w:val="auto"/>
          <w:sz w:val="40"/>
          <w:szCs w:val="48"/>
          <w:lang w:val="en-US" w:eastAsia="zh-CN"/>
        </w:rPr>
        <w:t>8</w:t>
      </w:r>
      <w:r>
        <w:rPr>
          <w:rFonts w:hint="eastAsia" w:ascii="黑体" w:hAnsi="黑体" w:eastAsia="黑体" w:cs="黑体"/>
          <w:color w:val="auto"/>
          <w:sz w:val="40"/>
          <w:szCs w:val="48"/>
        </w:rPr>
        <w:t>月</w:t>
      </w:r>
    </w:p>
    <w:p w14:paraId="0599B6D6">
      <w:pPr>
        <w:snapToGrid w:val="0"/>
        <w:ind w:firstLine="0" w:firstLineChars="0"/>
        <w:jc w:val="center"/>
        <w:rPr>
          <w:rFonts w:hint="eastAsia" w:ascii="黑体" w:hAnsi="黑体" w:eastAsia="黑体" w:cs="黑体"/>
          <w:color w:val="auto"/>
          <w:sz w:val="32"/>
          <w:szCs w:val="32"/>
        </w:rPr>
      </w:pPr>
      <w:r>
        <w:rPr>
          <w:rFonts w:hint="eastAsia" w:ascii="黑体" w:hAnsi="黑体" w:eastAsia="黑体" w:cs="黑体"/>
          <w:color w:val="auto"/>
          <w:sz w:val="32"/>
          <w:szCs w:val="32"/>
        </w:rPr>
        <w:t>目录</w:t>
      </w:r>
    </w:p>
    <w:sdt>
      <w:sdtPr>
        <w:rPr>
          <w:rFonts w:ascii="宋体" w:hAnsi="宋体" w:eastAsia="宋体"/>
          <w:color w:val="auto"/>
          <w:sz w:val="21"/>
        </w:rPr>
        <w:id w:val="147454182"/>
        <w:docPartObj>
          <w:docPartGallery w:val="Table of Contents"/>
          <w:docPartUnique/>
        </w:docPartObj>
      </w:sdtPr>
      <w:sdtEndPr>
        <w:rPr>
          <w:rFonts w:ascii="宋体" w:hAnsi="宋体" w:eastAsia="宋体"/>
          <w:color w:val="auto"/>
          <w:sz w:val="21"/>
        </w:rPr>
      </w:sdtEndPr>
      <w:sdtContent>
        <w:p w14:paraId="7507DFFE">
          <w:pPr>
            <w:spacing w:line="240" w:lineRule="auto"/>
            <w:ind w:firstLine="0" w:firstLineChars="0"/>
            <w:jc w:val="center"/>
            <w:rPr>
              <w:color w:val="auto"/>
            </w:rPr>
          </w:pPr>
        </w:p>
        <w:p w14:paraId="166C011B">
          <w:pPr>
            <w:pStyle w:val="15"/>
            <w:tabs>
              <w:tab w:val="right" w:leader="dot" w:pos="8960"/>
            </w:tabs>
            <w:ind w:firstLine="400"/>
            <w:rPr>
              <w:rFonts w:hint="eastAsia" w:asciiTheme="minorHAnsi" w:hAnsiTheme="minorHAnsi" w:eastAsiaTheme="minorEastAsia" w:cstheme="minorBidi"/>
              <w:color w:val="auto"/>
              <w:kern w:val="2"/>
              <w:sz w:val="21"/>
              <w14:ligatures w14:val="standardContextual"/>
            </w:rPr>
          </w:pPr>
          <w:r>
            <w:rPr>
              <w:rFonts w:ascii="Times New Roman" w:hAnsi="Times New Roman" w:eastAsia="宋体" w:cs="Times New Roman"/>
              <w:color w:val="auto"/>
              <w:sz w:val="20"/>
              <w:szCs w:val="20"/>
            </w:rPr>
            <w:fldChar w:fldCharType="begin"/>
          </w:r>
          <w:r>
            <w:rPr>
              <w:color w:val="auto"/>
            </w:rPr>
            <w:instrText xml:space="preserve">TOC \o "1-3" \h \u </w:instrText>
          </w:r>
          <w:r>
            <w:rPr>
              <w:rFonts w:ascii="Times New Roman" w:hAnsi="Times New Roman" w:eastAsia="宋体" w:cs="Times New Roman"/>
              <w:color w:val="auto"/>
              <w:sz w:val="20"/>
              <w:szCs w:val="20"/>
            </w:rPr>
            <w:fldChar w:fldCharType="separate"/>
          </w:r>
          <w:r>
            <w:rPr>
              <w:color w:val="auto"/>
            </w:rPr>
            <w:fldChar w:fldCharType="begin"/>
          </w:r>
          <w:r>
            <w:rPr>
              <w:color w:val="auto"/>
            </w:rPr>
            <w:instrText xml:space="preserve"> HYPERLINK \l "_Toc174657271" </w:instrText>
          </w:r>
          <w:r>
            <w:rPr>
              <w:color w:val="auto"/>
            </w:rPr>
            <w:fldChar w:fldCharType="separate"/>
          </w:r>
          <w:r>
            <w:rPr>
              <w:rStyle w:val="22"/>
              <w:rFonts w:hint="eastAsia" w:ascii="黑体" w:hAnsi="黑体" w:eastAsia="黑体" w:cs="黑体"/>
              <w:color w:val="auto"/>
            </w:rPr>
            <w:t>一、项目基本情况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_Toc174657271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14:paraId="48732D5E">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"_Toc174657272" </w:instrText>
          </w:r>
          <w:r>
            <w:rPr>
              <w:color w:val="auto"/>
            </w:rPr>
            <w:fldChar w:fldCharType="separate"/>
          </w:r>
          <w:r>
            <w:rPr>
              <w:rStyle w:val="22"/>
              <w:rFonts w:hint="eastAsia" w:ascii="仿宋_GB2312" w:hAnsi="仿宋_GB2312" w:eastAsia="仿宋_GB2312" w:cs="仿宋_GB2312"/>
              <w:color w:val="auto"/>
            </w:rPr>
            <w:t>（一）项目所处区域财政经济情况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_Toc174657272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14:paraId="05A050B5">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"_Toc174657273" </w:instrText>
          </w:r>
          <w:r>
            <w:rPr>
              <w:color w:val="auto"/>
            </w:rPr>
            <w:fldChar w:fldCharType="separate"/>
          </w:r>
          <w:r>
            <w:rPr>
              <w:rStyle w:val="22"/>
              <w:rFonts w:hint="eastAsia" w:ascii="仿宋_GB2312" w:hAnsi="仿宋_GB2312" w:eastAsia="仿宋_GB2312" w:cs="仿宋_GB2312"/>
              <w:color w:val="auto"/>
            </w:rPr>
            <w:t>（二）本地社会发展规划和行业相关规划</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_Toc174657273 \h</w:instrText>
          </w:r>
          <w:r>
            <w:rPr>
              <w:rFonts w:hint="eastAsia"/>
              <w:color w:val="auto"/>
            </w:rPr>
            <w:instrText xml:space="preserve"> </w:instrText>
          </w:r>
          <w:r>
            <w:rPr>
              <w:color w:val="auto"/>
            </w:rPr>
            <w:fldChar w:fldCharType="separate"/>
          </w:r>
          <w:r>
            <w:rPr>
              <w:color w:val="auto"/>
            </w:rPr>
            <w:t>3</w:t>
          </w:r>
          <w:r>
            <w:rPr>
              <w:rFonts w:hint="eastAsia"/>
              <w:color w:val="auto"/>
            </w:rPr>
            <w:fldChar w:fldCharType="end"/>
          </w:r>
          <w:r>
            <w:rPr>
              <w:rFonts w:hint="eastAsia"/>
              <w:color w:val="auto"/>
            </w:rPr>
            <w:fldChar w:fldCharType="end"/>
          </w:r>
        </w:p>
        <w:p w14:paraId="7244F642">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"_Toc174657274" </w:instrText>
          </w:r>
          <w:r>
            <w:rPr>
              <w:color w:val="auto"/>
            </w:rPr>
            <w:fldChar w:fldCharType="separate"/>
          </w:r>
          <w:r>
            <w:rPr>
              <w:rStyle w:val="22"/>
              <w:rFonts w:hint="eastAsia" w:ascii="仿宋_GB2312" w:hAnsi="仿宋_GB2312" w:eastAsia="仿宋_GB2312" w:cs="仿宋_GB2312"/>
              <w:color w:val="auto"/>
            </w:rPr>
            <w:t>（三）项目情况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_Toc174657274 \h</w:instrText>
          </w:r>
          <w:r>
            <w:rPr>
              <w:rFonts w:hint="eastAsia"/>
              <w:color w:val="auto"/>
            </w:rPr>
            <w:instrText xml:space="preserve"> </w:instrText>
          </w:r>
          <w:r>
            <w:rPr>
              <w:color w:val="auto"/>
            </w:rPr>
            <w:fldChar w:fldCharType="separate"/>
          </w:r>
          <w:r>
            <w:rPr>
              <w:color w:val="auto"/>
            </w:rPr>
            <w:t>10</w:t>
          </w:r>
          <w:r>
            <w:rPr>
              <w:rFonts w:hint="eastAsia"/>
              <w:color w:val="auto"/>
            </w:rPr>
            <w:fldChar w:fldCharType="end"/>
          </w:r>
          <w:r>
            <w:rPr>
              <w:rFonts w:hint="eastAsia"/>
              <w:color w:val="auto"/>
            </w:rPr>
            <w:fldChar w:fldCharType="end"/>
          </w:r>
        </w:p>
        <w:p w14:paraId="5AA83F41">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"_Toc174657275" </w:instrText>
          </w:r>
          <w:r>
            <w:rPr>
              <w:color w:val="auto"/>
            </w:rPr>
            <w:fldChar w:fldCharType="separate"/>
          </w:r>
          <w:r>
            <w:rPr>
              <w:rStyle w:val="22"/>
              <w:rFonts w:hint="eastAsia" w:ascii="仿宋_GB2312" w:hAnsi="仿宋_GB2312" w:eastAsia="仿宋_GB2312" w:cs="仿宋_GB2312"/>
              <w:color w:val="auto"/>
            </w:rPr>
            <w:t>（四）项目立项情况或实施依据</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_Toc174657275 \h</w:instrText>
          </w:r>
          <w:r>
            <w:rPr>
              <w:rFonts w:hint="eastAsia"/>
              <w:color w:val="auto"/>
            </w:rPr>
            <w:instrText xml:space="preserve"> </w:instrText>
          </w:r>
          <w:r>
            <w:rPr>
              <w:color w:val="auto"/>
            </w:rPr>
            <w:fldChar w:fldCharType="separate"/>
          </w:r>
          <w:r>
            <w:rPr>
              <w:color w:val="auto"/>
            </w:rPr>
            <w:t>15</w:t>
          </w:r>
          <w:r>
            <w:rPr>
              <w:rFonts w:hint="eastAsia"/>
              <w:color w:val="auto"/>
            </w:rPr>
            <w:fldChar w:fldCharType="end"/>
          </w:r>
          <w:r>
            <w:rPr>
              <w:rFonts w:hint="eastAsia"/>
              <w:color w:val="auto"/>
            </w:rPr>
            <w:fldChar w:fldCharType="end"/>
          </w:r>
        </w:p>
        <w:p w14:paraId="038F956E">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"_Toc174657276" </w:instrText>
          </w:r>
          <w:r>
            <w:rPr>
              <w:color w:val="auto"/>
            </w:rPr>
            <w:fldChar w:fldCharType="separate"/>
          </w:r>
          <w:r>
            <w:rPr>
              <w:rStyle w:val="22"/>
              <w:rFonts w:hint="eastAsia" w:ascii="仿宋_GB2312" w:hAnsi="仿宋_GB2312" w:eastAsia="仿宋_GB2312" w:cs="仿宋_GB2312"/>
              <w:color w:val="auto"/>
            </w:rPr>
            <w:t>（五）责任主体</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_Toc174657276 \h</w:instrText>
          </w:r>
          <w:r>
            <w:rPr>
              <w:rFonts w:hint="eastAsia"/>
              <w:color w:val="auto"/>
            </w:rPr>
            <w:instrText xml:space="preserve"> </w:instrText>
          </w:r>
          <w:r>
            <w:rPr>
              <w:color w:val="auto"/>
            </w:rPr>
            <w:fldChar w:fldCharType="separate"/>
          </w:r>
          <w:r>
            <w:rPr>
              <w:color w:val="auto"/>
            </w:rPr>
            <w:t>15</w:t>
          </w:r>
          <w:r>
            <w:rPr>
              <w:rFonts w:hint="eastAsia"/>
              <w:color w:val="auto"/>
            </w:rPr>
            <w:fldChar w:fldCharType="end"/>
          </w:r>
          <w:r>
            <w:rPr>
              <w:rFonts w:hint="eastAsia"/>
              <w:color w:val="auto"/>
            </w:rPr>
            <w:fldChar w:fldCharType="end"/>
          </w:r>
        </w:p>
        <w:p w14:paraId="36645742">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"_Toc174657277" </w:instrText>
          </w:r>
          <w:r>
            <w:rPr>
              <w:color w:val="auto"/>
            </w:rPr>
            <w:fldChar w:fldCharType="separate"/>
          </w:r>
          <w:r>
            <w:rPr>
              <w:rStyle w:val="22"/>
              <w:rFonts w:hint="eastAsia" w:ascii="黑体" w:hAnsi="黑体" w:eastAsia="黑体" w:cs="黑体"/>
              <w:color w:val="auto"/>
            </w:rPr>
            <w:t>二、项目实施重要性和经济社会效益分析</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_Toc174657277 \h</w:instrText>
          </w:r>
          <w:r>
            <w:rPr>
              <w:rFonts w:hint="eastAsia"/>
              <w:color w:val="auto"/>
            </w:rPr>
            <w:instrText xml:space="preserve"> </w:instrText>
          </w:r>
          <w:r>
            <w:rPr>
              <w:color w:val="auto"/>
            </w:rPr>
            <w:fldChar w:fldCharType="separate"/>
          </w:r>
          <w:r>
            <w:rPr>
              <w:color w:val="auto"/>
            </w:rPr>
            <w:t>16</w:t>
          </w:r>
          <w:r>
            <w:rPr>
              <w:rFonts w:hint="eastAsia"/>
              <w:color w:val="auto"/>
            </w:rPr>
            <w:fldChar w:fldCharType="end"/>
          </w:r>
          <w:r>
            <w:rPr>
              <w:rFonts w:hint="eastAsia"/>
              <w:color w:val="auto"/>
            </w:rPr>
            <w:fldChar w:fldCharType="end"/>
          </w:r>
        </w:p>
        <w:p w14:paraId="42743E97">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"_Toc174657278" </w:instrText>
          </w:r>
          <w:r>
            <w:rPr>
              <w:color w:val="auto"/>
            </w:rPr>
            <w:fldChar w:fldCharType="separate"/>
          </w:r>
          <w:r>
            <w:rPr>
              <w:rStyle w:val="22"/>
              <w:rFonts w:hint="eastAsia" w:ascii="仿宋_GB2312" w:hAnsi="仿宋_GB2312" w:eastAsia="仿宋_GB2312" w:cs="仿宋_GB2312"/>
              <w:color w:val="auto"/>
            </w:rPr>
            <w:t>（一）重要性分析</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_Toc174657278 \h</w:instrText>
          </w:r>
          <w:r>
            <w:rPr>
              <w:rFonts w:hint="eastAsia"/>
              <w:color w:val="auto"/>
            </w:rPr>
            <w:instrText xml:space="preserve"> </w:instrText>
          </w:r>
          <w:r>
            <w:rPr>
              <w:color w:val="auto"/>
            </w:rPr>
            <w:fldChar w:fldCharType="separate"/>
          </w:r>
          <w:r>
            <w:rPr>
              <w:color w:val="auto"/>
            </w:rPr>
            <w:t>16</w:t>
          </w:r>
          <w:r>
            <w:rPr>
              <w:rFonts w:hint="eastAsia"/>
              <w:color w:val="auto"/>
            </w:rPr>
            <w:fldChar w:fldCharType="end"/>
          </w:r>
          <w:r>
            <w:rPr>
              <w:rFonts w:hint="eastAsia"/>
              <w:color w:val="auto"/>
            </w:rPr>
            <w:fldChar w:fldCharType="end"/>
          </w:r>
        </w:p>
        <w:p w14:paraId="009208DE">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"_Toc174657279" </w:instrText>
          </w:r>
          <w:r>
            <w:rPr>
              <w:color w:val="auto"/>
            </w:rPr>
            <w:fldChar w:fldCharType="separate"/>
          </w:r>
          <w:r>
            <w:rPr>
              <w:rStyle w:val="22"/>
              <w:rFonts w:hint="eastAsia" w:ascii="仿宋_GB2312" w:hAnsi="仿宋_GB2312" w:eastAsia="仿宋_GB2312" w:cs="仿宋_GB2312"/>
              <w:color w:val="auto"/>
            </w:rPr>
            <w:t>（二）经济效益分析</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_Toc174657279 \h</w:instrText>
          </w:r>
          <w:r>
            <w:rPr>
              <w:rFonts w:hint="eastAsia"/>
              <w:color w:val="auto"/>
            </w:rPr>
            <w:instrText xml:space="preserve"> </w:instrText>
          </w:r>
          <w:r>
            <w:rPr>
              <w:color w:val="auto"/>
            </w:rPr>
            <w:fldChar w:fldCharType="separate"/>
          </w:r>
          <w:r>
            <w:rPr>
              <w:color w:val="auto"/>
            </w:rPr>
            <w:t>17</w:t>
          </w:r>
          <w:r>
            <w:rPr>
              <w:rFonts w:hint="eastAsia"/>
              <w:color w:val="auto"/>
            </w:rPr>
            <w:fldChar w:fldCharType="end"/>
          </w:r>
          <w:r>
            <w:rPr>
              <w:rFonts w:hint="eastAsia"/>
              <w:color w:val="auto"/>
            </w:rPr>
            <w:fldChar w:fldCharType="end"/>
          </w:r>
        </w:p>
        <w:p w14:paraId="7D6AD03C">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"_Toc174657280" </w:instrText>
          </w:r>
          <w:r>
            <w:rPr>
              <w:color w:val="auto"/>
            </w:rPr>
            <w:fldChar w:fldCharType="separate"/>
          </w:r>
          <w:r>
            <w:rPr>
              <w:rStyle w:val="22"/>
              <w:rFonts w:hint="eastAsia" w:ascii="仿宋_GB2312" w:hAnsi="仿宋_GB2312" w:eastAsia="仿宋_GB2312" w:cs="仿宋_GB2312"/>
              <w:color w:val="auto"/>
            </w:rPr>
            <w:t>（三）社会效益分析</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_Toc174657280 \h</w:instrText>
          </w:r>
          <w:r>
            <w:rPr>
              <w:rFonts w:hint="eastAsia"/>
              <w:color w:val="auto"/>
            </w:rPr>
            <w:instrText xml:space="preserve"> </w:instrText>
          </w:r>
          <w:r>
            <w:rPr>
              <w:color w:val="auto"/>
            </w:rPr>
            <w:fldChar w:fldCharType="separate"/>
          </w:r>
          <w:r>
            <w:rPr>
              <w:color w:val="auto"/>
            </w:rPr>
            <w:t>19</w:t>
          </w:r>
          <w:r>
            <w:rPr>
              <w:rFonts w:hint="eastAsia"/>
              <w:color w:val="auto"/>
            </w:rPr>
            <w:fldChar w:fldCharType="end"/>
          </w:r>
          <w:r>
            <w:rPr>
              <w:rFonts w:hint="eastAsia"/>
              <w:color w:val="auto"/>
            </w:rPr>
            <w:fldChar w:fldCharType="end"/>
          </w:r>
        </w:p>
        <w:p w14:paraId="05C398B8">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"_Toc174657281" </w:instrText>
          </w:r>
          <w:r>
            <w:rPr>
              <w:color w:val="auto"/>
            </w:rPr>
            <w:fldChar w:fldCharType="separate"/>
          </w:r>
          <w:r>
            <w:rPr>
              <w:rStyle w:val="22"/>
              <w:rFonts w:hint="eastAsia" w:ascii="黑体" w:hAnsi="黑体" w:eastAsia="黑体" w:cs="黑体"/>
              <w:color w:val="auto"/>
            </w:rPr>
            <w:t>三、项目投资估算、资金筹措方案及使用计划</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_Toc174657281 \h</w:instrText>
          </w:r>
          <w:r>
            <w:rPr>
              <w:rFonts w:hint="eastAsia"/>
              <w:color w:val="auto"/>
            </w:rPr>
            <w:instrText xml:space="preserve"> </w:instrText>
          </w:r>
          <w:r>
            <w:rPr>
              <w:color w:val="auto"/>
            </w:rPr>
            <w:fldChar w:fldCharType="separate"/>
          </w:r>
          <w:r>
            <w:rPr>
              <w:color w:val="auto"/>
            </w:rPr>
            <w:t>21</w:t>
          </w:r>
          <w:r>
            <w:rPr>
              <w:rFonts w:hint="eastAsia"/>
              <w:color w:val="auto"/>
            </w:rPr>
            <w:fldChar w:fldCharType="end"/>
          </w:r>
          <w:r>
            <w:rPr>
              <w:rFonts w:hint="eastAsia"/>
              <w:color w:val="auto"/>
            </w:rPr>
            <w:fldChar w:fldCharType="end"/>
          </w:r>
        </w:p>
        <w:p w14:paraId="3BC680B8">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"_Toc174657282" </w:instrText>
          </w:r>
          <w:r>
            <w:rPr>
              <w:color w:val="auto"/>
            </w:rPr>
            <w:fldChar w:fldCharType="separate"/>
          </w:r>
          <w:r>
            <w:rPr>
              <w:rStyle w:val="22"/>
              <w:rFonts w:hint="eastAsia" w:ascii="仿宋_GB2312" w:hAnsi="仿宋_GB2312" w:eastAsia="仿宋_GB2312" w:cs="仿宋_GB2312"/>
              <w:color w:val="auto"/>
            </w:rPr>
            <w:t>（一）投资估算</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_Toc174657282 \h</w:instrText>
          </w:r>
          <w:r>
            <w:rPr>
              <w:rFonts w:hint="eastAsia"/>
              <w:color w:val="auto"/>
            </w:rPr>
            <w:instrText xml:space="preserve"> </w:instrText>
          </w:r>
          <w:r>
            <w:rPr>
              <w:color w:val="auto"/>
            </w:rPr>
            <w:fldChar w:fldCharType="separate"/>
          </w:r>
          <w:r>
            <w:rPr>
              <w:color w:val="auto"/>
            </w:rPr>
            <w:t>21</w:t>
          </w:r>
          <w:r>
            <w:rPr>
              <w:rFonts w:hint="eastAsia"/>
              <w:color w:val="auto"/>
            </w:rPr>
            <w:fldChar w:fldCharType="end"/>
          </w:r>
          <w:r>
            <w:rPr>
              <w:rFonts w:hint="eastAsia"/>
              <w:color w:val="auto"/>
            </w:rPr>
            <w:fldChar w:fldCharType="end"/>
          </w:r>
        </w:p>
        <w:p w14:paraId="4944DD52">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"_Toc174657283" </w:instrText>
          </w:r>
          <w:r>
            <w:rPr>
              <w:color w:val="auto"/>
            </w:rPr>
            <w:fldChar w:fldCharType="separate"/>
          </w:r>
          <w:r>
            <w:rPr>
              <w:rStyle w:val="22"/>
              <w:rFonts w:hint="eastAsia" w:ascii="仿宋_GB2312" w:hAnsi="仿宋_GB2312" w:eastAsia="仿宋_GB2312" w:cs="仿宋_GB2312"/>
              <w:color w:val="auto"/>
            </w:rPr>
            <w:t>（二）筹措方案</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_Toc174657283 \h</w:instrText>
          </w:r>
          <w:r>
            <w:rPr>
              <w:rFonts w:hint="eastAsia"/>
              <w:color w:val="auto"/>
            </w:rPr>
            <w:instrText xml:space="preserve"> </w:instrText>
          </w:r>
          <w:r>
            <w:rPr>
              <w:color w:val="auto"/>
            </w:rPr>
            <w:fldChar w:fldCharType="separate"/>
          </w:r>
          <w:r>
            <w:rPr>
              <w:color w:val="auto"/>
            </w:rPr>
            <w:t>22</w:t>
          </w:r>
          <w:r>
            <w:rPr>
              <w:rFonts w:hint="eastAsia"/>
              <w:color w:val="auto"/>
            </w:rPr>
            <w:fldChar w:fldCharType="end"/>
          </w:r>
          <w:r>
            <w:rPr>
              <w:rFonts w:hint="eastAsia"/>
              <w:color w:val="auto"/>
            </w:rPr>
            <w:fldChar w:fldCharType="end"/>
          </w:r>
        </w:p>
        <w:p w14:paraId="71EB81C1">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"_Toc174657284" </w:instrText>
          </w:r>
          <w:r>
            <w:rPr>
              <w:color w:val="auto"/>
            </w:rPr>
            <w:fldChar w:fldCharType="separate"/>
          </w:r>
          <w:r>
            <w:rPr>
              <w:rStyle w:val="22"/>
              <w:rFonts w:hint="eastAsia" w:ascii="仿宋_GB2312" w:hAnsi="仿宋_GB2312" w:eastAsia="仿宋_GB2312" w:cs="仿宋_GB2312"/>
              <w:color w:val="auto"/>
            </w:rPr>
            <w:t>（三）项目实施安排</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_Toc174657284 \h</w:instrText>
          </w:r>
          <w:r>
            <w:rPr>
              <w:rFonts w:hint="eastAsia"/>
              <w:color w:val="auto"/>
            </w:rPr>
            <w:instrText xml:space="preserve"> </w:instrText>
          </w:r>
          <w:r>
            <w:rPr>
              <w:color w:val="auto"/>
            </w:rPr>
            <w:fldChar w:fldCharType="separate"/>
          </w:r>
          <w:r>
            <w:rPr>
              <w:color w:val="auto"/>
            </w:rPr>
            <w:t>24</w:t>
          </w:r>
          <w:r>
            <w:rPr>
              <w:rFonts w:hint="eastAsia"/>
              <w:color w:val="auto"/>
            </w:rPr>
            <w:fldChar w:fldCharType="end"/>
          </w:r>
          <w:r>
            <w:rPr>
              <w:rFonts w:hint="eastAsia"/>
              <w:color w:val="auto"/>
            </w:rPr>
            <w:fldChar w:fldCharType="end"/>
          </w:r>
        </w:p>
        <w:p w14:paraId="72DDC9B0">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"_Toc174657285" </w:instrText>
          </w:r>
          <w:r>
            <w:rPr>
              <w:color w:val="auto"/>
            </w:rPr>
            <w:fldChar w:fldCharType="separate"/>
          </w:r>
          <w:r>
            <w:rPr>
              <w:rStyle w:val="22"/>
              <w:rFonts w:hint="eastAsia" w:ascii="仿宋_GB2312" w:hAnsi="仿宋_GB2312" w:eastAsia="仿宋_GB2312" w:cs="仿宋_GB2312"/>
              <w:color w:val="auto"/>
            </w:rPr>
            <w:t>（四）债券资金用途</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_Toc174657285 \h</w:instrText>
          </w:r>
          <w:r>
            <w:rPr>
              <w:rFonts w:hint="eastAsia"/>
              <w:color w:val="auto"/>
            </w:rPr>
            <w:instrText xml:space="preserve"> </w:instrText>
          </w:r>
          <w:r>
            <w:rPr>
              <w:color w:val="auto"/>
            </w:rPr>
            <w:fldChar w:fldCharType="separate"/>
          </w:r>
          <w:r>
            <w:rPr>
              <w:color w:val="auto"/>
            </w:rPr>
            <w:t>24</w:t>
          </w:r>
          <w:r>
            <w:rPr>
              <w:rFonts w:hint="eastAsia"/>
              <w:color w:val="auto"/>
            </w:rPr>
            <w:fldChar w:fldCharType="end"/>
          </w:r>
          <w:r>
            <w:rPr>
              <w:rFonts w:hint="eastAsia"/>
              <w:color w:val="auto"/>
            </w:rPr>
            <w:fldChar w:fldCharType="end"/>
          </w:r>
        </w:p>
        <w:p w14:paraId="418F5974">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"_Toc174657286" </w:instrText>
          </w:r>
          <w:r>
            <w:rPr>
              <w:color w:val="auto"/>
            </w:rPr>
            <w:fldChar w:fldCharType="separate"/>
          </w:r>
          <w:r>
            <w:rPr>
              <w:rStyle w:val="22"/>
              <w:rFonts w:hint="eastAsia" w:ascii="黑体" w:hAnsi="黑体" w:eastAsia="黑体" w:cs="黑体"/>
              <w:color w:val="auto"/>
            </w:rPr>
            <w:t>四、项目收益与融资平衡情况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_Toc174657286 \h</w:instrText>
          </w:r>
          <w:r>
            <w:rPr>
              <w:rFonts w:hint="eastAsia"/>
              <w:color w:val="auto"/>
            </w:rPr>
            <w:instrText xml:space="preserve"> </w:instrText>
          </w:r>
          <w:r>
            <w:rPr>
              <w:color w:val="auto"/>
            </w:rPr>
            <w:fldChar w:fldCharType="separate"/>
          </w:r>
          <w:r>
            <w:rPr>
              <w:color w:val="auto"/>
            </w:rPr>
            <w:t>26</w:t>
          </w:r>
          <w:r>
            <w:rPr>
              <w:rFonts w:hint="eastAsia"/>
              <w:color w:val="auto"/>
            </w:rPr>
            <w:fldChar w:fldCharType="end"/>
          </w:r>
          <w:r>
            <w:rPr>
              <w:rFonts w:hint="eastAsia"/>
              <w:color w:val="auto"/>
            </w:rPr>
            <w:fldChar w:fldCharType="end"/>
          </w:r>
        </w:p>
        <w:p w14:paraId="33677C00">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"_Toc174657287" </w:instrText>
          </w:r>
          <w:r>
            <w:rPr>
              <w:color w:val="auto"/>
            </w:rPr>
            <w:fldChar w:fldCharType="separate"/>
          </w:r>
          <w:r>
            <w:rPr>
              <w:rStyle w:val="22"/>
              <w:rFonts w:hint="eastAsia" w:ascii="仿宋_GB2312" w:hAnsi="仿宋_GB2312" w:eastAsia="仿宋_GB2312" w:cs="仿宋_GB2312"/>
              <w:color w:val="auto"/>
            </w:rPr>
            <w:t>（一）项目预期成本收益</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_Toc174657287 \h</w:instrText>
          </w:r>
          <w:r>
            <w:rPr>
              <w:rFonts w:hint="eastAsia"/>
              <w:color w:val="auto"/>
            </w:rPr>
            <w:instrText xml:space="preserve"> </w:instrText>
          </w:r>
          <w:r>
            <w:rPr>
              <w:color w:val="auto"/>
            </w:rPr>
            <w:fldChar w:fldCharType="separate"/>
          </w:r>
          <w:r>
            <w:rPr>
              <w:color w:val="auto"/>
            </w:rPr>
            <w:t>26</w:t>
          </w:r>
          <w:r>
            <w:rPr>
              <w:rFonts w:hint="eastAsia"/>
              <w:color w:val="auto"/>
            </w:rPr>
            <w:fldChar w:fldCharType="end"/>
          </w:r>
          <w:r>
            <w:rPr>
              <w:rFonts w:hint="eastAsia"/>
              <w:color w:val="auto"/>
            </w:rPr>
            <w:fldChar w:fldCharType="end"/>
          </w:r>
        </w:p>
        <w:p w14:paraId="240CE312">
          <w:pPr>
            <w:pStyle w:val="10"/>
            <w:tabs>
              <w:tab w:val="right" w:leader="dot" w:pos="8960"/>
            </w:tabs>
            <w:ind w:left="112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"_Toc174657288" </w:instrText>
          </w:r>
          <w:r>
            <w:rPr>
              <w:color w:val="auto"/>
            </w:rPr>
            <w:fldChar w:fldCharType="separate"/>
          </w:r>
          <w:r>
            <w:rPr>
              <w:rStyle w:val="22"/>
              <w:rFonts w:hint="eastAsia" w:ascii="仿宋_GB2312" w:hAnsi="仿宋_GB2312" w:eastAsia="仿宋_GB2312" w:cs="仿宋_GB2312"/>
              <w:b/>
              <w:bCs/>
              <w:color w:val="auto"/>
            </w:rPr>
            <w:t>1.项目收入测算</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_Toc174657288 \h</w:instrText>
          </w:r>
          <w:r>
            <w:rPr>
              <w:rFonts w:hint="eastAsia"/>
              <w:color w:val="auto"/>
            </w:rPr>
            <w:instrText xml:space="preserve"> </w:instrText>
          </w:r>
          <w:r>
            <w:rPr>
              <w:color w:val="auto"/>
            </w:rPr>
            <w:fldChar w:fldCharType="separate"/>
          </w:r>
          <w:r>
            <w:rPr>
              <w:color w:val="auto"/>
            </w:rPr>
            <w:t>26</w:t>
          </w:r>
          <w:r>
            <w:rPr>
              <w:rFonts w:hint="eastAsia"/>
              <w:color w:val="auto"/>
            </w:rPr>
            <w:fldChar w:fldCharType="end"/>
          </w:r>
          <w:r>
            <w:rPr>
              <w:rFonts w:hint="eastAsia"/>
              <w:color w:val="auto"/>
            </w:rPr>
            <w:fldChar w:fldCharType="end"/>
          </w:r>
        </w:p>
        <w:p w14:paraId="1D6FDF91">
          <w:pPr>
            <w:pStyle w:val="10"/>
            <w:tabs>
              <w:tab w:val="right" w:leader="dot" w:pos="8960"/>
            </w:tabs>
            <w:ind w:left="112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"_Toc174657289" </w:instrText>
          </w:r>
          <w:r>
            <w:rPr>
              <w:color w:val="auto"/>
            </w:rPr>
            <w:fldChar w:fldCharType="separate"/>
          </w:r>
          <w:r>
            <w:rPr>
              <w:rStyle w:val="22"/>
              <w:rFonts w:hint="eastAsia" w:ascii="仿宋_GB2312" w:hAnsi="仿宋_GB2312" w:eastAsia="仿宋_GB2312" w:cs="仿宋_GB2312"/>
              <w:b/>
              <w:bCs/>
              <w:color w:val="auto"/>
            </w:rPr>
            <w:t>2.项目成本及相关税费</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_Toc174657289 \h</w:instrText>
          </w:r>
          <w:r>
            <w:rPr>
              <w:rFonts w:hint="eastAsia"/>
              <w:color w:val="auto"/>
            </w:rPr>
            <w:instrText xml:space="preserve"> </w:instrText>
          </w:r>
          <w:r>
            <w:rPr>
              <w:color w:val="auto"/>
            </w:rPr>
            <w:fldChar w:fldCharType="separate"/>
          </w:r>
          <w:r>
            <w:rPr>
              <w:color w:val="auto"/>
            </w:rPr>
            <w:t>37</w:t>
          </w:r>
          <w:r>
            <w:rPr>
              <w:rFonts w:hint="eastAsia"/>
              <w:color w:val="auto"/>
            </w:rPr>
            <w:fldChar w:fldCharType="end"/>
          </w:r>
          <w:r>
            <w:rPr>
              <w:rFonts w:hint="eastAsia"/>
              <w:color w:val="auto"/>
            </w:rPr>
            <w:fldChar w:fldCharType="end"/>
          </w:r>
        </w:p>
        <w:p w14:paraId="67E06FBA">
          <w:pPr>
            <w:pStyle w:val="10"/>
            <w:tabs>
              <w:tab w:val="right" w:leader="dot" w:pos="8960"/>
            </w:tabs>
            <w:ind w:left="112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"_Toc174657290" </w:instrText>
          </w:r>
          <w:r>
            <w:rPr>
              <w:color w:val="auto"/>
            </w:rPr>
            <w:fldChar w:fldCharType="separate"/>
          </w:r>
          <w:r>
            <w:rPr>
              <w:rStyle w:val="22"/>
              <w:rFonts w:hint="eastAsia" w:ascii="仿宋_GB2312" w:hAnsi="仿宋_GB2312" w:eastAsia="仿宋_GB2312" w:cs="仿宋_GB2312"/>
              <w:b/>
              <w:bCs/>
              <w:color w:val="auto"/>
            </w:rPr>
            <w:t>3.项目损益情况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_Toc174657290 \h</w:instrText>
          </w:r>
          <w:r>
            <w:rPr>
              <w:rFonts w:hint="eastAsia"/>
              <w:color w:val="auto"/>
            </w:rPr>
            <w:instrText xml:space="preserve"> </w:instrText>
          </w:r>
          <w:r>
            <w:rPr>
              <w:color w:val="auto"/>
            </w:rPr>
            <w:fldChar w:fldCharType="separate"/>
          </w:r>
          <w:r>
            <w:rPr>
              <w:color w:val="auto"/>
            </w:rPr>
            <w:t>43</w:t>
          </w:r>
          <w:r>
            <w:rPr>
              <w:rFonts w:hint="eastAsia"/>
              <w:color w:val="auto"/>
            </w:rPr>
            <w:fldChar w:fldCharType="end"/>
          </w:r>
          <w:r>
            <w:rPr>
              <w:rFonts w:hint="eastAsia"/>
              <w:color w:val="auto"/>
            </w:rPr>
            <w:fldChar w:fldCharType="end"/>
          </w:r>
        </w:p>
        <w:p w14:paraId="282B194C">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"_Toc174657291" </w:instrText>
          </w:r>
          <w:r>
            <w:rPr>
              <w:color w:val="auto"/>
            </w:rPr>
            <w:fldChar w:fldCharType="separate"/>
          </w:r>
          <w:r>
            <w:rPr>
              <w:rStyle w:val="22"/>
              <w:rFonts w:hint="eastAsia" w:ascii="仿宋_GB2312" w:hAnsi="仿宋_GB2312" w:eastAsia="仿宋_GB2312" w:cs="仿宋_GB2312"/>
              <w:color w:val="auto"/>
            </w:rPr>
            <w:t>（二）融资收益平衡情况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_Toc174657291 \h</w:instrText>
          </w:r>
          <w:r>
            <w:rPr>
              <w:rFonts w:hint="eastAsia"/>
              <w:color w:val="auto"/>
            </w:rPr>
            <w:instrText xml:space="preserve"> </w:instrText>
          </w:r>
          <w:r>
            <w:rPr>
              <w:color w:val="auto"/>
            </w:rPr>
            <w:fldChar w:fldCharType="separate"/>
          </w:r>
          <w:r>
            <w:rPr>
              <w:color w:val="auto"/>
            </w:rPr>
            <w:t>47</w:t>
          </w:r>
          <w:r>
            <w:rPr>
              <w:rFonts w:hint="eastAsia"/>
              <w:color w:val="auto"/>
            </w:rPr>
            <w:fldChar w:fldCharType="end"/>
          </w:r>
          <w:r>
            <w:rPr>
              <w:rFonts w:hint="eastAsia"/>
              <w:color w:val="auto"/>
            </w:rPr>
            <w:fldChar w:fldCharType="end"/>
          </w:r>
        </w:p>
        <w:p w14:paraId="18765393">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"_Toc174657292" </w:instrText>
          </w:r>
          <w:r>
            <w:rPr>
              <w:color w:val="auto"/>
            </w:rPr>
            <w:fldChar w:fldCharType="separate"/>
          </w:r>
          <w:r>
            <w:rPr>
              <w:rStyle w:val="22"/>
              <w:rFonts w:hint="eastAsia" w:ascii="仿宋_GB2312" w:hAnsi="仿宋_GB2312" w:eastAsia="仿宋_GB2312" w:cs="仿宋_GB2312"/>
              <w:color w:val="auto"/>
            </w:rPr>
            <w:t>（三）总体评价</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_Toc174657292 \h</w:instrText>
          </w:r>
          <w:r>
            <w:rPr>
              <w:rFonts w:hint="eastAsia"/>
              <w:color w:val="auto"/>
            </w:rPr>
            <w:instrText xml:space="preserve"> </w:instrText>
          </w:r>
          <w:r>
            <w:rPr>
              <w:color w:val="auto"/>
            </w:rPr>
            <w:fldChar w:fldCharType="separate"/>
          </w:r>
          <w:r>
            <w:rPr>
              <w:color w:val="auto"/>
            </w:rPr>
            <w:t>51</w:t>
          </w:r>
          <w:r>
            <w:rPr>
              <w:rFonts w:hint="eastAsia"/>
              <w:color w:val="auto"/>
            </w:rPr>
            <w:fldChar w:fldCharType="end"/>
          </w:r>
          <w:r>
            <w:rPr>
              <w:rFonts w:hint="eastAsia"/>
              <w:color w:val="auto"/>
            </w:rPr>
            <w:fldChar w:fldCharType="end"/>
          </w:r>
        </w:p>
        <w:p w14:paraId="0E70F583">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"_Toc174657293" </w:instrText>
          </w:r>
          <w:r>
            <w:rPr>
              <w:color w:val="auto"/>
            </w:rPr>
            <w:fldChar w:fldCharType="separate"/>
          </w:r>
          <w:r>
            <w:rPr>
              <w:rStyle w:val="22"/>
              <w:rFonts w:hint="eastAsia" w:ascii="黑体" w:hAnsi="黑体" w:eastAsia="黑体" w:cs="黑体"/>
              <w:color w:val="auto"/>
            </w:rPr>
            <w:t>五、专项债券管理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_Toc174657293 \h</w:instrText>
          </w:r>
          <w:r>
            <w:rPr>
              <w:rFonts w:hint="eastAsia"/>
              <w:color w:val="auto"/>
            </w:rPr>
            <w:instrText xml:space="preserve"> </w:instrText>
          </w:r>
          <w:r>
            <w:rPr>
              <w:color w:val="auto"/>
            </w:rPr>
            <w:fldChar w:fldCharType="separate"/>
          </w:r>
          <w:r>
            <w:rPr>
              <w:color w:val="auto"/>
            </w:rPr>
            <w:t>52</w:t>
          </w:r>
          <w:r>
            <w:rPr>
              <w:rFonts w:hint="eastAsia"/>
              <w:color w:val="auto"/>
            </w:rPr>
            <w:fldChar w:fldCharType="end"/>
          </w:r>
          <w:r>
            <w:rPr>
              <w:rFonts w:hint="eastAsia"/>
              <w:color w:val="auto"/>
            </w:rPr>
            <w:fldChar w:fldCharType="end"/>
          </w:r>
        </w:p>
        <w:p w14:paraId="1E876487">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"_Toc174657294" </w:instrText>
          </w:r>
          <w:r>
            <w:rPr>
              <w:color w:val="auto"/>
            </w:rPr>
            <w:fldChar w:fldCharType="separate"/>
          </w:r>
          <w:r>
            <w:rPr>
              <w:rStyle w:val="22"/>
              <w:rFonts w:hint="eastAsia" w:ascii="仿宋_GB2312" w:hAnsi="仿宋_GB2312" w:eastAsia="仿宋_GB2312" w:cs="仿宋_GB2312"/>
              <w:color w:val="auto"/>
            </w:rPr>
            <w:t>（一）债券资金概况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_Toc174657294 \h</w:instrText>
          </w:r>
          <w:r>
            <w:rPr>
              <w:rFonts w:hint="eastAsia"/>
              <w:color w:val="auto"/>
            </w:rPr>
            <w:instrText xml:space="preserve"> </w:instrText>
          </w:r>
          <w:r>
            <w:rPr>
              <w:color w:val="auto"/>
            </w:rPr>
            <w:fldChar w:fldCharType="separate"/>
          </w:r>
          <w:r>
            <w:rPr>
              <w:color w:val="auto"/>
            </w:rPr>
            <w:t>52</w:t>
          </w:r>
          <w:r>
            <w:rPr>
              <w:rFonts w:hint="eastAsia"/>
              <w:color w:val="auto"/>
            </w:rPr>
            <w:fldChar w:fldCharType="end"/>
          </w:r>
          <w:r>
            <w:rPr>
              <w:rFonts w:hint="eastAsia"/>
              <w:color w:val="auto"/>
            </w:rPr>
            <w:fldChar w:fldCharType="end"/>
          </w:r>
        </w:p>
        <w:p w14:paraId="4B2862E3">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"_Toc174657295" </w:instrText>
          </w:r>
          <w:r>
            <w:rPr>
              <w:color w:val="auto"/>
            </w:rPr>
            <w:fldChar w:fldCharType="separate"/>
          </w:r>
          <w:r>
            <w:rPr>
              <w:rStyle w:val="22"/>
              <w:rFonts w:hint="eastAsia" w:ascii="仿宋_GB2312" w:hAnsi="仿宋_GB2312" w:eastAsia="仿宋_GB2312" w:cs="仿宋_GB2312"/>
              <w:color w:val="auto"/>
            </w:rPr>
            <w:t>（二）债券资金管理</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_Toc174657295 \h</w:instrText>
          </w:r>
          <w:r>
            <w:rPr>
              <w:rFonts w:hint="eastAsia"/>
              <w:color w:val="auto"/>
            </w:rPr>
            <w:instrText xml:space="preserve"> </w:instrText>
          </w:r>
          <w:r>
            <w:rPr>
              <w:color w:val="auto"/>
            </w:rPr>
            <w:fldChar w:fldCharType="separate"/>
          </w:r>
          <w:r>
            <w:rPr>
              <w:color w:val="auto"/>
            </w:rPr>
            <w:t>52</w:t>
          </w:r>
          <w:r>
            <w:rPr>
              <w:rFonts w:hint="eastAsia"/>
              <w:color w:val="auto"/>
            </w:rPr>
            <w:fldChar w:fldCharType="end"/>
          </w:r>
          <w:r>
            <w:rPr>
              <w:rFonts w:hint="eastAsia"/>
              <w:color w:val="auto"/>
            </w:rPr>
            <w:fldChar w:fldCharType="end"/>
          </w:r>
        </w:p>
        <w:p w14:paraId="6766821E">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"_Toc174657296" </w:instrText>
          </w:r>
          <w:r>
            <w:rPr>
              <w:color w:val="auto"/>
            </w:rPr>
            <w:fldChar w:fldCharType="separate"/>
          </w:r>
          <w:r>
            <w:rPr>
              <w:rStyle w:val="22"/>
              <w:rFonts w:hint="eastAsia" w:ascii="仿宋_GB2312" w:hAnsi="仿宋_GB2312" w:eastAsia="仿宋_GB2312" w:cs="仿宋_GB2312"/>
              <w:color w:val="auto"/>
            </w:rPr>
            <w:t>（三）职责分工</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_Toc174657296 \h</w:instrText>
          </w:r>
          <w:r>
            <w:rPr>
              <w:rFonts w:hint="eastAsia"/>
              <w:color w:val="auto"/>
            </w:rPr>
            <w:instrText xml:space="preserve"> </w:instrText>
          </w:r>
          <w:r>
            <w:rPr>
              <w:color w:val="auto"/>
            </w:rPr>
            <w:fldChar w:fldCharType="separate"/>
          </w:r>
          <w:r>
            <w:rPr>
              <w:color w:val="auto"/>
            </w:rPr>
            <w:t>53</w:t>
          </w:r>
          <w:r>
            <w:rPr>
              <w:rFonts w:hint="eastAsia"/>
              <w:color w:val="auto"/>
            </w:rPr>
            <w:fldChar w:fldCharType="end"/>
          </w:r>
          <w:r>
            <w:rPr>
              <w:rFonts w:hint="eastAsia"/>
              <w:color w:val="auto"/>
            </w:rPr>
            <w:fldChar w:fldCharType="end"/>
          </w:r>
        </w:p>
        <w:p w14:paraId="629AA910">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"_Toc174657297" </w:instrText>
          </w:r>
          <w:r>
            <w:rPr>
              <w:color w:val="auto"/>
            </w:rPr>
            <w:fldChar w:fldCharType="separate"/>
          </w:r>
          <w:r>
            <w:rPr>
              <w:rStyle w:val="22"/>
              <w:rFonts w:hint="eastAsia" w:ascii="黑体" w:hAnsi="黑体" w:eastAsia="黑体" w:cs="黑体"/>
              <w:color w:val="auto"/>
            </w:rPr>
            <w:t>六、项目风险控制</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_Toc174657297 \h</w:instrText>
          </w:r>
          <w:r>
            <w:rPr>
              <w:rFonts w:hint="eastAsia"/>
              <w:color w:val="auto"/>
            </w:rPr>
            <w:instrText xml:space="preserve"> </w:instrText>
          </w:r>
          <w:r>
            <w:rPr>
              <w:color w:val="auto"/>
            </w:rPr>
            <w:fldChar w:fldCharType="separate"/>
          </w:r>
          <w:r>
            <w:rPr>
              <w:color w:val="auto"/>
            </w:rPr>
            <w:t>54</w:t>
          </w:r>
          <w:r>
            <w:rPr>
              <w:rFonts w:hint="eastAsia"/>
              <w:color w:val="auto"/>
            </w:rPr>
            <w:fldChar w:fldCharType="end"/>
          </w:r>
          <w:r>
            <w:rPr>
              <w:rFonts w:hint="eastAsia"/>
              <w:color w:val="auto"/>
            </w:rPr>
            <w:fldChar w:fldCharType="end"/>
          </w:r>
        </w:p>
        <w:p w14:paraId="6254C7CB">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"_Toc174657298" </w:instrText>
          </w:r>
          <w:r>
            <w:rPr>
              <w:color w:val="auto"/>
            </w:rPr>
            <w:fldChar w:fldCharType="separate"/>
          </w:r>
          <w:r>
            <w:rPr>
              <w:rStyle w:val="22"/>
              <w:rFonts w:hint="eastAsia" w:ascii="仿宋_GB2312" w:hAnsi="仿宋_GB2312" w:eastAsia="仿宋_GB2312" w:cs="仿宋_GB2312"/>
              <w:color w:val="auto"/>
            </w:rPr>
            <w:t>（一）潜在风险及控制措施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_Toc174657298 \h</w:instrText>
          </w:r>
          <w:r>
            <w:rPr>
              <w:rFonts w:hint="eastAsia"/>
              <w:color w:val="auto"/>
            </w:rPr>
            <w:instrText xml:space="preserve"> </w:instrText>
          </w:r>
          <w:r>
            <w:rPr>
              <w:color w:val="auto"/>
            </w:rPr>
            <w:fldChar w:fldCharType="separate"/>
          </w:r>
          <w:r>
            <w:rPr>
              <w:color w:val="auto"/>
            </w:rPr>
            <w:t>54</w:t>
          </w:r>
          <w:r>
            <w:rPr>
              <w:rFonts w:hint="eastAsia"/>
              <w:color w:val="auto"/>
            </w:rPr>
            <w:fldChar w:fldCharType="end"/>
          </w:r>
          <w:r>
            <w:rPr>
              <w:rFonts w:hint="eastAsia"/>
              <w:color w:val="auto"/>
            </w:rPr>
            <w:fldChar w:fldCharType="end"/>
          </w:r>
        </w:p>
        <w:p w14:paraId="69818FAF">
          <w:pPr>
            <w:pStyle w:val="16"/>
            <w:tabs>
              <w:tab w:val="right" w:leader="dot" w:pos="8960"/>
            </w:tabs>
            <w:ind w:left="560"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"_Toc174657299" </w:instrText>
          </w:r>
          <w:r>
            <w:rPr>
              <w:color w:val="auto"/>
            </w:rPr>
            <w:fldChar w:fldCharType="separate"/>
          </w:r>
          <w:r>
            <w:rPr>
              <w:rStyle w:val="22"/>
              <w:rFonts w:hint="eastAsia" w:ascii="仿宋_GB2312" w:hAnsi="仿宋_GB2312" w:eastAsia="仿宋_GB2312" w:cs="仿宋_GB2312"/>
              <w:color w:val="auto"/>
            </w:rPr>
            <w:t>（二）还款保障措施</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_Toc174657299 \h</w:instrText>
          </w:r>
          <w:r>
            <w:rPr>
              <w:rFonts w:hint="eastAsia"/>
              <w:color w:val="auto"/>
            </w:rPr>
            <w:instrText xml:space="preserve"> </w:instrText>
          </w:r>
          <w:r>
            <w:rPr>
              <w:color w:val="auto"/>
            </w:rPr>
            <w:fldChar w:fldCharType="separate"/>
          </w:r>
          <w:r>
            <w:rPr>
              <w:color w:val="auto"/>
            </w:rPr>
            <w:t>62</w:t>
          </w:r>
          <w:r>
            <w:rPr>
              <w:rFonts w:hint="eastAsia"/>
              <w:color w:val="auto"/>
            </w:rPr>
            <w:fldChar w:fldCharType="end"/>
          </w:r>
          <w:r>
            <w:rPr>
              <w:rFonts w:hint="eastAsia"/>
              <w:color w:val="auto"/>
            </w:rPr>
            <w:fldChar w:fldCharType="end"/>
          </w:r>
        </w:p>
        <w:p w14:paraId="2A721DB8">
          <w:pPr>
            <w:pStyle w:val="15"/>
            <w:tabs>
              <w:tab w:val="right" w:leader="dot" w:pos="8960"/>
            </w:tabs>
            <w:ind w:firstLine="560"/>
            <w:rPr>
              <w:rFonts w:hint="eastAsia" w:asciiTheme="minorHAnsi" w:hAnsiTheme="minorHAnsi" w:eastAsiaTheme="minorEastAsia" w:cstheme="minorBidi"/>
              <w:color w:val="auto"/>
              <w:kern w:val="2"/>
              <w:sz w:val="21"/>
              <w14:ligatures w14:val="standardContextual"/>
            </w:rPr>
          </w:pPr>
          <w:r>
            <w:rPr>
              <w:color w:val="auto"/>
            </w:rPr>
            <w:fldChar w:fldCharType="begin"/>
          </w:r>
          <w:r>
            <w:rPr>
              <w:color w:val="auto"/>
            </w:rPr>
            <w:instrText xml:space="preserve"> HYPERLINK \l "_Toc174657300" </w:instrText>
          </w:r>
          <w:r>
            <w:rPr>
              <w:color w:val="auto"/>
            </w:rPr>
            <w:fldChar w:fldCharType="separate"/>
          </w:r>
          <w:r>
            <w:rPr>
              <w:rStyle w:val="22"/>
              <w:rFonts w:hint="eastAsia" w:ascii="黑体" w:hAnsi="黑体" w:eastAsia="黑体" w:cs="黑体"/>
              <w:color w:val="auto"/>
            </w:rPr>
            <w:t>七、事前绩效评估情况</w:t>
          </w:r>
          <w:r>
            <w:rPr>
              <w:rFonts w:hint="eastAsia"/>
              <w:color w:val="auto"/>
            </w:rPr>
            <w:tab/>
          </w:r>
          <w:r>
            <w:rPr>
              <w:rFonts w:hint="eastAsia"/>
              <w:color w:val="auto"/>
            </w:rPr>
            <w:fldChar w:fldCharType="begin"/>
          </w:r>
          <w:r>
            <w:rPr>
              <w:rFonts w:hint="eastAsia"/>
              <w:color w:val="auto"/>
            </w:rPr>
            <w:instrText xml:space="preserve"> </w:instrText>
          </w:r>
          <w:r>
            <w:rPr>
              <w:color w:val="auto"/>
            </w:rPr>
            <w:instrText xml:space="preserve">PAGEREF _Toc174657300 \h</w:instrText>
          </w:r>
          <w:r>
            <w:rPr>
              <w:rFonts w:hint="eastAsia"/>
              <w:color w:val="auto"/>
            </w:rPr>
            <w:instrText xml:space="preserve"> </w:instrText>
          </w:r>
          <w:r>
            <w:rPr>
              <w:color w:val="auto"/>
            </w:rPr>
            <w:fldChar w:fldCharType="separate"/>
          </w:r>
          <w:r>
            <w:rPr>
              <w:color w:val="auto"/>
            </w:rPr>
            <w:t>62</w:t>
          </w:r>
          <w:r>
            <w:rPr>
              <w:rFonts w:hint="eastAsia"/>
              <w:color w:val="auto"/>
            </w:rPr>
            <w:fldChar w:fldCharType="end"/>
          </w:r>
          <w:r>
            <w:rPr>
              <w:rFonts w:hint="eastAsia"/>
              <w:color w:val="auto"/>
            </w:rPr>
            <w:fldChar w:fldCharType="end"/>
          </w:r>
        </w:p>
        <w:p w14:paraId="3A1E15DE">
          <w:pPr>
            <w:ind w:firstLine="560"/>
            <w:rPr>
              <w:color w:val="auto"/>
            </w:rPr>
          </w:pPr>
          <w:r>
            <w:rPr>
              <w:color w:val="auto"/>
            </w:rPr>
            <w:fldChar w:fldCharType="end"/>
          </w:r>
        </w:p>
      </w:sdtContent>
    </w:sdt>
    <w:p w14:paraId="2F39C076">
      <w:pPr>
        <w:adjustRightInd w:val="0"/>
        <w:snapToGrid w:val="0"/>
        <w:ind w:firstLine="640"/>
        <w:rPr>
          <w:rFonts w:hint="eastAsia" w:ascii="黑体" w:hAnsi="黑体" w:eastAsia="黑体" w:cs="黑体"/>
          <w:color w:val="auto"/>
          <w:sz w:val="32"/>
          <w:szCs w:val="32"/>
        </w:rPr>
      </w:pPr>
    </w:p>
    <w:p w14:paraId="55994E66">
      <w:pPr>
        <w:ind w:firstLine="640"/>
        <w:rPr>
          <w:rFonts w:hint="eastAsia" w:ascii="黑体" w:hAnsi="黑体" w:eastAsia="黑体" w:cs="黑体"/>
          <w:color w:val="auto"/>
          <w:sz w:val="32"/>
          <w:szCs w:val="32"/>
        </w:rPr>
      </w:pPr>
    </w:p>
    <w:p w14:paraId="75618F98">
      <w:pPr>
        <w:pStyle w:val="15"/>
        <w:ind w:firstLine="640"/>
        <w:rPr>
          <w:rFonts w:hint="eastAsia" w:ascii="黑体" w:hAnsi="黑体" w:eastAsia="黑体" w:cs="黑体"/>
          <w:color w:val="auto"/>
          <w:sz w:val="32"/>
          <w:szCs w:val="32"/>
        </w:rPr>
      </w:pPr>
    </w:p>
    <w:p w14:paraId="3ACEB3AE">
      <w:pPr>
        <w:ind w:firstLine="560"/>
        <w:rPr>
          <w:color w:val="auto"/>
        </w:rPr>
      </w:pPr>
    </w:p>
    <w:p w14:paraId="26CFDE9F">
      <w:pPr>
        <w:ind w:firstLine="560"/>
        <w:rPr>
          <w:color w:val="auto"/>
        </w:rPr>
      </w:pPr>
    </w:p>
    <w:p w14:paraId="0F9C4D63">
      <w:pPr>
        <w:ind w:firstLine="640"/>
        <w:rPr>
          <w:rFonts w:hint="eastAsia" w:ascii="黑体" w:hAnsi="黑体" w:eastAsia="黑体" w:cs="黑体"/>
          <w:color w:val="auto"/>
          <w:sz w:val="32"/>
          <w:szCs w:val="32"/>
        </w:rPr>
      </w:pPr>
      <w:r>
        <w:rPr>
          <w:rFonts w:hint="eastAsia" w:ascii="黑体" w:hAnsi="黑体" w:eastAsia="黑体" w:cs="黑体"/>
          <w:color w:val="auto"/>
          <w:sz w:val="32"/>
          <w:szCs w:val="32"/>
        </w:rPr>
        <w:br w:type="page"/>
      </w:r>
    </w:p>
    <w:p w14:paraId="071D4CF3">
      <w:pPr>
        <w:pStyle w:val="4"/>
        <w:adjustRightInd w:val="0"/>
        <w:snapToGrid w:val="0"/>
        <w:spacing w:before="156" w:beforeLines="50"/>
        <w:ind w:firstLine="640"/>
        <w:rPr>
          <w:rFonts w:hint="eastAsia" w:ascii="黑体" w:hAnsi="黑体" w:eastAsia="黑体" w:cs="黑体"/>
          <w:color w:val="auto"/>
          <w:kern w:val="0"/>
          <w:sz w:val="32"/>
          <w:szCs w:val="32"/>
        </w:rPr>
      </w:pPr>
      <w:bookmarkStart w:id="2" w:name="_Toc174657271"/>
      <w:r>
        <w:rPr>
          <w:rFonts w:hint="eastAsia" w:ascii="黑体" w:hAnsi="黑体" w:eastAsia="黑体" w:cs="黑体"/>
          <w:color w:val="auto"/>
          <w:kern w:val="0"/>
          <w:sz w:val="32"/>
          <w:szCs w:val="32"/>
        </w:rPr>
        <w:t>一、项目基本情况</w:t>
      </w:r>
      <w:bookmarkEnd w:id="2"/>
    </w:p>
    <w:p w14:paraId="0A1DAB98">
      <w:pPr>
        <w:pStyle w:val="5"/>
        <w:spacing w:before="156" w:beforeLines="50" w:after="156" w:afterLines="50"/>
        <w:ind w:firstLine="643"/>
        <w:rPr>
          <w:rFonts w:hint="eastAsia" w:ascii="仿宋_GB2312" w:hAnsi="仿宋_GB2312" w:eastAsia="仿宋_GB2312" w:cs="仿宋_GB2312"/>
          <w:color w:val="auto"/>
          <w:sz w:val="32"/>
        </w:rPr>
      </w:pPr>
      <w:bookmarkStart w:id="3" w:name="_Toc15306"/>
      <w:bookmarkStart w:id="4" w:name="_Toc10133"/>
      <w:bookmarkStart w:id="5" w:name="_Toc174657272"/>
      <w:bookmarkStart w:id="6" w:name="_Toc4459"/>
      <w:bookmarkStart w:id="7" w:name="_Toc4999"/>
      <w:r>
        <w:rPr>
          <w:rFonts w:hint="eastAsia" w:ascii="仿宋_GB2312" w:hAnsi="仿宋_GB2312" w:eastAsia="仿宋_GB2312" w:cs="仿宋_GB2312"/>
          <w:color w:val="auto"/>
          <w:sz w:val="32"/>
        </w:rPr>
        <w:t>（一）项目所处区域财政经济情况</w:t>
      </w:r>
      <w:bookmarkEnd w:id="3"/>
      <w:bookmarkEnd w:id="4"/>
      <w:bookmarkEnd w:id="5"/>
      <w:bookmarkEnd w:id="6"/>
      <w:bookmarkEnd w:id="7"/>
    </w:p>
    <w:p w14:paraId="69DE829C">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花都区位于广州市北缘，全区总面积970.04平方千米，东接广州市从化区，南与广州白云区相接，西连佛山市三水区和南海区，北邻清远市。花都区下辖新华、新雅、秀全、花城4个街道办事处和花山、花东、赤坭、炭步、狮岭、梯面6个镇。</w:t>
      </w:r>
    </w:p>
    <w:p w14:paraId="18459362">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2023年花都区实现生产总值1801.51亿元，同比增长2.1%。全年一般公共预算收入88.48亿元，同比增长16.8%。</w:t>
      </w:r>
    </w:p>
    <w:p w14:paraId="4033E1FB">
      <w:pPr>
        <w:pStyle w:val="8"/>
        <w:jc w:val="center"/>
        <w:rPr>
          <w:rFonts w:hint="eastAsia" w:ascii="仿宋_GB2312" w:hAnsi="仿宋_GB2312" w:eastAsia="仿宋_GB2312" w:cs="仿宋_GB2312"/>
          <w:color w:val="auto"/>
          <w:sz w:val="32"/>
          <w:szCs w:val="32"/>
        </w:rPr>
      </w:pPr>
      <w:r>
        <w:rPr>
          <w:rFonts w:hint="eastAsia" w:ascii="仿宋_GB2312" w:hAnsi="宋体" w:eastAsia="仿宋_GB2312"/>
          <w:color w:val="auto"/>
          <w:sz w:val="32"/>
          <w:szCs w:val="32"/>
        </w:rPr>
        <w:t>表</w:t>
      </w:r>
      <w:r>
        <w:rPr>
          <w:rFonts w:hint="eastAsia" w:ascii="仿宋_GB2312" w:hAnsi="宋体" w:eastAsia="仿宋_GB2312"/>
          <w:color w:val="auto"/>
          <w:sz w:val="32"/>
          <w:szCs w:val="32"/>
        </w:rPr>
        <w:fldChar w:fldCharType="begin"/>
      </w:r>
      <w:r>
        <w:rPr>
          <w:rFonts w:hint="eastAsia" w:ascii="仿宋_GB2312" w:hAnsi="宋体" w:eastAsia="仿宋_GB2312"/>
          <w:color w:val="auto"/>
          <w:sz w:val="32"/>
          <w:szCs w:val="32"/>
        </w:rPr>
        <w:instrText xml:space="preserve"> SEQ 表格 \* ARABIC </w:instrText>
      </w:r>
      <w:r>
        <w:rPr>
          <w:rFonts w:hint="eastAsia" w:ascii="仿宋_GB2312" w:hAnsi="宋体" w:eastAsia="仿宋_GB2312"/>
          <w:color w:val="auto"/>
          <w:sz w:val="32"/>
          <w:szCs w:val="32"/>
        </w:rPr>
        <w:fldChar w:fldCharType="separate"/>
      </w:r>
      <w:r>
        <w:rPr>
          <w:rFonts w:hint="eastAsia" w:ascii="仿宋_GB2312" w:hAnsi="宋体" w:eastAsia="仿宋_GB2312"/>
          <w:color w:val="auto"/>
          <w:sz w:val="32"/>
          <w:szCs w:val="32"/>
        </w:rPr>
        <w:t>1</w:t>
      </w:r>
      <w:r>
        <w:rPr>
          <w:rFonts w:hint="eastAsia" w:ascii="仿宋_GB2312" w:hAnsi="宋体" w:eastAsia="仿宋_GB2312"/>
          <w:color w:val="auto"/>
          <w:sz w:val="32"/>
          <w:szCs w:val="32"/>
        </w:rPr>
        <w:fldChar w:fldCharType="end"/>
      </w:r>
      <w:r>
        <w:rPr>
          <w:rFonts w:hint="eastAsia" w:ascii="仿宋_GB2312" w:hAnsi="仿宋_GB2312" w:eastAsia="仿宋_GB2312" w:cs="仿宋_GB2312"/>
          <w:color w:val="auto"/>
          <w:kern w:val="0"/>
          <w:sz w:val="32"/>
          <w:szCs w:val="32"/>
        </w:rPr>
        <w:t xml:space="preserve"> </w:t>
      </w:r>
      <w:r>
        <w:rPr>
          <w:rFonts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近三年广州市花都区财政经济数据</w:t>
      </w:r>
    </w:p>
    <w:tbl>
      <w:tblPr>
        <w:tblStyle w:val="19"/>
        <w:tblW w:w="8790" w:type="dxa"/>
        <w:jc w:val="center"/>
        <w:tblLayout w:type="autofit"/>
        <w:tblCellMar>
          <w:top w:w="0" w:type="dxa"/>
          <w:left w:w="108" w:type="dxa"/>
          <w:bottom w:w="0" w:type="dxa"/>
          <w:right w:w="108" w:type="dxa"/>
        </w:tblCellMar>
      </w:tblPr>
      <w:tblGrid>
        <w:gridCol w:w="3654"/>
        <w:gridCol w:w="1712"/>
        <w:gridCol w:w="1712"/>
        <w:gridCol w:w="1712"/>
      </w:tblGrid>
      <w:tr w14:paraId="7ABA18AC">
        <w:tblPrEx>
          <w:tblCellMar>
            <w:top w:w="0" w:type="dxa"/>
            <w:left w:w="108" w:type="dxa"/>
            <w:bottom w:w="0" w:type="dxa"/>
            <w:right w:w="108" w:type="dxa"/>
          </w:tblCellMar>
        </w:tblPrEx>
        <w:trPr>
          <w:trHeight w:val="300" w:hRule="atLeast"/>
          <w:jc w:val="center"/>
        </w:trPr>
        <w:tc>
          <w:tcPr>
            <w:tcW w:w="3654" w:type="dxa"/>
            <w:tcBorders>
              <w:top w:val="single" w:color="auto" w:sz="4" w:space="0"/>
              <w:left w:val="single" w:color="auto" w:sz="4" w:space="0"/>
              <w:bottom w:val="single" w:color="auto" w:sz="4" w:space="0"/>
              <w:right w:val="single" w:color="auto" w:sz="4" w:space="0"/>
            </w:tcBorders>
            <w:shd w:val="clear" w:color="auto" w:fill="auto"/>
            <w:vAlign w:val="center"/>
          </w:tcPr>
          <w:p w14:paraId="217129AF">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项目</w:t>
            </w:r>
          </w:p>
        </w:tc>
        <w:tc>
          <w:tcPr>
            <w:tcW w:w="1712" w:type="dxa"/>
            <w:tcBorders>
              <w:top w:val="single" w:color="auto" w:sz="4" w:space="0"/>
              <w:left w:val="nil"/>
              <w:bottom w:val="single" w:color="auto" w:sz="4" w:space="0"/>
              <w:right w:val="single" w:color="auto" w:sz="4" w:space="0"/>
            </w:tcBorders>
            <w:shd w:val="clear" w:color="auto" w:fill="auto"/>
            <w:vAlign w:val="center"/>
          </w:tcPr>
          <w:p w14:paraId="0D58EDB4">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2021年</w:t>
            </w:r>
          </w:p>
        </w:tc>
        <w:tc>
          <w:tcPr>
            <w:tcW w:w="1712" w:type="dxa"/>
            <w:tcBorders>
              <w:top w:val="single" w:color="auto" w:sz="4" w:space="0"/>
              <w:left w:val="nil"/>
              <w:bottom w:val="single" w:color="auto" w:sz="4" w:space="0"/>
              <w:right w:val="single" w:color="auto" w:sz="4" w:space="0"/>
            </w:tcBorders>
            <w:shd w:val="clear" w:color="auto" w:fill="auto"/>
            <w:vAlign w:val="center"/>
          </w:tcPr>
          <w:p w14:paraId="27A3BEAD">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2022年</w:t>
            </w:r>
          </w:p>
        </w:tc>
        <w:tc>
          <w:tcPr>
            <w:tcW w:w="1712" w:type="dxa"/>
            <w:tcBorders>
              <w:top w:val="single" w:color="auto" w:sz="4" w:space="0"/>
              <w:left w:val="nil"/>
              <w:bottom w:val="single" w:color="auto" w:sz="4" w:space="0"/>
              <w:right w:val="single" w:color="auto" w:sz="4" w:space="0"/>
            </w:tcBorders>
            <w:shd w:val="clear" w:color="auto" w:fill="auto"/>
            <w:vAlign w:val="center"/>
          </w:tcPr>
          <w:p w14:paraId="4FD6B3B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202</w:t>
            </w:r>
            <w:r>
              <w:rPr>
                <w:rFonts w:hint="eastAsia" w:ascii="Times New Roman" w:hAnsi="Times New Roman" w:eastAsia="宋体" w:cs="Times New Roman"/>
                <w:color w:val="auto"/>
                <w:sz w:val="18"/>
                <w:szCs w:val="18"/>
              </w:rPr>
              <w:t>3</w:t>
            </w:r>
            <w:r>
              <w:rPr>
                <w:rFonts w:ascii="Times New Roman" w:hAnsi="Times New Roman" w:eastAsia="宋体" w:cs="Times New Roman"/>
                <w:color w:val="auto"/>
                <w:sz w:val="18"/>
                <w:szCs w:val="18"/>
              </w:rPr>
              <w:t>年</w:t>
            </w:r>
          </w:p>
        </w:tc>
      </w:tr>
      <w:tr w14:paraId="7B8E11FF">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5051757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地区生产总值（亿元）</w:t>
            </w:r>
          </w:p>
        </w:tc>
        <w:tc>
          <w:tcPr>
            <w:tcW w:w="1712" w:type="dxa"/>
            <w:tcBorders>
              <w:top w:val="nil"/>
              <w:left w:val="nil"/>
              <w:bottom w:val="single" w:color="auto" w:sz="4" w:space="0"/>
              <w:right w:val="single" w:color="auto" w:sz="4" w:space="0"/>
            </w:tcBorders>
            <w:shd w:val="clear" w:color="auto" w:fill="auto"/>
            <w:vAlign w:val="center"/>
          </w:tcPr>
          <w:p w14:paraId="60146784">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1800.41</w:t>
            </w:r>
          </w:p>
        </w:tc>
        <w:tc>
          <w:tcPr>
            <w:tcW w:w="1712" w:type="dxa"/>
            <w:tcBorders>
              <w:top w:val="nil"/>
              <w:left w:val="nil"/>
              <w:bottom w:val="single" w:color="auto" w:sz="4" w:space="0"/>
              <w:right w:val="single" w:color="auto" w:sz="4" w:space="0"/>
            </w:tcBorders>
            <w:shd w:val="clear" w:color="auto" w:fill="auto"/>
            <w:vAlign w:val="center"/>
          </w:tcPr>
          <w:p w14:paraId="09D41483">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1770.81</w:t>
            </w:r>
          </w:p>
        </w:tc>
        <w:tc>
          <w:tcPr>
            <w:tcW w:w="1712" w:type="dxa"/>
            <w:tcBorders>
              <w:top w:val="nil"/>
              <w:left w:val="nil"/>
              <w:bottom w:val="single" w:color="auto" w:sz="4" w:space="0"/>
              <w:right w:val="single" w:color="auto" w:sz="4" w:space="0"/>
            </w:tcBorders>
            <w:shd w:val="clear" w:color="auto" w:fill="auto"/>
            <w:vAlign w:val="center"/>
          </w:tcPr>
          <w:p w14:paraId="2823AC19">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1801.51</w:t>
            </w:r>
          </w:p>
        </w:tc>
      </w:tr>
      <w:tr w14:paraId="3762C257">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14555874">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一般预算收入（亿元）</w:t>
            </w:r>
          </w:p>
        </w:tc>
        <w:tc>
          <w:tcPr>
            <w:tcW w:w="1712" w:type="dxa"/>
            <w:tcBorders>
              <w:top w:val="nil"/>
              <w:left w:val="nil"/>
              <w:bottom w:val="single" w:color="auto" w:sz="4" w:space="0"/>
              <w:right w:val="single" w:color="auto" w:sz="4" w:space="0"/>
            </w:tcBorders>
            <w:shd w:val="clear" w:color="auto" w:fill="auto"/>
            <w:vAlign w:val="center"/>
          </w:tcPr>
          <w:p w14:paraId="292F1483">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86.27</w:t>
            </w:r>
          </w:p>
        </w:tc>
        <w:tc>
          <w:tcPr>
            <w:tcW w:w="1712" w:type="dxa"/>
            <w:tcBorders>
              <w:top w:val="nil"/>
              <w:left w:val="nil"/>
              <w:bottom w:val="single" w:color="auto" w:sz="4" w:space="0"/>
              <w:right w:val="single" w:color="auto" w:sz="4" w:space="0"/>
            </w:tcBorders>
            <w:shd w:val="clear" w:color="auto" w:fill="auto"/>
            <w:vAlign w:val="center"/>
          </w:tcPr>
          <w:p w14:paraId="0E32AC2D">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75.78</w:t>
            </w:r>
          </w:p>
        </w:tc>
        <w:tc>
          <w:tcPr>
            <w:tcW w:w="1712" w:type="dxa"/>
            <w:tcBorders>
              <w:top w:val="nil"/>
              <w:left w:val="nil"/>
              <w:bottom w:val="single" w:color="auto" w:sz="4" w:space="0"/>
              <w:right w:val="single" w:color="auto" w:sz="4" w:space="0"/>
            </w:tcBorders>
            <w:shd w:val="clear" w:color="auto" w:fill="auto"/>
            <w:vAlign w:val="center"/>
          </w:tcPr>
          <w:p w14:paraId="4903F1DF">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88.48</w:t>
            </w:r>
          </w:p>
        </w:tc>
      </w:tr>
      <w:tr w14:paraId="27731A10">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62C664A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政府性基金收入（亿元）</w:t>
            </w:r>
          </w:p>
        </w:tc>
        <w:tc>
          <w:tcPr>
            <w:tcW w:w="1712" w:type="dxa"/>
            <w:tcBorders>
              <w:top w:val="nil"/>
              <w:left w:val="nil"/>
              <w:bottom w:val="single" w:color="auto" w:sz="4" w:space="0"/>
              <w:right w:val="single" w:color="auto" w:sz="4" w:space="0"/>
            </w:tcBorders>
            <w:shd w:val="clear" w:color="auto" w:fill="auto"/>
            <w:vAlign w:val="center"/>
          </w:tcPr>
          <w:p w14:paraId="700FA3AB">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153.68</w:t>
            </w:r>
          </w:p>
        </w:tc>
        <w:tc>
          <w:tcPr>
            <w:tcW w:w="1712" w:type="dxa"/>
            <w:tcBorders>
              <w:top w:val="nil"/>
              <w:left w:val="nil"/>
              <w:bottom w:val="single" w:color="auto" w:sz="4" w:space="0"/>
              <w:right w:val="single" w:color="auto" w:sz="4" w:space="0"/>
            </w:tcBorders>
            <w:shd w:val="clear" w:color="auto" w:fill="auto"/>
            <w:vAlign w:val="center"/>
          </w:tcPr>
          <w:p w14:paraId="2306CAE3">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85.07</w:t>
            </w:r>
          </w:p>
        </w:tc>
        <w:tc>
          <w:tcPr>
            <w:tcW w:w="1712" w:type="dxa"/>
            <w:tcBorders>
              <w:top w:val="nil"/>
              <w:left w:val="nil"/>
              <w:bottom w:val="single" w:color="auto" w:sz="4" w:space="0"/>
              <w:right w:val="single" w:color="auto" w:sz="4" w:space="0"/>
            </w:tcBorders>
            <w:shd w:val="clear" w:color="auto" w:fill="auto"/>
            <w:vAlign w:val="center"/>
          </w:tcPr>
          <w:p w14:paraId="56A2325E">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60.82</w:t>
            </w:r>
          </w:p>
        </w:tc>
      </w:tr>
      <w:tr w14:paraId="195D1323">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05BBB07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其中：国有土地出让收入（亿元）</w:t>
            </w:r>
          </w:p>
        </w:tc>
        <w:tc>
          <w:tcPr>
            <w:tcW w:w="1712" w:type="dxa"/>
            <w:tcBorders>
              <w:top w:val="nil"/>
              <w:left w:val="nil"/>
              <w:bottom w:val="single" w:color="auto" w:sz="4" w:space="0"/>
              <w:right w:val="single" w:color="auto" w:sz="4" w:space="0"/>
            </w:tcBorders>
            <w:shd w:val="clear" w:color="auto" w:fill="auto"/>
            <w:vAlign w:val="center"/>
          </w:tcPr>
          <w:p w14:paraId="0C6D276A">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144.36</w:t>
            </w:r>
          </w:p>
        </w:tc>
        <w:tc>
          <w:tcPr>
            <w:tcW w:w="1712" w:type="dxa"/>
            <w:tcBorders>
              <w:top w:val="nil"/>
              <w:left w:val="nil"/>
              <w:bottom w:val="single" w:color="auto" w:sz="4" w:space="0"/>
              <w:right w:val="single" w:color="auto" w:sz="4" w:space="0"/>
            </w:tcBorders>
            <w:shd w:val="clear" w:color="auto" w:fill="auto"/>
            <w:vAlign w:val="center"/>
          </w:tcPr>
          <w:p w14:paraId="528DB5BE">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77.43</w:t>
            </w:r>
          </w:p>
        </w:tc>
        <w:tc>
          <w:tcPr>
            <w:tcW w:w="1712" w:type="dxa"/>
            <w:tcBorders>
              <w:top w:val="nil"/>
              <w:left w:val="nil"/>
              <w:bottom w:val="single" w:color="auto" w:sz="4" w:space="0"/>
              <w:right w:val="single" w:color="auto" w:sz="4" w:space="0"/>
            </w:tcBorders>
            <w:shd w:val="clear" w:color="auto" w:fill="auto"/>
            <w:vAlign w:val="center"/>
          </w:tcPr>
          <w:p w14:paraId="2182289F">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53.28</w:t>
            </w:r>
          </w:p>
        </w:tc>
      </w:tr>
      <w:tr w14:paraId="3CEF739D">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22B3E21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政府性基金支出（亿元）</w:t>
            </w:r>
          </w:p>
        </w:tc>
        <w:tc>
          <w:tcPr>
            <w:tcW w:w="1712" w:type="dxa"/>
            <w:tcBorders>
              <w:top w:val="nil"/>
              <w:left w:val="nil"/>
              <w:bottom w:val="single" w:color="auto" w:sz="4" w:space="0"/>
              <w:right w:val="single" w:color="auto" w:sz="4" w:space="0"/>
            </w:tcBorders>
            <w:shd w:val="clear" w:color="auto" w:fill="auto"/>
            <w:vAlign w:val="center"/>
          </w:tcPr>
          <w:p w14:paraId="69F60F15">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94.12</w:t>
            </w:r>
          </w:p>
        </w:tc>
        <w:tc>
          <w:tcPr>
            <w:tcW w:w="1712" w:type="dxa"/>
            <w:tcBorders>
              <w:top w:val="nil"/>
              <w:left w:val="nil"/>
              <w:bottom w:val="single" w:color="auto" w:sz="4" w:space="0"/>
              <w:right w:val="single" w:color="auto" w:sz="4" w:space="0"/>
            </w:tcBorders>
            <w:shd w:val="clear" w:color="auto" w:fill="auto"/>
            <w:vAlign w:val="center"/>
          </w:tcPr>
          <w:p w14:paraId="1FAD7A56">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66.48</w:t>
            </w:r>
          </w:p>
        </w:tc>
        <w:tc>
          <w:tcPr>
            <w:tcW w:w="1712" w:type="dxa"/>
            <w:tcBorders>
              <w:top w:val="nil"/>
              <w:left w:val="nil"/>
              <w:bottom w:val="single" w:color="auto" w:sz="4" w:space="0"/>
              <w:right w:val="single" w:color="auto" w:sz="4" w:space="0"/>
            </w:tcBorders>
            <w:shd w:val="clear" w:color="auto" w:fill="auto"/>
            <w:vAlign w:val="center"/>
          </w:tcPr>
          <w:p w14:paraId="5D3B09AF">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60.79</w:t>
            </w:r>
          </w:p>
        </w:tc>
      </w:tr>
      <w:tr w14:paraId="36EB862D">
        <w:tblPrEx>
          <w:tblCellMar>
            <w:top w:w="0" w:type="dxa"/>
            <w:left w:w="108" w:type="dxa"/>
            <w:bottom w:w="0" w:type="dxa"/>
            <w:right w:w="108" w:type="dxa"/>
          </w:tblCellMar>
        </w:tblPrEx>
        <w:trPr>
          <w:trHeight w:val="300" w:hRule="atLeast"/>
          <w:jc w:val="center"/>
        </w:trPr>
        <w:tc>
          <w:tcPr>
            <w:tcW w:w="3654" w:type="dxa"/>
            <w:tcBorders>
              <w:top w:val="nil"/>
              <w:left w:val="single" w:color="auto" w:sz="4" w:space="0"/>
              <w:bottom w:val="single" w:color="auto" w:sz="4" w:space="0"/>
              <w:right w:val="single" w:color="auto" w:sz="4" w:space="0"/>
            </w:tcBorders>
            <w:shd w:val="clear" w:color="auto" w:fill="auto"/>
            <w:vAlign w:val="center"/>
          </w:tcPr>
          <w:p w14:paraId="49331D3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其中：国有土地出让支出（亿元）</w:t>
            </w:r>
          </w:p>
        </w:tc>
        <w:tc>
          <w:tcPr>
            <w:tcW w:w="1712" w:type="dxa"/>
            <w:tcBorders>
              <w:top w:val="nil"/>
              <w:left w:val="nil"/>
              <w:bottom w:val="single" w:color="auto" w:sz="4" w:space="0"/>
              <w:right w:val="single" w:color="auto" w:sz="4" w:space="0"/>
            </w:tcBorders>
            <w:shd w:val="clear" w:color="auto" w:fill="auto"/>
            <w:vAlign w:val="center"/>
          </w:tcPr>
          <w:p w14:paraId="48F56069">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60.75</w:t>
            </w:r>
          </w:p>
        </w:tc>
        <w:tc>
          <w:tcPr>
            <w:tcW w:w="1712" w:type="dxa"/>
            <w:tcBorders>
              <w:top w:val="nil"/>
              <w:left w:val="nil"/>
              <w:bottom w:val="single" w:color="auto" w:sz="4" w:space="0"/>
              <w:right w:val="single" w:color="auto" w:sz="4" w:space="0"/>
            </w:tcBorders>
            <w:shd w:val="clear" w:color="auto" w:fill="auto"/>
            <w:vAlign w:val="center"/>
          </w:tcPr>
          <w:p w14:paraId="08807F47">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38.46</w:t>
            </w:r>
          </w:p>
        </w:tc>
        <w:tc>
          <w:tcPr>
            <w:tcW w:w="1712" w:type="dxa"/>
            <w:tcBorders>
              <w:top w:val="nil"/>
              <w:left w:val="nil"/>
              <w:bottom w:val="single" w:color="auto" w:sz="4" w:space="0"/>
              <w:right w:val="single" w:color="auto" w:sz="4" w:space="0"/>
            </w:tcBorders>
            <w:shd w:val="clear" w:color="auto" w:fill="auto"/>
            <w:vAlign w:val="center"/>
          </w:tcPr>
          <w:p w14:paraId="449F862F">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46.29</w:t>
            </w:r>
          </w:p>
        </w:tc>
      </w:tr>
    </w:tbl>
    <w:p w14:paraId="1DB0D6CD">
      <w:pPr>
        <w:pStyle w:val="5"/>
        <w:spacing w:before="156" w:beforeLines="50" w:after="156" w:afterLines="50"/>
        <w:ind w:firstLine="643"/>
        <w:rPr>
          <w:rFonts w:hint="eastAsia" w:ascii="仿宋_GB2312" w:hAnsi="仿宋_GB2312" w:eastAsia="仿宋_GB2312" w:cs="仿宋_GB2312"/>
          <w:color w:val="auto"/>
          <w:sz w:val="32"/>
        </w:rPr>
      </w:pPr>
      <w:bookmarkStart w:id="8" w:name="_Toc174657273"/>
      <w:r>
        <w:rPr>
          <w:rFonts w:hint="eastAsia" w:ascii="仿宋_GB2312" w:hAnsi="仿宋_GB2312" w:eastAsia="仿宋_GB2312" w:cs="仿宋_GB2312"/>
          <w:color w:val="auto"/>
          <w:sz w:val="32"/>
        </w:rPr>
        <w:t>（二）本地社会发展规划和行业相关规划</w:t>
      </w:r>
      <w:bookmarkEnd w:id="8"/>
    </w:p>
    <w:p w14:paraId="242D2801">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1.本地社会发展规划和行业相关规划</w:t>
      </w:r>
    </w:p>
    <w:p w14:paraId="2EF564BA">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ascii="仿宋_GB2312" w:hAnsi="仿宋_GB2312" w:eastAsia="仿宋_GB2312" w:cs="仿宋_GB2312"/>
          <w:color w:val="auto"/>
          <w:sz w:val="32"/>
          <w:szCs w:val="32"/>
        </w:rPr>
        <w:t>《广州市国民经济和社会发展第十四个五年规划和2035年远景目标纲要》提出</w:t>
      </w:r>
      <w:r>
        <w:rPr>
          <w:rFonts w:hint="eastAsia" w:eastAsia="仿宋_GB2312" w:cs="仿宋_GB2312" w:asciiTheme="minorHAnsi" w:hAnsiTheme="minorHAnsi"/>
          <w:color w:val="auto"/>
          <w:sz w:val="32"/>
          <w:szCs w:val="32"/>
        </w:rPr>
        <w:t>坚持把发展着力点放在实体经济上，打好产业基础高级化和产业链现代化攻坚战，构建实体经济、科技创新、现代金融、人力资源协同发展的现代产业体系，培育战略性新兴产业增长引擎，</w:t>
      </w:r>
      <w:r>
        <w:rPr>
          <w:rFonts w:hint="eastAsia" w:eastAsia="仿宋_GB2312" w:cs="仿宋_GB2312" w:asciiTheme="minorHAnsi" w:hAnsiTheme="minorHAnsi"/>
          <w:b/>
          <w:color w:val="auto"/>
          <w:sz w:val="32"/>
          <w:szCs w:val="32"/>
        </w:rPr>
        <w:t>打造先进制造业强市</w:t>
      </w:r>
      <w:r>
        <w:rPr>
          <w:rFonts w:hint="eastAsia" w:eastAsia="仿宋_GB2312" w:cs="仿宋_GB2312" w:asciiTheme="minorHAnsi" w:hAnsiTheme="minorHAnsi"/>
          <w:color w:val="auto"/>
          <w:sz w:val="32"/>
          <w:szCs w:val="32"/>
        </w:rPr>
        <w:t>和现代服务业强市：</w:t>
      </w:r>
    </w:p>
    <w:p w14:paraId="12979E81">
      <w:pPr>
        <w:adjustRightInd w:val="0"/>
        <w:snapToGrid w:val="0"/>
        <w:spacing w:line="360" w:lineRule="auto"/>
        <w:ind w:firstLine="640"/>
        <w:jc w:val="both"/>
        <w:rPr>
          <w:rFonts w:hint="eastAsia" w:ascii="仿宋" w:hAnsi="仿宋" w:cs="仿宋_GB2312"/>
          <w:color w:val="auto"/>
          <w:sz w:val="32"/>
          <w:szCs w:val="32"/>
        </w:rPr>
      </w:pPr>
      <w:r>
        <w:rPr>
          <w:rFonts w:hint="eastAsia" w:ascii="仿宋" w:hAnsi="仿宋" w:cs="仿宋_GB2312"/>
          <w:color w:val="auto"/>
          <w:sz w:val="32"/>
          <w:szCs w:val="32"/>
        </w:rPr>
        <w:t>（1）</w:t>
      </w:r>
      <w:r>
        <w:rPr>
          <w:rFonts w:hint="eastAsia" w:ascii="仿宋_GB2312" w:hAnsi="仿宋_GB2312" w:eastAsia="仿宋_GB2312" w:cs="仿宋_GB2312"/>
          <w:color w:val="auto"/>
          <w:sz w:val="32"/>
          <w:szCs w:val="32"/>
        </w:rPr>
        <w:t>将</w:t>
      </w:r>
      <w:r>
        <w:rPr>
          <w:rFonts w:hint="eastAsia" w:ascii="仿宋_GB2312" w:hAnsi="仿宋_GB2312" w:eastAsia="仿宋_GB2312" w:cs="仿宋_GB2312"/>
          <w:b/>
          <w:color w:val="auto"/>
          <w:sz w:val="32"/>
          <w:szCs w:val="32"/>
        </w:rPr>
        <w:t>智能装备产业确定为广州市“十四五”时期重点发展的优势产业</w:t>
      </w:r>
      <w:r>
        <w:rPr>
          <w:rFonts w:hint="eastAsia" w:ascii="仿宋_GB2312" w:hAnsi="仿宋_GB2312" w:eastAsia="仿宋_GB2312" w:cs="仿宋_GB2312"/>
          <w:color w:val="auto"/>
          <w:sz w:val="32"/>
          <w:szCs w:val="32"/>
        </w:rPr>
        <w:t>。推动智能装备与机器人、轨道交通、新能源与节能环保、新材料与精细化工、数字创意等新兴优势产业加快发展。</w:t>
      </w:r>
      <w:r>
        <w:rPr>
          <w:rFonts w:hint="eastAsia" w:ascii="仿宋_GB2312" w:hAnsi="仿宋_GB2312" w:eastAsia="仿宋_GB2312" w:cs="仿宋_GB2312"/>
          <w:b/>
          <w:color w:val="auto"/>
          <w:sz w:val="32"/>
          <w:szCs w:val="32"/>
        </w:rPr>
        <w:t>智能装备与机器人产业着力构建“关键基础零部件—整机及成套装备—系统集成应用—公共支撑服务”产业链集群</w:t>
      </w:r>
      <w:r>
        <w:rPr>
          <w:rFonts w:hint="eastAsia" w:ascii="仿宋_GB2312" w:hAnsi="仿宋_GB2312" w:eastAsia="仿宋_GB2312" w:cs="仿宋_GB2312"/>
          <w:color w:val="auto"/>
          <w:sz w:val="32"/>
          <w:szCs w:val="32"/>
        </w:rPr>
        <w:t>，加快突破自动控制系统、减速器、伺服电机等关键零部件和集成应用技术，开拓智能工厂、数字化车间等场景应用，</w:t>
      </w:r>
      <w:r>
        <w:rPr>
          <w:rFonts w:hint="eastAsia" w:ascii="仿宋_GB2312" w:hAnsi="仿宋_GB2312" w:eastAsia="仿宋_GB2312" w:cs="仿宋_GB2312"/>
          <w:b/>
          <w:color w:val="auto"/>
          <w:sz w:val="32"/>
          <w:szCs w:val="32"/>
        </w:rPr>
        <w:t>建设全国智能装备关键设备研发创新中心</w:t>
      </w:r>
      <w:r>
        <w:rPr>
          <w:rFonts w:hint="eastAsia" w:ascii="仿宋_GB2312" w:hAnsi="仿宋_GB2312" w:eastAsia="仿宋_GB2312" w:cs="仿宋_GB2312"/>
          <w:color w:val="auto"/>
          <w:sz w:val="32"/>
          <w:szCs w:val="32"/>
        </w:rPr>
        <w:t>。</w:t>
      </w:r>
    </w:p>
    <w:p w14:paraId="53907808">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ascii="仿宋" w:hAnsi="仿宋" w:cs="仿宋_GB2312"/>
          <w:color w:val="auto"/>
          <w:sz w:val="32"/>
          <w:szCs w:val="32"/>
        </w:rPr>
        <w:t>（</w:t>
      </w:r>
      <w:r>
        <w:rPr>
          <w:rFonts w:ascii="仿宋" w:hAnsi="仿宋" w:cs="仿宋_GB2312"/>
          <w:color w:val="auto"/>
          <w:sz w:val="32"/>
          <w:szCs w:val="32"/>
        </w:rPr>
        <w:t>2</w:t>
      </w:r>
      <w:r>
        <w:rPr>
          <w:rFonts w:hint="eastAsia" w:ascii="仿宋" w:hAnsi="仿宋" w:cs="仿宋_GB2312"/>
          <w:color w:val="auto"/>
          <w:sz w:val="32"/>
          <w:szCs w:val="32"/>
        </w:rPr>
        <w:t>）“十四五”时期各区发展指引</w:t>
      </w:r>
      <w:r>
        <w:rPr>
          <w:rFonts w:hint="eastAsia" w:eastAsia="仿宋_GB2312" w:cs="仿宋_GB2312" w:asciiTheme="minorHAnsi" w:hAnsiTheme="minorHAnsi"/>
          <w:color w:val="auto"/>
          <w:sz w:val="32"/>
          <w:szCs w:val="32"/>
        </w:rPr>
        <w:t>中，对花都区的要求是</w:t>
      </w:r>
      <w:r>
        <w:rPr>
          <w:rFonts w:hint="eastAsia" w:eastAsia="仿宋_GB2312" w:cs="仿宋_GB2312" w:asciiTheme="minorHAnsi" w:hAnsiTheme="minorHAnsi"/>
          <w:b/>
          <w:color w:val="auto"/>
          <w:sz w:val="32"/>
          <w:szCs w:val="32"/>
        </w:rPr>
        <w:t>建设广州北部人口经济重要承载区和经济增长极</w:t>
      </w:r>
      <w:r>
        <w:rPr>
          <w:rFonts w:hint="eastAsia" w:eastAsia="仿宋_GB2312" w:cs="仿宋_GB2312" w:asciiTheme="minorHAnsi" w:hAnsiTheme="minorHAnsi"/>
          <w:color w:val="auto"/>
          <w:sz w:val="32"/>
          <w:szCs w:val="32"/>
        </w:rPr>
        <w:t>，建成空铁融合枢纽型都市区。</w:t>
      </w:r>
      <w:r>
        <w:rPr>
          <w:rFonts w:hint="eastAsia" w:eastAsia="仿宋_GB2312" w:cs="仿宋_GB2312" w:asciiTheme="minorHAnsi" w:hAnsiTheme="minorHAnsi"/>
          <w:b/>
          <w:color w:val="auto"/>
          <w:sz w:val="32"/>
          <w:szCs w:val="32"/>
        </w:rPr>
        <w:t>推动智能与新能源汽车全产业链研发和产业化</w:t>
      </w:r>
      <w:r>
        <w:rPr>
          <w:rFonts w:hint="eastAsia" w:eastAsia="仿宋_GB2312" w:cs="仿宋_GB2312" w:asciiTheme="minorHAnsi" w:hAnsiTheme="minorHAnsi"/>
          <w:color w:val="auto"/>
          <w:sz w:val="32"/>
          <w:szCs w:val="32"/>
        </w:rPr>
        <w:t>，打造</w:t>
      </w:r>
      <w:r>
        <w:rPr>
          <w:rFonts w:hint="eastAsia" w:ascii="仿宋" w:hAnsi="仿宋" w:cs="仿宋_GB2312"/>
          <w:color w:val="auto"/>
          <w:sz w:val="32"/>
          <w:szCs w:val="32"/>
        </w:rPr>
        <w:t>2500</w:t>
      </w:r>
      <w:r>
        <w:rPr>
          <w:rFonts w:hint="eastAsia" w:eastAsia="仿宋_GB2312" w:cs="仿宋_GB2312" w:asciiTheme="minorHAnsi" w:hAnsiTheme="minorHAnsi"/>
          <w:color w:val="auto"/>
          <w:sz w:val="32"/>
          <w:szCs w:val="32"/>
        </w:rPr>
        <w:t>亿级汽车产业集群。</w:t>
      </w:r>
      <w:r>
        <w:rPr>
          <w:rFonts w:hint="eastAsia" w:eastAsia="仿宋_GB2312" w:cs="仿宋_GB2312" w:asciiTheme="minorHAnsi" w:hAnsiTheme="minorHAnsi"/>
          <w:b/>
          <w:color w:val="auto"/>
          <w:sz w:val="32"/>
          <w:szCs w:val="32"/>
        </w:rPr>
        <w:t>发展芯片制造、新一代电子信息等新兴产业</w:t>
      </w:r>
      <w:r>
        <w:rPr>
          <w:rFonts w:hint="eastAsia" w:eastAsia="仿宋_GB2312" w:cs="仿宋_GB2312" w:asciiTheme="minorHAnsi" w:hAnsiTheme="minorHAnsi"/>
          <w:color w:val="auto"/>
          <w:sz w:val="32"/>
          <w:szCs w:val="32"/>
        </w:rPr>
        <w:t>。发展飞机维修、飞机租赁、航空物流、临空会展等高端临空服务业，打造千亿级临空经济产业集群。发展绿色金融、绿色建筑，打造千亿级绿色产业集群。促进生态旅游、现代商贸、时尚创意等产业深度融合。</w:t>
      </w:r>
    </w:p>
    <w:p w14:paraId="0D6596E8">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eastAsia="仿宋_GB2312" w:cs="仿宋_GB2312" w:asciiTheme="minorHAnsi" w:hAnsiTheme="minorHAnsi"/>
          <w:color w:val="auto"/>
          <w:sz w:val="32"/>
          <w:szCs w:val="32"/>
        </w:rPr>
        <w:t xml:space="preserve">《花都区国民经济和社会发展第十四个五年规划和 </w:t>
      </w:r>
      <w:r>
        <w:rPr>
          <w:rFonts w:hint="eastAsia" w:ascii="仿宋" w:hAnsi="仿宋" w:cs="仿宋_GB2312"/>
          <w:color w:val="auto"/>
          <w:sz w:val="32"/>
          <w:szCs w:val="32"/>
        </w:rPr>
        <w:t>2035</w:t>
      </w:r>
      <w:r>
        <w:rPr>
          <w:rFonts w:hint="eastAsia" w:eastAsia="仿宋_GB2312" w:cs="仿宋_GB2312" w:asciiTheme="minorHAnsi" w:hAnsiTheme="minorHAnsi"/>
          <w:color w:val="auto"/>
          <w:sz w:val="32"/>
          <w:szCs w:val="32"/>
        </w:rPr>
        <w:t xml:space="preserve"> 年远景目标纲要》提出要坚持把做实、做强、做优实体经济作为主攻方向，</w:t>
      </w:r>
      <w:r>
        <w:rPr>
          <w:rFonts w:hint="eastAsia" w:eastAsia="仿宋_GB2312" w:cs="仿宋_GB2312" w:asciiTheme="minorHAnsi" w:hAnsiTheme="minorHAnsi"/>
          <w:b/>
          <w:color w:val="auto"/>
          <w:sz w:val="32"/>
          <w:szCs w:val="32"/>
        </w:rPr>
        <w:t>持续优化产业空间布局，做强做优先进制造业</w:t>
      </w:r>
      <w:r>
        <w:rPr>
          <w:rFonts w:hint="eastAsia" w:eastAsia="仿宋_GB2312" w:cs="仿宋_GB2312" w:asciiTheme="minorHAnsi" w:hAnsiTheme="minorHAnsi"/>
          <w:color w:val="auto"/>
          <w:sz w:val="32"/>
          <w:szCs w:val="32"/>
        </w:rPr>
        <w:t>，大力推动优势传统产业转型升级，加速发展临空现代服务业，推动数字经济和实体经济深度融合，</w:t>
      </w:r>
      <w:r>
        <w:rPr>
          <w:rFonts w:hint="eastAsia" w:eastAsia="仿宋_GB2312" w:cs="仿宋_GB2312" w:asciiTheme="minorHAnsi" w:hAnsiTheme="minorHAnsi"/>
          <w:b/>
          <w:color w:val="auto"/>
          <w:sz w:val="32"/>
          <w:szCs w:val="32"/>
        </w:rPr>
        <w:t>全面提升花都产业基础高端化和产业链现代化水平，构建先进制造业和现代服务业双轮驱动的更具竞争力的现代产业体系，打造品质花都</w:t>
      </w:r>
      <w:r>
        <w:rPr>
          <w:rFonts w:hint="eastAsia" w:eastAsia="仿宋_GB2312" w:cs="仿宋_GB2312" w:asciiTheme="minorHAnsi" w:hAnsiTheme="minorHAnsi"/>
          <w:color w:val="auto"/>
          <w:sz w:val="32"/>
          <w:szCs w:val="32"/>
        </w:rPr>
        <w:t>：</w:t>
      </w:r>
    </w:p>
    <w:p w14:paraId="2C97873D">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ascii="仿宋" w:hAnsi="仿宋" w:cs="仿宋_GB2312"/>
          <w:color w:val="auto"/>
          <w:sz w:val="32"/>
          <w:szCs w:val="32"/>
        </w:rPr>
        <w:t>（1）</w:t>
      </w:r>
      <w:r>
        <w:rPr>
          <w:rFonts w:hint="eastAsia" w:eastAsia="仿宋_GB2312" w:cs="仿宋_GB2312" w:asciiTheme="minorHAnsi" w:hAnsiTheme="minorHAnsi"/>
          <w:b/>
          <w:color w:val="auto"/>
          <w:sz w:val="32"/>
          <w:szCs w:val="32"/>
        </w:rPr>
        <w:t>培育智能装备制造</w:t>
      </w:r>
      <w:r>
        <w:rPr>
          <w:rFonts w:hint="eastAsia" w:eastAsia="仿宋_GB2312" w:cs="仿宋_GB2312" w:asciiTheme="minorHAnsi" w:hAnsiTheme="minorHAnsi"/>
          <w:color w:val="auto"/>
          <w:sz w:val="32"/>
          <w:szCs w:val="32"/>
        </w:rPr>
        <w:t>、智能制造成套装备生产、智能测控装置与部件生产、工业机器人等产业环节，争取在高端传感器、高端控制系统、核心工业软件等领域取得突破，</w:t>
      </w:r>
      <w:r>
        <w:rPr>
          <w:rFonts w:hint="eastAsia" w:eastAsia="仿宋_GB2312" w:cs="仿宋_GB2312" w:asciiTheme="minorHAnsi" w:hAnsiTheme="minorHAnsi"/>
          <w:b/>
          <w:color w:val="auto"/>
          <w:sz w:val="32"/>
          <w:szCs w:val="32"/>
        </w:rPr>
        <w:t>实现智能装备产业大发展</w:t>
      </w:r>
      <w:r>
        <w:rPr>
          <w:rFonts w:hint="eastAsia" w:eastAsia="仿宋_GB2312" w:cs="仿宋_GB2312" w:asciiTheme="minorHAnsi" w:hAnsiTheme="minorHAnsi"/>
          <w:color w:val="auto"/>
          <w:sz w:val="32"/>
          <w:szCs w:val="32"/>
        </w:rPr>
        <w:t>。</w:t>
      </w:r>
    </w:p>
    <w:p w14:paraId="2208C1F4">
      <w:pPr>
        <w:adjustRightInd w:val="0"/>
        <w:snapToGrid w:val="0"/>
        <w:spacing w:line="360" w:lineRule="auto"/>
        <w:ind w:firstLine="640"/>
        <w:jc w:val="both"/>
        <w:rPr>
          <w:rFonts w:hint="eastAsia" w:ascii="仿宋" w:hAnsi="仿宋" w:cs="仿宋_GB2312"/>
          <w:color w:val="auto"/>
          <w:sz w:val="32"/>
          <w:szCs w:val="32"/>
        </w:rPr>
      </w:pPr>
      <w:r>
        <w:rPr>
          <w:rFonts w:hint="eastAsia" w:ascii="仿宋" w:hAnsi="仿宋" w:cs="仿宋_GB2312"/>
          <w:color w:val="auto"/>
          <w:sz w:val="32"/>
          <w:szCs w:val="32"/>
        </w:rPr>
        <w:t>（</w:t>
      </w:r>
      <w:r>
        <w:rPr>
          <w:rFonts w:ascii="仿宋" w:hAnsi="仿宋" w:cs="仿宋_GB2312"/>
          <w:color w:val="auto"/>
          <w:sz w:val="32"/>
          <w:szCs w:val="32"/>
        </w:rPr>
        <w:t>2</w:t>
      </w:r>
      <w:r>
        <w:rPr>
          <w:rFonts w:hint="eastAsia" w:ascii="仿宋" w:hAnsi="仿宋" w:cs="仿宋_GB2312"/>
          <w:color w:val="auto"/>
          <w:sz w:val="32"/>
          <w:szCs w:val="32"/>
        </w:rPr>
        <w:t>）完善“七横八纵”城市路网，</w:t>
      </w:r>
      <w:r>
        <w:rPr>
          <w:rFonts w:hint="eastAsia" w:ascii="仿宋" w:hAnsi="仿宋" w:cs="仿宋_GB2312"/>
          <w:b/>
          <w:color w:val="auto"/>
          <w:sz w:val="32"/>
          <w:szCs w:val="32"/>
        </w:rPr>
        <w:t>提速升级内联外通的交通路网</w:t>
      </w:r>
      <w:r>
        <w:rPr>
          <w:rFonts w:hint="eastAsia" w:ascii="仿宋" w:hAnsi="仿宋" w:cs="仿宋_GB2312"/>
          <w:color w:val="auto"/>
          <w:sz w:val="32"/>
          <w:szCs w:val="32"/>
        </w:rPr>
        <w:t>，分期分批推进主干路路改扩建和快速化改造，畅通与过境高速公路的快速连接。</w:t>
      </w:r>
      <w:r>
        <w:rPr>
          <w:rFonts w:hint="eastAsia" w:ascii="仿宋" w:hAnsi="仿宋" w:cs="仿宋_GB2312"/>
          <w:b/>
          <w:color w:val="auto"/>
          <w:sz w:val="32"/>
          <w:szCs w:val="32"/>
        </w:rPr>
        <w:t>打通“断头路”，整治拥堵点</w:t>
      </w:r>
      <w:r>
        <w:rPr>
          <w:rFonts w:hint="eastAsia" w:ascii="仿宋" w:hAnsi="仿宋" w:cs="仿宋_GB2312"/>
          <w:color w:val="auto"/>
          <w:sz w:val="32"/>
          <w:szCs w:val="32"/>
        </w:rPr>
        <w:t>，深化智能交通建设应用，提升道路通行效率。</w:t>
      </w:r>
    </w:p>
    <w:p w14:paraId="0FC4E83F">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ascii="仿宋" w:hAnsi="仿宋" w:cs="仿宋_GB2312"/>
          <w:color w:val="auto"/>
          <w:sz w:val="32"/>
          <w:szCs w:val="32"/>
        </w:rPr>
        <w:t>（3）</w:t>
      </w:r>
      <w:r>
        <w:rPr>
          <w:rFonts w:hint="eastAsia" w:eastAsia="仿宋_GB2312" w:cs="仿宋_GB2312" w:asciiTheme="minorHAnsi" w:hAnsiTheme="minorHAnsi"/>
          <w:color w:val="auto"/>
          <w:sz w:val="32"/>
          <w:szCs w:val="32"/>
        </w:rPr>
        <w:t>完善城乡基础设施统一规划机制。建立覆盖城区、镇、乡村和区域合作四个空间层次的基础设施规划体系，</w:t>
      </w:r>
      <w:r>
        <w:rPr>
          <w:rFonts w:hint="eastAsia" w:eastAsia="仿宋_GB2312" w:cs="仿宋_GB2312" w:asciiTheme="minorHAnsi" w:hAnsiTheme="minorHAnsi"/>
          <w:b/>
          <w:color w:val="auto"/>
          <w:sz w:val="32"/>
          <w:szCs w:val="32"/>
        </w:rPr>
        <w:t>统筹城乡道路、供水、供电、防洪、垃圾、污水处理等基础设施的规划与建设</w:t>
      </w:r>
      <w:r>
        <w:rPr>
          <w:rFonts w:hint="eastAsia" w:eastAsia="仿宋_GB2312" w:cs="仿宋_GB2312" w:asciiTheme="minorHAnsi" w:hAnsiTheme="minorHAnsi"/>
          <w:color w:val="auto"/>
          <w:sz w:val="32"/>
          <w:szCs w:val="32"/>
        </w:rPr>
        <w:t>，推动市政公用设施向镇、乡村延伸</w:t>
      </w:r>
      <w:r>
        <w:rPr>
          <w:rFonts w:hint="eastAsia" w:ascii="仿宋" w:hAnsi="仿宋" w:cs="仿宋_GB2312"/>
          <w:color w:val="auto"/>
          <w:sz w:val="32"/>
          <w:szCs w:val="32"/>
        </w:rPr>
        <w:t>。</w:t>
      </w:r>
    </w:p>
    <w:p w14:paraId="15E71F9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《广州综合交通枢纽总体规划（2016-2030年）》提出要</w:t>
      </w:r>
      <w:r>
        <w:rPr>
          <w:rFonts w:hint="eastAsia" w:ascii="仿宋_GB2312" w:hAnsi="仿宋" w:eastAsia="仿宋_GB2312" w:cs="仿宋_GB2312"/>
          <w:b/>
          <w:color w:val="auto"/>
          <w:sz w:val="32"/>
          <w:szCs w:val="32"/>
        </w:rPr>
        <w:t>改善出行条件，建立“枢纽+社区+产业”的开发模式</w:t>
      </w:r>
      <w:r>
        <w:rPr>
          <w:rFonts w:hint="eastAsia" w:ascii="仿宋_GB2312" w:hAnsi="仿宋" w:eastAsia="仿宋_GB2312" w:cs="仿宋_GB2312"/>
          <w:color w:val="auto"/>
          <w:sz w:val="32"/>
          <w:szCs w:val="32"/>
        </w:rPr>
        <w:t>：</w:t>
      </w:r>
    </w:p>
    <w:p w14:paraId="5EB40FA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（1）建设一批示范性、现代化、立体式综合交通枢纽。加强枢纽一体衔接、综合服务、中转集散及内外辐射功能，</w:t>
      </w:r>
      <w:r>
        <w:rPr>
          <w:rFonts w:hint="eastAsia" w:ascii="仿宋_GB2312" w:hAnsi="仿宋" w:eastAsia="仿宋_GB2312" w:cs="仿宋_GB2312"/>
          <w:b/>
          <w:color w:val="auto"/>
          <w:sz w:val="32"/>
          <w:szCs w:val="32"/>
        </w:rPr>
        <w:t>以枢纽为中心，建成与城市空间、产业发展联动融合的立体式、复合型综合体</w:t>
      </w:r>
      <w:r>
        <w:rPr>
          <w:rFonts w:hint="eastAsia" w:ascii="仿宋_GB2312" w:hAnsi="仿宋" w:eastAsia="仿宋_GB2312" w:cs="仿宋_GB2312"/>
          <w:color w:val="auto"/>
          <w:sz w:val="32"/>
          <w:szCs w:val="32"/>
        </w:rPr>
        <w:t>。落实“枢纽+社区+产业”的开发模式。建立集交通、商务、商业、文化、教育、居住为一体的城市功能区，引领城市发展，优化城市布局。</w:t>
      </w:r>
    </w:p>
    <w:p w14:paraId="12D10ED0">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（2）枢纽布局：全市具备整体开发条件的轨道交通枢纽共71个，其中</w:t>
      </w:r>
      <w:r>
        <w:rPr>
          <w:rFonts w:hint="eastAsia" w:ascii="仿宋_GB2312" w:hAnsi="仿宋" w:eastAsia="仿宋_GB2312" w:cs="仿宋_GB2312"/>
          <w:b/>
          <w:color w:val="auto"/>
          <w:sz w:val="32"/>
          <w:szCs w:val="32"/>
        </w:rPr>
        <w:t>广州市花都区涉及站点有5处</w:t>
      </w:r>
      <w:r>
        <w:rPr>
          <w:rFonts w:hint="eastAsia" w:ascii="仿宋_GB2312" w:hAnsi="仿宋" w:eastAsia="仿宋_GB2312" w:cs="仿宋_GB2312"/>
          <w:color w:val="auto"/>
          <w:sz w:val="32"/>
          <w:szCs w:val="32"/>
        </w:rPr>
        <w:t>。</w:t>
      </w:r>
    </w:p>
    <w:p w14:paraId="1AADB741">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《广州市交通发展战略规划》提出了“全球重要综合交通枢纽”的总目标，以此为基础制定了三组核心指标：一是</w:t>
      </w:r>
      <w:r>
        <w:rPr>
          <w:rFonts w:hint="eastAsia" w:ascii="仿宋_GB2312" w:hAnsi="仿宋" w:eastAsia="仿宋_GB2312" w:cs="仿宋_GB2312"/>
          <w:b/>
          <w:color w:val="auto"/>
          <w:sz w:val="32"/>
          <w:szCs w:val="32"/>
        </w:rPr>
        <w:t>生产指标</w:t>
      </w:r>
      <w:r>
        <w:rPr>
          <w:rFonts w:hint="eastAsia" w:ascii="仿宋_GB2312" w:hAnsi="仿宋" w:eastAsia="仿宋_GB2312" w:cs="仿宋_GB2312"/>
          <w:color w:val="auto"/>
          <w:sz w:val="32"/>
          <w:szCs w:val="32"/>
        </w:rPr>
        <w:t>，</w:t>
      </w:r>
      <w:r>
        <w:rPr>
          <w:rFonts w:hint="eastAsia" w:ascii="仿宋_GB2312" w:hAnsi="仿宋" w:eastAsia="仿宋_GB2312" w:cs="仿宋_GB2312"/>
          <w:b/>
          <w:color w:val="auto"/>
          <w:sz w:val="32"/>
          <w:szCs w:val="32"/>
        </w:rPr>
        <w:t>市域任意一点 30 分钟内抵达对外交通枢纽</w:t>
      </w:r>
      <w:r>
        <w:rPr>
          <w:rFonts w:hint="eastAsia" w:ascii="仿宋_GB2312" w:hAnsi="仿宋" w:eastAsia="仿宋_GB2312" w:cs="仿宋_GB2312"/>
          <w:color w:val="auto"/>
          <w:sz w:val="32"/>
          <w:szCs w:val="32"/>
        </w:rPr>
        <w:t>，广州与湾区中心城市及邻穗城市60分钟轨道直达；二是</w:t>
      </w:r>
      <w:r>
        <w:rPr>
          <w:rFonts w:hint="eastAsia" w:ascii="仿宋_GB2312" w:hAnsi="仿宋" w:eastAsia="仿宋_GB2312" w:cs="仿宋_GB2312"/>
          <w:b/>
          <w:color w:val="auto"/>
          <w:sz w:val="32"/>
          <w:szCs w:val="32"/>
        </w:rPr>
        <w:t>生活指标，市域90%的居民公共交通通勤时间控制在50分钟以内</w:t>
      </w:r>
      <w:r>
        <w:rPr>
          <w:rFonts w:hint="eastAsia" w:ascii="仿宋_GB2312" w:hAnsi="仿宋" w:eastAsia="仿宋_GB2312" w:cs="仿宋_GB2312"/>
          <w:color w:val="auto"/>
          <w:sz w:val="32"/>
          <w:szCs w:val="32"/>
        </w:rPr>
        <w:t>，市域实现“6080”客运目标（即公共交通占机动化出行比例60%，轨道交通占公共交通出行比例 80%），示范区实现“8090”客运目标（即公共交通占机动化出行比例80%，轨道交通占公共交通出行比例90%）；三是生态指标，绿色出行示范区的绿色出行（包括公共交通、步行和非机动车）比例不低于90%，市域绿色交通出行比例不低于75%。</w:t>
      </w:r>
    </w:p>
    <w:p w14:paraId="155BFAD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围绕目标提出了六大战略包括更开放的国家门户、更直连的湾区核心、更高效的公共交通、更健康的道路系统、更智慧的交通大脑、更精明的空间布局。广州市花都区从航空、铁路、客运站、高速公路、城市轨道、货运枢纽等方面都涉及了相关的交通项目策略，具体如下：</w:t>
      </w:r>
    </w:p>
    <w:p w14:paraId="04B3468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航空：加快白云机场三期扩建工程建设。强化白云机场空铁联运，构建广州多机场体系； </w:t>
      </w:r>
    </w:p>
    <w:p w14:paraId="6CA66264">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铁路：提出推进广州北站、白云机场高铁站 2 处铁路枢纽建设，新增 4 条铁路和1条城际，分别是广清永高铁、广河高铁、广中珠澳高铁、广宁联络线、广佛环西环城际； </w:t>
      </w:r>
    </w:p>
    <w:p w14:paraId="461987FF">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高速公路：新增2条，分别是机场第二高速-广连高速、惠肇高速白云至三水段线（花莞高速西延线），加强广佛同城化、广清一体化； </w:t>
      </w:r>
    </w:p>
    <w:p w14:paraId="5C830A3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城市轨道：新增/调整7条城市轨道，分别是22号线、24号线、29号线、35号线、36号线、41号线，提出站城融合发展要求；</w:t>
      </w:r>
    </w:p>
    <w:p w14:paraId="03EC7D39">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货运：积极引导创新要素向空港经济区科创平台聚集，</w:t>
      </w:r>
      <w:r>
        <w:rPr>
          <w:rFonts w:hint="eastAsia" w:ascii="仿宋_GB2312" w:hAnsi="仿宋" w:eastAsia="仿宋_GB2312" w:cs="仿宋_GB2312"/>
          <w:b/>
          <w:color w:val="auto"/>
          <w:sz w:val="32"/>
          <w:szCs w:val="32"/>
        </w:rPr>
        <w:t>实现高新技术企业职工平均通勤时间缩短20%-30%</w:t>
      </w:r>
      <w:r>
        <w:rPr>
          <w:rFonts w:hint="eastAsia" w:ascii="仿宋_GB2312" w:hAnsi="仿宋" w:eastAsia="仿宋_GB2312" w:cs="仿宋_GB2312"/>
          <w:color w:val="auto"/>
          <w:sz w:val="32"/>
          <w:szCs w:val="32"/>
        </w:rPr>
        <w:t>。</w:t>
      </w:r>
    </w:p>
    <w:p w14:paraId="0E073939">
      <w:pPr>
        <w:adjustRightInd w:val="0"/>
        <w:snapToGrid w:val="0"/>
        <w:spacing w:line="360" w:lineRule="auto"/>
        <w:ind w:firstLine="640"/>
        <w:jc w:val="both"/>
        <w:rPr>
          <w:rFonts w:ascii="仿宋_GB2312" w:eastAsia="仿宋_GB2312" w:cs="仿宋_GB2312" w:hAnsiTheme="minorHAnsi"/>
          <w:color w:val="auto"/>
          <w:sz w:val="32"/>
          <w:szCs w:val="32"/>
        </w:rPr>
      </w:pPr>
      <w:r>
        <w:rPr>
          <w:rFonts w:hint="eastAsia" w:ascii="仿宋_GB2312" w:hAnsi="仿宋" w:eastAsia="仿宋_GB2312" w:cs="仿宋_GB2312"/>
          <w:color w:val="auto"/>
          <w:sz w:val="32"/>
          <w:szCs w:val="32"/>
        </w:rPr>
        <w:t>《广州市花都区发展战略大纲》</w:t>
      </w:r>
      <w:r>
        <w:rPr>
          <w:rFonts w:hint="eastAsia" w:ascii="仿宋_GB2312" w:eastAsia="仿宋_GB2312" w:cs="仿宋_GB2312" w:hAnsiTheme="minorHAnsi"/>
          <w:color w:val="auto"/>
          <w:sz w:val="32"/>
          <w:szCs w:val="32"/>
        </w:rPr>
        <w:t>提出要适应广州国家中心城市定位和构建枢纽型网络城市的战略目标要求，依托国际空铁联运枢纽，</w:t>
      </w:r>
      <w:r>
        <w:rPr>
          <w:rFonts w:hint="eastAsia" w:ascii="仿宋_GB2312" w:eastAsia="仿宋_GB2312" w:cs="仿宋_GB2312" w:hAnsiTheme="minorHAnsi"/>
          <w:b/>
          <w:color w:val="auto"/>
          <w:sz w:val="32"/>
          <w:szCs w:val="32"/>
        </w:rPr>
        <w:t>构建高效、便捷、绿色、开放的城乡全面覆盖的综合交通体系</w:t>
      </w:r>
      <w:r>
        <w:rPr>
          <w:rFonts w:hint="eastAsia" w:ascii="仿宋_GB2312" w:eastAsia="仿宋_GB2312" w:cs="仿宋_GB2312" w:hAnsiTheme="minorHAnsi"/>
          <w:color w:val="auto"/>
          <w:sz w:val="32"/>
          <w:szCs w:val="32"/>
        </w:rPr>
        <w:t>，支撑“一轴四带，一核多组团”的城市空间布局和现代产业结构体系发展。</w:t>
      </w:r>
    </w:p>
    <w:p w14:paraId="462AED90">
      <w:pPr>
        <w:adjustRightInd w:val="0"/>
        <w:snapToGrid w:val="0"/>
        <w:spacing w:line="360" w:lineRule="auto"/>
        <w:ind w:firstLine="640"/>
        <w:jc w:val="both"/>
        <w:rPr>
          <w:rFonts w:eastAsia="仿宋_GB2312" w:cs="仿宋_GB2312" w:asciiTheme="minorHAnsi" w:hAnsiTheme="minorHAnsi"/>
          <w:color w:val="auto"/>
          <w:sz w:val="32"/>
          <w:szCs w:val="32"/>
        </w:rPr>
      </w:pPr>
      <w:r>
        <w:rPr>
          <w:rFonts w:hint="eastAsia" w:ascii="仿宋_GB2312" w:hAnsi="仿宋_GB2312" w:eastAsia="仿宋_GB2312" w:cs="仿宋_GB2312"/>
          <w:color w:val="auto"/>
          <w:sz w:val="32"/>
          <w:szCs w:val="32"/>
        </w:rPr>
        <w:t>2.项目建设必要性</w:t>
      </w:r>
    </w:p>
    <w:p w14:paraId="2E6EA16E">
      <w:pPr>
        <w:pStyle w:val="2"/>
        <w:ind w:firstLine="640"/>
        <w:jc w:val="both"/>
        <w:rPr>
          <w:rFonts w:ascii="仿宋" w:hAnsi="仿宋" w:eastAsia="仿宋" w:cs="仿宋_GB2312"/>
          <w:color w:val="auto"/>
          <w:sz w:val="32"/>
          <w:szCs w:val="32"/>
        </w:rPr>
      </w:pPr>
      <w:r>
        <w:rPr>
          <w:rFonts w:cs="仿宋_GB2312"/>
          <w:color w:val="auto"/>
          <w:sz w:val="32"/>
          <w:szCs w:val="32"/>
        </w:rPr>
        <w:t>花都区位于广州市北缘，地处北纬23°14′01″—23°37′01″，东经112°57′06″—113°28′10″，全区总面积970.04平方千米，东接广州市从化区，南与广州白云区相接，西连佛山市三水区和南海区，北邻清远市。京广铁路、武广客运专线纵贯全境，京港澳高速公路、许广高速公路、机场高速公路、乐广高速公路、大广高速公路、珠三角环线高速和沈海高速公路构成花都境内南北和东西走向高速公路网。东部流溪河、西部的巴江（白坭河）南汇珠江，船只直航港澳。位于区内的广州白云国际机场是国内三大空中交通枢纽之一。随着广州地铁9号线、广清城际一期、广州东环城际花都段等开通，花都外联内通的国际空铁枢纽格局日臻完善。</w:t>
      </w:r>
    </w:p>
    <w:p w14:paraId="570C5DAF">
      <w:pPr>
        <w:pStyle w:val="2"/>
        <w:ind w:firstLine="640"/>
        <w:jc w:val="both"/>
        <w:rPr>
          <w:rFonts w:hAnsi="仿宋" w:cs="仿宋_GB2312"/>
          <w:color w:val="auto"/>
          <w:sz w:val="32"/>
          <w:szCs w:val="32"/>
        </w:rPr>
      </w:pPr>
      <w:r>
        <w:rPr>
          <w:rFonts w:hAnsi="仿宋" w:cs="仿宋_GB2312"/>
          <w:color w:val="auto"/>
          <w:sz w:val="32"/>
          <w:szCs w:val="32"/>
        </w:rPr>
        <w:t>“十四五”时期是我国全面建成小康社会、实现第一个百年奋斗目标之后，乘势而上开启全面建设社会主义现代化国家新征程、向第二个百年奋斗目标进军的第一个五年；是广州市实现老城市新活力、“四个出新出彩”，巩固提升城市发展位势的关键阶段；也是广州市花都区积极融入和服务“双区”建设，推动经济社会高质量发展的重要时期。</w:t>
      </w:r>
    </w:p>
    <w:p w14:paraId="1072DC0B">
      <w:pPr>
        <w:pStyle w:val="2"/>
        <w:ind w:firstLine="640"/>
        <w:jc w:val="both"/>
        <w:rPr>
          <w:rFonts w:hAnsi="仿宋" w:cs="仿宋_GB2312"/>
          <w:color w:val="auto"/>
          <w:sz w:val="32"/>
          <w:szCs w:val="32"/>
        </w:rPr>
      </w:pPr>
      <w:r>
        <w:rPr>
          <w:rFonts w:hAnsi="仿宋" w:cs="仿宋_GB2312"/>
          <w:color w:val="auto"/>
          <w:sz w:val="32"/>
          <w:szCs w:val="32"/>
        </w:rPr>
        <w:t xml:space="preserve">当前国内外形势错综复杂，不稳定性不确定性增加，同时，广州市历史文化底蕴深厚，枢纽功能强大，产业体系完备，商业贸易活跃，教育医疗资源丰富，生态环境优美，营商和生活成本合理，推动高质量发展具有多方面优势和条件，仍处于重要战略机遇期，将进入新旧动能转换关键期、全面深化改革突破期、城市能级提升加速期、幸福广州建设提质期。必须要用全面辩证长远眼光看待新发展阶段的新机遇新挑战，增强机遇意识和风险意识，保持战略定力，发扬斗争精神，增强斗争本领，树立底线思维，准确识变、科学应变、主动求变，善于在危机中育先机、于变局中开新局，抓住机遇，应对挑战，趋利避害，奋勇前进。 </w:t>
      </w:r>
    </w:p>
    <w:p w14:paraId="217040D4">
      <w:pPr>
        <w:pStyle w:val="2"/>
        <w:ind w:firstLine="640"/>
        <w:jc w:val="both"/>
        <w:rPr>
          <w:rFonts w:hAnsi="仿宋" w:cs="仿宋_GB2312"/>
          <w:color w:val="auto"/>
          <w:sz w:val="32"/>
          <w:szCs w:val="32"/>
        </w:rPr>
      </w:pPr>
      <w:r>
        <w:rPr>
          <w:rFonts w:hAnsi="仿宋" w:cs="仿宋_GB2312"/>
          <w:color w:val="auto"/>
          <w:sz w:val="32"/>
          <w:szCs w:val="32"/>
        </w:rPr>
        <w:t xml:space="preserve">作为广州名副其实的北大门，广州市花都区将立足“十三五”时期取得的重大成就基础上，坚定不移贯彻新发展理念，坚持稳中求进工作总基调，以推动高质量发展为主题，以深化供给侧结构性改革为主线，以改革创新为根本动力，以满足人民群众日益增长的美好生活需要为根本目的，以“双区”建设、“双城”联动为战略引领，统筹发展和安全，做强人工智能与数字经济、城市更新“双引擎”，充分发挥空港、铁路港“双港辐射”，加快打造空铁融合发展示范区，加快建设现代产业体系，加快推进治理体系和治理能力现代化，全面提升城市功能和品质，高水平建设“国际空铁枢纽、高端智造基地、创新活力都会、绿色宜居花都”，努力把花都打造成为广州经济和人口的重要承载区、广州国家中心城市的航空都会区，为广州实现老城市新活力、“四个出新出彩”，在全面建设社会主义现代化国家新征程中走在全国前列、创造新的辉煌当好排头兵，作出花都贡献。 </w:t>
      </w:r>
    </w:p>
    <w:p w14:paraId="419C8C9B">
      <w:pPr>
        <w:pStyle w:val="2"/>
        <w:ind w:firstLine="640"/>
        <w:jc w:val="both"/>
        <w:rPr>
          <w:rFonts w:hAnsi="仿宋" w:cs="仿宋_GB2312"/>
          <w:color w:val="auto"/>
          <w:sz w:val="32"/>
          <w:szCs w:val="32"/>
        </w:rPr>
      </w:pPr>
      <w:r>
        <w:rPr>
          <w:rFonts w:hAnsi="仿宋" w:cs="仿宋_GB2312"/>
          <w:color w:val="auto"/>
          <w:sz w:val="32"/>
          <w:szCs w:val="32"/>
        </w:rPr>
        <w:t>对于广州市花都区来说，花都区智能装备科创产业园配套基础设施建设项目是贯彻落实“十四五”规划纲要有关要求，紧跟市委市政府战略部署，集约土地利用程度和效益，完善交通路网体系，完善广州市花都区城市功能，增强城市综合承载能力，加快推动产业提质增效，提升城市能级和核心竞争力的重点建设工程项目；是积极融入和服务“双区”建设，推动经济社会高质量发展的不可或缺的支撑板块；同时也是承接双港（空港—知识城信息港）辐射效应，聚集发展花都科创经济和数字经济，打造广深科技创新走廊核心节点，融入粤港澳大湾区科技创新新格局的关键抓手。</w:t>
      </w:r>
    </w:p>
    <w:p w14:paraId="0F5ABE20">
      <w:pPr>
        <w:pStyle w:val="2"/>
        <w:ind w:firstLine="640"/>
        <w:jc w:val="both"/>
        <w:rPr>
          <w:rFonts w:hint="default" w:asciiTheme="minorHAnsi" w:hAnsiTheme="minorHAnsi"/>
          <w:color w:val="auto"/>
        </w:rPr>
      </w:pPr>
      <w:r>
        <w:rPr>
          <w:rFonts w:cs="仿宋_GB2312" w:hAnsiTheme="minorHAnsi"/>
          <w:color w:val="auto"/>
          <w:sz w:val="32"/>
          <w:szCs w:val="32"/>
        </w:rPr>
        <w:t>本项目通将大大提升当地基础设施和智能装备产业发展潜力。因此，本项目是必要且急迫的。</w:t>
      </w:r>
    </w:p>
    <w:p w14:paraId="7EB29CCC">
      <w:pPr>
        <w:pStyle w:val="5"/>
        <w:spacing w:before="156" w:beforeLines="50" w:after="156" w:afterLines="50"/>
        <w:ind w:firstLine="643"/>
        <w:rPr>
          <w:rFonts w:hint="eastAsia" w:ascii="仿宋_GB2312" w:hAnsi="仿宋_GB2312" w:eastAsia="仿宋_GB2312" w:cs="仿宋_GB2312"/>
          <w:color w:val="auto"/>
          <w:sz w:val="32"/>
        </w:rPr>
      </w:pPr>
      <w:bookmarkStart w:id="9" w:name="_Toc21002"/>
      <w:bookmarkStart w:id="10" w:name="_Toc18098"/>
      <w:bookmarkStart w:id="11" w:name="_Toc28496"/>
      <w:bookmarkStart w:id="12" w:name="_Toc19892"/>
      <w:bookmarkStart w:id="13" w:name="_Toc174657274"/>
      <w:r>
        <w:rPr>
          <w:rFonts w:hint="eastAsia" w:ascii="仿宋_GB2312" w:hAnsi="仿宋_GB2312" w:eastAsia="仿宋_GB2312" w:cs="仿宋_GB2312"/>
          <w:color w:val="auto"/>
          <w:sz w:val="32"/>
        </w:rPr>
        <w:t>（三）项目</w:t>
      </w:r>
      <w:bookmarkEnd w:id="9"/>
      <w:bookmarkEnd w:id="10"/>
      <w:bookmarkEnd w:id="11"/>
      <w:bookmarkEnd w:id="12"/>
      <w:r>
        <w:rPr>
          <w:rFonts w:hint="eastAsia" w:ascii="仿宋_GB2312" w:hAnsi="仿宋_GB2312" w:eastAsia="仿宋_GB2312" w:cs="仿宋_GB2312"/>
          <w:color w:val="auto"/>
          <w:sz w:val="32"/>
        </w:rPr>
        <w:t>情况</w:t>
      </w:r>
      <w:bookmarkEnd w:id="13"/>
    </w:p>
    <w:p w14:paraId="253641FC">
      <w:pPr>
        <w:adjustRightInd w:val="0"/>
        <w:snapToGrid w:val="0"/>
        <w:spacing w:line="360" w:lineRule="auto"/>
        <w:ind w:firstLine="640"/>
        <w:jc w:val="both"/>
        <w:rPr>
          <w:rFonts w:hint="eastAsia" w:ascii="仿宋_GB2312" w:hAnsi="仿宋_GB2312" w:eastAsia="仿宋_GB2312" w:cs="仿宋_GB2312"/>
          <w:color w:val="auto"/>
          <w:sz w:val="32"/>
          <w:szCs w:val="32"/>
        </w:rPr>
      </w:pPr>
      <w:bookmarkStart w:id="14" w:name="_Toc24605"/>
      <w:bookmarkStart w:id="15" w:name="_Toc16695"/>
      <w:bookmarkStart w:id="16" w:name="_Toc26791"/>
      <w:bookmarkStart w:id="17" w:name="_Toc18655"/>
      <w:bookmarkStart w:id="18" w:name="_Toc2548"/>
      <w:bookmarkStart w:id="19" w:name="_Toc8096"/>
      <w:r>
        <w:rPr>
          <w:rFonts w:hint="eastAsia" w:ascii="仿宋_GB2312" w:hAnsi="仿宋_GB2312" w:eastAsia="仿宋_GB2312" w:cs="仿宋_GB2312"/>
          <w:color w:val="auto"/>
          <w:sz w:val="32"/>
          <w:szCs w:val="32"/>
        </w:rPr>
        <w:t>1.项目建设概况</w:t>
      </w:r>
      <w:bookmarkEnd w:id="14"/>
      <w:bookmarkEnd w:id="15"/>
    </w:p>
    <w:p w14:paraId="29917DF9">
      <w:pPr>
        <w:spacing w:line="360" w:lineRule="auto"/>
        <w:ind w:firstLine="640"/>
        <w:jc w:val="both"/>
        <w:rPr>
          <w:rFonts w:hAnsiTheme="minorHAnsi"/>
          <w:color w:val="auto"/>
        </w:rPr>
      </w:pPr>
      <w:r>
        <w:rPr>
          <w:rFonts w:hint="eastAsia" w:ascii="Times New Roman" w:hAnsi="Times New Roman" w:eastAsia="仿宋_GB2312" w:cs="Times New Roman"/>
          <w:color w:val="auto"/>
          <w:sz w:val="32"/>
          <w:szCs w:val="24"/>
        </w:rPr>
        <w:t>本项目位于花都区新雅街，主要建设内容包括新建及改造园区路网39.2公里；电力迁改工程</w:t>
      </w:r>
      <w:r>
        <w:rPr>
          <w:rFonts w:hint="eastAsia" w:ascii="Times New Roman" w:hAnsi="Times New Roman" w:eastAsia="仿宋_GB2312" w:cs="Times New Roman"/>
          <w:color w:val="auto"/>
          <w:sz w:val="32"/>
          <w:szCs w:val="24"/>
          <w:lang w:val="en-US" w:eastAsia="zh-CN"/>
        </w:rPr>
        <w:t>5.5</w:t>
      </w:r>
      <w:r>
        <w:rPr>
          <w:rFonts w:hint="eastAsia" w:ascii="Times New Roman" w:hAnsi="Times New Roman" w:eastAsia="仿宋_GB2312" w:cs="Times New Roman"/>
          <w:color w:val="auto"/>
          <w:sz w:val="32"/>
          <w:szCs w:val="24"/>
        </w:rPr>
        <w:t>公里；老旧小区雨污分流面积35388平方米，污水管网改造 4.15 公里；新建产业园配套服务中心建筑面积30000平方米；新建充电桩 300 套；以及其他配套基础设施建设。</w:t>
      </w:r>
    </w:p>
    <w:p w14:paraId="11B4901B">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2.项目工程方案</w:t>
      </w:r>
    </w:p>
    <w:p w14:paraId="3BC64546">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（1）新建沥青路面</w:t>
      </w:r>
    </w:p>
    <w:p w14:paraId="405C6C2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①城市主干路</w:t>
      </w:r>
    </w:p>
    <w:p w14:paraId="34AE6A04">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上面层：4cmSMA-13沥青玛蹄脂碎石混合料</w:t>
      </w:r>
    </w:p>
    <w:p w14:paraId="2225DE5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21D0777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中面层：6cm中粒式沥青砼（AC-20C）</w:t>
      </w:r>
    </w:p>
    <w:p w14:paraId="5584F137">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6826C004">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下面层：8cm粗粒式沥青砼（AC-25C）</w:t>
      </w:r>
    </w:p>
    <w:p w14:paraId="31A14F04">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下封层：1cm厚ES-3沥青</w:t>
      </w:r>
    </w:p>
    <w:p w14:paraId="14612612">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透层：乳化沥青透层油（1.1L/m2）</w:t>
      </w:r>
    </w:p>
    <w:p w14:paraId="6DFE3D4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上基层：34cm厚5%水泥稳定碎石（分两层碾压）</w:t>
      </w:r>
    </w:p>
    <w:p w14:paraId="4D82BF17">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底基层：20cm 4%水泥稳定级配碎石</w:t>
      </w:r>
    </w:p>
    <w:p w14:paraId="2BE9A275">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总厚度73cm</w:t>
      </w:r>
    </w:p>
    <w:p w14:paraId="3D0A38D2">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②城市次干路</w:t>
      </w:r>
    </w:p>
    <w:p w14:paraId="4C32B3B8">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上面层：4cmSMA-13沥青玛蹄脂碎石混合料</w:t>
      </w:r>
    </w:p>
    <w:p w14:paraId="5025751B">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480A6FC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中面层：5cm中粒式沥青砼（AC-20C）</w:t>
      </w:r>
    </w:p>
    <w:p w14:paraId="536F7033">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753029D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下面层：7cm粗粒式沥青砼（AC-25C）</w:t>
      </w:r>
    </w:p>
    <w:p w14:paraId="53C32594">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下封层：1cm厚ES-3沥青</w:t>
      </w:r>
    </w:p>
    <w:p w14:paraId="0085893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透层：乳化沥青透层油（1.1L/m2）</w:t>
      </w:r>
    </w:p>
    <w:p w14:paraId="1DEEC746">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上基层：30cm厚5%水泥稳定碎石（分两层碾压）</w:t>
      </w:r>
    </w:p>
    <w:p w14:paraId="6C5F814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底基层：20cm 4%水泥稳定级配碎石</w:t>
      </w:r>
    </w:p>
    <w:p w14:paraId="26F04725">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总厚度67cm</w:t>
      </w:r>
    </w:p>
    <w:p w14:paraId="6AE62257">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③城市支路</w:t>
      </w:r>
    </w:p>
    <w:p w14:paraId="19C063E3">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上面层：4cmSMA-13沥青玛蹄脂碎石混合料</w:t>
      </w:r>
    </w:p>
    <w:p w14:paraId="04C4ADBF">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084A274C">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下面层：6cm粗粒式沥青砼（AC-25C）</w:t>
      </w:r>
    </w:p>
    <w:p w14:paraId="1FD236D9">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下封层：1cm厚ES-3沥青</w:t>
      </w:r>
    </w:p>
    <w:p w14:paraId="5E8EEB10">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透层：乳化沥青透层油（1.1L/m2）</w:t>
      </w:r>
    </w:p>
    <w:p w14:paraId="2BDCA28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上基层：30cm厚5%水泥稳定碎石（分两层碾压）</w:t>
      </w:r>
    </w:p>
    <w:p w14:paraId="4A54B79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底基层：20cm 4%水泥稳定级配碎石</w:t>
      </w:r>
    </w:p>
    <w:p w14:paraId="2F14EB50">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总厚度61cm</w:t>
      </w:r>
    </w:p>
    <w:p w14:paraId="50941768">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（2）改造沥青路面</w:t>
      </w:r>
    </w:p>
    <w:p w14:paraId="5C52C539">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上面层：4cmSMA-13沥青玛蹄脂碎石混合料</w:t>
      </w:r>
    </w:p>
    <w:p w14:paraId="6E6510B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36403E96">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下面层：5cm+h（调平层）厚中粒式沥青混凝土（AC-20C）</w:t>
      </w:r>
    </w:p>
    <w:p w14:paraId="59ADDA2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粘层：乳化沥青油（0.4L/m2）</w:t>
      </w:r>
    </w:p>
    <w:p w14:paraId="7D9800C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层间处理：玻璃格栅</w:t>
      </w:r>
    </w:p>
    <w:p w14:paraId="4B63E6D5">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面板：24cm厚C30砼面板（就面板或新建面板）</w:t>
      </w:r>
    </w:p>
    <w:p w14:paraId="529B46E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基 层：20cm 厚5%水泥稳定碎石（旧基层或新建基层） </w:t>
      </w:r>
    </w:p>
    <w:p w14:paraId="29FCF23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底基层：15cm厚4%水泥稳定碎石（旧基层或新建基层） </w:t>
      </w:r>
    </w:p>
    <w:p w14:paraId="67E565C6">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（3）人行及非机动车道结构</w:t>
      </w:r>
    </w:p>
    <w:p w14:paraId="667E3A70">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面 层：8cm人行道透水砖 </w:t>
      </w:r>
    </w:p>
    <w:p w14:paraId="1394CEE8">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调平层：3cm中粗砂+土工布 </w:t>
      </w:r>
    </w:p>
    <w:p w14:paraId="4ED24331">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基 层：15cm C20透水混凝土基层 </w:t>
      </w:r>
    </w:p>
    <w:p w14:paraId="73688F61">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总厚度：26cm</w:t>
      </w:r>
    </w:p>
    <w:p w14:paraId="0D51819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（4）道路侧、平石</w:t>
      </w:r>
    </w:p>
    <w:p w14:paraId="0AE623C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现状侧平石均为混凝土材质，且局部地段已破损开裂，本次道路改造中将全线侧平石更换为仿花岗岩，即提供了耐久性，同时亦可大幅度提高景观效果。</w:t>
      </w:r>
    </w:p>
    <w:p w14:paraId="7088B7EB">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侧平石尺寸分别为：车行道低侧石：30×20×100cm；车行道高侧石：60×20×100cm，路平石：25×12×100cm；人行道条石：20×12×100cm。</w:t>
      </w:r>
    </w:p>
    <w:p w14:paraId="4F5CA61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（5）一般路基设计</w:t>
      </w:r>
    </w:p>
    <w:p w14:paraId="305D94D5">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路基填料宜选用有一定级配的砾类土、砂类土等粗粒土，特别是路床部分；粘性土等细粒土次之，当含水量超过最佳含水量较多时，应掺入石灰等固化材料处理后使用；粉性土和耕植土、淤泥等不能用于填筑路基。</w:t>
      </w:r>
    </w:p>
    <w:p w14:paraId="1123713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路基压实采用重型击实标准，填筑时应采用分层填筑逐层压实，其分层厚度应与压实机具能力相适应。</w:t>
      </w:r>
    </w:p>
    <w:p w14:paraId="17BC2467">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对现状地面及原路基进行清除表土30cm后，对场地进行碾压密实，压实度不小于90%。如压实度始终达不到要求，采取翻晒和换填处理措施，直至达到压实度要求。</w:t>
      </w:r>
    </w:p>
    <w:p w14:paraId="6698A7ED">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路床填料及压实标准应严格按要求执行，以确保土路基顶面回弹模量不小于30Mpa。</w:t>
      </w:r>
    </w:p>
    <w:p w14:paraId="4A8E8D98">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（6）无障碍设施改造</w:t>
      </w:r>
    </w:p>
    <w:p w14:paraId="59DACC6B">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1）缘石坡道</w:t>
      </w:r>
    </w:p>
    <w:p w14:paraId="39E11AA9">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人行道的各种路口必须设置单坡式无障碍通道；缘石坡道应设在人行道的范围内，并应与人行横道相对应；缘石坡道的坡面应平整无折角。对于全路口宽度的缘石坡道，缘石坡道的宽度要与斑马线等宽，下沉渐变段止点设在路口道弧端点，缘石坡道下缘与路面高差不大于1cm。</w:t>
      </w:r>
    </w:p>
    <w:p w14:paraId="27EB30FE">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 xml:space="preserve"> 2）盲道</w:t>
      </w:r>
    </w:p>
    <w:p w14:paraId="04C340C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盲道砖（包括行进盲道及提示盲道）统一采用300×300×50mm的透水砖，颜色采用中黄色；盲道应连续顺直，中途不得有电线杆、拉线、树木等障碍物；人行天桥梯道口应设置提示盲道；公交车站处，应在站亭前候车位置对应的人行道上铺设提示盲道，并与行进盲道接顺。</w:t>
      </w:r>
    </w:p>
    <w:p w14:paraId="519947EB">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3）车止石</w:t>
      </w:r>
    </w:p>
    <w:p w14:paraId="0068E79A">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路口设置坡道的，为防止车辆随意驶入人行道范围，坡道口应设置止车球，车止石要求坚固美观，采用花岗岩材质。</w:t>
      </w:r>
    </w:p>
    <w:p w14:paraId="5389C1A1">
      <w:pPr>
        <w:adjustRightInd w:val="0"/>
        <w:snapToGrid w:val="0"/>
        <w:spacing w:line="360" w:lineRule="auto"/>
        <w:ind w:firstLine="640"/>
        <w:jc w:val="both"/>
        <w:rPr>
          <w:rFonts w:hint="eastAsia" w:ascii="仿宋_GB2312" w:hAnsi="仿宋" w:eastAsia="仿宋_GB2312" w:cs="仿宋_GB2312"/>
          <w:color w:val="auto"/>
          <w:sz w:val="32"/>
          <w:szCs w:val="32"/>
        </w:rPr>
      </w:pPr>
      <w:r>
        <w:rPr>
          <w:rFonts w:hint="eastAsia" w:ascii="仿宋_GB2312" w:hAnsi="仿宋" w:eastAsia="仿宋_GB2312" w:cs="仿宋_GB2312"/>
          <w:color w:val="auto"/>
          <w:sz w:val="32"/>
          <w:szCs w:val="32"/>
        </w:rPr>
        <w:t>4）人行道井的装饰化设计</w:t>
      </w:r>
    </w:p>
    <w:p w14:paraId="2313E9B7">
      <w:pPr>
        <w:adjustRightInd w:val="0"/>
        <w:snapToGrid w:val="0"/>
        <w:spacing w:line="360" w:lineRule="auto"/>
        <w:ind w:firstLine="640"/>
        <w:jc w:val="both"/>
        <w:rPr>
          <w:rFonts w:hint="eastAsia" w:ascii="仿宋_GB2312" w:hAnsi="仿宋" w:eastAsia="仿宋_GB2312"/>
          <w:color w:val="auto"/>
        </w:rPr>
      </w:pPr>
      <w:r>
        <w:rPr>
          <w:rFonts w:hint="eastAsia" w:ascii="仿宋_GB2312" w:hAnsi="仿宋" w:eastAsia="仿宋_GB2312" w:cs="仿宋_GB2312"/>
          <w:color w:val="auto"/>
          <w:sz w:val="32"/>
          <w:szCs w:val="32"/>
        </w:rPr>
        <w:t>人行道上的井应进行装饰化井改造，装饰井布置应与道路前进方向平行。</w:t>
      </w:r>
    </w:p>
    <w:p w14:paraId="387E9217">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具体项目工程建设方案详见可研报告。</w:t>
      </w:r>
    </w:p>
    <w:p w14:paraId="24BC0B76">
      <w:pPr>
        <w:pStyle w:val="5"/>
        <w:spacing w:before="156" w:beforeLines="50" w:after="156" w:afterLines="50"/>
        <w:ind w:firstLine="643"/>
        <w:rPr>
          <w:rFonts w:hint="eastAsia" w:ascii="仿宋_GB2312" w:hAnsi="仿宋_GB2312" w:eastAsia="仿宋_GB2312" w:cs="仿宋_GB2312"/>
          <w:color w:val="auto"/>
          <w:sz w:val="32"/>
        </w:rPr>
      </w:pPr>
      <w:bookmarkStart w:id="20" w:name="_Toc174657275"/>
      <w:r>
        <w:rPr>
          <w:rFonts w:hint="eastAsia" w:ascii="仿宋_GB2312" w:hAnsi="仿宋_GB2312" w:eastAsia="仿宋_GB2312" w:cs="仿宋_GB2312"/>
          <w:color w:val="auto"/>
          <w:sz w:val="32"/>
        </w:rPr>
        <w:t>（四）项目立项情况或实施依据</w:t>
      </w:r>
      <w:bookmarkEnd w:id="20"/>
    </w:p>
    <w:bookmarkEnd w:id="16"/>
    <w:bookmarkEnd w:id="17"/>
    <w:bookmarkEnd w:id="18"/>
    <w:bookmarkEnd w:id="19"/>
    <w:p w14:paraId="0BBB59A8">
      <w:pPr>
        <w:adjustRightInd w:val="0"/>
        <w:snapToGrid w:val="0"/>
        <w:spacing w:line="360" w:lineRule="auto"/>
        <w:ind w:firstLine="640"/>
        <w:jc w:val="both"/>
        <w:rPr>
          <w:rFonts w:eastAsia="仿宋_GB2312" w:cs="仿宋_GB2312" w:asciiTheme="minorHAnsi" w:hAnsiTheme="minorHAnsi"/>
          <w:color w:val="auto"/>
          <w:sz w:val="32"/>
          <w:szCs w:val="32"/>
        </w:rPr>
      </w:pPr>
      <w:bookmarkStart w:id="21" w:name="_Hlk117980519"/>
      <w:bookmarkStart w:id="22" w:name="_Toc4489"/>
      <w:bookmarkStart w:id="23" w:name="_Toc29630"/>
      <w:bookmarkStart w:id="24" w:name="_Toc8867"/>
      <w:bookmarkStart w:id="25" w:name="_Toc22609"/>
      <w:r>
        <w:rPr>
          <w:rFonts w:hint="eastAsia" w:ascii="仿宋_GB2312" w:hAnsi="仿宋_GB2312" w:eastAsia="仿宋_GB2312" w:cs="仿宋_GB2312"/>
          <w:color w:val="auto"/>
          <w:sz w:val="32"/>
          <w:szCs w:val="32"/>
        </w:rPr>
        <w:t>根据《广州市花都区发展和改革局关于花都区智能装备科创产业园配套基础设施建设项目可行性研究报告的复函》（花发改函〔2023〕39号），广州市花都区发展和改革局同意实施花都区智能装备科创产业园配套基础设施建设项目。</w:t>
      </w:r>
    </w:p>
    <w:bookmarkEnd w:id="21"/>
    <w:p w14:paraId="2D6B3B34">
      <w:pPr>
        <w:pStyle w:val="5"/>
        <w:spacing w:before="156" w:beforeLines="50" w:after="156" w:afterLines="50"/>
        <w:ind w:firstLine="643"/>
        <w:rPr>
          <w:rFonts w:hint="eastAsia" w:ascii="仿宋_GB2312" w:hAnsi="仿宋_GB2312" w:eastAsia="仿宋_GB2312" w:cs="仿宋_GB2312"/>
          <w:color w:val="auto"/>
          <w:sz w:val="32"/>
        </w:rPr>
      </w:pPr>
      <w:bookmarkStart w:id="26" w:name="_Toc174657276"/>
      <w:r>
        <w:rPr>
          <w:rFonts w:hint="eastAsia" w:ascii="仿宋_GB2312" w:hAnsi="仿宋_GB2312" w:eastAsia="仿宋_GB2312" w:cs="仿宋_GB2312"/>
          <w:color w:val="auto"/>
          <w:sz w:val="32"/>
        </w:rPr>
        <w:t>（五）责任主体</w:t>
      </w:r>
      <w:bookmarkEnd w:id="22"/>
      <w:bookmarkEnd w:id="23"/>
      <w:bookmarkEnd w:id="24"/>
      <w:bookmarkEnd w:id="25"/>
      <w:bookmarkEnd w:id="26"/>
    </w:p>
    <w:p w14:paraId="6E63B291">
      <w:pPr>
        <w:adjustRightInd w:val="0"/>
        <w:snapToGrid w:val="0"/>
        <w:spacing w:line="360" w:lineRule="auto"/>
        <w:ind w:firstLine="640"/>
        <w:jc w:val="both"/>
        <w:rPr>
          <w:color w:val="auto"/>
        </w:rPr>
      </w:pPr>
      <w:bookmarkStart w:id="27" w:name="_Toc958"/>
      <w:bookmarkStart w:id="28" w:name="_Toc2577"/>
      <w:bookmarkStart w:id="29" w:name="_Toc6040"/>
      <w:bookmarkStart w:id="30" w:name="_Toc739"/>
      <w:bookmarkStart w:id="31" w:name="_Toc12123"/>
      <w:bookmarkStart w:id="32" w:name="_Toc32753"/>
      <w:bookmarkStart w:id="33" w:name="_Toc26292"/>
      <w:bookmarkStart w:id="34" w:name="_Toc26539"/>
      <w:r>
        <w:rPr>
          <w:rFonts w:hint="eastAsia" w:ascii="Times New Roman" w:hAnsi="Times New Roman" w:eastAsia="仿宋_GB2312" w:cs="Times New Roman"/>
          <w:color w:val="auto"/>
          <w:sz w:val="32"/>
          <w:szCs w:val="32"/>
        </w:rPr>
        <w:t>本项目主管部门为广州市花都区人民政府新雅街道办事处。</w:t>
      </w:r>
      <w:r>
        <w:rPr>
          <w:rFonts w:hint="eastAsia" w:ascii="仿宋_GB2312" w:hAnsi="仿宋_GB2312" w:eastAsia="仿宋_GB2312" w:cs="仿宋_GB2312"/>
          <w:color w:val="auto"/>
          <w:sz w:val="32"/>
          <w:szCs w:val="32"/>
        </w:rPr>
        <w:t>项目主管部门应对本部门（单位）专项债券项目审核把关，指导本行业项目规划与储备、梳理项目需求和编制项目实施方案，指导本行业及时规范使用债券资金，对建设运营情况进行监督。</w:t>
      </w:r>
    </w:p>
    <w:p w14:paraId="01C65D8A">
      <w:pPr>
        <w:pStyle w:val="8"/>
        <w:jc w:val="center"/>
        <w:rPr>
          <w:rFonts w:hint="eastAsia" w:ascii="仿宋_GB2312" w:hAnsi="仿宋_GB2312" w:eastAsia="仿宋_GB2312" w:cs="仿宋_GB2312"/>
          <w:color w:val="auto"/>
          <w:szCs w:val="28"/>
        </w:rPr>
      </w:pPr>
      <w:r>
        <w:rPr>
          <w:rFonts w:hint="eastAsia" w:ascii="仿宋_GB2312" w:hAnsi="宋体" w:eastAsia="仿宋_GB2312"/>
          <w:color w:val="auto"/>
          <w:sz w:val="32"/>
          <w:szCs w:val="32"/>
        </w:rPr>
        <w:t>表</w:t>
      </w:r>
      <w:r>
        <w:rPr>
          <w:rFonts w:hint="eastAsia" w:ascii="仿宋_GB2312" w:hAnsi="宋体" w:eastAsia="仿宋_GB2312"/>
          <w:color w:val="auto"/>
          <w:sz w:val="32"/>
          <w:szCs w:val="32"/>
        </w:rPr>
        <w:fldChar w:fldCharType="begin"/>
      </w:r>
      <w:r>
        <w:rPr>
          <w:rFonts w:hint="eastAsia" w:ascii="仿宋_GB2312" w:hAnsi="宋体" w:eastAsia="仿宋_GB2312"/>
          <w:color w:val="auto"/>
          <w:sz w:val="32"/>
          <w:szCs w:val="32"/>
        </w:rPr>
        <w:instrText xml:space="preserve"> SEQ 表格 \* ARABIC </w:instrText>
      </w:r>
      <w:r>
        <w:rPr>
          <w:rFonts w:hint="eastAsia" w:ascii="仿宋_GB2312" w:hAnsi="宋体" w:eastAsia="仿宋_GB2312"/>
          <w:color w:val="auto"/>
          <w:sz w:val="32"/>
          <w:szCs w:val="32"/>
        </w:rPr>
        <w:fldChar w:fldCharType="separate"/>
      </w:r>
      <w:r>
        <w:rPr>
          <w:rFonts w:hint="eastAsia" w:ascii="仿宋_GB2312" w:hAnsi="宋体" w:eastAsia="仿宋_GB2312"/>
          <w:color w:val="auto"/>
          <w:sz w:val="32"/>
          <w:szCs w:val="32"/>
        </w:rPr>
        <w:t>2</w:t>
      </w:r>
      <w:r>
        <w:rPr>
          <w:rFonts w:hint="eastAsia" w:ascii="仿宋_GB2312" w:hAnsi="宋体" w:eastAsia="仿宋_GB2312"/>
          <w:color w:val="auto"/>
          <w:sz w:val="32"/>
          <w:szCs w:val="32"/>
        </w:rPr>
        <w:fldChar w:fldCharType="end"/>
      </w:r>
      <w:r>
        <w:rPr>
          <w:rFonts w:hint="eastAsia" w:ascii="仿宋_GB2312" w:hAnsi="仿宋_GB2312" w:eastAsia="仿宋_GB2312" w:cs="仿宋_GB2312"/>
          <w:color w:val="auto"/>
          <w:kern w:val="0"/>
          <w:sz w:val="32"/>
          <w:szCs w:val="32"/>
        </w:rPr>
        <w:t xml:space="preserve"> </w:t>
      </w:r>
      <w:r>
        <w:rPr>
          <w:rFonts w:ascii="仿宋_GB2312" w:hAnsi="仿宋_GB2312" w:eastAsia="仿宋_GB2312" w:cs="仿宋_GB2312"/>
          <w:color w:val="auto"/>
          <w:kern w:val="0"/>
          <w:sz w:val="32"/>
          <w:szCs w:val="32"/>
        </w:rPr>
        <w:t xml:space="preserve"> </w:t>
      </w:r>
      <w:r>
        <w:rPr>
          <w:rFonts w:hint="eastAsia" w:ascii="仿宋_GB2312" w:hAnsi="仿宋_GB2312" w:eastAsia="仿宋_GB2312" w:cs="仿宋_GB2312"/>
          <w:color w:val="auto"/>
          <w:sz w:val="32"/>
          <w:szCs w:val="32"/>
        </w:rPr>
        <w:t>项目主管部门基本信息</w:t>
      </w:r>
    </w:p>
    <w:tbl>
      <w:tblPr>
        <w:tblStyle w:val="19"/>
        <w:tblW w:w="8767" w:type="dxa"/>
        <w:jc w:val="center"/>
        <w:tblLayout w:type="autofit"/>
        <w:tblCellMar>
          <w:top w:w="0" w:type="dxa"/>
          <w:left w:w="108" w:type="dxa"/>
          <w:bottom w:w="0" w:type="dxa"/>
          <w:right w:w="108" w:type="dxa"/>
        </w:tblCellMar>
      </w:tblPr>
      <w:tblGrid>
        <w:gridCol w:w="2972"/>
        <w:gridCol w:w="5795"/>
      </w:tblGrid>
      <w:tr w14:paraId="3A5FC905">
        <w:tblPrEx>
          <w:tblCellMar>
            <w:top w:w="0" w:type="dxa"/>
            <w:left w:w="108" w:type="dxa"/>
            <w:bottom w:w="0" w:type="dxa"/>
            <w:right w:w="108" w:type="dxa"/>
          </w:tblCellMar>
        </w:tblPrEx>
        <w:trPr>
          <w:trHeight w:val="300" w:hRule="atLeast"/>
          <w:jc w:val="center"/>
        </w:trPr>
        <w:tc>
          <w:tcPr>
            <w:tcW w:w="2972" w:type="dxa"/>
            <w:tcBorders>
              <w:top w:val="single" w:color="auto" w:sz="4" w:space="0"/>
              <w:left w:val="single" w:color="auto" w:sz="4" w:space="0"/>
              <w:bottom w:val="single" w:color="auto" w:sz="4" w:space="0"/>
              <w:right w:val="single" w:color="auto" w:sz="4" w:space="0"/>
            </w:tcBorders>
            <w:shd w:val="clear" w:color="auto" w:fill="auto"/>
            <w:vAlign w:val="center"/>
          </w:tcPr>
          <w:p w14:paraId="31FF2A29">
            <w:pPr>
              <w:spacing w:line="240" w:lineRule="auto"/>
              <w:ind w:firstLine="0" w:firstLineChars="0"/>
              <w:jc w:val="center"/>
              <w:rPr>
                <w:rFonts w:hint="eastAsia" w:ascii="仿宋_GB2312" w:hAnsi="等线" w:eastAsia="仿宋_GB2312"/>
                <w:b/>
                <w:bCs/>
                <w:color w:val="auto"/>
                <w:sz w:val="24"/>
                <w:szCs w:val="24"/>
              </w:rPr>
            </w:pPr>
            <w:r>
              <w:rPr>
                <w:rFonts w:hint="eastAsia" w:ascii="仿宋_GB2312" w:hAnsi="等线" w:eastAsia="仿宋_GB2312"/>
                <w:b/>
                <w:bCs/>
                <w:color w:val="auto"/>
                <w:sz w:val="24"/>
                <w:szCs w:val="24"/>
              </w:rPr>
              <w:t>机构名称</w:t>
            </w:r>
          </w:p>
        </w:tc>
        <w:tc>
          <w:tcPr>
            <w:tcW w:w="5795" w:type="dxa"/>
            <w:tcBorders>
              <w:top w:val="single" w:color="auto" w:sz="4" w:space="0"/>
              <w:left w:val="nil"/>
              <w:bottom w:val="single" w:color="auto" w:sz="4" w:space="0"/>
              <w:right w:val="single" w:color="auto" w:sz="4" w:space="0"/>
            </w:tcBorders>
            <w:shd w:val="clear" w:color="auto" w:fill="auto"/>
            <w:vAlign w:val="center"/>
          </w:tcPr>
          <w:p w14:paraId="25013520">
            <w:pPr>
              <w:spacing w:line="240" w:lineRule="auto"/>
              <w:ind w:firstLine="0" w:firstLineChars="0"/>
              <w:jc w:val="center"/>
              <w:rPr>
                <w:rFonts w:hint="eastAsia" w:ascii="仿宋_GB2312" w:hAnsi="等线" w:eastAsia="仿宋_GB2312"/>
                <w:color w:val="auto"/>
                <w:sz w:val="24"/>
                <w:szCs w:val="24"/>
              </w:rPr>
            </w:pPr>
            <w:r>
              <w:rPr>
                <w:rFonts w:hint="eastAsia" w:ascii="仿宋_GB2312" w:hAnsi="等线" w:eastAsia="仿宋_GB2312"/>
                <w:color w:val="auto"/>
                <w:sz w:val="24"/>
                <w:szCs w:val="24"/>
              </w:rPr>
              <w:t>广州市花都区人民政府新雅街道办事处</w:t>
            </w:r>
          </w:p>
        </w:tc>
      </w:tr>
      <w:tr w14:paraId="5E07943C">
        <w:tblPrEx>
          <w:tblCellMar>
            <w:top w:w="0" w:type="dxa"/>
            <w:left w:w="108" w:type="dxa"/>
            <w:bottom w:w="0" w:type="dxa"/>
            <w:right w:w="108" w:type="dxa"/>
          </w:tblCellMar>
        </w:tblPrEx>
        <w:trPr>
          <w:trHeight w:val="300" w:hRule="atLeast"/>
          <w:jc w:val="center"/>
        </w:trPr>
        <w:tc>
          <w:tcPr>
            <w:tcW w:w="2972" w:type="dxa"/>
            <w:tcBorders>
              <w:top w:val="nil"/>
              <w:left w:val="single" w:color="auto" w:sz="4" w:space="0"/>
              <w:bottom w:val="single" w:color="auto" w:sz="4" w:space="0"/>
              <w:right w:val="single" w:color="auto" w:sz="4" w:space="0"/>
            </w:tcBorders>
            <w:shd w:val="clear" w:color="auto" w:fill="auto"/>
            <w:vAlign w:val="center"/>
          </w:tcPr>
          <w:p w14:paraId="07AF87BB">
            <w:pPr>
              <w:spacing w:line="240" w:lineRule="auto"/>
              <w:ind w:firstLine="0" w:firstLineChars="0"/>
              <w:jc w:val="center"/>
              <w:rPr>
                <w:rFonts w:hint="eastAsia" w:ascii="仿宋_GB2312" w:hAnsi="等线" w:eastAsia="仿宋_GB2312"/>
                <w:b/>
                <w:bCs/>
                <w:color w:val="auto"/>
                <w:sz w:val="24"/>
                <w:szCs w:val="24"/>
              </w:rPr>
            </w:pPr>
            <w:r>
              <w:rPr>
                <w:rFonts w:hint="eastAsia" w:ascii="仿宋_GB2312" w:hAnsi="等线" w:eastAsia="仿宋_GB2312"/>
                <w:b/>
                <w:bCs/>
                <w:color w:val="auto"/>
                <w:sz w:val="24"/>
                <w:szCs w:val="24"/>
              </w:rPr>
              <w:t>统一社会信用代码</w:t>
            </w:r>
          </w:p>
        </w:tc>
        <w:tc>
          <w:tcPr>
            <w:tcW w:w="5795" w:type="dxa"/>
            <w:tcBorders>
              <w:top w:val="nil"/>
              <w:left w:val="nil"/>
              <w:bottom w:val="single" w:color="auto" w:sz="4" w:space="0"/>
              <w:right w:val="single" w:color="auto" w:sz="4" w:space="0"/>
            </w:tcBorders>
            <w:shd w:val="clear" w:color="auto" w:fill="auto"/>
            <w:vAlign w:val="center"/>
          </w:tcPr>
          <w:p w14:paraId="73F6CC46">
            <w:pPr>
              <w:spacing w:line="240" w:lineRule="auto"/>
              <w:ind w:firstLine="0" w:firstLineChars="0"/>
              <w:jc w:val="center"/>
              <w:rPr>
                <w:rFonts w:hint="eastAsia" w:ascii="仿宋_GB2312" w:hAnsi="等线" w:eastAsia="仿宋_GB2312"/>
                <w:color w:val="auto"/>
                <w:sz w:val="24"/>
                <w:szCs w:val="24"/>
              </w:rPr>
            </w:pPr>
            <w:r>
              <w:rPr>
                <w:rFonts w:ascii="仿宋_GB2312" w:hAnsi="等线" w:eastAsia="仿宋_GB2312"/>
                <w:color w:val="auto"/>
                <w:sz w:val="24"/>
                <w:szCs w:val="24"/>
              </w:rPr>
              <w:t>11440114007486234F</w:t>
            </w:r>
          </w:p>
        </w:tc>
      </w:tr>
      <w:tr w14:paraId="55AFA70E">
        <w:tblPrEx>
          <w:tblCellMar>
            <w:top w:w="0" w:type="dxa"/>
            <w:left w:w="108" w:type="dxa"/>
            <w:bottom w:w="0" w:type="dxa"/>
            <w:right w:w="108" w:type="dxa"/>
          </w:tblCellMar>
        </w:tblPrEx>
        <w:trPr>
          <w:trHeight w:val="300" w:hRule="atLeast"/>
          <w:jc w:val="center"/>
        </w:trPr>
        <w:tc>
          <w:tcPr>
            <w:tcW w:w="2972" w:type="dxa"/>
            <w:tcBorders>
              <w:top w:val="nil"/>
              <w:left w:val="single" w:color="auto" w:sz="4" w:space="0"/>
              <w:bottom w:val="single" w:color="auto" w:sz="4" w:space="0"/>
              <w:right w:val="single" w:color="auto" w:sz="4" w:space="0"/>
            </w:tcBorders>
            <w:shd w:val="clear" w:color="auto" w:fill="auto"/>
            <w:vAlign w:val="center"/>
          </w:tcPr>
          <w:p w14:paraId="63CEB6E8">
            <w:pPr>
              <w:spacing w:line="240" w:lineRule="auto"/>
              <w:ind w:firstLine="0" w:firstLineChars="0"/>
              <w:jc w:val="center"/>
              <w:rPr>
                <w:rFonts w:eastAsia="仿宋_GB2312" w:asciiTheme="minorHAnsi" w:hAnsiTheme="minorHAnsi"/>
                <w:b/>
                <w:bCs/>
                <w:color w:val="auto"/>
                <w:sz w:val="24"/>
                <w:szCs w:val="24"/>
              </w:rPr>
            </w:pPr>
            <w:r>
              <w:rPr>
                <w:rFonts w:hint="eastAsia" w:ascii="仿宋_GB2312" w:hAnsi="等线" w:eastAsia="仿宋_GB2312"/>
                <w:b/>
                <w:bCs/>
                <w:color w:val="auto"/>
                <w:sz w:val="24"/>
                <w:szCs w:val="24"/>
              </w:rPr>
              <w:t>机构性质</w:t>
            </w:r>
          </w:p>
        </w:tc>
        <w:tc>
          <w:tcPr>
            <w:tcW w:w="5795" w:type="dxa"/>
            <w:tcBorders>
              <w:top w:val="nil"/>
              <w:left w:val="nil"/>
              <w:bottom w:val="single" w:color="auto" w:sz="4" w:space="0"/>
              <w:right w:val="single" w:color="auto" w:sz="4" w:space="0"/>
            </w:tcBorders>
            <w:shd w:val="clear" w:color="auto" w:fill="auto"/>
            <w:vAlign w:val="center"/>
          </w:tcPr>
          <w:p w14:paraId="0C4BDED1">
            <w:pPr>
              <w:spacing w:line="240" w:lineRule="auto"/>
              <w:ind w:firstLine="0" w:firstLineChars="0"/>
              <w:jc w:val="center"/>
              <w:rPr>
                <w:rFonts w:hint="eastAsia" w:ascii="仿宋_GB2312" w:hAnsi="等线" w:eastAsia="仿宋_GB2312"/>
                <w:color w:val="auto"/>
                <w:sz w:val="24"/>
                <w:szCs w:val="24"/>
              </w:rPr>
            </w:pPr>
            <w:r>
              <w:rPr>
                <w:rFonts w:hint="eastAsia" w:ascii="仿宋_GB2312" w:hAnsi="等线" w:eastAsia="仿宋_GB2312"/>
                <w:color w:val="auto"/>
                <w:sz w:val="24"/>
                <w:szCs w:val="24"/>
              </w:rPr>
              <w:t>机关</w:t>
            </w:r>
          </w:p>
        </w:tc>
      </w:tr>
      <w:tr w14:paraId="1B1EE0DB">
        <w:tblPrEx>
          <w:tblCellMar>
            <w:top w:w="0" w:type="dxa"/>
            <w:left w:w="108" w:type="dxa"/>
            <w:bottom w:w="0" w:type="dxa"/>
            <w:right w:w="108" w:type="dxa"/>
          </w:tblCellMar>
        </w:tblPrEx>
        <w:trPr>
          <w:trHeight w:val="300" w:hRule="atLeast"/>
          <w:jc w:val="center"/>
        </w:trPr>
        <w:tc>
          <w:tcPr>
            <w:tcW w:w="2972" w:type="dxa"/>
            <w:tcBorders>
              <w:top w:val="nil"/>
              <w:left w:val="single" w:color="auto" w:sz="4" w:space="0"/>
              <w:bottom w:val="single" w:color="auto" w:sz="4" w:space="0"/>
              <w:right w:val="single" w:color="auto" w:sz="4" w:space="0"/>
            </w:tcBorders>
            <w:shd w:val="clear" w:color="auto" w:fill="auto"/>
            <w:vAlign w:val="center"/>
          </w:tcPr>
          <w:p w14:paraId="4EA8A797">
            <w:pPr>
              <w:spacing w:line="240" w:lineRule="auto"/>
              <w:ind w:firstLine="0" w:firstLineChars="0"/>
              <w:jc w:val="center"/>
              <w:rPr>
                <w:rFonts w:hint="eastAsia" w:ascii="仿宋_GB2312" w:hAnsi="等线" w:eastAsia="仿宋_GB2312"/>
                <w:b/>
                <w:bCs/>
                <w:color w:val="auto"/>
                <w:sz w:val="24"/>
                <w:szCs w:val="24"/>
              </w:rPr>
            </w:pPr>
            <w:r>
              <w:rPr>
                <w:rFonts w:hint="eastAsia" w:ascii="仿宋_GB2312" w:hAnsi="等线" w:eastAsia="仿宋_GB2312"/>
                <w:b/>
                <w:bCs/>
                <w:color w:val="auto"/>
                <w:sz w:val="24"/>
                <w:szCs w:val="24"/>
              </w:rPr>
              <w:t>机构地址</w:t>
            </w:r>
          </w:p>
        </w:tc>
        <w:tc>
          <w:tcPr>
            <w:tcW w:w="5795" w:type="dxa"/>
            <w:tcBorders>
              <w:top w:val="nil"/>
              <w:left w:val="nil"/>
              <w:bottom w:val="single" w:color="auto" w:sz="4" w:space="0"/>
              <w:right w:val="single" w:color="auto" w:sz="4" w:space="0"/>
            </w:tcBorders>
            <w:shd w:val="clear" w:color="auto" w:fill="auto"/>
            <w:vAlign w:val="center"/>
          </w:tcPr>
          <w:p w14:paraId="37322E16">
            <w:pPr>
              <w:spacing w:line="240" w:lineRule="auto"/>
              <w:ind w:firstLine="0" w:firstLineChars="0"/>
              <w:jc w:val="center"/>
              <w:rPr>
                <w:rFonts w:hint="eastAsia" w:ascii="仿宋_GB2312" w:hAnsi="等线" w:eastAsia="仿宋_GB2312"/>
                <w:color w:val="auto"/>
                <w:sz w:val="24"/>
                <w:szCs w:val="24"/>
              </w:rPr>
            </w:pPr>
            <w:r>
              <w:rPr>
                <w:rFonts w:hint="eastAsia" w:ascii="仿宋_GB2312" w:hAnsi="等线" w:eastAsia="仿宋_GB2312"/>
                <w:color w:val="auto"/>
                <w:sz w:val="24"/>
                <w:szCs w:val="24"/>
              </w:rPr>
              <w:t>广东省广州市花都区新雅街雅源中路18号</w:t>
            </w:r>
          </w:p>
        </w:tc>
      </w:tr>
      <w:tr w14:paraId="030DEC5A">
        <w:tblPrEx>
          <w:tblCellMar>
            <w:top w:w="0" w:type="dxa"/>
            <w:left w:w="108" w:type="dxa"/>
            <w:bottom w:w="0" w:type="dxa"/>
            <w:right w:w="108" w:type="dxa"/>
          </w:tblCellMar>
        </w:tblPrEx>
        <w:trPr>
          <w:trHeight w:val="300" w:hRule="atLeast"/>
          <w:jc w:val="center"/>
        </w:trPr>
        <w:tc>
          <w:tcPr>
            <w:tcW w:w="2972" w:type="dxa"/>
            <w:tcBorders>
              <w:top w:val="nil"/>
              <w:left w:val="single" w:color="auto" w:sz="4" w:space="0"/>
              <w:bottom w:val="single" w:color="auto" w:sz="4" w:space="0"/>
              <w:right w:val="single" w:color="auto" w:sz="4" w:space="0"/>
            </w:tcBorders>
            <w:shd w:val="clear" w:color="auto" w:fill="auto"/>
            <w:vAlign w:val="center"/>
          </w:tcPr>
          <w:p w14:paraId="0AA4E364">
            <w:pPr>
              <w:spacing w:line="240" w:lineRule="auto"/>
              <w:ind w:firstLine="0" w:firstLineChars="0"/>
              <w:jc w:val="center"/>
              <w:rPr>
                <w:rFonts w:hint="eastAsia" w:ascii="仿宋_GB2312" w:hAnsi="等线" w:eastAsia="仿宋_GB2312"/>
                <w:b/>
                <w:bCs/>
                <w:color w:val="auto"/>
                <w:sz w:val="24"/>
                <w:szCs w:val="24"/>
              </w:rPr>
            </w:pPr>
            <w:r>
              <w:rPr>
                <w:rFonts w:hint="eastAsia" w:ascii="仿宋_GB2312" w:hAnsi="等线" w:eastAsia="仿宋_GB2312"/>
                <w:b/>
                <w:bCs/>
                <w:color w:val="auto"/>
                <w:sz w:val="24"/>
                <w:szCs w:val="24"/>
              </w:rPr>
              <w:t>负责人</w:t>
            </w:r>
          </w:p>
        </w:tc>
        <w:tc>
          <w:tcPr>
            <w:tcW w:w="5795" w:type="dxa"/>
            <w:tcBorders>
              <w:top w:val="nil"/>
              <w:left w:val="nil"/>
              <w:bottom w:val="single" w:color="auto" w:sz="4" w:space="0"/>
              <w:right w:val="single" w:color="auto" w:sz="4" w:space="0"/>
            </w:tcBorders>
            <w:shd w:val="clear" w:color="auto" w:fill="auto"/>
            <w:vAlign w:val="center"/>
          </w:tcPr>
          <w:p w14:paraId="72B41EC9">
            <w:pPr>
              <w:spacing w:line="240" w:lineRule="auto"/>
              <w:ind w:firstLine="0" w:firstLineChars="0"/>
              <w:jc w:val="center"/>
              <w:rPr>
                <w:rFonts w:hint="eastAsia" w:ascii="仿宋_GB2312" w:hAnsi="等线" w:eastAsia="仿宋_GB2312"/>
                <w:color w:val="auto"/>
                <w:sz w:val="24"/>
                <w:szCs w:val="24"/>
              </w:rPr>
            </w:pPr>
            <w:r>
              <w:rPr>
                <w:rFonts w:hint="eastAsia" w:ascii="仿宋_GB2312" w:hAnsi="等线" w:eastAsia="仿宋_GB2312"/>
                <w:color w:val="auto"/>
                <w:sz w:val="24"/>
                <w:szCs w:val="24"/>
              </w:rPr>
              <w:t>王正</w:t>
            </w:r>
          </w:p>
        </w:tc>
      </w:tr>
    </w:tbl>
    <w:p w14:paraId="56B810C6">
      <w:pPr>
        <w:adjustRightInd w:val="0"/>
        <w:snapToGrid w:val="0"/>
        <w:spacing w:line="360" w:lineRule="auto"/>
        <w:ind w:firstLine="640"/>
        <w:jc w:val="both"/>
        <w:rPr>
          <w:color w:val="auto"/>
        </w:rPr>
      </w:pPr>
      <w:r>
        <w:rPr>
          <w:rFonts w:hint="eastAsia" w:ascii="Times New Roman" w:hAnsi="Times New Roman" w:eastAsia="仿宋_GB2312" w:cs="Times New Roman"/>
          <w:color w:val="auto"/>
          <w:sz w:val="32"/>
          <w:szCs w:val="32"/>
        </w:rPr>
        <w:t>本项目的实施单位为广州市花都区人民政府新雅街道办事处，</w:t>
      </w:r>
      <w:r>
        <w:rPr>
          <w:rFonts w:hint="eastAsia" w:ascii="仿宋_GB2312" w:hAnsi="仿宋_GB2312" w:eastAsia="仿宋_GB2312" w:cs="仿宋_GB2312"/>
          <w:color w:val="auto"/>
          <w:sz w:val="32"/>
          <w:szCs w:val="32"/>
        </w:rPr>
        <w:t>资产登记单位为</w:t>
      </w:r>
      <w:r>
        <w:rPr>
          <w:rFonts w:hint="eastAsia" w:ascii="Times New Roman" w:hAnsi="Times New Roman" w:eastAsia="仿宋_GB2312" w:cs="Times New Roman"/>
          <w:color w:val="auto"/>
          <w:sz w:val="32"/>
          <w:szCs w:val="32"/>
        </w:rPr>
        <w:t>广州市花都区人民政府新雅街道办事处，</w:t>
      </w:r>
      <w:r>
        <w:rPr>
          <w:rFonts w:hint="eastAsia" w:ascii="仿宋_GB2312" w:hAnsi="仿宋_GB2312" w:eastAsia="仿宋_GB2312" w:cs="仿宋_GB2312"/>
          <w:color w:val="auto"/>
          <w:sz w:val="32"/>
          <w:szCs w:val="32"/>
        </w:rPr>
        <w:t>其中配套道路形成的资产归属</w:t>
      </w:r>
      <w:r>
        <w:rPr>
          <w:rFonts w:hint="eastAsia" w:ascii="Times New Roman" w:hAnsi="Times New Roman" w:eastAsia="仿宋_GB2312" w:cs="Times New Roman"/>
          <w:color w:val="auto"/>
          <w:sz w:val="32"/>
          <w:szCs w:val="32"/>
        </w:rPr>
        <w:t>广州市花都区人民政府新雅街道办事处</w:t>
      </w:r>
      <w:r>
        <w:rPr>
          <w:rFonts w:hint="eastAsia" w:ascii="仿宋_GB2312" w:hAnsi="仿宋_GB2312" w:eastAsia="仿宋_GB2312" w:cs="仿宋_GB2312"/>
          <w:color w:val="auto"/>
          <w:sz w:val="32"/>
          <w:szCs w:val="32"/>
        </w:rPr>
        <w:t>。</w:t>
      </w:r>
    </w:p>
    <w:p w14:paraId="10FE8F58">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实施单位职责：项目实施单位应提出专项债券项目需求申请，编制报送项目实施方案及相关资料，配合做好债券发行准备。规范使用债券资金，及时形成支出，提高资金使用效益。定期评估项目成本、预期收益和对应资产价值等，发现风险或异常情况及时向主管部门报告。编制专项债券收支、偿还计划并纳入单位年度预算管理，将债券项目收入及时足额缴入国库。做好数据填报、信息公开等相关工作。</w:t>
      </w:r>
    </w:p>
    <w:p w14:paraId="3162B430">
      <w:pPr>
        <w:adjustRightInd w:val="0"/>
        <w:snapToGrid w:val="0"/>
        <w:spacing w:line="360" w:lineRule="auto"/>
        <w:ind w:firstLine="640"/>
        <w:jc w:val="both"/>
        <w:rPr>
          <w:rFonts w:ascii="Times New Roman" w:hAnsi="Times New Roman" w:eastAsia="仿宋_GB2312" w:cs="Times New Roman"/>
          <w:color w:val="auto"/>
          <w:sz w:val="32"/>
          <w:szCs w:val="32"/>
        </w:rPr>
      </w:pPr>
      <w:r>
        <w:rPr>
          <w:rFonts w:hint="eastAsia" w:ascii="仿宋_GB2312" w:hAnsi="仿宋_GB2312" w:eastAsia="仿宋_GB2312" w:cs="仿宋_GB2312"/>
          <w:color w:val="auto"/>
          <w:sz w:val="32"/>
          <w:szCs w:val="32"/>
        </w:rPr>
        <w:t>资产登记单位职责：资产登记单位保证当前项目资产权属清晰，不存在任何抵押或担保。在债券存续期间，定期对项目资产进行检查和盘点。在本项目全部债券还本付息完成前，项目资产不会进行任何抵押或担保等影响本项目权益的风险操作。</w:t>
      </w:r>
    </w:p>
    <w:p w14:paraId="5465F5FE">
      <w:pPr>
        <w:pStyle w:val="4"/>
        <w:adjustRightInd w:val="0"/>
        <w:snapToGrid w:val="0"/>
        <w:spacing w:before="156" w:beforeLines="50"/>
        <w:ind w:firstLine="640"/>
        <w:rPr>
          <w:rFonts w:hint="eastAsia" w:ascii="黑体" w:hAnsi="黑体" w:eastAsia="黑体" w:cs="黑体"/>
          <w:color w:val="auto"/>
          <w:kern w:val="0"/>
          <w:sz w:val="32"/>
          <w:szCs w:val="32"/>
        </w:rPr>
      </w:pPr>
      <w:bookmarkStart w:id="35" w:name="_Toc174657277"/>
      <w:r>
        <w:rPr>
          <w:rFonts w:hint="eastAsia" w:ascii="黑体" w:hAnsi="黑体" w:eastAsia="黑体" w:cs="黑体"/>
          <w:color w:val="auto"/>
          <w:kern w:val="0"/>
          <w:sz w:val="32"/>
          <w:szCs w:val="32"/>
        </w:rPr>
        <w:t>二、项目实施重要性和经济社会效益分析</w:t>
      </w:r>
      <w:bookmarkEnd w:id="27"/>
      <w:bookmarkEnd w:id="28"/>
      <w:bookmarkEnd w:id="29"/>
      <w:bookmarkEnd w:id="30"/>
      <w:bookmarkEnd w:id="31"/>
      <w:bookmarkEnd w:id="32"/>
      <w:bookmarkEnd w:id="33"/>
      <w:bookmarkEnd w:id="34"/>
      <w:bookmarkEnd w:id="35"/>
    </w:p>
    <w:p w14:paraId="669AF1DB">
      <w:pPr>
        <w:pStyle w:val="5"/>
        <w:spacing w:before="156" w:beforeLines="50" w:after="156" w:afterLines="50"/>
        <w:ind w:firstLine="643"/>
        <w:rPr>
          <w:rFonts w:hint="eastAsia" w:ascii="仿宋_GB2312" w:hAnsi="仿宋_GB2312" w:eastAsia="仿宋_GB2312" w:cs="仿宋_GB2312"/>
          <w:color w:val="auto"/>
          <w:sz w:val="32"/>
        </w:rPr>
      </w:pPr>
      <w:bookmarkStart w:id="36" w:name="_Toc174657278"/>
      <w:r>
        <w:rPr>
          <w:rFonts w:hint="eastAsia" w:ascii="仿宋_GB2312" w:hAnsi="仿宋_GB2312" w:eastAsia="仿宋_GB2312" w:cs="仿宋_GB2312"/>
          <w:color w:val="auto"/>
          <w:sz w:val="32"/>
        </w:rPr>
        <w:t>（一）重要性分析</w:t>
      </w:r>
      <w:bookmarkEnd w:id="36"/>
    </w:p>
    <w:p w14:paraId="598A391C">
      <w:pPr>
        <w:pStyle w:val="2"/>
        <w:ind w:firstLine="640"/>
        <w:rPr>
          <w:rFonts w:hint="default" w:asciiTheme="minorHAnsi" w:hAnsiTheme="minorHAnsi"/>
          <w:color w:val="auto"/>
        </w:rPr>
      </w:pPr>
      <w:r>
        <w:rPr>
          <w:rFonts w:hAnsi="Calibri"/>
          <w:color w:val="auto"/>
          <w:kern w:val="2"/>
          <w:sz w:val="32"/>
          <w:szCs w:val="32"/>
        </w:rPr>
        <w:t>建设粤港澳大湾区是习近平总书记亲自谋划、亲自部署、亲自推动的国家重大战略。2019 年 2 月 18 日，中共中央、国务院公布《粤港澳大湾区发展规划纲要》明确指出，以香港、澳门、广州、深圳四大中心城市作为区域发展的核心引擎，继续发挥比较优势做优做强，增强对周边区域发展的辐射带动作用。要求广州充分发挥国家中心城市和综合性门户城市引领作用，全面增强国际商贸中心、综合交通枢纽功能，培育提升科技教育文化中心功能，着力建设国际大都市。</w:t>
      </w:r>
    </w:p>
    <w:p w14:paraId="477A73CC">
      <w:pPr>
        <w:pStyle w:val="2"/>
        <w:ind w:firstLine="640"/>
        <w:rPr>
          <w:rFonts w:hint="default" w:hAnsi="Calibri"/>
          <w:color w:val="auto"/>
          <w:kern w:val="2"/>
          <w:sz w:val="32"/>
          <w:szCs w:val="32"/>
        </w:rPr>
      </w:pPr>
      <w:r>
        <w:rPr>
          <w:rFonts w:hAnsi="Calibri"/>
          <w:color w:val="auto"/>
          <w:kern w:val="2"/>
          <w:sz w:val="32"/>
          <w:szCs w:val="32"/>
        </w:rPr>
        <w:t>通过对</w:t>
      </w:r>
      <w:r>
        <w:rPr>
          <w:rFonts w:asciiTheme="minorHAnsi" w:hAnsiTheme="minorHAnsi"/>
          <w:color w:val="auto"/>
          <w:kern w:val="2"/>
          <w:sz w:val="32"/>
          <w:szCs w:val="32"/>
        </w:rPr>
        <w:t>本</w:t>
      </w:r>
      <w:r>
        <w:rPr>
          <w:rFonts w:hAnsi="Calibri"/>
          <w:color w:val="auto"/>
          <w:kern w:val="2"/>
          <w:sz w:val="32"/>
          <w:szCs w:val="32"/>
        </w:rPr>
        <w:t>项目的建设，将进一步维护广州市花都区路网的畅通，打通交通“微循环”；完善城市基础设施和功能建设，优化公共服务设施和基础设施配套布局；促进区域产业联动，产学研联动，聚集先进制造业提速升级，以数字经济+先进制造业培育产业新功能，激发经济内生动力；助力把白云机场加速建成泛珠三角换乘枢纽，持续加快空港经济的发展，从而实现广州的转型升级；助力加速实现“成为广州北部人口经济重要承载区和经济增长极、广州国家中心城市的航空都会区”目标。</w:t>
      </w:r>
    </w:p>
    <w:p w14:paraId="056FC9CF">
      <w:pPr>
        <w:pStyle w:val="5"/>
        <w:spacing w:before="156" w:beforeLines="50" w:after="156" w:afterLines="50"/>
        <w:ind w:firstLine="643"/>
        <w:rPr>
          <w:rFonts w:eastAsia="仿宋_GB2312" w:cs="仿宋_GB2312" w:asciiTheme="minorHAnsi" w:hAnsiTheme="minorHAnsi"/>
          <w:color w:val="auto"/>
          <w:sz w:val="32"/>
        </w:rPr>
      </w:pPr>
      <w:bookmarkStart w:id="37" w:name="_Toc174657279"/>
      <w:r>
        <w:rPr>
          <w:rFonts w:hint="eastAsia" w:ascii="仿宋_GB2312" w:hAnsi="仿宋_GB2312" w:eastAsia="仿宋_GB2312" w:cs="仿宋_GB2312"/>
          <w:color w:val="auto"/>
          <w:sz w:val="32"/>
        </w:rPr>
        <w:t>（二）经济效益分析</w:t>
      </w:r>
      <w:bookmarkEnd w:id="37"/>
      <w:bookmarkStart w:id="38" w:name="_Toc630"/>
      <w:bookmarkStart w:id="39" w:name="_Toc26398"/>
    </w:p>
    <w:p w14:paraId="154DB29D">
      <w:pPr>
        <w:pStyle w:val="2"/>
        <w:ind w:firstLine="640"/>
        <w:rPr>
          <w:rFonts w:hint="default" w:hAnsi="Calibri"/>
          <w:color w:val="auto"/>
          <w:kern w:val="2"/>
          <w:sz w:val="32"/>
          <w:szCs w:val="32"/>
        </w:rPr>
      </w:pPr>
      <w:r>
        <w:rPr>
          <w:rFonts w:hAnsi="Calibri"/>
          <w:color w:val="auto"/>
          <w:kern w:val="2"/>
          <w:sz w:val="32"/>
          <w:szCs w:val="32"/>
        </w:rPr>
        <w:t>（1）项目的建设</w:t>
      </w:r>
      <w:r>
        <w:rPr>
          <w:rFonts w:hAnsi="Calibri"/>
          <w:b/>
          <w:color w:val="auto"/>
          <w:kern w:val="2"/>
          <w:sz w:val="32"/>
          <w:szCs w:val="32"/>
        </w:rPr>
        <w:t>是集约利用土地打造先进制造集群的需要</w:t>
      </w:r>
      <w:r>
        <w:rPr>
          <w:rFonts w:hAnsi="Calibri"/>
          <w:color w:val="auto"/>
          <w:kern w:val="2"/>
          <w:sz w:val="32"/>
          <w:szCs w:val="32"/>
        </w:rPr>
        <w:t>。作为珠三角地区重要经济增长极的广州，其关于产业聚集区和示范区的建设具有带头示范作用。通过科学规划，区域产业联动，产学研联动，重点发展新一代电子信息制造、人工智能、跨境电商、大数据、生物医药、大数字经济核心产业，构建 IAB 产业集群，引入新一代信息技术产业龙头、上下游企业，吸引与产业匹配的科研与技术服务平台，完善居住配套和生活服务，如此可以有效节约用地，使土地利用价值得到最大化，并使得该地区将更具开放性和投资吸引力。</w:t>
      </w:r>
    </w:p>
    <w:p w14:paraId="1666224C">
      <w:pPr>
        <w:pStyle w:val="2"/>
        <w:ind w:firstLine="640"/>
        <w:rPr>
          <w:rFonts w:hint="default" w:asciiTheme="minorHAnsi" w:hAnsiTheme="minorHAnsi"/>
          <w:color w:val="auto"/>
          <w:kern w:val="2"/>
          <w:sz w:val="32"/>
          <w:szCs w:val="32"/>
        </w:rPr>
      </w:pPr>
      <w:r>
        <w:rPr>
          <w:rFonts w:hAnsi="Calibri"/>
          <w:color w:val="auto"/>
          <w:kern w:val="2"/>
          <w:sz w:val="32"/>
          <w:szCs w:val="32"/>
        </w:rPr>
        <w:t>花都区着力打造产业发展“新平台”。围绕“一区一城一港”产业发展新格局，聚焦空铁大道、花都大道、山前旅游大道三条交通走廊，谋划建设一批产业明晰、资源集约、产城融合的产业平台。本项目的建设</w:t>
      </w:r>
      <w:r>
        <w:rPr>
          <w:rFonts w:hAnsi="Calibri"/>
          <w:b/>
          <w:color w:val="auto"/>
          <w:kern w:val="2"/>
          <w:sz w:val="32"/>
          <w:szCs w:val="32"/>
        </w:rPr>
        <w:t>有利于地区土地的集约利用，进一步提高土地开发利用的综合效益，保障地区经济将来更好地有序发展</w:t>
      </w:r>
      <w:r>
        <w:rPr>
          <w:rFonts w:hAnsi="Calibri"/>
          <w:color w:val="auto"/>
          <w:kern w:val="2"/>
          <w:sz w:val="32"/>
          <w:szCs w:val="32"/>
        </w:rPr>
        <w:t>。</w:t>
      </w:r>
    </w:p>
    <w:p w14:paraId="1AB9ABAA">
      <w:pPr>
        <w:pStyle w:val="2"/>
        <w:ind w:firstLine="640"/>
        <w:rPr>
          <w:rFonts w:hint="default" w:hAnsi="Calibri"/>
          <w:color w:val="auto"/>
          <w:kern w:val="2"/>
          <w:sz w:val="32"/>
          <w:szCs w:val="32"/>
        </w:rPr>
      </w:pPr>
      <w:r>
        <w:rPr>
          <w:rFonts w:hAnsi="Calibri"/>
          <w:color w:val="auto"/>
          <w:kern w:val="2"/>
          <w:sz w:val="32"/>
          <w:szCs w:val="32"/>
        </w:rPr>
        <w:t>（2）项目的实施，为相关企业落地花都区智能装备科创产业园提供了基础条件，将极大拓展产业基地的发展空间，进一步强化产业基地的功能和作用，使相关企业在产业基地内集聚成群，</w:t>
      </w:r>
      <w:r>
        <w:rPr>
          <w:rFonts w:hAnsi="Calibri"/>
          <w:b/>
          <w:color w:val="auto"/>
          <w:kern w:val="2"/>
          <w:sz w:val="32"/>
          <w:szCs w:val="32"/>
        </w:rPr>
        <w:t>形成群体优势，产生集聚效应和辐射带动效应</w:t>
      </w:r>
      <w:r>
        <w:rPr>
          <w:rFonts w:hAnsi="Calibri"/>
          <w:color w:val="auto"/>
          <w:kern w:val="2"/>
          <w:sz w:val="32"/>
          <w:szCs w:val="32"/>
        </w:rPr>
        <w:t>，通过</w:t>
      </w:r>
      <w:r>
        <w:rPr>
          <w:rFonts w:hAnsi="Calibri"/>
          <w:b/>
          <w:color w:val="auto"/>
          <w:kern w:val="2"/>
          <w:sz w:val="32"/>
          <w:szCs w:val="32"/>
        </w:rPr>
        <w:t>产业链条的拉长、地方税收的增加、土地的增值、创造就业机会</w:t>
      </w:r>
      <w:r>
        <w:rPr>
          <w:rFonts w:hAnsi="Calibri"/>
          <w:color w:val="auto"/>
          <w:kern w:val="2"/>
          <w:sz w:val="32"/>
          <w:szCs w:val="32"/>
        </w:rPr>
        <w:t>等，</w:t>
      </w:r>
      <w:r>
        <w:rPr>
          <w:rFonts w:hAnsi="Calibri"/>
          <w:b/>
          <w:color w:val="auto"/>
          <w:kern w:val="2"/>
          <w:sz w:val="32"/>
          <w:szCs w:val="32"/>
        </w:rPr>
        <w:t>有效拉动</w:t>
      </w:r>
      <w:r>
        <w:rPr>
          <w:rFonts w:asciiTheme="minorHAnsi" w:hAnsiTheme="minorHAnsi"/>
          <w:b/>
          <w:color w:val="auto"/>
          <w:kern w:val="2"/>
          <w:sz w:val="32"/>
          <w:szCs w:val="32"/>
        </w:rPr>
        <w:t>当地</w:t>
      </w:r>
      <w:r>
        <w:rPr>
          <w:rFonts w:hAnsi="Calibri"/>
          <w:b/>
          <w:color w:val="auto"/>
          <w:kern w:val="2"/>
          <w:sz w:val="32"/>
          <w:szCs w:val="32"/>
        </w:rPr>
        <w:t>经济的增长</w:t>
      </w:r>
      <w:r>
        <w:rPr>
          <w:rFonts w:hAnsi="Calibri"/>
          <w:color w:val="auto"/>
          <w:kern w:val="2"/>
          <w:sz w:val="32"/>
          <w:szCs w:val="32"/>
        </w:rPr>
        <w:t>。</w:t>
      </w:r>
    </w:p>
    <w:p w14:paraId="6A309E8A">
      <w:pPr>
        <w:pStyle w:val="2"/>
        <w:ind w:firstLine="640"/>
        <w:rPr>
          <w:rFonts w:hint="default" w:asciiTheme="minorHAnsi" w:hAnsiTheme="minorHAnsi"/>
          <w:color w:val="auto"/>
          <w:kern w:val="2"/>
          <w:sz w:val="32"/>
          <w:szCs w:val="32"/>
        </w:rPr>
      </w:pPr>
      <w:r>
        <w:rPr>
          <w:rFonts w:hAnsi="Calibri"/>
          <w:color w:val="auto"/>
          <w:kern w:val="2"/>
          <w:sz w:val="32"/>
          <w:szCs w:val="32"/>
        </w:rPr>
        <w:t>（3）本项目有利于调整区域生产力布局，提高项目地在先进制造产业领域的生产能力，优化地区产业结构，</w:t>
      </w:r>
      <w:r>
        <w:rPr>
          <w:rFonts w:hAnsi="Calibri"/>
          <w:b/>
          <w:color w:val="auto"/>
          <w:kern w:val="2"/>
          <w:sz w:val="32"/>
          <w:szCs w:val="32"/>
        </w:rPr>
        <w:t>实现经济可持续发展</w:t>
      </w:r>
      <w:r>
        <w:rPr>
          <w:rFonts w:hAnsi="Calibri"/>
          <w:color w:val="auto"/>
          <w:kern w:val="2"/>
          <w:sz w:val="32"/>
          <w:szCs w:val="32"/>
        </w:rPr>
        <w:t>。有助于花都区</w:t>
      </w:r>
      <w:r>
        <w:rPr>
          <w:rFonts w:hAnsi="Calibri"/>
          <w:b/>
          <w:color w:val="auto"/>
          <w:kern w:val="2"/>
          <w:sz w:val="32"/>
          <w:szCs w:val="32"/>
        </w:rPr>
        <w:t>优化资源配置，发展创新型、开放型城市经济</w:t>
      </w:r>
      <w:r>
        <w:rPr>
          <w:rFonts w:hAnsi="Calibri"/>
          <w:color w:val="auto"/>
          <w:kern w:val="2"/>
          <w:sz w:val="32"/>
          <w:szCs w:val="32"/>
        </w:rPr>
        <w:t>。</w:t>
      </w:r>
    </w:p>
    <w:p w14:paraId="47CABE68">
      <w:pPr>
        <w:pStyle w:val="2"/>
        <w:ind w:firstLine="640"/>
        <w:rPr>
          <w:rFonts w:hint="default" w:asciiTheme="minorHAnsi" w:hAnsiTheme="minorHAnsi"/>
          <w:color w:val="auto"/>
          <w:kern w:val="2"/>
          <w:sz w:val="32"/>
          <w:szCs w:val="32"/>
        </w:rPr>
      </w:pPr>
      <w:r>
        <w:rPr>
          <w:rFonts w:hAnsi="Calibri"/>
          <w:color w:val="auto"/>
          <w:kern w:val="2"/>
          <w:sz w:val="32"/>
          <w:szCs w:val="32"/>
        </w:rPr>
        <w:t>（4）项目建设是资源合理利用和优化产业结构的需要。本项目依托花都区智能装备科创产业园区位优势和产业化优势，通过优化和调整产业结构，</w:t>
      </w:r>
      <w:r>
        <w:rPr>
          <w:rFonts w:hAnsi="Calibri"/>
          <w:b/>
          <w:color w:val="auto"/>
          <w:kern w:val="2"/>
          <w:sz w:val="32"/>
          <w:szCs w:val="32"/>
        </w:rPr>
        <w:t>推进</w:t>
      </w:r>
      <w:r>
        <w:rPr>
          <w:rFonts w:asciiTheme="minorHAnsi" w:hAnsiTheme="minorHAnsi"/>
          <w:b/>
          <w:color w:val="auto"/>
          <w:kern w:val="2"/>
          <w:sz w:val="32"/>
          <w:szCs w:val="32"/>
        </w:rPr>
        <w:t>先进制造</w:t>
      </w:r>
      <w:r>
        <w:rPr>
          <w:rFonts w:hAnsi="Calibri"/>
          <w:b/>
          <w:color w:val="auto"/>
          <w:kern w:val="2"/>
          <w:sz w:val="32"/>
          <w:szCs w:val="32"/>
        </w:rPr>
        <w:t>产业的深入发展，实现促进地方经济发展的目的</w:t>
      </w:r>
      <w:r>
        <w:rPr>
          <w:rFonts w:hAnsi="Calibri"/>
          <w:color w:val="auto"/>
          <w:kern w:val="2"/>
          <w:sz w:val="32"/>
          <w:szCs w:val="32"/>
        </w:rPr>
        <w:t>。项目实施后，能够有效延伸产业链条，并</w:t>
      </w:r>
      <w:r>
        <w:rPr>
          <w:rFonts w:hAnsi="Calibri"/>
          <w:b/>
          <w:color w:val="auto"/>
          <w:kern w:val="2"/>
          <w:sz w:val="32"/>
          <w:szCs w:val="32"/>
        </w:rPr>
        <w:t>带动相关配套产业发展，对当地经济结构调整和经济协调发展意义重大</w:t>
      </w:r>
      <w:r>
        <w:rPr>
          <w:rFonts w:hAnsi="Calibri"/>
          <w:color w:val="auto"/>
          <w:kern w:val="2"/>
          <w:sz w:val="32"/>
          <w:szCs w:val="32"/>
        </w:rPr>
        <w:t>。</w:t>
      </w:r>
    </w:p>
    <w:p w14:paraId="01911118">
      <w:pPr>
        <w:pStyle w:val="2"/>
        <w:ind w:firstLine="640"/>
        <w:rPr>
          <w:rFonts w:hint="default" w:asciiTheme="minorHAnsi" w:hAnsiTheme="minorHAnsi"/>
          <w:color w:val="auto"/>
          <w:kern w:val="2"/>
          <w:sz w:val="32"/>
          <w:szCs w:val="32"/>
        </w:rPr>
      </w:pPr>
      <w:r>
        <w:rPr>
          <w:rFonts w:hAnsi="Calibri"/>
          <w:color w:val="auto"/>
          <w:kern w:val="2"/>
          <w:sz w:val="32"/>
          <w:szCs w:val="32"/>
        </w:rPr>
        <w:t>（5）项目的实施有利于促进劳动力、资金、技术的合理流动，可以充分吸引当地闲散劳力参与，带动建筑、建材、交通运输等相关行业的发展，推动民生及社会事业投资，</w:t>
      </w:r>
      <w:r>
        <w:rPr>
          <w:rFonts w:hAnsi="Calibri"/>
          <w:b/>
          <w:color w:val="auto"/>
          <w:kern w:val="2"/>
          <w:sz w:val="32"/>
          <w:szCs w:val="32"/>
        </w:rPr>
        <w:t>增加当地居民的就业机会，提高收入，促进消费，拉动地方国民经济的增长</w:t>
      </w:r>
      <w:r>
        <w:rPr>
          <w:rFonts w:hAnsi="Calibri"/>
          <w:color w:val="auto"/>
          <w:kern w:val="2"/>
          <w:sz w:val="32"/>
          <w:szCs w:val="32"/>
        </w:rPr>
        <w:t>。</w:t>
      </w:r>
    </w:p>
    <w:p w14:paraId="2C9DAD6B">
      <w:pPr>
        <w:pStyle w:val="2"/>
        <w:ind w:firstLine="640"/>
        <w:rPr>
          <w:rFonts w:hint="default" w:asciiTheme="minorHAnsi" w:hAnsiTheme="minorHAnsi"/>
          <w:color w:val="auto"/>
          <w:kern w:val="2"/>
          <w:sz w:val="32"/>
          <w:szCs w:val="32"/>
        </w:rPr>
      </w:pPr>
    </w:p>
    <w:p w14:paraId="3812A396">
      <w:pPr>
        <w:pStyle w:val="5"/>
        <w:spacing w:before="156" w:beforeLines="50" w:after="156" w:afterLines="50"/>
        <w:ind w:firstLine="643"/>
        <w:rPr>
          <w:rFonts w:hint="eastAsia" w:ascii="仿宋_GB2312" w:hAnsi="仿宋_GB2312" w:eastAsia="仿宋_GB2312" w:cs="仿宋_GB2312"/>
          <w:color w:val="auto"/>
          <w:sz w:val="32"/>
        </w:rPr>
      </w:pPr>
      <w:bookmarkStart w:id="40" w:name="_Toc174657280"/>
      <w:r>
        <w:rPr>
          <w:rFonts w:hint="eastAsia" w:ascii="仿宋_GB2312" w:hAnsi="仿宋_GB2312" w:eastAsia="仿宋_GB2312" w:cs="仿宋_GB2312"/>
          <w:color w:val="auto"/>
          <w:sz w:val="32"/>
        </w:rPr>
        <w:t>（三）社会效益分析</w:t>
      </w:r>
      <w:bookmarkEnd w:id="38"/>
      <w:bookmarkEnd w:id="39"/>
      <w:bookmarkEnd w:id="40"/>
    </w:p>
    <w:p w14:paraId="621ED4FE">
      <w:pPr>
        <w:pStyle w:val="2"/>
        <w:ind w:firstLine="640"/>
        <w:rPr>
          <w:rFonts w:hint="default" w:asciiTheme="minorHAnsi" w:hAnsiTheme="minorHAnsi"/>
          <w:color w:val="auto"/>
          <w:kern w:val="2"/>
          <w:sz w:val="32"/>
          <w:szCs w:val="32"/>
        </w:rPr>
      </w:pPr>
      <w:r>
        <w:rPr>
          <w:rFonts w:hAnsi="Calibri"/>
          <w:color w:val="auto"/>
          <w:kern w:val="2"/>
          <w:sz w:val="32"/>
          <w:szCs w:val="32"/>
        </w:rPr>
        <w:t>（1）</w:t>
      </w:r>
      <w:r>
        <w:rPr>
          <w:rFonts w:asciiTheme="minorHAnsi" w:hAnsiTheme="minorHAnsi"/>
          <w:color w:val="auto"/>
          <w:kern w:val="2"/>
          <w:sz w:val="32"/>
          <w:szCs w:val="32"/>
        </w:rPr>
        <w:t>项目的建设是</w:t>
      </w:r>
      <w:r>
        <w:rPr>
          <w:rFonts w:asciiTheme="minorHAnsi" w:hAnsiTheme="minorHAnsi"/>
          <w:b/>
          <w:color w:val="auto"/>
          <w:kern w:val="2"/>
          <w:sz w:val="32"/>
          <w:szCs w:val="32"/>
        </w:rPr>
        <w:t>贯彻落实产业联动重大战略部署的需要</w:t>
      </w:r>
      <w:r>
        <w:rPr>
          <w:rFonts w:hAnsi="Calibri"/>
          <w:color w:val="auto"/>
          <w:kern w:val="2"/>
          <w:sz w:val="32"/>
          <w:szCs w:val="32"/>
        </w:rPr>
        <w:t>。</w:t>
      </w:r>
      <w:r>
        <w:rPr>
          <w:rFonts w:asciiTheme="minorHAnsi" w:hAnsiTheme="minorHAnsi"/>
          <w:color w:val="auto"/>
          <w:kern w:val="2"/>
          <w:sz w:val="32"/>
          <w:szCs w:val="32"/>
        </w:rPr>
        <w:t>建设粤港澳大湾区是习近平总书记亲自谋划、亲自部署、亲自推动的国家重大战略。</w:t>
      </w:r>
      <w:r>
        <w:rPr>
          <w:rFonts w:ascii="仿宋" w:hAnsi="仿宋" w:eastAsia="仿宋"/>
          <w:color w:val="auto"/>
          <w:kern w:val="2"/>
          <w:sz w:val="32"/>
          <w:szCs w:val="32"/>
        </w:rPr>
        <w:t>2019年2月18</w:t>
      </w:r>
      <w:r>
        <w:rPr>
          <w:rFonts w:asciiTheme="minorHAnsi" w:hAnsiTheme="minorHAnsi"/>
          <w:color w:val="auto"/>
          <w:kern w:val="2"/>
          <w:sz w:val="32"/>
          <w:szCs w:val="32"/>
        </w:rPr>
        <w:t xml:space="preserve">日，中共中央、国务院公布《粤港澳大湾区发展规划纲要》明确指出，以香港、澳门、广州、深圳四大中心城市作为区域发展的核心引擎，继续发挥比较优势做优做强，增强对周边区域发展的辐射带动作用。要求广州充分发挥国家中心城市和综合性门户城市引领作用，全面增强国际商贸中心、综合交通枢纽功能，培育提升科技教育文化中心功能，着力建设国际大都市。 </w:t>
      </w:r>
    </w:p>
    <w:p w14:paraId="3B0E8A21">
      <w:pPr>
        <w:pStyle w:val="2"/>
        <w:ind w:firstLine="640"/>
        <w:rPr>
          <w:rFonts w:hint="default" w:asciiTheme="minorHAnsi" w:hAnsiTheme="minorHAnsi"/>
          <w:color w:val="auto"/>
          <w:kern w:val="2"/>
          <w:sz w:val="32"/>
          <w:szCs w:val="32"/>
        </w:rPr>
      </w:pPr>
      <w:r>
        <w:rPr>
          <w:rFonts w:asciiTheme="minorHAnsi" w:hAnsiTheme="minorHAnsi"/>
          <w:color w:val="auto"/>
          <w:kern w:val="2"/>
          <w:sz w:val="32"/>
          <w:szCs w:val="32"/>
        </w:rPr>
        <w:t>本项目的建设，是落细落实顶层设计的需要，进一步优化公共服务设施和基础设施配套布局，促进区域产业联动，产学研联动，聚焦数字经济+先进制造业培育产业新功能，聚集先进制造业提速升级，</w:t>
      </w:r>
      <w:r>
        <w:rPr>
          <w:rFonts w:asciiTheme="minorHAnsi" w:hAnsiTheme="minorHAnsi"/>
          <w:b/>
          <w:color w:val="auto"/>
          <w:kern w:val="2"/>
          <w:sz w:val="32"/>
          <w:szCs w:val="32"/>
        </w:rPr>
        <w:t>打造广州市花都区工业发展新增长点</w:t>
      </w:r>
      <w:r>
        <w:rPr>
          <w:rFonts w:asciiTheme="minorHAnsi" w:hAnsiTheme="minorHAnsi"/>
          <w:color w:val="auto"/>
          <w:kern w:val="2"/>
          <w:sz w:val="32"/>
          <w:szCs w:val="32"/>
        </w:rPr>
        <w:t>，提升区域竞争力，</w:t>
      </w:r>
      <w:r>
        <w:rPr>
          <w:rFonts w:asciiTheme="minorHAnsi" w:hAnsiTheme="minorHAnsi"/>
          <w:b/>
          <w:color w:val="auto"/>
          <w:kern w:val="2"/>
          <w:sz w:val="32"/>
          <w:szCs w:val="32"/>
        </w:rPr>
        <w:t>强化广州市在粤港澳大湾区建设过程中的核心引擎作用，激发枢纽经济效应</w:t>
      </w:r>
      <w:r>
        <w:rPr>
          <w:rFonts w:hAnsi="Calibri"/>
          <w:color w:val="auto"/>
          <w:kern w:val="2"/>
          <w:sz w:val="32"/>
          <w:szCs w:val="32"/>
        </w:rPr>
        <w:t>。</w:t>
      </w:r>
    </w:p>
    <w:p w14:paraId="04301912">
      <w:pPr>
        <w:pStyle w:val="2"/>
        <w:ind w:firstLine="640"/>
        <w:rPr>
          <w:rFonts w:hint="default" w:hAnsi="Calibri"/>
          <w:color w:val="auto"/>
          <w:kern w:val="2"/>
          <w:sz w:val="32"/>
          <w:szCs w:val="32"/>
        </w:rPr>
      </w:pPr>
      <w:r>
        <w:rPr>
          <w:rFonts w:hAnsi="Calibri"/>
          <w:color w:val="auto"/>
          <w:kern w:val="2"/>
          <w:sz w:val="32"/>
          <w:szCs w:val="32"/>
        </w:rPr>
        <w:t>（2）本项目的实施，是</w:t>
      </w:r>
      <w:r>
        <w:rPr>
          <w:rFonts w:hAnsi="Calibri"/>
          <w:b/>
          <w:color w:val="auto"/>
          <w:kern w:val="2"/>
          <w:sz w:val="32"/>
          <w:szCs w:val="32"/>
        </w:rPr>
        <w:t>贯彻国家实施创新驱动发展战略的重要举措</w:t>
      </w:r>
      <w:r>
        <w:rPr>
          <w:rFonts w:hAnsi="Calibri"/>
          <w:color w:val="auto"/>
          <w:kern w:val="2"/>
          <w:sz w:val="32"/>
          <w:szCs w:val="32"/>
        </w:rPr>
        <w:t>，也是</w:t>
      </w:r>
      <w:r>
        <w:rPr>
          <w:rFonts w:hAnsi="Calibri"/>
          <w:b/>
          <w:color w:val="auto"/>
          <w:kern w:val="2"/>
          <w:sz w:val="32"/>
          <w:szCs w:val="32"/>
        </w:rPr>
        <w:t>落实</w:t>
      </w:r>
      <w:r>
        <w:rPr>
          <w:rFonts w:asciiTheme="minorHAnsi" w:hAnsiTheme="minorHAnsi"/>
          <w:b/>
          <w:color w:val="auto"/>
          <w:kern w:val="2"/>
          <w:sz w:val="32"/>
          <w:szCs w:val="32"/>
        </w:rPr>
        <w:t>广州市</w:t>
      </w:r>
      <w:r>
        <w:rPr>
          <w:rFonts w:hAnsi="Calibri"/>
          <w:b/>
          <w:color w:val="auto"/>
          <w:kern w:val="2"/>
          <w:sz w:val="32"/>
          <w:szCs w:val="32"/>
        </w:rPr>
        <w:t>构建区域创新发展新格局、培育智能装备产业集群的具体实践</w:t>
      </w:r>
      <w:r>
        <w:rPr>
          <w:rFonts w:hAnsi="Calibri"/>
          <w:color w:val="auto"/>
          <w:kern w:val="2"/>
          <w:sz w:val="32"/>
          <w:szCs w:val="32"/>
        </w:rPr>
        <w:t>，对于广州市打造具有国际竞争力的科技创新强市、先进制造业强市和粤港澳大湾区区域发展核心引擎有重要意义。</w:t>
      </w:r>
    </w:p>
    <w:p w14:paraId="443E83DB">
      <w:pPr>
        <w:pStyle w:val="2"/>
        <w:ind w:firstLine="640"/>
        <w:rPr>
          <w:rFonts w:hint="default" w:hAnsi="Calibri"/>
          <w:color w:val="auto"/>
          <w:kern w:val="2"/>
          <w:sz w:val="32"/>
          <w:szCs w:val="32"/>
        </w:rPr>
      </w:pPr>
      <w:r>
        <w:rPr>
          <w:rFonts w:hAnsi="Calibri"/>
          <w:color w:val="auto"/>
          <w:kern w:val="2"/>
          <w:sz w:val="32"/>
          <w:szCs w:val="32"/>
        </w:rPr>
        <w:t>（3）项目的实施将进一步推动广州市以其独特的区位优势、富集配套的资源、雄厚的经济基础、突出的产业特色以及广阔的发展前景，在大湾区建设中发挥着积极而显著的作用，</w:t>
      </w:r>
      <w:r>
        <w:rPr>
          <w:rFonts w:hAnsi="Calibri"/>
          <w:b/>
          <w:color w:val="auto"/>
          <w:kern w:val="2"/>
          <w:sz w:val="32"/>
          <w:szCs w:val="32"/>
        </w:rPr>
        <w:t>助力广州市建设更具竞争力的现代产业体系，打造先进制造业强市</w:t>
      </w:r>
      <w:r>
        <w:rPr>
          <w:rFonts w:hAnsi="Calibri"/>
          <w:color w:val="auto"/>
          <w:kern w:val="2"/>
          <w:sz w:val="32"/>
          <w:szCs w:val="32"/>
        </w:rPr>
        <w:t>和现代服务业强市。</w:t>
      </w:r>
    </w:p>
    <w:p w14:paraId="2D554ADE">
      <w:pPr>
        <w:pStyle w:val="2"/>
        <w:ind w:firstLine="640"/>
        <w:rPr>
          <w:rFonts w:hint="default" w:hAnsi="Calibri"/>
          <w:color w:val="auto"/>
          <w:kern w:val="2"/>
          <w:sz w:val="32"/>
          <w:szCs w:val="32"/>
        </w:rPr>
      </w:pPr>
      <w:r>
        <w:rPr>
          <w:rFonts w:hAnsi="Calibri"/>
          <w:color w:val="auto"/>
          <w:kern w:val="2"/>
          <w:sz w:val="32"/>
          <w:szCs w:val="32"/>
        </w:rPr>
        <w:t>（4）项目的建设</w:t>
      </w:r>
      <w:r>
        <w:rPr>
          <w:rFonts w:hAnsi="Calibri"/>
          <w:b/>
          <w:color w:val="auto"/>
          <w:kern w:val="2"/>
          <w:sz w:val="32"/>
          <w:szCs w:val="32"/>
        </w:rPr>
        <w:t>是花都区发展经济和实现产业升级的迫切需要</w:t>
      </w:r>
      <w:r>
        <w:rPr>
          <w:rFonts w:hAnsi="Calibri"/>
          <w:color w:val="auto"/>
          <w:kern w:val="2"/>
          <w:sz w:val="32"/>
          <w:szCs w:val="32"/>
        </w:rPr>
        <w:t>。智能装备产业已成为区域经济发展的先导性产业，对于区域经济具有重要的推动与支撑作用，更是区域综合竞争力的重要体现。“十四五”期间，花都区的发展目标是</w:t>
      </w:r>
      <w:r>
        <w:rPr>
          <w:rFonts w:cs="仿宋_GB2312" w:asciiTheme="minorHAnsi" w:hAnsiTheme="minorHAnsi"/>
          <w:b/>
          <w:color w:val="auto"/>
          <w:sz w:val="32"/>
          <w:szCs w:val="32"/>
        </w:rPr>
        <w:t>构建先进制造业和现代服务业双轮驱动的更具竞争力的现代产业体系，打造品质花都</w:t>
      </w:r>
      <w:r>
        <w:rPr>
          <w:rStyle w:val="41"/>
          <w:color w:val="auto"/>
        </w:rPr>
        <w:t>。</w:t>
      </w:r>
      <w:r>
        <w:rPr>
          <w:rFonts w:hAnsi="Calibri"/>
          <w:color w:val="auto"/>
          <w:kern w:val="2"/>
          <w:sz w:val="32"/>
          <w:szCs w:val="32"/>
        </w:rPr>
        <w:t>项目的大力发展，可以促使花都区产业升级，提升城市的综合竞争力水平。</w:t>
      </w:r>
    </w:p>
    <w:p w14:paraId="3C25E61D">
      <w:pPr>
        <w:pStyle w:val="2"/>
        <w:ind w:firstLine="640"/>
        <w:rPr>
          <w:rFonts w:hint="default" w:hAnsi="Calibri"/>
          <w:color w:val="auto"/>
          <w:kern w:val="2"/>
          <w:sz w:val="32"/>
          <w:szCs w:val="32"/>
        </w:rPr>
      </w:pPr>
      <w:r>
        <w:rPr>
          <w:rFonts w:hAnsi="Calibri"/>
          <w:color w:val="auto"/>
          <w:kern w:val="2"/>
          <w:sz w:val="32"/>
          <w:szCs w:val="32"/>
        </w:rPr>
        <w:t>（5）推动基础设施建设，改善当地群众的就业、收入及生活水平。项目实施过程中，工程建设需要大量的建筑工人和一定量的管理人员，可以为项目地居民提供一些短期就业岗位；项目建成后运营期间可以提供更多的工作岗位，为下岗、失业人员提供就业机会。因此，本项目可以</w:t>
      </w:r>
      <w:r>
        <w:rPr>
          <w:rFonts w:hAnsi="Calibri"/>
          <w:b/>
          <w:color w:val="auto"/>
          <w:kern w:val="2"/>
          <w:sz w:val="32"/>
          <w:szCs w:val="32"/>
        </w:rPr>
        <w:t>增强公共就业服务能力，维护劳动者平等就业权利，营造构建和谐劳动关系的良好环境</w:t>
      </w:r>
      <w:r>
        <w:rPr>
          <w:rFonts w:hAnsi="Calibri"/>
          <w:color w:val="auto"/>
          <w:kern w:val="2"/>
          <w:sz w:val="32"/>
          <w:szCs w:val="32"/>
        </w:rPr>
        <w:t>。</w:t>
      </w:r>
    </w:p>
    <w:p w14:paraId="098A7498">
      <w:pPr>
        <w:pStyle w:val="2"/>
        <w:ind w:firstLine="480"/>
        <w:rPr>
          <w:color w:val="auto"/>
        </w:rPr>
      </w:pPr>
    </w:p>
    <w:p w14:paraId="17581BFB">
      <w:pPr>
        <w:pStyle w:val="4"/>
        <w:adjustRightInd w:val="0"/>
        <w:snapToGrid w:val="0"/>
        <w:spacing w:before="156" w:beforeLines="50"/>
        <w:ind w:firstLine="640"/>
        <w:rPr>
          <w:rFonts w:hint="eastAsia" w:ascii="黑体" w:hAnsi="黑体" w:eastAsia="黑体" w:cs="黑体"/>
          <w:color w:val="auto"/>
          <w:kern w:val="0"/>
          <w:sz w:val="32"/>
          <w:szCs w:val="32"/>
        </w:rPr>
      </w:pPr>
      <w:bookmarkStart w:id="41" w:name="_Toc8795"/>
      <w:bookmarkStart w:id="42" w:name="_Toc21476"/>
      <w:bookmarkStart w:id="43" w:name="_Toc174657281"/>
      <w:bookmarkStart w:id="44" w:name="_Toc17294"/>
      <w:bookmarkStart w:id="45" w:name="_Toc7352"/>
      <w:bookmarkStart w:id="46" w:name="_Toc10404"/>
      <w:bookmarkStart w:id="47" w:name="_Toc3477"/>
      <w:bookmarkStart w:id="48" w:name="_Toc29852"/>
      <w:bookmarkStart w:id="49" w:name="_Toc19682"/>
      <w:r>
        <w:rPr>
          <w:rFonts w:hint="eastAsia" w:ascii="黑体" w:hAnsi="黑体" w:eastAsia="黑体" w:cs="黑体"/>
          <w:color w:val="auto"/>
          <w:kern w:val="0"/>
          <w:sz w:val="32"/>
          <w:szCs w:val="32"/>
        </w:rPr>
        <w:t>三、项目投资估算、资金筹措方案及使用计划</w:t>
      </w:r>
      <w:bookmarkEnd w:id="41"/>
      <w:bookmarkEnd w:id="42"/>
      <w:bookmarkEnd w:id="43"/>
      <w:bookmarkEnd w:id="44"/>
      <w:bookmarkEnd w:id="45"/>
      <w:bookmarkEnd w:id="46"/>
      <w:bookmarkEnd w:id="47"/>
      <w:bookmarkEnd w:id="48"/>
      <w:bookmarkEnd w:id="49"/>
    </w:p>
    <w:p w14:paraId="2A3634DE">
      <w:pPr>
        <w:pStyle w:val="5"/>
        <w:spacing w:before="156" w:beforeLines="50" w:after="156" w:afterLines="50"/>
        <w:ind w:firstLine="643"/>
        <w:rPr>
          <w:rFonts w:hint="eastAsia" w:ascii="仿宋_GB2312" w:hAnsi="仿宋_GB2312" w:eastAsia="仿宋_GB2312" w:cs="仿宋_GB2312"/>
          <w:color w:val="auto"/>
          <w:sz w:val="32"/>
        </w:rPr>
      </w:pPr>
      <w:bookmarkStart w:id="50" w:name="_Toc174657282"/>
      <w:bookmarkStart w:id="51" w:name="_Toc16321"/>
      <w:bookmarkStart w:id="52" w:name="_Toc32572"/>
      <w:bookmarkStart w:id="53" w:name="_Toc30249"/>
      <w:bookmarkStart w:id="54" w:name="_Toc20317"/>
      <w:r>
        <w:rPr>
          <w:rFonts w:hint="eastAsia" w:ascii="仿宋_GB2312" w:hAnsi="仿宋_GB2312" w:eastAsia="仿宋_GB2312" w:cs="仿宋_GB2312"/>
          <w:color w:val="auto"/>
          <w:sz w:val="32"/>
        </w:rPr>
        <w:t>（一）投资估算</w:t>
      </w:r>
      <w:bookmarkEnd w:id="50"/>
    </w:p>
    <w:p w14:paraId="7C96E377">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1.编制依据及原则</w:t>
      </w:r>
    </w:p>
    <w:p w14:paraId="16F7CB6F">
      <w:pPr>
        <w:adjustRightInd w:val="0"/>
        <w:snapToGrid w:val="0"/>
        <w:spacing w:line="360" w:lineRule="auto"/>
        <w:ind w:firstLine="640" w:firstLineChars="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⑴《市政工程投资估算编制办法》(建设部建标〔2023〕164号)。</w:t>
      </w:r>
    </w:p>
    <w:p w14:paraId="3B4414CD">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⑵《市政工程投资估算指标》(建设部建标〔2007〕163号、240号)。</w:t>
      </w:r>
    </w:p>
    <w:p w14:paraId="3DDECE25">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⑶《市政公用工程设计文件编制深度规定(2013年版)》(建质〔2013〕57号)。</w:t>
      </w:r>
    </w:p>
    <w:p w14:paraId="27973AD5">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⑷《建设工程工程量清单计价规范》（DL/T 5745-2021）。</w:t>
      </w:r>
    </w:p>
    <w:p w14:paraId="6FB8CB9A">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⑸《广东省建设工程计价依据（2018）》《广东省房屋建筑与装饰工程综合定额（2018）》《广东省市政工程综合定额（2018）》《广东省通用安装工程综合定额（2018）》《广东省建设工程施工机具台班费用编制规则（2018）》。</w:t>
      </w:r>
    </w:p>
    <w:p w14:paraId="3C3CFE79">
      <w:pPr>
        <w:adjustRightInd w:val="0"/>
        <w:snapToGrid w:val="0"/>
        <w:spacing w:line="360" w:lineRule="auto"/>
        <w:ind w:firstLine="640"/>
        <w:jc w:val="both"/>
        <w:rPr>
          <w:color w:val="auto"/>
        </w:rPr>
      </w:pPr>
      <w:r>
        <w:rPr>
          <w:rFonts w:hint="eastAsia" w:ascii="仿宋_GB2312" w:hAnsi="仿宋_GB2312" w:eastAsia="仿宋_GB2312" w:cs="仿宋_GB2312"/>
          <w:color w:val="auto"/>
          <w:sz w:val="32"/>
          <w:szCs w:val="32"/>
        </w:rPr>
        <w:t>⑹其他有关法规和文件。</w:t>
      </w:r>
    </w:p>
    <w:p w14:paraId="7392DB75">
      <w:pPr>
        <w:adjustRightInd w:val="0"/>
        <w:snapToGrid w:val="0"/>
        <w:spacing w:line="360" w:lineRule="auto"/>
        <w:ind w:firstLine="640"/>
        <w:jc w:val="both"/>
        <w:rPr>
          <w:rFonts w:eastAsia="仿宋_GB2312" w:cs="仿宋_GB2312" w:asciiTheme="minorHAnsi" w:hAnsiTheme="minorHAnsi"/>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.项目总投资</w:t>
      </w:r>
    </w:p>
    <w:bookmarkEnd w:id="51"/>
    <w:bookmarkEnd w:id="52"/>
    <w:bookmarkEnd w:id="53"/>
    <w:bookmarkEnd w:id="54"/>
    <w:p w14:paraId="63FA1681">
      <w:pPr>
        <w:adjustRightInd w:val="0"/>
        <w:snapToGrid w:val="0"/>
        <w:spacing w:line="360" w:lineRule="auto"/>
        <w:ind w:firstLine="640"/>
        <w:jc w:val="both"/>
        <w:rPr>
          <w:rFonts w:hint="eastAsia" w:ascii="仿宋_GB2312" w:hAnsi="仿宋_GB2312" w:eastAsia="仿宋_GB2312" w:cs="仿宋_GB2312"/>
          <w:color w:val="auto"/>
          <w:sz w:val="32"/>
          <w:szCs w:val="32"/>
        </w:rPr>
      </w:pPr>
      <w:bookmarkStart w:id="55" w:name="_Hlk117980188"/>
      <w:r>
        <w:rPr>
          <w:rFonts w:hint="eastAsia" w:ascii="仿宋_GB2312" w:hAnsi="仿宋_GB2312" w:eastAsia="仿宋_GB2312" w:cs="仿宋_GB2312"/>
          <w:color w:val="auto"/>
          <w:sz w:val="32"/>
          <w:szCs w:val="32"/>
        </w:rPr>
        <w:t>本项目总投资为</w:t>
      </w:r>
      <w:r>
        <w:rPr>
          <w:rFonts w:ascii="仿宋_GB2312" w:eastAsia="仿宋_GB2312"/>
          <w:color w:val="auto"/>
          <w:sz w:val="32"/>
          <w:szCs w:val="32"/>
        </w:rPr>
        <w:t>80998.16</w:t>
      </w:r>
      <w:r>
        <w:rPr>
          <w:rFonts w:hint="eastAsia" w:ascii="仿宋_GB2312" w:hAnsi="仿宋_GB2312" w:eastAsia="仿宋_GB2312" w:cs="仿宋_GB2312"/>
          <w:color w:val="auto"/>
          <w:sz w:val="32"/>
          <w:szCs w:val="32"/>
        </w:rPr>
        <w:t>万元，具体投资构成为：</w:t>
      </w:r>
      <w:r>
        <w:rPr>
          <w:rFonts w:ascii="仿宋_GB2312" w:hAnsi="仿宋_GB2312" w:eastAsia="仿宋_GB2312"/>
          <w:color w:val="auto"/>
          <w:sz w:val="32"/>
          <w:szCs w:val="32"/>
        </w:rPr>
        <w:t>工程费用67410.31万元，工程建设其他费9730.79万元，预备费3857.06万元</w:t>
      </w:r>
      <w:r>
        <w:rPr>
          <w:rFonts w:hint="eastAsia" w:ascii="仿宋_GB2312" w:hAnsi="仿宋_GB2312" w:eastAsia="仿宋_GB2312" w:cs="仿宋_GB2312"/>
          <w:color w:val="auto"/>
          <w:sz w:val="32"/>
          <w:szCs w:val="32"/>
        </w:rPr>
        <w:t>。</w:t>
      </w:r>
    </w:p>
    <w:p w14:paraId="1BCDADBA">
      <w:pPr>
        <w:pStyle w:val="7"/>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宋体" w:eastAsia="仿宋_GB2312" w:cs="Times New Roman"/>
          <w:color w:val="auto"/>
          <w:sz w:val="32"/>
          <w:szCs w:val="32"/>
          <w:lang w:val="en-US" w:eastAsia="zh-CN" w:bidi="ar-SA"/>
        </w:rPr>
      </w:pPr>
    </w:p>
    <w:p w14:paraId="00BF2A31">
      <w:pPr>
        <w:pStyle w:val="7"/>
        <w:keepNext w:val="0"/>
        <w:keepLines w:val="0"/>
        <w:pageBreakBefore w:val="0"/>
        <w:widowControl/>
        <w:kinsoku/>
        <w:wordWrap/>
        <w:overflowPunct/>
        <w:topLinePunct w:val="0"/>
        <w:autoSpaceDE/>
        <w:autoSpaceDN/>
        <w:bidi w:val="0"/>
        <w:adjustRightInd/>
        <w:snapToGrid/>
        <w:spacing w:line="560" w:lineRule="exact"/>
        <w:ind w:left="0" w:leftChars="0" w:firstLine="0" w:firstLineChars="0"/>
        <w:jc w:val="center"/>
        <w:textAlignment w:val="auto"/>
        <w:rPr>
          <w:rFonts w:hint="default" w:ascii="仿宋_GB2312" w:hAnsi="宋体" w:eastAsia="仿宋_GB2312" w:cs="Times New Roman"/>
          <w:color w:val="auto"/>
          <w:sz w:val="32"/>
          <w:szCs w:val="32"/>
          <w:lang w:val="en-US" w:eastAsia="zh-CN" w:bidi="ar-SA"/>
        </w:rPr>
      </w:pPr>
      <w:bookmarkStart w:id="108" w:name="_GoBack"/>
      <w:bookmarkEnd w:id="108"/>
      <w:r>
        <w:rPr>
          <w:rFonts w:hint="default" w:ascii="仿宋_GB2312" w:hAnsi="宋体" w:eastAsia="仿宋_GB2312" w:cs="Times New Roman"/>
          <w:color w:val="auto"/>
          <w:sz w:val="32"/>
          <w:szCs w:val="32"/>
          <w:lang w:val="en-US" w:eastAsia="zh-CN" w:bidi="ar-SA"/>
        </w:rPr>
        <w:t>表</w:t>
      </w:r>
      <w:r>
        <w:rPr>
          <w:rFonts w:hint="eastAsia" w:ascii="仿宋_GB2312" w:hAnsi="宋体" w:eastAsia="仿宋_GB2312" w:cs="Times New Roman"/>
          <w:color w:val="auto"/>
          <w:sz w:val="32"/>
          <w:szCs w:val="32"/>
          <w:lang w:val="en-US" w:eastAsia="zh-CN" w:bidi="ar-SA"/>
        </w:rPr>
        <w:t xml:space="preserve">3 </w:t>
      </w:r>
      <w:r>
        <w:rPr>
          <w:rFonts w:hint="default" w:ascii="仿宋_GB2312" w:hAnsi="宋体" w:eastAsia="仿宋_GB2312" w:cs="Times New Roman"/>
          <w:color w:val="auto"/>
          <w:sz w:val="32"/>
          <w:szCs w:val="32"/>
          <w:lang w:val="en-US" w:eastAsia="zh-CN" w:bidi="ar-SA"/>
        </w:rPr>
        <w:t>项目投资估算表（单位：万元）</w:t>
      </w:r>
    </w:p>
    <w:tbl>
      <w:tblPr>
        <w:tblStyle w:val="45"/>
        <w:tblW w:w="5001" w:type="pct"/>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autofit"/>
        <w:tblCellMar>
          <w:top w:w="0" w:type="dxa"/>
          <w:left w:w="0" w:type="dxa"/>
          <w:bottom w:w="0" w:type="dxa"/>
          <w:right w:w="0" w:type="dxa"/>
        </w:tblCellMar>
      </w:tblPr>
      <w:tblGrid>
        <w:gridCol w:w="1083"/>
        <w:gridCol w:w="4210"/>
        <w:gridCol w:w="3685"/>
      </w:tblGrid>
      <w:tr w14:paraId="6947A4E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20" w:hRule="atLeast"/>
        </w:trPr>
        <w:tc>
          <w:tcPr>
            <w:tcW w:w="603" w:type="pct"/>
            <w:vAlign w:val="top"/>
          </w:tcPr>
          <w:p w14:paraId="327E4130">
            <w:pPr>
              <w:spacing w:before="208" w:line="221" w:lineRule="auto"/>
              <w:ind w:left="0" w:leftChars="0" w:firstLine="0" w:firstLineChars="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5"/>
                <w:sz w:val="24"/>
                <w:szCs w:val="24"/>
                <w:highlight w:val="none"/>
              </w:rPr>
              <w:t>序号</w:t>
            </w:r>
          </w:p>
        </w:tc>
        <w:tc>
          <w:tcPr>
            <w:tcW w:w="2343" w:type="pct"/>
            <w:vAlign w:val="top"/>
          </w:tcPr>
          <w:p w14:paraId="6CED1703">
            <w:pPr>
              <w:spacing w:before="208" w:line="218" w:lineRule="auto"/>
              <w:ind w:left="0" w:leftChars="0" w:firstLine="0" w:firstLineChars="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2"/>
                <w:sz w:val="24"/>
                <w:szCs w:val="24"/>
                <w:highlight w:val="none"/>
              </w:rPr>
              <w:t>投资估算项目名称</w:t>
            </w:r>
          </w:p>
        </w:tc>
        <w:tc>
          <w:tcPr>
            <w:tcW w:w="2052" w:type="pct"/>
            <w:vAlign w:val="top"/>
          </w:tcPr>
          <w:p w14:paraId="6FC32489">
            <w:pPr>
              <w:spacing w:before="209" w:line="219" w:lineRule="auto"/>
              <w:ind w:left="0" w:leftChars="0" w:firstLine="0" w:firstLineChars="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3"/>
                <w:sz w:val="24"/>
                <w:szCs w:val="24"/>
                <w:highlight w:val="none"/>
              </w:rPr>
              <w:t>总金额</w:t>
            </w:r>
          </w:p>
        </w:tc>
      </w:tr>
      <w:tr w14:paraId="1A575DB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9" w:hRule="atLeast"/>
        </w:trPr>
        <w:tc>
          <w:tcPr>
            <w:tcW w:w="603" w:type="pct"/>
            <w:vAlign w:val="center"/>
          </w:tcPr>
          <w:p w14:paraId="79B3862A">
            <w:pPr>
              <w:spacing w:before="182" w:line="188" w:lineRule="auto"/>
              <w:ind w:left="0" w:leftChars="0" w:firstLine="0" w:firstLineChars="0"/>
              <w:jc w:val="center"/>
              <w:rPr>
                <w:rFonts w:hint="default" w:ascii="Times New Roman" w:hAnsi="Times New Roman" w:eastAsia="Times New Roman" w:cs="Times New Roman"/>
                <w:color w:val="auto"/>
                <w:sz w:val="24"/>
                <w:szCs w:val="24"/>
                <w:highlight w:val="none"/>
              </w:rPr>
            </w:pPr>
            <w:r>
              <w:rPr>
                <w:rFonts w:hint="default" w:ascii="Times New Roman" w:hAnsi="Times New Roman" w:eastAsia="Times New Roman" w:cs="Times New Roman"/>
                <w:color w:val="auto"/>
                <w:sz w:val="24"/>
                <w:szCs w:val="24"/>
                <w:highlight w:val="none"/>
              </w:rPr>
              <w:t>1</w:t>
            </w:r>
          </w:p>
        </w:tc>
        <w:tc>
          <w:tcPr>
            <w:tcW w:w="2343" w:type="pct"/>
            <w:vAlign w:val="center"/>
          </w:tcPr>
          <w:p w14:paraId="298032EC">
            <w:pPr>
              <w:spacing w:before="140" w:line="220" w:lineRule="auto"/>
              <w:ind w:left="0" w:leftChars="0" w:firstLine="0" w:firstLineChars="0"/>
              <w:jc w:val="center"/>
              <w:rPr>
                <w:rFonts w:hint="default" w:ascii="Times New Roman" w:hAnsi="Times New Roman" w:eastAsia="宋体" w:cs="Times New Roman"/>
                <w:color w:val="auto"/>
                <w:sz w:val="24"/>
                <w:szCs w:val="24"/>
                <w:highlight w:val="none"/>
                <w:lang w:val="en-US" w:eastAsia="zh-CN"/>
              </w:rPr>
            </w:pPr>
            <w:r>
              <w:rPr>
                <w:rFonts w:hint="default" w:ascii="Times New Roman" w:hAnsi="Times New Roman" w:eastAsia="宋体" w:cs="Times New Roman"/>
                <w:color w:val="auto"/>
                <w:spacing w:val="-3"/>
                <w:sz w:val="24"/>
                <w:szCs w:val="24"/>
                <w:highlight w:val="none"/>
                <w:lang w:val="en-US" w:eastAsia="zh-CN"/>
              </w:rPr>
              <w:t>工程费用</w:t>
            </w:r>
          </w:p>
        </w:tc>
        <w:tc>
          <w:tcPr>
            <w:tcW w:w="2052" w:type="pct"/>
            <w:vAlign w:val="center"/>
          </w:tcPr>
          <w:p w14:paraId="6516EBDC">
            <w:pPr>
              <w:spacing w:before="157" w:line="188" w:lineRule="auto"/>
              <w:ind w:left="0" w:leftChars="0" w:firstLine="0" w:firstLineChars="0"/>
              <w:jc w:val="center"/>
              <w:rPr>
                <w:rFonts w:hint="default" w:ascii="Times New Roman" w:hAnsi="Times New Roman" w:eastAsia="宋体" w:cs="Times New Roman"/>
                <w:color w:val="auto"/>
                <w:spacing w:val="-2"/>
                <w:sz w:val="24"/>
                <w:szCs w:val="24"/>
                <w:highlight w:val="none"/>
                <w:lang w:val="en-US" w:eastAsia="zh-CN"/>
              </w:rPr>
            </w:pPr>
            <w:r>
              <w:rPr>
                <w:rFonts w:hint="default" w:ascii="Times New Roman" w:hAnsi="Times New Roman" w:eastAsia="宋体" w:cs="Times New Roman"/>
                <w:color w:val="auto"/>
                <w:spacing w:val="-5"/>
                <w:sz w:val="24"/>
                <w:szCs w:val="24"/>
                <w:highlight w:val="none"/>
                <w:lang w:val="en-US" w:eastAsia="zh-CN"/>
              </w:rPr>
              <w:t>67410.31</w:t>
            </w:r>
          </w:p>
        </w:tc>
      </w:tr>
      <w:tr w14:paraId="58FF223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03" w:hRule="atLeast"/>
        </w:trPr>
        <w:tc>
          <w:tcPr>
            <w:tcW w:w="603" w:type="pct"/>
            <w:vAlign w:val="center"/>
          </w:tcPr>
          <w:p w14:paraId="10AA65FA">
            <w:pPr>
              <w:spacing w:before="191" w:line="188" w:lineRule="auto"/>
              <w:ind w:left="0" w:leftChars="0" w:firstLine="0" w:firstLineChars="0"/>
              <w:jc w:val="center"/>
              <w:rPr>
                <w:rFonts w:hint="default" w:ascii="Times New Roman" w:hAnsi="Times New Roman" w:eastAsia="Times New Roman" w:cs="Times New Roman"/>
                <w:color w:val="auto"/>
                <w:sz w:val="24"/>
                <w:szCs w:val="24"/>
                <w:highlight w:val="none"/>
              </w:rPr>
            </w:pPr>
            <w:r>
              <w:rPr>
                <w:rFonts w:hint="default" w:ascii="Times New Roman" w:hAnsi="Times New Roman" w:eastAsia="Times New Roman" w:cs="Times New Roman"/>
                <w:color w:val="auto"/>
                <w:sz w:val="24"/>
                <w:szCs w:val="24"/>
                <w:highlight w:val="none"/>
              </w:rPr>
              <w:t>2</w:t>
            </w:r>
          </w:p>
        </w:tc>
        <w:tc>
          <w:tcPr>
            <w:tcW w:w="2343" w:type="pct"/>
            <w:vAlign w:val="center"/>
          </w:tcPr>
          <w:p w14:paraId="72E1F385">
            <w:pPr>
              <w:spacing w:before="149" w:line="220" w:lineRule="auto"/>
              <w:ind w:left="0" w:leftChars="0" w:firstLine="0" w:firstLineChars="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2"/>
                <w:sz w:val="24"/>
                <w:szCs w:val="24"/>
                <w:highlight w:val="none"/>
              </w:rPr>
              <w:t>工程建设其他费</w:t>
            </w:r>
          </w:p>
        </w:tc>
        <w:tc>
          <w:tcPr>
            <w:tcW w:w="2052" w:type="pct"/>
            <w:vAlign w:val="center"/>
          </w:tcPr>
          <w:p w14:paraId="7B32BBE0">
            <w:pPr>
              <w:spacing w:before="157" w:line="188" w:lineRule="auto"/>
              <w:ind w:left="0" w:leftChars="0" w:firstLine="0" w:firstLineChars="0"/>
              <w:jc w:val="center"/>
              <w:rPr>
                <w:rFonts w:hint="default" w:ascii="Times New Roman" w:hAnsi="Times New Roman" w:eastAsia="宋体" w:cs="Times New Roman"/>
                <w:color w:val="auto"/>
                <w:spacing w:val="-5"/>
                <w:sz w:val="24"/>
                <w:szCs w:val="24"/>
                <w:highlight w:val="none"/>
                <w:lang w:val="en-US" w:eastAsia="zh-CN"/>
              </w:rPr>
            </w:pPr>
            <w:r>
              <w:rPr>
                <w:rFonts w:hint="default" w:ascii="Times New Roman" w:hAnsi="Times New Roman" w:eastAsia="宋体" w:cs="Times New Roman"/>
                <w:color w:val="auto"/>
                <w:spacing w:val="-5"/>
                <w:sz w:val="24"/>
                <w:szCs w:val="24"/>
                <w:highlight w:val="none"/>
                <w:lang w:val="en-US" w:eastAsia="zh-CN"/>
              </w:rPr>
              <w:t>9730.79</w:t>
            </w:r>
          </w:p>
        </w:tc>
      </w:tr>
      <w:tr w14:paraId="0AFC8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1" w:hRule="atLeast"/>
        </w:trPr>
        <w:tc>
          <w:tcPr>
            <w:tcW w:w="603" w:type="pct"/>
            <w:vAlign w:val="center"/>
          </w:tcPr>
          <w:p w14:paraId="60DF1EBE">
            <w:pPr>
              <w:spacing w:before="159" w:line="188" w:lineRule="auto"/>
              <w:ind w:left="0" w:leftChars="0" w:firstLine="0" w:firstLineChars="0"/>
              <w:jc w:val="center"/>
              <w:rPr>
                <w:rFonts w:hint="eastAsia" w:ascii="Times New Roman" w:hAnsi="Times New Roman" w:eastAsia="宋体" w:cs="Times New Roman"/>
                <w:color w:val="auto"/>
                <w:sz w:val="24"/>
                <w:szCs w:val="24"/>
                <w:highlight w:val="none"/>
                <w:lang w:eastAsia="zh-CN"/>
              </w:rPr>
            </w:pPr>
            <w:r>
              <w:rPr>
                <w:rFonts w:hint="eastAsia" w:ascii="Times New Roman" w:hAnsi="Times New Roman" w:eastAsia="宋体" w:cs="Times New Roman"/>
                <w:color w:val="auto"/>
                <w:sz w:val="24"/>
                <w:szCs w:val="24"/>
                <w:highlight w:val="none"/>
                <w:lang w:val="en-US" w:eastAsia="zh-CN"/>
              </w:rPr>
              <w:t>3</w:t>
            </w:r>
          </w:p>
        </w:tc>
        <w:tc>
          <w:tcPr>
            <w:tcW w:w="2343" w:type="pct"/>
            <w:vAlign w:val="center"/>
          </w:tcPr>
          <w:p w14:paraId="699DA126">
            <w:pPr>
              <w:spacing w:before="118" w:line="220" w:lineRule="auto"/>
              <w:ind w:left="0" w:leftChars="0" w:firstLine="0" w:firstLineChars="0"/>
              <w:jc w:val="center"/>
              <w:rPr>
                <w:rFonts w:hint="default" w:ascii="Times New Roman" w:hAnsi="Times New Roman" w:eastAsia="宋体" w:cs="Times New Roman"/>
                <w:color w:val="auto"/>
                <w:sz w:val="24"/>
                <w:szCs w:val="24"/>
                <w:highlight w:val="none"/>
              </w:rPr>
            </w:pPr>
            <w:r>
              <w:rPr>
                <w:rFonts w:hint="default" w:ascii="Times New Roman" w:hAnsi="Times New Roman" w:eastAsia="宋体" w:cs="Times New Roman"/>
                <w:color w:val="auto"/>
                <w:spacing w:val="-4"/>
                <w:sz w:val="24"/>
                <w:szCs w:val="24"/>
                <w:highlight w:val="none"/>
              </w:rPr>
              <w:t>预备费</w:t>
            </w:r>
          </w:p>
        </w:tc>
        <w:tc>
          <w:tcPr>
            <w:tcW w:w="2052" w:type="pct"/>
            <w:vAlign w:val="center"/>
          </w:tcPr>
          <w:p w14:paraId="3A1FF599">
            <w:pPr>
              <w:spacing w:before="157" w:line="188" w:lineRule="auto"/>
              <w:ind w:left="0" w:leftChars="0" w:firstLine="0" w:firstLineChars="0"/>
              <w:jc w:val="center"/>
              <w:rPr>
                <w:rFonts w:hint="default" w:ascii="Times New Roman" w:hAnsi="Times New Roman" w:eastAsia="宋体" w:cs="Times New Roman"/>
                <w:color w:val="auto"/>
                <w:spacing w:val="-5"/>
                <w:sz w:val="24"/>
                <w:szCs w:val="24"/>
                <w:highlight w:val="none"/>
                <w:lang w:val="en-US" w:eastAsia="zh-CN"/>
              </w:rPr>
            </w:pPr>
            <w:r>
              <w:rPr>
                <w:rFonts w:hint="default" w:ascii="Times New Roman" w:hAnsi="Times New Roman" w:eastAsia="宋体" w:cs="Times New Roman"/>
                <w:color w:val="auto"/>
                <w:spacing w:val="-5"/>
                <w:sz w:val="24"/>
                <w:szCs w:val="24"/>
                <w:highlight w:val="none"/>
                <w:lang w:val="en-US" w:eastAsia="zh-CN"/>
              </w:rPr>
              <w:t>3857.06</w:t>
            </w:r>
          </w:p>
        </w:tc>
      </w:tr>
      <w:tr w14:paraId="1E7B12B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9" w:hRule="atLeast"/>
        </w:trPr>
        <w:tc>
          <w:tcPr>
            <w:tcW w:w="2947" w:type="pct"/>
            <w:gridSpan w:val="2"/>
            <w:vAlign w:val="center"/>
          </w:tcPr>
          <w:p w14:paraId="5DB9AA3D">
            <w:pPr>
              <w:spacing w:before="118" w:line="220" w:lineRule="auto"/>
              <w:ind w:left="0" w:leftChars="0" w:firstLine="0" w:firstLineChars="0"/>
              <w:jc w:val="center"/>
              <w:rPr>
                <w:rFonts w:hint="default" w:ascii="Times New Roman" w:hAnsi="Times New Roman" w:eastAsia="宋体" w:cs="Times New Roman"/>
                <w:color w:val="auto"/>
                <w:spacing w:val="-4"/>
                <w:sz w:val="24"/>
                <w:szCs w:val="24"/>
                <w:highlight w:val="none"/>
                <w:lang w:val="en-US" w:eastAsia="zh-CN"/>
              </w:rPr>
            </w:pPr>
            <w:r>
              <w:rPr>
                <w:rFonts w:hint="default" w:ascii="Times New Roman" w:hAnsi="Times New Roman" w:eastAsia="宋体" w:cs="Times New Roman"/>
                <w:color w:val="auto"/>
                <w:spacing w:val="-4"/>
                <w:sz w:val="24"/>
                <w:szCs w:val="24"/>
                <w:highlight w:val="none"/>
                <w:lang w:val="en-US" w:eastAsia="zh-CN"/>
              </w:rPr>
              <w:t>项目总投资</w:t>
            </w:r>
          </w:p>
        </w:tc>
        <w:tc>
          <w:tcPr>
            <w:tcW w:w="2052" w:type="pct"/>
            <w:vAlign w:val="center"/>
          </w:tcPr>
          <w:p w14:paraId="6F129532">
            <w:pPr>
              <w:spacing w:before="157" w:line="188" w:lineRule="auto"/>
              <w:ind w:left="0" w:leftChars="0" w:firstLine="0" w:firstLineChars="0"/>
              <w:jc w:val="center"/>
              <w:rPr>
                <w:rFonts w:hint="default" w:ascii="Times New Roman" w:hAnsi="Times New Roman" w:eastAsia="宋体" w:cs="Times New Roman"/>
                <w:color w:val="auto"/>
                <w:spacing w:val="-5"/>
                <w:sz w:val="24"/>
                <w:szCs w:val="24"/>
                <w:highlight w:val="none"/>
                <w:lang w:val="en-US" w:eastAsia="zh-CN"/>
              </w:rPr>
            </w:pPr>
            <w:r>
              <w:rPr>
                <w:rFonts w:hint="default" w:ascii="Times New Roman" w:hAnsi="Times New Roman" w:eastAsia="宋体" w:cs="Times New Roman"/>
                <w:color w:val="auto"/>
                <w:spacing w:val="-5"/>
                <w:sz w:val="24"/>
                <w:szCs w:val="24"/>
                <w:highlight w:val="none"/>
                <w:lang w:val="en-US" w:eastAsia="zh-CN"/>
              </w:rPr>
              <w:t>80998.16</w:t>
            </w:r>
          </w:p>
        </w:tc>
      </w:tr>
      <w:bookmarkEnd w:id="55"/>
    </w:tbl>
    <w:p w14:paraId="03B7BD4D">
      <w:pPr>
        <w:pStyle w:val="5"/>
        <w:spacing w:before="156" w:beforeLines="50" w:after="156" w:afterLines="50"/>
        <w:ind w:left="0" w:leftChars="0" w:firstLine="643" w:firstLineChars="200"/>
        <w:rPr>
          <w:rFonts w:hint="eastAsia" w:ascii="仿宋_GB2312" w:hAnsi="仿宋_GB2312" w:eastAsia="仿宋_GB2312" w:cs="仿宋_GB2312"/>
          <w:color w:val="auto"/>
          <w:sz w:val="32"/>
        </w:rPr>
      </w:pPr>
      <w:bookmarkStart w:id="56" w:name="_Toc174657283"/>
      <w:r>
        <w:rPr>
          <w:rFonts w:hint="eastAsia" w:ascii="仿宋_GB2312" w:hAnsi="仿宋_GB2312" w:eastAsia="仿宋_GB2312" w:cs="仿宋_GB2312"/>
          <w:color w:val="auto"/>
          <w:sz w:val="32"/>
        </w:rPr>
        <w:t>（二）筹措方案</w:t>
      </w:r>
      <w:bookmarkEnd w:id="56"/>
    </w:p>
    <w:p w14:paraId="3AE5F090">
      <w:pPr>
        <w:adjustRightInd w:val="0"/>
        <w:snapToGrid w:val="0"/>
        <w:spacing w:line="360" w:lineRule="auto"/>
        <w:ind w:firstLine="640"/>
        <w:jc w:val="both"/>
        <w:rPr>
          <w:rFonts w:hint="eastAsia" w:ascii="仿宋_GB2312" w:hAnsi="仿宋_GB2312" w:eastAsia="仿宋_GB2312" w:cs="仿宋_GB2312"/>
          <w:color w:val="auto"/>
          <w:sz w:val="32"/>
          <w:szCs w:val="32"/>
        </w:rPr>
      </w:pPr>
      <w:bookmarkStart w:id="57" w:name="_Hlk117980224"/>
      <w:r>
        <w:rPr>
          <w:rFonts w:hint="eastAsia" w:ascii="仿宋_GB2312" w:hAnsi="仿宋_GB2312" w:eastAsia="仿宋_GB2312" w:cs="仿宋_GB2312"/>
          <w:color w:val="auto"/>
          <w:sz w:val="32"/>
          <w:szCs w:val="32"/>
        </w:rPr>
        <w:t>本项目总投资</w:t>
      </w:r>
      <w:r>
        <w:rPr>
          <w:rFonts w:ascii="仿宋_GB2312" w:eastAsia="仿宋_GB2312"/>
          <w:color w:val="auto"/>
          <w:sz w:val="32"/>
          <w:szCs w:val="32"/>
        </w:rPr>
        <w:t>80998.16</w:t>
      </w:r>
      <w:r>
        <w:rPr>
          <w:rFonts w:hint="eastAsia" w:ascii="仿宋_GB2312" w:hAnsi="仿宋_GB2312" w:eastAsia="仿宋_GB2312" w:cs="仿宋_GB2312"/>
          <w:color w:val="auto"/>
          <w:sz w:val="32"/>
          <w:szCs w:val="32"/>
        </w:rPr>
        <w:t>万元，其中:</w:t>
      </w:r>
    </w:p>
    <w:p w14:paraId="224AA9FE">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1.市场化融资资金筹措：本项目未采用市场化融资。</w:t>
      </w:r>
    </w:p>
    <w:p w14:paraId="25683B69">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 地方政府债券资金筹措：本项目计划发行专项债券金额</w:t>
      </w:r>
      <w:r>
        <w:rPr>
          <w:rFonts w:ascii="仿宋_GB2312" w:eastAsia="仿宋_GB2312"/>
          <w:color w:val="auto"/>
          <w:sz w:val="32"/>
          <w:szCs w:val="32"/>
        </w:rPr>
        <w:t>60000.00</w:t>
      </w:r>
      <w:r>
        <w:rPr>
          <w:rFonts w:hint="eastAsia" w:ascii="仿宋_GB2312" w:hAnsi="仿宋_GB2312" w:eastAsia="仿宋_GB2312" w:cs="仿宋_GB2312"/>
          <w:color w:val="auto"/>
          <w:sz w:val="32"/>
          <w:szCs w:val="32"/>
        </w:rPr>
        <w:t>万元。</w:t>
      </w:r>
      <w:r>
        <w:rPr>
          <w:rFonts w:ascii="仿宋_GB2312" w:hAnsi="仿宋_GB2312" w:eastAsia="仿宋_GB2312" w:cs="仿宋_GB2312"/>
          <w:color w:val="auto"/>
          <w:sz w:val="32"/>
          <w:szCs w:val="32"/>
        </w:rPr>
        <w:t>其中2024年计划发行专项债券21000.00万元，</w:t>
      </w:r>
      <w:r>
        <w:rPr>
          <w:rFonts w:hint="eastAsia" w:ascii="仿宋_GB2312" w:hAnsi="仿宋_GB2312" w:eastAsia="仿宋_GB2312" w:cs="仿宋_GB2312"/>
          <w:color w:val="auto"/>
          <w:sz w:val="32"/>
          <w:szCs w:val="32"/>
        </w:rPr>
        <w:t>本批次计划发行9000.00万元（2024年广东省政府专项债券（</w:t>
      </w:r>
      <w:r>
        <w:rPr>
          <w:rFonts w:hint="eastAsia" w:ascii="仿宋_GB2312" w:hAnsi="仿宋_GB2312" w:eastAsia="仿宋_GB2312" w:cs="仿宋_GB2312"/>
          <w:color w:val="auto"/>
          <w:sz w:val="32"/>
          <w:szCs w:val="32"/>
          <w:lang w:eastAsia="zh-CN"/>
        </w:rPr>
        <w:t>六十三</w:t>
      </w:r>
      <w:r>
        <w:rPr>
          <w:rFonts w:hint="eastAsia" w:ascii="仿宋_GB2312" w:hAnsi="仿宋_GB2312" w:eastAsia="仿宋_GB2312" w:cs="仿宋_GB2312"/>
          <w:color w:val="auto"/>
          <w:sz w:val="32"/>
          <w:szCs w:val="32"/>
        </w:rPr>
        <w:t>期）），</w:t>
      </w:r>
      <w:r>
        <w:rPr>
          <w:rFonts w:ascii="仿宋_GB2312" w:hAnsi="仿宋_GB2312" w:eastAsia="仿宋_GB2312" w:cs="仿宋_GB2312"/>
          <w:color w:val="auto"/>
          <w:sz w:val="32"/>
          <w:szCs w:val="32"/>
        </w:rPr>
        <w:t>债券期限为15年，债券年利率按3.95%测算</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2025年计划发行专项债券20000.00万元，债券期限为</w:t>
      </w:r>
      <w:r>
        <w:rPr>
          <w:rFonts w:hint="eastAsia" w:ascii="仿宋_GB2312" w:hAnsi="仿宋_GB2312" w:eastAsia="仿宋_GB2312" w:cs="仿宋_GB2312"/>
          <w:color w:val="auto"/>
          <w:sz w:val="32"/>
          <w:szCs w:val="32"/>
        </w:rPr>
        <w:t>10</w:t>
      </w:r>
      <w:r>
        <w:rPr>
          <w:rFonts w:ascii="仿宋_GB2312" w:hAnsi="仿宋_GB2312" w:eastAsia="仿宋_GB2312" w:cs="仿宋_GB2312"/>
          <w:color w:val="auto"/>
          <w:sz w:val="32"/>
          <w:szCs w:val="32"/>
        </w:rPr>
        <w:t>年，债券年利率按3.</w:t>
      </w:r>
      <w:r>
        <w:rPr>
          <w:rFonts w:hint="eastAsia" w:ascii="仿宋_GB2312" w:hAnsi="仿宋_GB2312" w:eastAsia="仿宋_GB2312" w:cs="仿宋_GB2312"/>
          <w:color w:val="auto"/>
          <w:sz w:val="32"/>
          <w:szCs w:val="32"/>
        </w:rPr>
        <w:t>6</w:t>
      </w:r>
      <w:r>
        <w:rPr>
          <w:rFonts w:ascii="仿宋_GB2312" w:hAnsi="仿宋_GB2312" w:eastAsia="仿宋_GB2312" w:cs="仿宋_GB2312"/>
          <w:color w:val="auto"/>
          <w:sz w:val="32"/>
          <w:szCs w:val="32"/>
        </w:rPr>
        <w:t>%测算</w:t>
      </w:r>
      <w:r>
        <w:rPr>
          <w:rFonts w:hint="eastAsia" w:ascii="仿宋_GB2312" w:hAnsi="仿宋_GB2312" w:eastAsia="仿宋_GB2312" w:cs="仿宋_GB2312"/>
          <w:color w:val="auto"/>
          <w:sz w:val="32"/>
          <w:szCs w:val="32"/>
        </w:rPr>
        <w:t>；</w:t>
      </w:r>
      <w:r>
        <w:rPr>
          <w:rFonts w:ascii="仿宋_GB2312" w:hAnsi="仿宋_GB2312" w:eastAsia="仿宋_GB2312" w:cs="仿宋_GB2312"/>
          <w:color w:val="auto"/>
          <w:sz w:val="32"/>
          <w:szCs w:val="32"/>
        </w:rPr>
        <w:t>2026年计划发行专项债券19000.00万元，债券期限为</w:t>
      </w:r>
      <w:r>
        <w:rPr>
          <w:rFonts w:hint="eastAsia" w:ascii="仿宋_GB2312" w:hAnsi="仿宋_GB2312" w:eastAsia="仿宋_GB2312" w:cs="仿宋_GB2312"/>
          <w:color w:val="auto"/>
          <w:sz w:val="32"/>
          <w:szCs w:val="32"/>
        </w:rPr>
        <w:t>10</w:t>
      </w:r>
      <w:r>
        <w:rPr>
          <w:rFonts w:ascii="仿宋_GB2312" w:hAnsi="仿宋_GB2312" w:eastAsia="仿宋_GB2312" w:cs="仿宋_GB2312"/>
          <w:color w:val="auto"/>
          <w:sz w:val="32"/>
          <w:szCs w:val="32"/>
        </w:rPr>
        <w:t>年，债券年利率按3.</w:t>
      </w:r>
      <w:r>
        <w:rPr>
          <w:rFonts w:hint="eastAsia" w:ascii="仿宋_GB2312" w:hAnsi="仿宋_GB2312" w:eastAsia="仿宋_GB2312" w:cs="仿宋_GB2312"/>
          <w:color w:val="auto"/>
          <w:sz w:val="32"/>
          <w:szCs w:val="32"/>
        </w:rPr>
        <w:t>6</w:t>
      </w:r>
      <w:r>
        <w:rPr>
          <w:rFonts w:ascii="仿宋_GB2312" w:hAnsi="仿宋_GB2312" w:eastAsia="仿宋_GB2312" w:cs="仿宋_GB2312"/>
          <w:color w:val="auto"/>
          <w:sz w:val="32"/>
          <w:szCs w:val="32"/>
        </w:rPr>
        <w:t>%测算</w:t>
      </w:r>
      <w:r>
        <w:rPr>
          <w:rFonts w:hint="eastAsia" w:ascii="仿宋_GB2312" w:hAnsi="仿宋_GB2312" w:eastAsia="仿宋_GB2312" w:cs="仿宋_GB2312"/>
          <w:color w:val="auto"/>
          <w:sz w:val="32"/>
          <w:szCs w:val="32"/>
        </w:rPr>
        <w:t>。</w:t>
      </w:r>
    </w:p>
    <w:p w14:paraId="2ABBDF39">
      <w:pPr>
        <w:adjustRightInd w:val="0"/>
        <w:snapToGrid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3.非融资资金筹措:财政统筹解决</w:t>
      </w:r>
      <w:r>
        <w:rPr>
          <w:rFonts w:ascii="仿宋_GB2312" w:eastAsia="仿宋_GB2312"/>
          <w:color w:val="auto"/>
          <w:sz w:val="32"/>
          <w:szCs w:val="32"/>
        </w:rPr>
        <w:t>20998.16</w:t>
      </w:r>
      <w:r>
        <w:rPr>
          <w:rFonts w:hint="eastAsia" w:ascii="仿宋_GB2312" w:hAnsi="仿宋_GB2312" w:eastAsia="仿宋_GB2312" w:cs="仿宋_GB2312"/>
          <w:color w:val="auto"/>
          <w:sz w:val="32"/>
          <w:szCs w:val="32"/>
        </w:rPr>
        <w:t>万元。</w:t>
      </w:r>
    </w:p>
    <w:bookmarkEnd w:id="57"/>
    <w:p w14:paraId="046F4A67">
      <w:pPr>
        <w:ind w:firstLine="560"/>
        <w:rPr>
          <w:color w:val="auto"/>
        </w:rPr>
      </w:pPr>
    </w:p>
    <w:p w14:paraId="0C1F13E0">
      <w:pPr>
        <w:adjustRightInd w:val="0"/>
        <w:snapToGrid w:val="0"/>
        <w:spacing w:line="360" w:lineRule="auto"/>
        <w:ind w:left="0" w:leftChars="0" w:firstLine="0" w:firstLineChars="0"/>
        <w:jc w:val="both"/>
        <w:rPr>
          <w:rFonts w:cs="仿宋_GB2312"/>
          <w:color w:val="auto"/>
          <w:sz w:val="32"/>
          <w:szCs w:val="32"/>
        </w:rPr>
        <w:sectPr>
          <w:footerReference r:id="rId11" w:type="default"/>
          <w:pgSz w:w="11850" w:h="16783"/>
          <w:pgMar w:top="1803" w:right="1440" w:bottom="1803" w:left="1440" w:header="851" w:footer="992" w:gutter="0"/>
          <w:pgNumType w:start="1"/>
          <w:cols w:space="720" w:num="1"/>
          <w:docGrid w:type="lines" w:linePitch="312" w:charSpace="0"/>
        </w:sectPr>
      </w:pPr>
    </w:p>
    <w:p w14:paraId="5709E987">
      <w:pPr>
        <w:pStyle w:val="2"/>
        <w:ind w:firstLine="0" w:firstLineChars="0"/>
        <w:jc w:val="center"/>
        <w:rPr>
          <w:rFonts w:cs="仿宋_GB2312"/>
          <w:color w:val="auto"/>
          <w:sz w:val="28"/>
          <w:szCs w:val="28"/>
        </w:rPr>
      </w:pPr>
      <w:bookmarkStart w:id="58" w:name="_Hlk117980239"/>
      <w:r>
        <w:rPr>
          <w:rFonts w:hAnsi="宋体"/>
          <w:color w:val="auto"/>
          <w:sz w:val="32"/>
          <w:szCs w:val="32"/>
        </w:rPr>
        <w:t>表</w:t>
      </w:r>
      <w:r>
        <w:rPr>
          <w:rFonts w:hAnsi="宋体"/>
          <w:color w:val="auto"/>
          <w:sz w:val="32"/>
          <w:szCs w:val="32"/>
        </w:rPr>
        <w:fldChar w:fldCharType="begin"/>
      </w:r>
      <w:r>
        <w:rPr>
          <w:rFonts w:hAnsi="宋体"/>
          <w:color w:val="auto"/>
          <w:sz w:val="32"/>
          <w:szCs w:val="32"/>
        </w:rPr>
        <w:instrText xml:space="preserve"> SEQ 表格 \* ARABIC </w:instrText>
      </w:r>
      <w:r>
        <w:rPr>
          <w:rFonts w:hAnsi="宋体"/>
          <w:color w:val="auto"/>
          <w:sz w:val="32"/>
          <w:szCs w:val="32"/>
        </w:rPr>
        <w:fldChar w:fldCharType="separate"/>
      </w:r>
      <w:r>
        <w:rPr>
          <w:rFonts w:hAnsi="宋体"/>
          <w:color w:val="auto"/>
          <w:sz w:val="32"/>
          <w:szCs w:val="32"/>
        </w:rPr>
        <w:t>4</w:t>
      </w:r>
      <w:r>
        <w:rPr>
          <w:rFonts w:hAnsi="宋体"/>
          <w:color w:val="auto"/>
          <w:sz w:val="32"/>
          <w:szCs w:val="32"/>
        </w:rPr>
        <w:fldChar w:fldCharType="end"/>
      </w:r>
      <w:r>
        <w:rPr>
          <w:rFonts w:cs="仿宋_GB2312"/>
          <w:color w:val="auto"/>
          <w:sz w:val="32"/>
          <w:szCs w:val="32"/>
        </w:rPr>
        <w:t xml:space="preserve">  项目资金筹措情况</w:t>
      </w:r>
      <w:r>
        <w:rPr>
          <w:rFonts w:cs="仿宋_GB2312"/>
          <w:color w:val="auto"/>
          <w:sz w:val="28"/>
          <w:szCs w:val="28"/>
        </w:rPr>
        <w:t>（单位：万元）</w:t>
      </w:r>
    </w:p>
    <w:tbl>
      <w:tblPr>
        <w:tblStyle w:val="20"/>
        <w:tblW w:w="5000" w:type="pct"/>
        <w:tblCaption w:val="项目资金筹措情况"/>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9"/>
        <w:gridCol w:w="1023"/>
        <w:gridCol w:w="951"/>
        <w:gridCol w:w="948"/>
        <w:gridCol w:w="948"/>
        <w:gridCol w:w="994"/>
        <w:gridCol w:w="948"/>
        <w:gridCol w:w="948"/>
        <w:gridCol w:w="948"/>
        <w:gridCol w:w="948"/>
        <w:gridCol w:w="956"/>
        <w:gridCol w:w="948"/>
        <w:gridCol w:w="948"/>
        <w:gridCol w:w="1024"/>
      </w:tblGrid>
      <w:tr w14:paraId="59DD2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Merge w:val="restart"/>
            <w:vAlign w:val="center"/>
          </w:tcPr>
          <w:p w14:paraId="3353F737">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年度</w:t>
            </w:r>
          </w:p>
        </w:tc>
        <w:tc>
          <w:tcPr>
            <w:tcW w:w="729" w:type="pct"/>
            <w:gridSpan w:val="2"/>
            <w:vAlign w:val="center"/>
          </w:tcPr>
          <w:p w14:paraId="373FB8BF">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项目投资</w:t>
            </w:r>
          </w:p>
        </w:tc>
        <w:tc>
          <w:tcPr>
            <w:tcW w:w="700" w:type="pct"/>
            <w:gridSpan w:val="2"/>
            <w:vAlign w:val="center"/>
          </w:tcPr>
          <w:p w14:paraId="229F40F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市场化融资资金</w:t>
            </w:r>
          </w:p>
        </w:tc>
        <w:tc>
          <w:tcPr>
            <w:tcW w:w="2120" w:type="pct"/>
            <w:gridSpan w:val="6"/>
            <w:vAlign w:val="center"/>
          </w:tcPr>
          <w:p w14:paraId="528C2BCE">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非融资资金</w:t>
            </w:r>
          </w:p>
        </w:tc>
        <w:tc>
          <w:tcPr>
            <w:tcW w:w="1078" w:type="pct"/>
            <w:gridSpan w:val="3"/>
            <w:vAlign w:val="center"/>
          </w:tcPr>
          <w:p w14:paraId="6679632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地方政府专项债券融资</w:t>
            </w:r>
          </w:p>
        </w:tc>
      </w:tr>
      <w:tr w14:paraId="16F8A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Merge w:val="continue"/>
            <w:vAlign w:val="center"/>
          </w:tcPr>
          <w:p w14:paraId="13FD65FB">
            <w:pPr>
              <w:spacing w:line="240" w:lineRule="auto"/>
              <w:ind w:firstLine="0" w:firstLineChars="0"/>
              <w:jc w:val="center"/>
              <w:rPr>
                <w:rFonts w:ascii="Times New Roman" w:hAnsi="Times New Roman" w:eastAsia="宋体" w:cs="Times New Roman"/>
                <w:color w:val="auto"/>
                <w:sz w:val="18"/>
                <w:szCs w:val="18"/>
              </w:rPr>
            </w:pPr>
          </w:p>
        </w:tc>
        <w:tc>
          <w:tcPr>
            <w:tcW w:w="378" w:type="pct"/>
            <w:vAlign w:val="center"/>
          </w:tcPr>
          <w:p w14:paraId="7B3E0900">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总金额</w:t>
            </w:r>
          </w:p>
        </w:tc>
        <w:tc>
          <w:tcPr>
            <w:tcW w:w="351" w:type="pct"/>
            <w:vAlign w:val="center"/>
          </w:tcPr>
          <w:p w14:paraId="15EC356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已到位金额</w:t>
            </w:r>
          </w:p>
        </w:tc>
        <w:tc>
          <w:tcPr>
            <w:tcW w:w="350" w:type="pct"/>
            <w:vAlign w:val="center"/>
          </w:tcPr>
          <w:p w14:paraId="21C928DA">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总金额</w:t>
            </w:r>
          </w:p>
        </w:tc>
        <w:tc>
          <w:tcPr>
            <w:tcW w:w="350" w:type="pct"/>
            <w:vAlign w:val="center"/>
          </w:tcPr>
          <w:p w14:paraId="3D30FFC6">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已到位金额</w:t>
            </w:r>
          </w:p>
        </w:tc>
        <w:tc>
          <w:tcPr>
            <w:tcW w:w="367" w:type="pct"/>
            <w:vAlign w:val="center"/>
          </w:tcPr>
          <w:p w14:paraId="1BD11AD6">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单位自有资金</w:t>
            </w:r>
          </w:p>
        </w:tc>
        <w:tc>
          <w:tcPr>
            <w:tcW w:w="350" w:type="pct"/>
            <w:vAlign w:val="center"/>
          </w:tcPr>
          <w:p w14:paraId="3FFF374B">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其中：已到位金额</w:t>
            </w:r>
          </w:p>
        </w:tc>
        <w:tc>
          <w:tcPr>
            <w:tcW w:w="350" w:type="pct"/>
            <w:vAlign w:val="center"/>
          </w:tcPr>
          <w:p w14:paraId="3CF910E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财政性资金</w:t>
            </w:r>
          </w:p>
        </w:tc>
        <w:tc>
          <w:tcPr>
            <w:tcW w:w="350" w:type="pct"/>
            <w:vAlign w:val="center"/>
          </w:tcPr>
          <w:p w14:paraId="3A09A9B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其中：已到位金额</w:t>
            </w:r>
          </w:p>
        </w:tc>
        <w:tc>
          <w:tcPr>
            <w:tcW w:w="350" w:type="pct"/>
            <w:vAlign w:val="center"/>
          </w:tcPr>
          <w:p w14:paraId="1FC15FE6">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其他</w:t>
            </w:r>
          </w:p>
        </w:tc>
        <w:tc>
          <w:tcPr>
            <w:tcW w:w="353" w:type="pct"/>
            <w:vAlign w:val="center"/>
          </w:tcPr>
          <w:p w14:paraId="5888C2C9">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其中：已到位金额</w:t>
            </w:r>
          </w:p>
        </w:tc>
        <w:tc>
          <w:tcPr>
            <w:tcW w:w="350" w:type="pct"/>
            <w:vAlign w:val="center"/>
          </w:tcPr>
          <w:p w14:paraId="11A576C2">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本次发行金额</w:t>
            </w:r>
          </w:p>
        </w:tc>
        <w:tc>
          <w:tcPr>
            <w:tcW w:w="350" w:type="pct"/>
            <w:vAlign w:val="center"/>
          </w:tcPr>
          <w:p w14:paraId="13C9ACDF">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以前发行金额</w:t>
            </w:r>
          </w:p>
        </w:tc>
        <w:tc>
          <w:tcPr>
            <w:tcW w:w="378" w:type="pct"/>
            <w:vAlign w:val="center"/>
          </w:tcPr>
          <w:p w14:paraId="3AF9A9E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计划以后发行金额</w:t>
            </w:r>
          </w:p>
        </w:tc>
      </w:tr>
      <w:tr w14:paraId="23DF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5BC9577E">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合计</w:t>
            </w:r>
          </w:p>
        </w:tc>
        <w:tc>
          <w:tcPr>
            <w:tcW w:w="378" w:type="pct"/>
            <w:vAlign w:val="center"/>
          </w:tcPr>
          <w:p w14:paraId="562E71CF">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80998.16</w:t>
            </w:r>
          </w:p>
        </w:tc>
        <w:tc>
          <w:tcPr>
            <w:tcW w:w="351" w:type="pct"/>
            <w:vAlign w:val="center"/>
          </w:tcPr>
          <w:p w14:paraId="4ED107C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0.00</w:t>
            </w:r>
          </w:p>
        </w:tc>
        <w:tc>
          <w:tcPr>
            <w:tcW w:w="350" w:type="pct"/>
            <w:vAlign w:val="center"/>
          </w:tcPr>
          <w:p w14:paraId="44239D74">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255C4E46">
            <w:pPr>
              <w:spacing w:line="240" w:lineRule="auto"/>
              <w:ind w:firstLine="0" w:firstLineChars="0"/>
              <w:jc w:val="center"/>
              <w:rPr>
                <w:rFonts w:ascii="Times New Roman" w:hAnsi="Times New Roman" w:eastAsia="宋体" w:cs="Times New Roman"/>
                <w:color w:val="auto"/>
                <w:sz w:val="18"/>
                <w:szCs w:val="18"/>
              </w:rPr>
            </w:pPr>
          </w:p>
        </w:tc>
        <w:tc>
          <w:tcPr>
            <w:tcW w:w="367" w:type="pct"/>
            <w:vAlign w:val="center"/>
          </w:tcPr>
          <w:p w14:paraId="613392D1">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12944F65">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5EB685A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20998.16</w:t>
            </w:r>
          </w:p>
        </w:tc>
        <w:tc>
          <w:tcPr>
            <w:tcW w:w="350" w:type="pct"/>
            <w:vAlign w:val="center"/>
          </w:tcPr>
          <w:p w14:paraId="1B31EE60">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65928DC6">
            <w:pPr>
              <w:spacing w:line="240" w:lineRule="auto"/>
              <w:ind w:firstLine="0" w:firstLineChars="0"/>
              <w:jc w:val="center"/>
              <w:rPr>
                <w:rFonts w:ascii="Times New Roman" w:hAnsi="Times New Roman" w:eastAsia="宋体" w:cs="Times New Roman"/>
                <w:color w:val="auto"/>
                <w:sz w:val="18"/>
                <w:szCs w:val="18"/>
              </w:rPr>
            </w:pPr>
          </w:p>
        </w:tc>
        <w:tc>
          <w:tcPr>
            <w:tcW w:w="353" w:type="pct"/>
            <w:vAlign w:val="center"/>
          </w:tcPr>
          <w:p w14:paraId="4255C7E9">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6FE30D7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9000.00</w:t>
            </w:r>
          </w:p>
        </w:tc>
        <w:tc>
          <w:tcPr>
            <w:tcW w:w="350" w:type="pct"/>
            <w:vAlign w:val="center"/>
          </w:tcPr>
          <w:p w14:paraId="74883D35">
            <w:pPr>
              <w:spacing w:line="240" w:lineRule="auto"/>
              <w:ind w:firstLine="0" w:firstLineChars="0"/>
              <w:jc w:val="center"/>
              <w:rPr>
                <w:rFonts w:ascii="Times New Roman" w:hAnsi="Times New Roman" w:eastAsia="宋体" w:cs="Times New Roman"/>
                <w:color w:val="auto"/>
                <w:sz w:val="18"/>
                <w:szCs w:val="18"/>
              </w:rPr>
            </w:pPr>
          </w:p>
        </w:tc>
        <w:tc>
          <w:tcPr>
            <w:tcW w:w="378" w:type="pct"/>
            <w:vAlign w:val="center"/>
          </w:tcPr>
          <w:p w14:paraId="29A1164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51000.00</w:t>
            </w:r>
          </w:p>
        </w:tc>
      </w:tr>
      <w:tr w14:paraId="38E16A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6B743585">
            <w:pPr>
              <w:spacing w:line="240" w:lineRule="auto"/>
              <w:ind w:firstLine="0" w:firstLineChars="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2024年</w:t>
            </w:r>
          </w:p>
        </w:tc>
        <w:tc>
          <w:tcPr>
            <w:tcW w:w="378" w:type="pct"/>
            <w:vAlign w:val="center"/>
          </w:tcPr>
          <w:p w14:paraId="6436228E">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28000.00</w:t>
            </w:r>
          </w:p>
        </w:tc>
        <w:tc>
          <w:tcPr>
            <w:tcW w:w="351" w:type="pct"/>
            <w:vAlign w:val="center"/>
          </w:tcPr>
          <w:p w14:paraId="0BD88984">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D203DF6">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28F5B1E7">
            <w:pPr>
              <w:spacing w:line="240" w:lineRule="auto"/>
              <w:ind w:firstLine="0" w:firstLineChars="0"/>
              <w:jc w:val="center"/>
              <w:rPr>
                <w:rFonts w:ascii="Times New Roman" w:hAnsi="Times New Roman" w:eastAsia="宋体" w:cs="Times New Roman"/>
                <w:color w:val="auto"/>
                <w:sz w:val="18"/>
                <w:szCs w:val="18"/>
              </w:rPr>
            </w:pPr>
          </w:p>
        </w:tc>
        <w:tc>
          <w:tcPr>
            <w:tcW w:w="367" w:type="pct"/>
            <w:vAlign w:val="center"/>
          </w:tcPr>
          <w:p w14:paraId="74B6B2D9">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1FF8170F">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B996767">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7000.00</w:t>
            </w:r>
          </w:p>
        </w:tc>
        <w:tc>
          <w:tcPr>
            <w:tcW w:w="350" w:type="pct"/>
            <w:vAlign w:val="center"/>
          </w:tcPr>
          <w:p w14:paraId="1720A2CD">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5A1257C8">
            <w:pPr>
              <w:spacing w:line="240" w:lineRule="auto"/>
              <w:ind w:firstLine="0" w:firstLineChars="0"/>
              <w:jc w:val="center"/>
              <w:rPr>
                <w:rFonts w:ascii="Times New Roman" w:hAnsi="Times New Roman" w:eastAsia="宋体" w:cs="Times New Roman"/>
                <w:color w:val="auto"/>
                <w:sz w:val="18"/>
                <w:szCs w:val="18"/>
              </w:rPr>
            </w:pPr>
          </w:p>
        </w:tc>
        <w:tc>
          <w:tcPr>
            <w:tcW w:w="353" w:type="pct"/>
            <w:vAlign w:val="center"/>
          </w:tcPr>
          <w:p w14:paraId="0CBE6E2C">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09551A6">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9000.00</w:t>
            </w:r>
          </w:p>
        </w:tc>
        <w:tc>
          <w:tcPr>
            <w:tcW w:w="350" w:type="pct"/>
            <w:vAlign w:val="center"/>
          </w:tcPr>
          <w:p w14:paraId="7B6A019A">
            <w:pPr>
              <w:spacing w:line="240" w:lineRule="auto"/>
              <w:ind w:firstLine="0" w:firstLineChars="0"/>
              <w:jc w:val="center"/>
              <w:rPr>
                <w:rFonts w:ascii="Times New Roman" w:hAnsi="Times New Roman" w:eastAsia="宋体" w:cs="Times New Roman"/>
                <w:color w:val="auto"/>
                <w:sz w:val="18"/>
                <w:szCs w:val="18"/>
              </w:rPr>
            </w:pPr>
          </w:p>
        </w:tc>
        <w:tc>
          <w:tcPr>
            <w:tcW w:w="378" w:type="pct"/>
            <w:vAlign w:val="center"/>
          </w:tcPr>
          <w:p w14:paraId="2CCC68E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12000.00</w:t>
            </w:r>
          </w:p>
        </w:tc>
      </w:tr>
      <w:tr w14:paraId="3258E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0096DE0F">
            <w:pPr>
              <w:spacing w:line="240" w:lineRule="auto"/>
              <w:ind w:firstLine="0" w:firstLineChars="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2025年</w:t>
            </w:r>
          </w:p>
        </w:tc>
        <w:tc>
          <w:tcPr>
            <w:tcW w:w="378" w:type="pct"/>
            <w:vAlign w:val="center"/>
          </w:tcPr>
          <w:p w14:paraId="36D199D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27000.00</w:t>
            </w:r>
          </w:p>
        </w:tc>
        <w:tc>
          <w:tcPr>
            <w:tcW w:w="351" w:type="pct"/>
            <w:vAlign w:val="center"/>
          </w:tcPr>
          <w:p w14:paraId="22070C39">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36C9A1D">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7860EEDF">
            <w:pPr>
              <w:spacing w:line="240" w:lineRule="auto"/>
              <w:ind w:firstLine="0" w:firstLineChars="0"/>
              <w:jc w:val="center"/>
              <w:rPr>
                <w:rFonts w:ascii="Times New Roman" w:hAnsi="Times New Roman" w:eastAsia="宋体" w:cs="Times New Roman"/>
                <w:color w:val="auto"/>
                <w:sz w:val="18"/>
                <w:szCs w:val="18"/>
              </w:rPr>
            </w:pPr>
          </w:p>
        </w:tc>
        <w:tc>
          <w:tcPr>
            <w:tcW w:w="367" w:type="pct"/>
            <w:vAlign w:val="center"/>
          </w:tcPr>
          <w:p w14:paraId="39B8E4E3">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531A652">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5CC640B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7000.00</w:t>
            </w:r>
          </w:p>
        </w:tc>
        <w:tc>
          <w:tcPr>
            <w:tcW w:w="350" w:type="pct"/>
            <w:vAlign w:val="center"/>
          </w:tcPr>
          <w:p w14:paraId="3CACF39C">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520A86AE">
            <w:pPr>
              <w:spacing w:line="240" w:lineRule="auto"/>
              <w:ind w:firstLine="0" w:firstLineChars="0"/>
              <w:jc w:val="center"/>
              <w:rPr>
                <w:rFonts w:ascii="Times New Roman" w:hAnsi="Times New Roman" w:eastAsia="宋体" w:cs="Times New Roman"/>
                <w:color w:val="auto"/>
                <w:sz w:val="18"/>
                <w:szCs w:val="18"/>
              </w:rPr>
            </w:pPr>
          </w:p>
        </w:tc>
        <w:tc>
          <w:tcPr>
            <w:tcW w:w="353" w:type="pct"/>
            <w:vAlign w:val="center"/>
          </w:tcPr>
          <w:p w14:paraId="78DDA756">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6A697E2F">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6C1AB94C">
            <w:pPr>
              <w:spacing w:line="240" w:lineRule="auto"/>
              <w:ind w:firstLine="0" w:firstLineChars="0"/>
              <w:jc w:val="center"/>
              <w:rPr>
                <w:rFonts w:ascii="Times New Roman" w:hAnsi="Times New Roman" w:eastAsia="宋体" w:cs="Times New Roman"/>
                <w:color w:val="auto"/>
                <w:sz w:val="18"/>
                <w:szCs w:val="18"/>
              </w:rPr>
            </w:pPr>
          </w:p>
        </w:tc>
        <w:tc>
          <w:tcPr>
            <w:tcW w:w="378" w:type="pct"/>
            <w:vAlign w:val="center"/>
          </w:tcPr>
          <w:p w14:paraId="58438BD9">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20000.00</w:t>
            </w:r>
          </w:p>
        </w:tc>
      </w:tr>
      <w:tr w14:paraId="21E8F4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49EEA3C7">
            <w:pPr>
              <w:spacing w:line="240" w:lineRule="auto"/>
              <w:ind w:firstLine="0" w:firstLineChars="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2026年</w:t>
            </w:r>
          </w:p>
        </w:tc>
        <w:tc>
          <w:tcPr>
            <w:tcW w:w="378" w:type="pct"/>
            <w:vAlign w:val="center"/>
          </w:tcPr>
          <w:p w14:paraId="630DE7DA">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25998.16</w:t>
            </w:r>
          </w:p>
        </w:tc>
        <w:tc>
          <w:tcPr>
            <w:tcW w:w="351" w:type="pct"/>
            <w:vAlign w:val="center"/>
          </w:tcPr>
          <w:p w14:paraId="278478E1">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201E0BAF">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3BB2F80A">
            <w:pPr>
              <w:spacing w:line="240" w:lineRule="auto"/>
              <w:ind w:firstLine="0" w:firstLineChars="0"/>
              <w:jc w:val="center"/>
              <w:rPr>
                <w:rFonts w:ascii="Times New Roman" w:hAnsi="Times New Roman" w:eastAsia="宋体" w:cs="Times New Roman"/>
                <w:color w:val="auto"/>
                <w:sz w:val="18"/>
                <w:szCs w:val="18"/>
              </w:rPr>
            </w:pPr>
          </w:p>
        </w:tc>
        <w:tc>
          <w:tcPr>
            <w:tcW w:w="367" w:type="pct"/>
            <w:vAlign w:val="center"/>
          </w:tcPr>
          <w:p w14:paraId="5BE26BB3">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184AAA97">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37F204D">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6998.16</w:t>
            </w:r>
          </w:p>
        </w:tc>
        <w:tc>
          <w:tcPr>
            <w:tcW w:w="350" w:type="pct"/>
            <w:vAlign w:val="center"/>
          </w:tcPr>
          <w:p w14:paraId="3F06DB5A">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0519DA13">
            <w:pPr>
              <w:spacing w:line="240" w:lineRule="auto"/>
              <w:ind w:firstLine="0" w:firstLineChars="0"/>
              <w:jc w:val="center"/>
              <w:rPr>
                <w:rFonts w:ascii="Times New Roman" w:hAnsi="Times New Roman" w:eastAsia="宋体" w:cs="Times New Roman"/>
                <w:color w:val="auto"/>
                <w:sz w:val="18"/>
                <w:szCs w:val="18"/>
              </w:rPr>
            </w:pPr>
          </w:p>
        </w:tc>
        <w:tc>
          <w:tcPr>
            <w:tcW w:w="353" w:type="pct"/>
            <w:vAlign w:val="center"/>
          </w:tcPr>
          <w:p w14:paraId="4BCFBE3A">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7BC1A12A">
            <w:pPr>
              <w:spacing w:line="240" w:lineRule="auto"/>
              <w:ind w:firstLine="0" w:firstLineChars="0"/>
              <w:jc w:val="center"/>
              <w:rPr>
                <w:rFonts w:ascii="Times New Roman" w:hAnsi="Times New Roman" w:eastAsia="宋体" w:cs="Times New Roman"/>
                <w:color w:val="auto"/>
                <w:sz w:val="18"/>
                <w:szCs w:val="18"/>
              </w:rPr>
            </w:pPr>
          </w:p>
        </w:tc>
        <w:tc>
          <w:tcPr>
            <w:tcW w:w="350" w:type="pct"/>
            <w:vAlign w:val="center"/>
          </w:tcPr>
          <w:p w14:paraId="4E50D041">
            <w:pPr>
              <w:spacing w:line="240" w:lineRule="auto"/>
              <w:ind w:firstLine="0" w:firstLineChars="0"/>
              <w:jc w:val="center"/>
              <w:rPr>
                <w:rFonts w:ascii="Times New Roman" w:hAnsi="Times New Roman" w:eastAsia="宋体" w:cs="Times New Roman"/>
                <w:color w:val="auto"/>
                <w:sz w:val="18"/>
                <w:szCs w:val="18"/>
              </w:rPr>
            </w:pPr>
          </w:p>
        </w:tc>
        <w:tc>
          <w:tcPr>
            <w:tcW w:w="378" w:type="pct"/>
            <w:vAlign w:val="center"/>
          </w:tcPr>
          <w:p w14:paraId="0D521B2B">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19000.00</w:t>
            </w:r>
          </w:p>
        </w:tc>
      </w:tr>
    </w:tbl>
    <w:p w14:paraId="4F4D624B">
      <w:pPr>
        <w:ind w:firstLine="560"/>
        <w:rPr>
          <w:color w:val="auto"/>
        </w:rPr>
      </w:pPr>
    </w:p>
    <w:p w14:paraId="66C0C324">
      <w:pPr>
        <w:tabs>
          <w:tab w:val="left" w:pos="9490"/>
        </w:tabs>
        <w:ind w:firstLine="560"/>
        <w:rPr>
          <w:color w:val="auto"/>
        </w:rPr>
      </w:pPr>
      <w:r>
        <w:rPr>
          <w:color w:val="auto"/>
        </w:rPr>
        <w:tab/>
      </w:r>
    </w:p>
    <w:bookmarkEnd w:id="58"/>
    <w:p w14:paraId="0C0B2B80">
      <w:pPr>
        <w:adjustRightInd w:val="0"/>
        <w:snapToGrid w:val="0"/>
        <w:spacing w:line="360" w:lineRule="auto"/>
        <w:ind w:firstLine="0" w:firstLineChars="0"/>
        <w:rPr>
          <w:rFonts w:hint="eastAsia" w:ascii="仿宋_GB2312" w:hAnsi="仿宋_GB2312" w:eastAsia="仿宋_GB2312" w:cs="仿宋_GB2312"/>
          <w:b/>
          <w:bCs/>
          <w:color w:val="auto"/>
          <w:sz w:val="32"/>
          <w:szCs w:val="32"/>
        </w:rPr>
      </w:pPr>
      <w:bookmarkStart w:id="59" w:name="_Toc14323"/>
      <w:bookmarkStart w:id="60" w:name="_Toc8930"/>
      <w:bookmarkStart w:id="61" w:name="_Toc27055"/>
      <w:bookmarkStart w:id="62" w:name="_Toc21890"/>
    </w:p>
    <w:p w14:paraId="5BB715CA">
      <w:pPr>
        <w:adjustRightInd w:val="0"/>
        <w:snapToGrid w:val="0"/>
        <w:spacing w:line="360" w:lineRule="auto"/>
        <w:ind w:firstLine="0" w:firstLineChars="0"/>
        <w:rPr>
          <w:rFonts w:hint="eastAsia" w:ascii="仿宋_GB2312" w:hAnsi="仿宋_GB2312" w:eastAsia="仿宋_GB2312" w:cs="仿宋_GB2312"/>
          <w:b/>
          <w:bCs/>
          <w:color w:val="auto"/>
          <w:sz w:val="32"/>
          <w:szCs w:val="32"/>
        </w:rPr>
        <w:sectPr>
          <w:footerReference r:id="rId12" w:type="default"/>
          <w:pgSz w:w="16783" w:h="11850" w:orient="landscape"/>
          <w:pgMar w:top="1531" w:right="2041" w:bottom="1417" w:left="1417" w:header="851" w:footer="992" w:gutter="0"/>
          <w:cols w:space="720" w:num="1"/>
          <w:docGrid w:type="lines" w:linePitch="312" w:charSpace="0"/>
        </w:sectPr>
      </w:pPr>
    </w:p>
    <w:p w14:paraId="7A4361E5">
      <w:pPr>
        <w:pStyle w:val="5"/>
        <w:spacing w:before="156" w:beforeLines="50" w:after="156" w:afterLines="50"/>
        <w:ind w:firstLine="643"/>
        <w:rPr>
          <w:rFonts w:hint="eastAsia" w:ascii="仿宋_GB2312" w:hAnsi="仿宋_GB2312" w:eastAsia="仿宋_GB2312" w:cs="仿宋_GB2312"/>
          <w:color w:val="auto"/>
          <w:sz w:val="32"/>
        </w:rPr>
      </w:pPr>
      <w:bookmarkStart w:id="63" w:name="_Toc174657284"/>
      <w:r>
        <w:rPr>
          <w:rFonts w:hint="eastAsia" w:ascii="仿宋_GB2312" w:hAnsi="仿宋_GB2312" w:eastAsia="仿宋_GB2312" w:cs="仿宋_GB2312"/>
          <w:color w:val="auto"/>
          <w:sz w:val="32"/>
        </w:rPr>
        <w:t>（三）项目实施安排</w:t>
      </w:r>
      <w:bookmarkEnd w:id="59"/>
      <w:bookmarkEnd w:id="60"/>
      <w:bookmarkEnd w:id="61"/>
      <w:bookmarkEnd w:id="62"/>
      <w:bookmarkEnd w:id="63"/>
    </w:p>
    <w:p w14:paraId="4CBF0889">
      <w:pPr>
        <w:adjustRightInd w:val="0"/>
        <w:snapToGrid w:val="0"/>
        <w:spacing w:line="360" w:lineRule="auto"/>
        <w:ind w:firstLine="640"/>
        <w:jc w:val="both"/>
        <w:rPr>
          <w:rFonts w:cs="仿宋_GB2312"/>
          <w:color w:val="auto"/>
          <w:sz w:val="32"/>
          <w:szCs w:val="32"/>
        </w:rPr>
      </w:pPr>
      <w:bookmarkStart w:id="64" w:name="_Hlk117979715"/>
      <w:r>
        <w:rPr>
          <w:rFonts w:hint="eastAsia" w:ascii="仿宋_GB2312" w:hAnsi="仿宋_GB2312" w:eastAsia="仿宋_GB2312" w:cs="仿宋_GB2312"/>
          <w:color w:val="auto"/>
          <w:sz w:val="32"/>
          <w:szCs w:val="32"/>
        </w:rPr>
        <w:t>本项目预计建设周期为36个月，计划2</w:t>
      </w:r>
      <w:r>
        <w:rPr>
          <w:rFonts w:ascii="仿宋_GB2312" w:hAnsi="仿宋_GB2312" w:eastAsia="仿宋_GB2312" w:cs="仿宋_GB2312"/>
          <w:color w:val="auto"/>
          <w:sz w:val="32"/>
          <w:szCs w:val="32"/>
        </w:rPr>
        <w:t>024</w:t>
      </w:r>
      <w:r>
        <w:rPr>
          <w:rFonts w:hint="eastAsia" w:ascii="仿宋_GB2312" w:hAnsi="仿宋_GB2312" w:eastAsia="仿宋_GB2312" w:cs="仿宋_GB2312"/>
          <w:color w:val="auto"/>
          <w:sz w:val="32"/>
          <w:szCs w:val="32"/>
        </w:rPr>
        <w:t>年9月开工，具体建设计划如下：2</w:t>
      </w:r>
      <w:r>
        <w:rPr>
          <w:rFonts w:ascii="仿宋_GB2312" w:hAnsi="仿宋_GB2312" w:eastAsia="仿宋_GB2312" w:cs="仿宋_GB2312"/>
          <w:color w:val="auto"/>
          <w:sz w:val="32"/>
          <w:szCs w:val="32"/>
        </w:rPr>
        <w:t>024</w:t>
      </w:r>
      <w:r>
        <w:rPr>
          <w:rFonts w:hint="eastAsia" w:ascii="仿宋_GB2312" w:hAnsi="仿宋_GB2312" w:eastAsia="仿宋_GB2312" w:cs="仿宋_GB2312"/>
          <w:color w:val="auto"/>
          <w:sz w:val="32"/>
          <w:szCs w:val="32"/>
        </w:rPr>
        <w:t>年1月-8月进行前期准备工作，2024年9月开工，预计2</w:t>
      </w:r>
      <w:r>
        <w:rPr>
          <w:rFonts w:ascii="仿宋_GB2312" w:hAnsi="仿宋_GB2312" w:eastAsia="仿宋_GB2312" w:cs="仿宋_GB2312"/>
          <w:color w:val="auto"/>
          <w:sz w:val="32"/>
          <w:szCs w:val="32"/>
        </w:rPr>
        <w:t>02</w:t>
      </w:r>
      <w:r>
        <w:rPr>
          <w:rFonts w:hint="eastAsia" w:ascii="仿宋_GB2312" w:hAnsi="仿宋_GB2312" w:eastAsia="仿宋_GB2312" w:cs="仿宋_GB2312"/>
          <w:color w:val="auto"/>
          <w:sz w:val="32"/>
          <w:szCs w:val="32"/>
        </w:rPr>
        <w:t>6年1</w:t>
      </w: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月竣工。</w:t>
      </w:r>
      <w:bookmarkEnd w:id="64"/>
      <w:bookmarkStart w:id="65" w:name="_Hlk117980169"/>
    </w:p>
    <w:bookmarkEnd w:id="65"/>
    <w:p w14:paraId="57B75AFE">
      <w:pPr>
        <w:pStyle w:val="5"/>
        <w:spacing w:before="156" w:beforeLines="50" w:after="156" w:afterLines="50"/>
        <w:ind w:firstLine="643"/>
        <w:rPr>
          <w:rFonts w:hint="eastAsia" w:ascii="仿宋_GB2312" w:hAnsi="仿宋_GB2312" w:eastAsia="仿宋_GB2312" w:cs="仿宋_GB2312"/>
          <w:color w:val="auto"/>
          <w:sz w:val="32"/>
        </w:rPr>
      </w:pPr>
      <w:bookmarkStart w:id="66" w:name="_Toc174657285"/>
      <w:r>
        <w:rPr>
          <w:rFonts w:hint="eastAsia" w:ascii="仿宋_GB2312" w:hAnsi="仿宋_GB2312" w:eastAsia="仿宋_GB2312" w:cs="仿宋_GB2312"/>
          <w:color w:val="auto"/>
          <w:sz w:val="32"/>
        </w:rPr>
        <w:t>（四）债券资金用途</w:t>
      </w:r>
      <w:bookmarkEnd w:id="66"/>
    </w:p>
    <w:p w14:paraId="302A9957">
      <w:pPr>
        <w:pStyle w:val="2"/>
        <w:ind w:firstLine="640"/>
        <w:jc w:val="both"/>
        <w:rPr>
          <w:rFonts w:cs="仿宋_GB2312"/>
          <w:color w:val="auto"/>
          <w:sz w:val="32"/>
          <w:szCs w:val="32"/>
        </w:rPr>
      </w:pPr>
      <w:r>
        <w:rPr>
          <w:rFonts w:cs="仿宋_GB2312"/>
          <w:color w:val="auto"/>
          <w:sz w:val="32"/>
          <w:szCs w:val="32"/>
        </w:rPr>
        <w:t>此次发行专项债券资金用于花都区智能装备科创产业园配套基础设施建设项目，具体建设内容包括新建及改造园区路网39.2公里；电力迁改工程</w:t>
      </w:r>
      <w:r>
        <w:rPr>
          <w:rFonts w:hint="eastAsia" w:cs="仿宋_GB2312"/>
          <w:color w:val="auto"/>
          <w:sz w:val="32"/>
          <w:szCs w:val="32"/>
          <w:lang w:val="en-US" w:eastAsia="zh-CN"/>
        </w:rPr>
        <w:t>5.5</w:t>
      </w:r>
      <w:r>
        <w:rPr>
          <w:rFonts w:cs="仿宋_GB2312"/>
          <w:color w:val="auto"/>
          <w:sz w:val="32"/>
          <w:szCs w:val="32"/>
        </w:rPr>
        <w:t>公里；老旧小区雨污分流面积35388平方米，污水管网改造 4.15 公里；新建产业园配套服务中心建筑面积30000平方米；新建充电桩 300 套；以及其他配套基础设施建设。</w:t>
      </w:r>
    </w:p>
    <w:p w14:paraId="6D497AFD">
      <w:pPr>
        <w:pStyle w:val="2"/>
        <w:ind w:firstLine="640"/>
        <w:jc w:val="both"/>
        <w:rPr>
          <w:rFonts w:hAnsi="宋体"/>
          <w:color w:val="auto"/>
          <w:sz w:val="32"/>
          <w:szCs w:val="32"/>
        </w:rPr>
      </w:pPr>
      <w:r>
        <w:rPr>
          <w:rFonts w:cs="仿宋_GB2312"/>
          <w:color w:val="auto"/>
          <w:sz w:val="32"/>
          <w:szCs w:val="32"/>
        </w:rPr>
        <w:t>本次拟使用金额9000.00万元。本批次债券融资计划在202</w:t>
      </w:r>
      <w:r>
        <w:rPr>
          <w:rFonts w:hint="default" w:cs="仿宋_GB2312"/>
          <w:color w:val="auto"/>
          <w:sz w:val="32"/>
          <w:szCs w:val="32"/>
        </w:rPr>
        <w:t>4</w:t>
      </w:r>
      <w:r>
        <w:rPr>
          <w:rFonts w:cs="仿宋_GB2312"/>
          <w:color w:val="auto"/>
          <w:sz w:val="32"/>
          <w:szCs w:val="32"/>
        </w:rPr>
        <w:t>年底前使用完，形成实物工作量，各季度用款计划如下：</w:t>
      </w:r>
    </w:p>
    <w:p w14:paraId="1A54C646">
      <w:pPr>
        <w:ind w:firstLine="560"/>
        <w:rPr>
          <w:color w:val="auto"/>
        </w:rPr>
        <w:sectPr>
          <w:footerReference r:id="rId13" w:type="default"/>
          <w:pgSz w:w="11906" w:h="16838"/>
          <w:pgMar w:top="1440" w:right="1800" w:bottom="1440" w:left="1800" w:header="851" w:footer="992" w:gutter="0"/>
          <w:cols w:space="425" w:num="1"/>
          <w:docGrid w:type="lines" w:linePitch="312" w:charSpace="0"/>
        </w:sectPr>
      </w:pPr>
    </w:p>
    <w:p w14:paraId="1ED858AB">
      <w:pPr>
        <w:pStyle w:val="2"/>
        <w:ind w:firstLine="640"/>
        <w:jc w:val="both"/>
        <w:rPr>
          <w:rFonts w:cs="仿宋_GB2312"/>
          <w:color w:val="auto"/>
          <w:sz w:val="32"/>
          <w:szCs w:val="32"/>
        </w:rPr>
      </w:pPr>
    </w:p>
    <w:p w14:paraId="6CCE4CB8">
      <w:pPr>
        <w:pStyle w:val="2"/>
        <w:ind w:firstLine="0" w:firstLineChars="0"/>
        <w:jc w:val="center"/>
        <w:rPr>
          <w:color w:val="auto"/>
        </w:rPr>
      </w:pPr>
      <w:r>
        <w:rPr>
          <w:rFonts w:hAnsi="宋体"/>
          <w:color w:val="auto"/>
          <w:sz w:val="32"/>
          <w:szCs w:val="32"/>
        </w:rPr>
        <w:t>表</w:t>
      </w:r>
      <w:r>
        <w:rPr>
          <w:rFonts w:hAnsi="宋体"/>
          <w:color w:val="auto"/>
          <w:sz w:val="32"/>
          <w:szCs w:val="32"/>
        </w:rPr>
        <w:fldChar w:fldCharType="begin"/>
      </w:r>
      <w:r>
        <w:rPr>
          <w:rFonts w:hAnsi="宋体"/>
          <w:color w:val="auto"/>
          <w:sz w:val="32"/>
          <w:szCs w:val="32"/>
        </w:rPr>
        <w:instrText xml:space="preserve"> SEQ 表格 \* ARABIC </w:instrText>
      </w:r>
      <w:r>
        <w:rPr>
          <w:rFonts w:hAnsi="宋体"/>
          <w:color w:val="auto"/>
          <w:sz w:val="32"/>
          <w:szCs w:val="32"/>
        </w:rPr>
        <w:fldChar w:fldCharType="separate"/>
      </w:r>
      <w:r>
        <w:rPr>
          <w:rFonts w:hAnsi="宋体"/>
          <w:color w:val="auto"/>
          <w:sz w:val="32"/>
          <w:szCs w:val="32"/>
        </w:rPr>
        <w:t>5</w:t>
      </w:r>
      <w:r>
        <w:rPr>
          <w:rFonts w:hAnsi="宋体"/>
          <w:color w:val="auto"/>
          <w:sz w:val="32"/>
          <w:szCs w:val="32"/>
        </w:rPr>
        <w:fldChar w:fldCharType="end"/>
      </w:r>
      <w:r>
        <w:rPr>
          <w:rFonts w:cs="仿宋_GB2312"/>
          <w:color w:val="auto"/>
          <w:sz w:val="32"/>
          <w:szCs w:val="32"/>
        </w:rPr>
        <w:t xml:space="preserve">  项目用款计划</w:t>
      </w:r>
      <w:r>
        <w:rPr>
          <w:rFonts w:cs="仿宋_GB2312"/>
          <w:color w:val="auto"/>
          <w:sz w:val="28"/>
          <w:szCs w:val="28"/>
        </w:rPr>
        <w:t>（单位：万元）</w:t>
      </w:r>
    </w:p>
    <w:tbl>
      <w:tblPr>
        <w:tblStyle w:val="19"/>
        <w:tblW w:w="14459" w:type="dxa"/>
        <w:jc w:val="center"/>
        <w:tblCaption w:val="项目用款计划"/>
        <w:tblLayout w:type="autofit"/>
        <w:tblCellMar>
          <w:top w:w="0" w:type="dxa"/>
          <w:left w:w="108" w:type="dxa"/>
          <w:bottom w:w="0" w:type="dxa"/>
          <w:right w:w="108" w:type="dxa"/>
        </w:tblCellMar>
      </w:tblPr>
      <w:tblGrid>
        <w:gridCol w:w="1460"/>
        <w:gridCol w:w="1056"/>
        <w:gridCol w:w="1196"/>
        <w:gridCol w:w="1374"/>
        <w:gridCol w:w="1176"/>
        <w:gridCol w:w="1399"/>
        <w:gridCol w:w="1176"/>
        <w:gridCol w:w="1423"/>
        <w:gridCol w:w="1255"/>
        <w:gridCol w:w="1335"/>
        <w:gridCol w:w="1609"/>
      </w:tblGrid>
      <w:tr w14:paraId="14248974">
        <w:tblPrEx>
          <w:tblCellMar>
            <w:top w:w="0" w:type="dxa"/>
            <w:left w:w="108" w:type="dxa"/>
            <w:bottom w:w="0" w:type="dxa"/>
            <w:right w:w="108" w:type="dxa"/>
          </w:tblCellMar>
        </w:tblPrEx>
        <w:trPr>
          <w:trHeight w:val="480" w:hRule="atLeast"/>
          <w:jc w:val="center"/>
        </w:trPr>
        <w:tc>
          <w:tcPr>
            <w:tcW w:w="1460"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41621C5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项目总投资</w:t>
            </w:r>
          </w:p>
        </w:tc>
        <w:tc>
          <w:tcPr>
            <w:tcW w:w="1056" w:type="dxa"/>
            <w:vMerge w:val="restart"/>
            <w:tcBorders>
              <w:top w:val="single" w:color="auto" w:sz="4" w:space="0"/>
              <w:left w:val="single" w:color="auto" w:sz="4" w:space="0"/>
              <w:bottom w:val="single" w:color="000000" w:sz="4" w:space="0"/>
              <w:right w:val="single" w:color="auto" w:sz="4" w:space="0"/>
            </w:tcBorders>
            <w:shd w:val="clear" w:color="auto" w:fill="auto"/>
            <w:vAlign w:val="center"/>
          </w:tcPr>
          <w:p w14:paraId="6BE5116F">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以前年度用款金额</w:t>
            </w:r>
          </w:p>
        </w:tc>
        <w:tc>
          <w:tcPr>
            <w:tcW w:w="10334" w:type="dxa"/>
            <w:gridSpan w:val="8"/>
            <w:tcBorders>
              <w:top w:val="single" w:color="auto" w:sz="4" w:space="0"/>
              <w:left w:val="nil"/>
              <w:bottom w:val="single" w:color="auto" w:sz="4" w:space="0"/>
              <w:right w:val="single" w:color="000000" w:sz="4" w:space="0"/>
            </w:tcBorders>
            <w:shd w:val="clear" w:color="auto" w:fill="auto"/>
            <w:vAlign w:val="center"/>
          </w:tcPr>
          <w:p w14:paraId="4DDAD08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发行当年用款计划</w:t>
            </w:r>
          </w:p>
        </w:tc>
        <w:tc>
          <w:tcPr>
            <w:tcW w:w="1609" w:type="dxa"/>
            <w:vMerge w:val="restart"/>
            <w:tcBorders>
              <w:top w:val="single" w:color="auto" w:sz="4" w:space="0"/>
              <w:left w:val="nil"/>
              <w:right w:val="single" w:color="auto" w:sz="4" w:space="0"/>
            </w:tcBorders>
            <w:shd w:val="clear" w:color="auto" w:fill="auto"/>
            <w:vAlign w:val="center"/>
          </w:tcPr>
          <w:p w14:paraId="5E7D9E0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以后年度计划用款金额</w:t>
            </w:r>
          </w:p>
        </w:tc>
      </w:tr>
      <w:tr w14:paraId="30A15857">
        <w:tblPrEx>
          <w:tblCellMar>
            <w:top w:w="0" w:type="dxa"/>
            <w:left w:w="108" w:type="dxa"/>
            <w:bottom w:w="0" w:type="dxa"/>
            <w:right w:w="108" w:type="dxa"/>
          </w:tblCellMar>
        </w:tblPrEx>
        <w:trPr>
          <w:trHeight w:val="720" w:hRule="atLeast"/>
          <w:jc w:val="center"/>
        </w:trPr>
        <w:tc>
          <w:tcPr>
            <w:tcW w:w="1460" w:type="dxa"/>
            <w:vMerge w:val="continue"/>
            <w:tcBorders>
              <w:top w:val="single" w:color="auto" w:sz="4" w:space="0"/>
              <w:left w:val="single" w:color="auto" w:sz="4" w:space="0"/>
              <w:bottom w:val="single" w:color="000000" w:sz="4" w:space="0"/>
              <w:right w:val="single" w:color="auto" w:sz="4" w:space="0"/>
            </w:tcBorders>
            <w:vAlign w:val="center"/>
          </w:tcPr>
          <w:p w14:paraId="58B9D3DF">
            <w:pPr>
              <w:spacing w:line="240" w:lineRule="auto"/>
              <w:ind w:firstLine="0" w:firstLineChars="0"/>
              <w:rPr>
                <w:rFonts w:ascii="Times New Roman" w:hAnsi="Times New Roman" w:eastAsia="宋体" w:cs="Times New Roman"/>
                <w:color w:val="auto"/>
                <w:sz w:val="18"/>
                <w:szCs w:val="18"/>
              </w:rPr>
            </w:pPr>
          </w:p>
        </w:tc>
        <w:tc>
          <w:tcPr>
            <w:tcW w:w="1056" w:type="dxa"/>
            <w:vMerge w:val="continue"/>
            <w:tcBorders>
              <w:top w:val="single" w:color="auto" w:sz="4" w:space="0"/>
              <w:left w:val="single" w:color="auto" w:sz="4" w:space="0"/>
              <w:bottom w:val="single" w:color="000000" w:sz="4" w:space="0"/>
              <w:right w:val="single" w:color="auto" w:sz="4" w:space="0"/>
            </w:tcBorders>
            <w:vAlign w:val="center"/>
          </w:tcPr>
          <w:p w14:paraId="6C01FCB5">
            <w:pPr>
              <w:spacing w:line="240" w:lineRule="auto"/>
              <w:ind w:firstLine="0" w:firstLineChars="0"/>
              <w:rPr>
                <w:rFonts w:ascii="Times New Roman" w:hAnsi="Times New Roman" w:eastAsia="宋体" w:cs="Times New Roman"/>
                <w:color w:val="auto"/>
                <w:sz w:val="18"/>
                <w:szCs w:val="18"/>
              </w:rPr>
            </w:pPr>
          </w:p>
        </w:tc>
        <w:tc>
          <w:tcPr>
            <w:tcW w:w="1196" w:type="dxa"/>
            <w:tcBorders>
              <w:top w:val="nil"/>
              <w:left w:val="nil"/>
              <w:bottom w:val="single" w:color="auto" w:sz="4" w:space="0"/>
              <w:right w:val="single" w:color="auto" w:sz="4" w:space="0"/>
            </w:tcBorders>
            <w:shd w:val="clear" w:color="auto" w:fill="auto"/>
            <w:vAlign w:val="center"/>
          </w:tcPr>
          <w:p w14:paraId="23489EC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一季度用款金额</w:t>
            </w:r>
          </w:p>
        </w:tc>
        <w:tc>
          <w:tcPr>
            <w:tcW w:w="1374" w:type="dxa"/>
            <w:tcBorders>
              <w:top w:val="nil"/>
              <w:left w:val="nil"/>
              <w:bottom w:val="single" w:color="auto" w:sz="4" w:space="0"/>
              <w:right w:val="single" w:color="auto" w:sz="4" w:space="0"/>
            </w:tcBorders>
            <w:shd w:val="clear" w:color="auto" w:fill="auto"/>
            <w:vAlign w:val="center"/>
          </w:tcPr>
          <w:p w14:paraId="33FFBE8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其中：本次专项债券使用金额</w:t>
            </w:r>
          </w:p>
        </w:tc>
        <w:tc>
          <w:tcPr>
            <w:tcW w:w="1176" w:type="dxa"/>
            <w:tcBorders>
              <w:top w:val="nil"/>
              <w:left w:val="nil"/>
              <w:bottom w:val="single" w:color="auto" w:sz="4" w:space="0"/>
              <w:right w:val="single" w:color="auto" w:sz="4" w:space="0"/>
            </w:tcBorders>
            <w:shd w:val="clear" w:color="auto" w:fill="auto"/>
            <w:vAlign w:val="center"/>
          </w:tcPr>
          <w:p w14:paraId="753C8459">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二季度用款金额</w:t>
            </w:r>
          </w:p>
        </w:tc>
        <w:tc>
          <w:tcPr>
            <w:tcW w:w="1399" w:type="dxa"/>
            <w:tcBorders>
              <w:top w:val="nil"/>
              <w:left w:val="nil"/>
              <w:bottom w:val="single" w:color="auto" w:sz="4" w:space="0"/>
              <w:right w:val="single" w:color="auto" w:sz="4" w:space="0"/>
            </w:tcBorders>
            <w:shd w:val="clear" w:color="auto" w:fill="auto"/>
            <w:vAlign w:val="center"/>
          </w:tcPr>
          <w:p w14:paraId="2DAE4597">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其中：本次专项债券使用金额</w:t>
            </w:r>
          </w:p>
        </w:tc>
        <w:tc>
          <w:tcPr>
            <w:tcW w:w="1176" w:type="dxa"/>
            <w:tcBorders>
              <w:top w:val="nil"/>
              <w:left w:val="nil"/>
              <w:bottom w:val="single" w:color="auto" w:sz="4" w:space="0"/>
              <w:right w:val="single" w:color="auto" w:sz="4" w:space="0"/>
            </w:tcBorders>
            <w:shd w:val="clear" w:color="auto" w:fill="auto"/>
            <w:vAlign w:val="center"/>
          </w:tcPr>
          <w:p w14:paraId="11B0840E">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三季度用款金额</w:t>
            </w:r>
          </w:p>
        </w:tc>
        <w:tc>
          <w:tcPr>
            <w:tcW w:w="1423" w:type="dxa"/>
            <w:tcBorders>
              <w:top w:val="nil"/>
              <w:left w:val="nil"/>
              <w:bottom w:val="single" w:color="auto" w:sz="4" w:space="0"/>
              <w:right w:val="single" w:color="auto" w:sz="4" w:space="0"/>
            </w:tcBorders>
            <w:shd w:val="clear" w:color="auto" w:fill="auto"/>
            <w:vAlign w:val="center"/>
          </w:tcPr>
          <w:p w14:paraId="3BC6CA87">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其中：本次专项债券使用金额</w:t>
            </w:r>
          </w:p>
        </w:tc>
        <w:tc>
          <w:tcPr>
            <w:tcW w:w="1255" w:type="dxa"/>
            <w:tcBorders>
              <w:top w:val="nil"/>
              <w:left w:val="nil"/>
              <w:bottom w:val="single" w:color="auto" w:sz="4" w:space="0"/>
              <w:right w:val="single" w:color="auto" w:sz="4" w:space="0"/>
            </w:tcBorders>
            <w:shd w:val="clear" w:color="auto" w:fill="auto"/>
            <w:vAlign w:val="center"/>
          </w:tcPr>
          <w:p w14:paraId="545474C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四季度用款金额</w:t>
            </w:r>
          </w:p>
        </w:tc>
        <w:tc>
          <w:tcPr>
            <w:tcW w:w="1335" w:type="dxa"/>
            <w:tcBorders>
              <w:top w:val="nil"/>
              <w:left w:val="nil"/>
              <w:bottom w:val="single" w:color="auto" w:sz="4" w:space="0"/>
              <w:right w:val="single" w:color="auto" w:sz="4" w:space="0"/>
            </w:tcBorders>
            <w:shd w:val="clear" w:color="auto" w:fill="auto"/>
            <w:vAlign w:val="center"/>
          </w:tcPr>
          <w:p w14:paraId="4711116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其中：本次专项债券使用金额</w:t>
            </w:r>
          </w:p>
        </w:tc>
        <w:tc>
          <w:tcPr>
            <w:tcW w:w="1609" w:type="dxa"/>
            <w:vMerge w:val="continue"/>
            <w:tcBorders>
              <w:left w:val="nil"/>
              <w:bottom w:val="single" w:color="auto" w:sz="4" w:space="0"/>
              <w:right w:val="single" w:color="auto" w:sz="4" w:space="0"/>
            </w:tcBorders>
            <w:shd w:val="clear" w:color="auto" w:fill="auto"/>
            <w:vAlign w:val="center"/>
          </w:tcPr>
          <w:p w14:paraId="74D52961">
            <w:pPr>
              <w:spacing w:line="240" w:lineRule="auto"/>
              <w:ind w:firstLine="0" w:firstLineChars="0"/>
              <w:jc w:val="center"/>
              <w:rPr>
                <w:rFonts w:ascii="Times New Roman" w:hAnsi="Times New Roman" w:eastAsia="宋体" w:cs="Times New Roman"/>
                <w:color w:val="auto"/>
                <w:sz w:val="18"/>
                <w:szCs w:val="18"/>
              </w:rPr>
            </w:pPr>
          </w:p>
        </w:tc>
      </w:tr>
      <w:tr w14:paraId="08EF4763">
        <w:tblPrEx>
          <w:tblCellMar>
            <w:top w:w="0" w:type="dxa"/>
            <w:left w:w="108" w:type="dxa"/>
            <w:bottom w:w="0" w:type="dxa"/>
            <w:right w:w="108" w:type="dxa"/>
          </w:tblCellMar>
        </w:tblPrEx>
        <w:trPr>
          <w:trHeight w:val="380" w:hRule="atLeast"/>
          <w:jc w:val="center"/>
        </w:trPr>
        <w:tc>
          <w:tcPr>
            <w:tcW w:w="1460" w:type="dxa"/>
            <w:tcBorders>
              <w:top w:val="nil"/>
              <w:left w:val="single" w:color="auto" w:sz="4" w:space="0"/>
              <w:bottom w:val="single" w:color="auto" w:sz="4" w:space="0"/>
              <w:right w:val="single" w:color="auto" w:sz="4" w:space="0"/>
            </w:tcBorders>
            <w:shd w:val="clear" w:color="auto" w:fill="auto"/>
            <w:vAlign w:val="bottom"/>
          </w:tcPr>
          <w:p w14:paraId="38C6BCE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80998.16</w:t>
            </w:r>
          </w:p>
        </w:tc>
        <w:tc>
          <w:tcPr>
            <w:tcW w:w="1056" w:type="dxa"/>
            <w:tcBorders>
              <w:top w:val="nil"/>
              <w:left w:val="nil"/>
              <w:bottom w:val="single" w:color="auto" w:sz="4" w:space="0"/>
              <w:right w:val="single" w:color="auto" w:sz="4" w:space="0"/>
            </w:tcBorders>
            <w:shd w:val="clear" w:color="auto" w:fill="auto"/>
            <w:vAlign w:val="bottom"/>
          </w:tcPr>
          <w:p w14:paraId="3B48AADA">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0.00</w:t>
            </w:r>
          </w:p>
        </w:tc>
        <w:tc>
          <w:tcPr>
            <w:tcW w:w="1196" w:type="dxa"/>
            <w:tcBorders>
              <w:top w:val="nil"/>
              <w:left w:val="nil"/>
              <w:bottom w:val="single" w:color="auto" w:sz="4" w:space="0"/>
              <w:right w:val="single" w:color="auto" w:sz="4" w:space="0"/>
            </w:tcBorders>
            <w:shd w:val="clear" w:color="auto" w:fill="auto"/>
            <w:vAlign w:val="bottom"/>
          </w:tcPr>
          <w:p w14:paraId="6DCF3FFD">
            <w:pPr>
              <w:spacing w:line="240" w:lineRule="auto"/>
              <w:ind w:firstLine="0" w:firstLineChars="0"/>
              <w:jc w:val="center"/>
              <w:rPr>
                <w:rFonts w:ascii="Times New Roman" w:hAnsi="Times New Roman" w:eastAsia="宋体" w:cs="Times New Roman"/>
                <w:color w:val="auto"/>
                <w:sz w:val="18"/>
                <w:szCs w:val="18"/>
              </w:rPr>
            </w:pPr>
          </w:p>
        </w:tc>
        <w:tc>
          <w:tcPr>
            <w:tcW w:w="1374" w:type="dxa"/>
            <w:tcBorders>
              <w:top w:val="nil"/>
              <w:left w:val="nil"/>
              <w:bottom w:val="single" w:color="auto" w:sz="4" w:space="0"/>
              <w:right w:val="single" w:color="auto" w:sz="4" w:space="0"/>
            </w:tcBorders>
            <w:shd w:val="clear" w:color="auto" w:fill="auto"/>
            <w:vAlign w:val="bottom"/>
          </w:tcPr>
          <w:p w14:paraId="42D6C219">
            <w:pPr>
              <w:spacing w:line="240" w:lineRule="auto"/>
              <w:ind w:firstLine="0" w:firstLineChars="0"/>
              <w:jc w:val="center"/>
              <w:rPr>
                <w:rFonts w:ascii="Times New Roman" w:hAnsi="Times New Roman" w:eastAsia="宋体" w:cs="Times New Roman"/>
                <w:color w:val="auto"/>
                <w:sz w:val="18"/>
                <w:szCs w:val="18"/>
              </w:rPr>
            </w:pPr>
          </w:p>
        </w:tc>
        <w:tc>
          <w:tcPr>
            <w:tcW w:w="1176" w:type="dxa"/>
            <w:tcBorders>
              <w:top w:val="nil"/>
              <w:left w:val="nil"/>
              <w:bottom w:val="single" w:color="auto" w:sz="4" w:space="0"/>
              <w:right w:val="single" w:color="auto" w:sz="4" w:space="0"/>
            </w:tcBorders>
            <w:shd w:val="clear" w:color="auto" w:fill="auto"/>
            <w:vAlign w:val="bottom"/>
          </w:tcPr>
          <w:p w14:paraId="43E11638">
            <w:pPr>
              <w:spacing w:line="240" w:lineRule="auto"/>
              <w:ind w:firstLine="0" w:firstLineChars="0"/>
              <w:jc w:val="center"/>
              <w:rPr>
                <w:rFonts w:ascii="Times New Roman" w:hAnsi="Times New Roman" w:eastAsia="宋体" w:cs="Times New Roman"/>
                <w:color w:val="auto"/>
                <w:sz w:val="18"/>
                <w:szCs w:val="18"/>
              </w:rPr>
            </w:pPr>
          </w:p>
        </w:tc>
        <w:tc>
          <w:tcPr>
            <w:tcW w:w="1399" w:type="dxa"/>
            <w:tcBorders>
              <w:top w:val="nil"/>
              <w:left w:val="nil"/>
              <w:bottom w:val="single" w:color="auto" w:sz="4" w:space="0"/>
              <w:right w:val="single" w:color="auto" w:sz="4" w:space="0"/>
            </w:tcBorders>
            <w:shd w:val="clear" w:color="auto" w:fill="auto"/>
            <w:vAlign w:val="bottom"/>
          </w:tcPr>
          <w:p w14:paraId="2D1E33B8">
            <w:pPr>
              <w:spacing w:line="240" w:lineRule="auto"/>
              <w:ind w:firstLine="0" w:firstLineChars="0"/>
              <w:jc w:val="center"/>
              <w:rPr>
                <w:rFonts w:ascii="Times New Roman" w:hAnsi="Times New Roman" w:eastAsia="宋体" w:cs="Times New Roman"/>
                <w:color w:val="auto"/>
                <w:sz w:val="18"/>
                <w:szCs w:val="18"/>
              </w:rPr>
            </w:pPr>
          </w:p>
        </w:tc>
        <w:tc>
          <w:tcPr>
            <w:tcW w:w="1176" w:type="dxa"/>
            <w:tcBorders>
              <w:top w:val="nil"/>
              <w:left w:val="nil"/>
              <w:bottom w:val="single" w:color="auto" w:sz="4" w:space="0"/>
              <w:right w:val="single" w:color="auto" w:sz="4" w:space="0"/>
            </w:tcBorders>
            <w:shd w:val="clear" w:color="auto" w:fill="auto"/>
            <w:vAlign w:val="bottom"/>
          </w:tcPr>
          <w:p w14:paraId="7AB2D75B">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14000.00</w:t>
            </w:r>
          </w:p>
        </w:tc>
        <w:tc>
          <w:tcPr>
            <w:tcW w:w="1423" w:type="dxa"/>
            <w:tcBorders>
              <w:top w:val="nil"/>
              <w:left w:val="nil"/>
              <w:bottom w:val="single" w:color="auto" w:sz="4" w:space="0"/>
              <w:right w:val="single" w:color="auto" w:sz="4" w:space="0"/>
            </w:tcBorders>
            <w:shd w:val="clear" w:color="auto" w:fill="auto"/>
            <w:vAlign w:val="bottom"/>
          </w:tcPr>
          <w:p w14:paraId="39FCC322">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4500.00</w:t>
            </w:r>
          </w:p>
        </w:tc>
        <w:tc>
          <w:tcPr>
            <w:tcW w:w="1255" w:type="dxa"/>
            <w:tcBorders>
              <w:top w:val="nil"/>
              <w:left w:val="nil"/>
              <w:bottom w:val="single" w:color="auto" w:sz="4" w:space="0"/>
              <w:right w:val="single" w:color="auto" w:sz="4" w:space="0"/>
            </w:tcBorders>
            <w:shd w:val="clear" w:color="auto" w:fill="auto"/>
            <w:vAlign w:val="bottom"/>
          </w:tcPr>
          <w:p w14:paraId="30D6B99B">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14000.00</w:t>
            </w:r>
          </w:p>
        </w:tc>
        <w:tc>
          <w:tcPr>
            <w:tcW w:w="1335" w:type="dxa"/>
            <w:tcBorders>
              <w:top w:val="nil"/>
              <w:left w:val="nil"/>
              <w:bottom w:val="single" w:color="auto" w:sz="4" w:space="0"/>
              <w:right w:val="single" w:color="auto" w:sz="4" w:space="0"/>
            </w:tcBorders>
            <w:shd w:val="clear" w:color="auto" w:fill="auto"/>
            <w:vAlign w:val="bottom"/>
          </w:tcPr>
          <w:p w14:paraId="389B496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4500.00</w:t>
            </w:r>
          </w:p>
        </w:tc>
        <w:tc>
          <w:tcPr>
            <w:tcW w:w="1609" w:type="dxa"/>
            <w:tcBorders>
              <w:top w:val="nil"/>
              <w:left w:val="nil"/>
              <w:bottom w:val="single" w:color="auto" w:sz="4" w:space="0"/>
              <w:right w:val="single" w:color="auto" w:sz="4" w:space="0"/>
            </w:tcBorders>
            <w:shd w:val="clear" w:color="auto" w:fill="auto"/>
            <w:vAlign w:val="bottom"/>
          </w:tcPr>
          <w:p w14:paraId="385AA817">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52998.16</w:t>
            </w:r>
          </w:p>
        </w:tc>
      </w:tr>
    </w:tbl>
    <w:p w14:paraId="5E9249F3">
      <w:pPr>
        <w:ind w:firstLine="560"/>
        <w:rPr>
          <w:color w:val="auto"/>
        </w:rPr>
      </w:pPr>
    </w:p>
    <w:p w14:paraId="2D2BD6D4">
      <w:pPr>
        <w:ind w:firstLine="0" w:firstLineChars="0"/>
        <w:rPr>
          <w:color w:val="auto"/>
        </w:rPr>
      </w:pPr>
    </w:p>
    <w:p w14:paraId="6BF5E24A">
      <w:pPr>
        <w:pStyle w:val="2"/>
        <w:ind w:firstLine="0" w:firstLineChars="0"/>
        <w:rPr>
          <w:color w:val="auto"/>
        </w:rPr>
        <w:sectPr>
          <w:pgSz w:w="16838" w:h="11906" w:orient="landscape"/>
          <w:pgMar w:top="1440" w:right="1080" w:bottom="1440" w:left="1080" w:header="851" w:footer="992" w:gutter="0"/>
          <w:cols w:space="425" w:num="1"/>
          <w:docGrid w:type="lines" w:linePitch="312" w:charSpace="0"/>
        </w:sectPr>
      </w:pPr>
    </w:p>
    <w:p w14:paraId="18684D6C">
      <w:pPr>
        <w:pStyle w:val="4"/>
        <w:adjustRightInd w:val="0"/>
        <w:snapToGrid w:val="0"/>
        <w:spacing w:before="156" w:beforeLines="50"/>
        <w:ind w:firstLine="640"/>
        <w:rPr>
          <w:rFonts w:hint="eastAsia" w:ascii="黑体" w:hAnsi="黑体" w:eastAsia="黑体" w:cs="黑体"/>
          <w:color w:val="auto"/>
          <w:kern w:val="0"/>
          <w:sz w:val="32"/>
          <w:szCs w:val="32"/>
        </w:rPr>
      </w:pPr>
      <w:bookmarkStart w:id="67" w:name="_Toc15207"/>
      <w:bookmarkStart w:id="68" w:name="_Toc12886"/>
      <w:bookmarkStart w:id="69" w:name="_Toc174657286"/>
      <w:bookmarkStart w:id="70" w:name="_Toc18304"/>
      <w:bookmarkStart w:id="71" w:name="_Toc4078"/>
      <w:bookmarkStart w:id="72" w:name="_Toc28900"/>
      <w:bookmarkStart w:id="73" w:name="_Toc10240"/>
      <w:bookmarkStart w:id="74" w:name="_Toc16021"/>
      <w:bookmarkStart w:id="75" w:name="_Toc11977"/>
      <w:r>
        <w:rPr>
          <w:rFonts w:hint="eastAsia" w:ascii="黑体" w:hAnsi="黑体" w:eastAsia="黑体" w:cs="黑体"/>
          <w:color w:val="auto"/>
          <w:kern w:val="0"/>
          <w:sz w:val="32"/>
          <w:szCs w:val="32"/>
        </w:rPr>
        <w:t>四、项目收益与融资平衡情况</w:t>
      </w:r>
      <w:bookmarkEnd w:id="67"/>
      <w:bookmarkEnd w:id="68"/>
      <w:bookmarkEnd w:id="69"/>
      <w:bookmarkEnd w:id="70"/>
      <w:bookmarkEnd w:id="71"/>
      <w:bookmarkEnd w:id="72"/>
      <w:bookmarkEnd w:id="73"/>
      <w:bookmarkEnd w:id="74"/>
      <w:bookmarkEnd w:id="75"/>
    </w:p>
    <w:p w14:paraId="746EEE4A">
      <w:pPr>
        <w:pStyle w:val="5"/>
        <w:spacing w:before="156" w:beforeLines="50" w:after="156" w:afterLines="50"/>
        <w:ind w:firstLine="643"/>
        <w:rPr>
          <w:rFonts w:hint="eastAsia" w:ascii="仿宋_GB2312" w:hAnsi="仿宋_GB2312" w:eastAsia="仿宋_GB2312" w:cs="仿宋_GB2312"/>
          <w:color w:val="auto"/>
          <w:sz w:val="32"/>
        </w:rPr>
      </w:pPr>
      <w:bookmarkStart w:id="76" w:name="_Toc8303"/>
      <w:bookmarkStart w:id="77" w:name="_Toc32020"/>
      <w:bookmarkStart w:id="78" w:name="_Toc174657287"/>
      <w:bookmarkStart w:id="79" w:name="_Toc20398"/>
      <w:bookmarkStart w:id="80" w:name="_Toc18664"/>
      <w:r>
        <w:rPr>
          <w:rFonts w:hint="eastAsia" w:ascii="仿宋_GB2312" w:hAnsi="仿宋_GB2312" w:eastAsia="仿宋_GB2312" w:cs="仿宋_GB2312"/>
          <w:color w:val="auto"/>
          <w:sz w:val="32"/>
        </w:rPr>
        <w:t>（一）项目预期成本收益</w:t>
      </w:r>
      <w:bookmarkEnd w:id="76"/>
      <w:bookmarkEnd w:id="77"/>
      <w:bookmarkEnd w:id="78"/>
      <w:bookmarkEnd w:id="79"/>
      <w:bookmarkEnd w:id="80"/>
    </w:p>
    <w:p w14:paraId="330B6353">
      <w:pPr>
        <w:pStyle w:val="2"/>
        <w:ind w:firstLine="640"/>
        <w:jc w:val="both"/>
        <w:rPr>
          <w:rFonts w:cs="仿宋_GB2312"/>
          <w:color w:val="auto"/>
          <w:sz w:val="32"/>
          <w:szCs w:val="32"/>
        </w:rPr>
      </w:pPr>
      <w:r>
        <w:rPr>
          <w:rFonts w:cs="仿宋_GB2312"/>
          <w:color w:val="auto"/>
          <w:sz w:val="32"/>
          <w:szCs w:val="32"/>
        </w:rPr>
        <w:t>本项目收入来源于租金收入、停车费收入、充电桩服务费收入、广告位收入、土地出让收入。预计总收入</w:t>
      </w:r>
      <w:r>
        <w:rPr>
          <w:rFonts w:hAnsi="Calibri"/>
          <w:color w:val="auto"/>
          <w:sz w:val="32"/>
          <w:szCs w:val="32"/>
        </w:rPr>
        <w:t>148148.22</w:t>
      </w:r>
      <w:r>
        <w:rPr>
          <w:rFonts w:cs="仿宋_GB2312"/>
          <w:color w:val="auto"/>
          <w:sz w:val="32"/>
          <w:szCs w:val="32"/>
        </w:rPr>
        <w:t>万元。</w:t>
      </w:r>
    </w:p>
    <w:p w14:paraId="56EE3A66">
      <w:pPr>
        <w:adjustRightInd w:val="0"/>
        <w:snapToGrid w:val="0"/>
        <w:spacing w:before="156" w:beforeLines="50" w:line="360" w:lineRule="auto"/>
        <w:ind w:firstLine="643"/>
        <w:outlineLvl w:val="2"/>
        <w:rPr>
          <w:rFonts w:hint="eastAsia" w:ascii="仿宋_GB2312" w:hAnsi="仿宋_GB2312" w:eastAsia="仿宋_GB2312" w:cs="仿宋_GB2312"/>
          <w:b/>
          <w:bCs/>
          <w:color w:val="auto"/>
          <w:sz w:val="32"/>
          <w:szCs w:val="32"/>
        </w:rPr>
      </w:pPr>
      <w:bookmarkStart w:id="81" w:name="_Toc155905825"/>
      <w:bookmarkStart w:id="82" w:name="_Toc174657288"/>
      <w:r>
        <w:rPr>
          <w:rFonts w:hint="eastAsia" w:ascii="仿宋_GB2312" w:hAnsi="仿宋_GB2312" w:eastAsia="仿宋_GB2312" w:cs="仿宋_GB2312"/>
          <w:b/>
          <w:bCs/>
          <w:color w:val="auto"/>
          <w:sz w:val="32"/>
          <w:szCs w:val="32"/>
        </w:rPr>
        <w:t>1.项目收入测算</w:t>
      </w:r>
      <w:bookmarkEnd w:id="81"/>
      <w:bookmarkEnd w:id="82"/>
    </w:p>
    <w:p w14:paraId="0C432D54">
      <w:pPr>
        <w:pStyle w:val="2"/>
        <w:ind w:firstLine="640"/>
        <w:jc w:val="both"/>
        <w:rPr>
          <w:rFonts w:cs="仿宋_GB2312"/>
          <w:color w:val="auto"/>
          <w:sz w:val="32"/>
          <w:szCs w:val="32"/>
        </w:rPr>
      </w:pPr>
      <w:r>
        <w:rPr>
          <w:rFonts w:cs="仿宋_GB2312"/>
          <w:color w:val="auto"/>
          <w:sz w:val="32"/>
          <w:szCs w:val="32"/>
        </w:rPr>
        <w:t>本项目2026年12月完成竣工验收，2</w:t>
      </w:r>
      <w:r>
        <w:rPr>
          <w:rFonts w:hint="default" w:cs="仿宋_GB2312"/>
          <w:color w:val="auto"/>
          <w:sz w:val="32"/>
          <w:szCs w:val="32"/>
        </w:rPr>
        <w:t>0</w:t>
      </w:r>
      <w:r>
        <w:rPr>
          <w:rFonts w:cs="仿宋_GB2312"/>
          <w:color w:val="auto"/>
          <w:sz w:val="32"/>
          <w:szCs w:val="32"/>
        </w:rPr>
        <w:t>27年1月开始正式运营。</w:t>
      </w:r>
    </w:p>
    <w:p w14:paraId="698F9838">
      <w:pPr>
        <w:pStyle w:val="2"/>
        <w:ind w:firstLine="640"/>
        <w:jc w:val="both"/>
        <w:rPr>
          <w:rFonts w:cs="仿宋_GB2312"/>
          <w:color w:val="auto"/>
          <w:sz w:val="32"/>
          <w:szCs w:val="32"/>
        </w:rPr>
      </w:pPr>
      <w:r>
        <w:rPr>
          <w:rFonts w:cs="仿宋_GB2312"/>
          <w:color w:val="auto"/>
          <w:sz w:val="32"/>
          <w:szCs w:val="32"/>
        </w:rPr>
        <w:t>（1）专项收入预测说明</w:t>
      </w:r>
    </w:p>
    <w:p w14:paraId="44CF840B">
      <w:pPr>
        <w:pStyle w:val="2"/>
        <w:ind w:firstLine="640"/>
        <w:jc w:val="both"/>
        <w:rPr>
          <w:rFonts w:cs="仿宋_GB2312"/>
          <w:color w:val="auto"/>
          <w:sz w:val="32"/>
          <w:szCs w:val="32"/>
        </w:rPr>
      </w:pPr>
      <w:r>
        <w:rPr>
          <w:rFonts w:cs="仿宋_GB2312"/>
          <w:color w:val="auto"/>
          <w:sz w:val="32"/>
          <w:szCs w:val="32"/>
        </w:rPr>
        <w:t>1）租金收入</w:t>
      </w:r>
    </w:p>
    <w:p w14:paraId="680982D2">
      <w:pPr>
        <w:pStyle w:val="7"/>
        <w:spacing w:line="560" w:lineRule="exact"/>
        <w:ind w:firstLine="640"/>
        <w:jc w:val="both"/>
        <w:rPr>
          <w:rFonts w:hint="eastAsia" w:ascii="仿宋_GB2312" w:eastAsia="仿宋_GB2312"/>
          <w:color w:val="auto"/>
          <w:sz w:val="32"/>
          <w:szCs w:val="32"/>
          <w:lang w:val="zh-CN"/>
        </w:rPr>
      </w:pPr>
      <w:r>
        <w:rPr>
          <w:rFonts w:ascii="仿宋_GB2312" w:eastAsia="仿宋_GB2312"/>
          <w:color w:val="auto"/>
          <w:sz w:val="32"/>
          <w:szCs w:val="32"/>
        </w:rPr>
        <w:t>本项目</w:t>
      </w:r>
      <w:r>
        <w:rPr>
          <w:rFonts w:hint="eastAsia" w:ascii="仿宋_GB2312" w:eastAsia="仿宋_GB2312"/>
          <w:color w:val="auto"/>
          <w:sz w:val="32"/>
          <w:szCs w:val="32"/>
        </w:rPr>
        <w:t>新建产业园配套服务中心建筑面积30000平方米，其中可出租面积为15000平方米。谨慎保守测算，运营期第一</w:t>
      </w:r>
      <w:r>
        <w:rPr>
          <w:rFonts w:hint="eastAsia" w:ascii="仿宋_GB2312" w:eastAsia="仿宋_GB2312"/>
          <w:color w:val="auto"/>
          <w:sz w:val="32"/>
          <w:szCs w:val="32"/>
          <w:lang w:val="zh-CN"/>
        </w:rPr>
        <w:t>年厂房</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hint="eastAsia" w:ascii="仿宋_GB2312" w:eastAsia="仿宋_GB2312"/>
          <w:color w:val="auto"/>
          <w:sz w:val="32"/>
          <w:szCs w:val="32"/>
        </w:rPr>
        <w:t>6</w:t>
      </w:r>
      <w:r>
        <w:rPr>
          <w:rFonts w:ascii="仿宋_GB2312" w:eastAsia="仿宋_GB2312"/>
          <w:color w:val="auto"/>
          <w:sz w:val="32"/>
          <w:szCs w:val="32"/>
        </w:rPr>
        <w:t>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进行测算，第二年</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ascii="仿宋_GB2312" w:eastAsia="仿宋_GB2312"/>
          <w:color w:val="auto"/>
          <w:sz w:val="32"/>
          <w:szCs w:val="32"/>
        </w:rPr>
        <w:t>75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进行测算，第三年</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hint="eastAsia" w:ascii="仿宋_GB2312" w:eastAsia="仿宋_GB2312"/>
          <w:color w:val="auto"/>
          <w:sz w:val="32"/>
          <w:szCs w:val="32"/>
        </w:rPr>
        <w:t>8</w:t>
      </w:r>
      <w:r>
        <w:rPr>
          <w:rFonts w:ascii="仿宋_GB2312" w:eastAsia="仿宋_GB2312"/>
          <w:color w:val="auto"/>
          <w:sz w:val="32"/>
          <w:szCs w:val="32"/>
        </w:rPr>
        <w:t>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w:t>
      </w:r>
      <w:r>
        <w:rPr>
          <w:rFonts w:hint="eastAsia" w:ascii="仿宋_GB2312" w:eastAsia="仿宋_GB2312"/>
          <w:color w:val="auto"/>
          <w:sz w:val="32"/>
          <w:szCs w:val="32"/>
        </w:rPr>
        <w:t>四</w:t>
      </w:r>
      <w:r>
        <w:rPr>
          <w:rFonts w:hint="eastAsia" w:ascii="仿宋_GB2312" w:eastAsia="仿宋_GB2312"/>
          <w:color w:val="auto"/>
          <w:sz w:val="32"/>
          <w:szCs w:val="32"/>
          <w:lang w:val="zh-CN"/>
        </w:rPr>
        <w:t>年</w:t>
      </w:r>
      <w:r>
        <w:rPr>
          <w:rFonts w:hint="eastAsia" w:ascii="仿宋_GB2312" w:eastAsia="仿宋_GB2312"/>
          <w:color w:val="auto"/>
          <w:sz w:val="32"/>
          <w:szCs w:val="32"/>
        </w:rPr>
        <w:t>及以后出租率按</w:t>
      </w:r>
      <w:r>
        <w:rPr>
          <w:rFonts w:ascii="仿宋_GB2312" w:eastAsia="仿宋_GB2312"/>
          <w:color w:val="auto"/>
          <w:sz w:val="32"/>
          <w:szCs w:val="32"/>
        </w:rPr>
        <w:t>95</w:t>
      </w:r>
      <w:r>
        <w:rPr>
          <w:rFonts w:hint="eastAsia" w:ascii="仿宋_GB2312" w:eastAsia="仿宋_GB2312"/>
          <w:color w:val="auto"/>
          <w:sz w:val="32"/>
          <w:szCs w:val="32"/>
        </w:rPr>
        <w:t>%进行测算</w:t>
      </w:r>
      <w:r>
        <w:rPr>
          <w:rFonts w:hint="eastAsia" w:ascii="仿宋_GB2312" w:eastAsia="仿宋_GB2312"/>
          <w:color w:val="auto"/>
          <w:sz w:val="32"/>
          <w:szCs w:val="32"/>
          <w:lang w:val="zh-CN"/>
        </w:rPr>
        <w:t>。</w:t>
      </w:r>
    </w:p>
    <w:p w14:paraId="61415709">
      <w:pPr>
        <w:pStyle w:val="2"/>
        <w:ind w:firstLine="640"/>
        <w:jc w:val="both"/>
        <w:rPr>
          <w:rFonts w:cs="仿宋_GB2312"/>
          <w:color w:val="auto"/>
          <w:sz w:val="32"/>
          <w:szCs w:val="32"/>
        </w:rPr>
      </w:pPr>
      <w:r>
        <w:rPr>
          <w:rFonts w:cs="仿宋_GB2312"/>
          <w:color w:val="auto"/>
          <w:sz w:val="32"/>
          <w:szCs w:val="32"/>
        </w:rPr>
        <w:t>参考58同城和仓小二中广州花都区写字楼出租数据，谨慎估算，运营期第1年，</w:t>
      </w:r>
      <w:r>
        <w:rPr>
          <w:rFonts w:cs="仿宋_GB2312"/>
          <w:b/>
          <w:bCs/>
          <w:color w:val="auto"/>
          <w:sz w:val="32"/>
          <w:szCs w:val="32"/>
        </w:rPr>
        <w:t>本项目公共研发测试用房出租价格按每月45</w:t>
      </w:r>
      <w:r>
        <w:rPr>
          <w:b/>
          <w:bCs/>
          <w:color w:val="auto"/>
          <w:sz w:val="32"/>
          <w:szCs w:val="32"/>
        </w:rPr>
        <w:t>元/</w:t>
      </w:r>
      <w:r>
        <w:rPr>
          <w:rFonts w:ascii="Segoe UI Symbol" w:hAnsi="Segoe UI Symbol" w:eastAsia="Segoe UI Symbol" w:cs="Segoe UI Symbol"/>
          <w:b/>
          <w:bCs/>
          <w:color w:val="auto"/>
          <w:sz w:val="32"/>
          <w:szCs w:val="32"/>
        </w:rPr>
        <w:t>㎡</w:t>
      </w:r>
      <w:r>
        <w:rPr>
          <w:rFonts w:cs="仿宋_GB2312"/>
          <w:b/>
          <w:bCs/>
          <w:color w:val="auto"/>
          <w:sz w:val="32"/>
          <w:szCs w:val="32"/>
        </w:rPr>
        <w:t>进行测算</w:t>
      </w:r>
      <w:r>
        <w:rPr>
          <w:rFonts w:cs="仿宋_GB2312"/>
          <w:color w:val="auto"/>
          <w:sz w:val="32"/>
          <w:szCs w:val="32"/>
        </w:rPr>
        <w:t>。租金涨幅按每</w:t>
      </w:r>
      <w:r>
        <w:rPr>
          <w:color w:val="auto"/>
          <w:sz w:val="32"/>
          <w:szCs w:val="32"/>
        </w:rPr>
        <w:t>4年增长10%进行测算，</w:t>
      </w:r>
      <w:r>
        <w:rPr>
          <w:rFonts w:cs="仿宋_GB2312"/>
          <w:color w:val="auto"/>
          <w:sz w:val="32"/>
          <w:szCs w:val="32"/>
        </w:rPr>
        <w:t>债券存续期内，年均复合增长率2.41%。广州市2014-2023年近十年GDP平均增速6.16%，本项目涨幅低于广州市近十年GDP平均涨幅的80%（即4.9%）。</w:t>
      </w:r>
    </w:p>
    <w:p w14:paraId="0F6A81CB">
      <w:pPr>
        <w:pStyle w:val="2"/>
        <w:ind w:firstLine="480"/>
        <w:jc w:val="both"/>
        <w:rPr>
          <w:rFonts w:cs="仿宋_GB2312"/>
          <w:color w:val="auto"/>
          <w:sz w:val="32"/>
          <w:szCs w:val="32"/>
        </w:rPr>
      </w:pPr>
      <w:r>
        <w:rPr>
          <w:color w:val="auto"/>
        </w:rPr>
        <w:drawing>
          <wp:anchor distT="0" distB="0" distL="114300" distR="114300" simplePos="0" relativeHeight="251664384" behindDoc="0" locked="0" layoutInCell="1" allowOverlap="1">
            <wp:simplePos x="0" y="0"/>
            <wp:positionH relativeFrom="column">
              <wp:posOffset>63500</wp:posOffset>
            </wp:positionH>
            <wp:positionV relativeFrom="paragraph">
              <wp:posOffset>279400</wp:posOffset>
            </wp:positionV>
            <wp:extent cx="5274310" cy="3434080"/>
            <wp:effectExtent l="0" t="0" r="2540" b="0"/>
            <wp:wrapTopAndBottom/>
            <wp:docPr id="137716356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7163569" name="图片 1"/>
                    <pic:cNvPicPr>
                      <a:picLocks noChangeAspect="1"/>
                    </pic:cNvPicPr>
                  </pic:nvPicPr>
                  <pic:blipFill>
                    <a:blip r:embed="rId22">
                      <a:extLst>
                        <a:ext uri="{28A0092B-C50C-407E-A947-70E740481C1C}">
                          <a14:useLocalDpi xmlns:a14="http://schemas.microsoft.com/office/drawing/2010/main" val="0"/>
                        </a:ext>
                      </a:extLst>
                    </a:blip>
                    <a:stretch>
                      <a:fillRect/>
                    </a:stretch>
                  </pic:blipFill>
                  <pic:spPr>
                    <a:xfrm>
                      <a:off x="0" y="0"/>
                      <a:ext cx="5274310" cy="3434080"/>
                    </a:xfrm>
                    <a:prstGeom prst="rect">
                      <a:avLst/>
                    </a:prstGeom>
                  </pic:spPr>
                </pic:pic>
              </a:graphicData>
            </a:graphic>
          </wp:anchor>
        </w:drawing>
      </w:r>
    </w:p>
    <w:p w14:paraId="34AE28C6">
      <w:pPr>
        <w:pStyle w:val="2"/>
        <w:ind w:firstLine="640"/>
        <w:jc w:val="both"/>
        <w:rPr>
          <w:rFonts w:cs="仿宋_GB2312"/>
          <w:color w:val="auto"/>
          <w:sz w:val="32"/>
          <w:szCs w:val="32"/>
        </w:rPr>
      </w:pPr>
      <w:r>
        <w:rPr>
          <w:rFonts w:cs="仿宋_GB2312"/>
          <w:color w:val="auto"/>
          <w:sz w:val="32"/>
          <w:szCs w:val="32"/>
        </w:rPr>
        <w:t>2）停车费收入</w:t>
      </w:r>
    </w:p>
    <w:p w14:paraId="0DA84EA1">
      <w:pPr>
        <w:pStyle w:val="2"/>
        <w:ind w:firstLine="640"/>
        <w:jc w:val="both"/>
        <w:rPr>
          <w:rFonts w:cs="仿宋_GB2312"/>
          <w:color w:val="auto"/>
          <w:sz w:val="32"/>
          <w:szCs w:val="32"/>
        </w:rPr>
      </w:pPr>
      <w:r>
        <w:rPr>
          <w:rFonts w:cs="仿宋_GB2312"/>
          <w:color w:val="auto"/>
          <w:sz w:val="32"/>
          <w:szCs w:val="32"/>
        </w:rPr>
        <w:t>根据报告，本项目建成后能运营的停车位共3026个，其中：停车楼停车泊位550泊，配套新建、改建道路新设路边停车位2476泊。</w:t>
      </w:r>
    </w:p>
    <w:p w14:paraId="0CDD2BEA">
      <w:pPr>
        <w:pStyle w:val="2"/>
        <w:ind w:firstLine="640"/>
        <w:jc w:val="both"/>
        <w:rPr>
          <w:rFonts w:cs="仿宋_GB2312"/>
          <w:color w:val="auto"/>
          <w:sz w:val="32"/>
          <w:szCs w:val="32"/>
        </w:rPr>
      </w:pPr>
      <w:r>
        <w:rPr>
          <w:rFonts w:cs="仿宋_GB2312"/>
          <w:color w:val="auto"/>
          <w:sz w:val="32"/>
          <w:szCs w:val="32"/>
        </w:rPr>
        <w:t>根据《关于完善机动车停放服务收费管理有关问题的通知》（穗发改规字〔2021〕2号）以及花都区停车费收费情况，基于谨慎性原则，</w:t>
      </w:r>
      <w:r>
        <w:rPr>
          <w:rFonts w:cs="仿宋_GB2312"/>
          <w:b/>
          <w:bCs/>
          <w:color w:val="auto"/>
          <w:sz w:val="32"/>
          <w:szCs w:val="32"/>
        </w:rPr>
        <w:t>本项目停车场停车费收入测算如下：运营期第1年每次收费按1</w:t>
      </w:r>
      <w:r>
        <w:rPr>
          <w:rFonts w:hint="default" w:cs="仿宋_GB2312"/>
          <w:b/>
          <w:bCs/>
          <w:color w:val="auto"/>
          <w:sz w:val="32"/>
          <w:szCs w:val="32"/>
        </w:rPr>
        <w:t>0</w:t>
      </w:r>
      <w:r>
        <w:rPr>
          <w:rFonts w:cs="仿宋_GB2312"/>
          <w:b/>
          <w:bCs/>
          <w:color w:val="auto"/>
          <w:sz w:val="32"/>
          <w:szCs w:val="32"/>
        </w:rPr>
        <w:t>元进行测算</w:t>
      </w:r>
      <w:r>
        <w:rPr>
          <w:rFonts w:cs="仿宋_GB2312"/>
          <w:color w:val="auto"/>
          <w:sz w:val="32"/>
          <w:szCs w:val="32"/>
        </w:rPr>
        <w:t>，每日周转次数按3次测算。停车收费按每</w:t>
      </w:r>
      <w:r>
        <w:rPr>
          <w:rFonts w:hint="default" w:cs="仿宋_GB2312"/>
          <w:color w:val="auto"/>
          <w:sz w:val="32"/>
          <w:szCs w:val="32"/>
        </w:rPr>
        <w:t>4</w:t>
      </w:r>
      <w:r>
        <w:rPr>
          <w:rFonts w:cs="仿宋_GB2312"/>
          <w:color w:val="auto"/>
          <w:sz w:val="32"/>
          <w:szCs w:val="32"/>
        </w:rPr>
        <w:t>年增长</w:t>
      </w:r>
      <w:r>
        <w:rPr>
          <w:rFonts w:hint="default" w:cs="仿宋_GB2312"/>
          <w:color w:val="auto"/>
          <w:sz w:val="32"/>
          <w:szCs w:val="32"/>
        </w:rPr>
        <w:t>10</w:t>
      </w:r>
      <w:r>
        <w:rPr>
          <w:rFonts w:cs="仿宋_GB2312"/>
          <w:color w:val="auto"/>
          <w:sz w:val="32"/>
          <w:szCs w:val="32"/>
        </w:rPr>
        <w:t>%，债券存续期内，年均复合增长率2.41%。广州市2014-2023年近十年GDP平均增速6.16%，本项目涨幅低于广州市近十年GDP平均涨幅的80%（即4.9%）。</w:t>
      </w:r>
    </w:p>
    <w:p w14:paraId="1BEA770B">
      <w:pPr>
        <w:pStyle w:val="2"/>
        <w:ind w:firstLine="640"/>
        <w:jc w:val="both"/>
        <w:rPr>
          <w:rFonts w:cs="仿宋_GB2312"/>
          <w:color w:val="auto"/>
          <w:sz w:val="32"/>
          <w:szCs w:val="32"/>
        </w:rPr>
      </w:pPr>
      <w:r>
        <w:rPr>
          <w:rFonts w:cs="仿宋_GB2312"/>
          <w:color w:val="auto"/>
          <w:sz w:val="32"/>
          <w:szCs w:val="32"/>
        </w:rPr>
        <w:t>根据《广州市花都区城市道路临时泊位使用费标准的通知》（花发改规字〔2021〕1号），基于谨慎性原则，本项目路边临时泊位停车费收入测算如下：运营期第1年每天收费按4</w:t>
      </w:r>
      <w:r>
        <w:rPr>
          <w:rFonts w:hint="default" w:cs="仿宋_GB2312"/>
          <w:color w:val="auto"/>
          <w:sz w:val="32"/>
          <w:szCs w:val="32"/>
        </w:rPr>
        <w:t>0</w:t>
      </w:r>
      <w:r>
        <w:rPr>
          <w:rFonts w:cs="仿宋_GB2312"/>
          <w:color w:val="auto"/>
          <w:sz w:val="32"/>
          <w:szCs w:val="32"/>
        </w:rPr>
        <w:t>元进行测。停车收费按每</w:t>
      </w:r>
      <w:r>
        <w:rPr>
          <w:rFonts w:hint="default" w:cs="仿宋_GB2312"/>
          <w:color w:val="auto"/>
          <w:sz w:val="32"/>
          <w:szCs w:val="32"/>
        </w:rPr>
        <w:t>4</w:t>
      </w:r>
      <w:r>
        <w:rPr>
          <w:rFonts w:cs="仿宋_GB2312"/>
          <w:color w:val="auto"/>
          <w:sz w:val="32"/>
          <w:szCs w:val="32"/>
        </w:rPr>
        <w:t>年增长</w:t>
      </w:r>
      <w:r>
        <w:rPr>
          <w:rFonts w:hint="default" w:cs="仿宋_GB2312"/>
          <w:color w:val="auto"/>
          <w:sz w:val="32"/>
          <w:szCs w:val="32"/>
        </w:rPr>
        <w:t>10</w:t>
      </w:r>
      <w:r>
        <w:rPr>
          <w:rFonts w:cs="仿宋_GB2312"/>
          <w:color w:val="auto"/>
          <w:sz w:val="32"/>
          <w:szCs w:val="32"/>
        </w:rPr>
        <w:t>%，债券存续期内，年均复合增长率2.41%。广州市2014-2023年近十年GDP平均增速6.16%，本项目涨幅低于广州市近十年GDP平均涨幅的80%（即4.9%）。</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84"/>
        <w:gridCol w:w="1867"/>
        <w:gridCol w:w="1547"/>
        <w:gridCol w:w="1547"/>
        <w:gridCol w:w="2177"/>
      </w:tblGrid>
      <w:tr w14:paraId="2B7BD1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5"/>
          </w:tcPr>
          <w:p w14:paraId="0CE59BF8">
            <w:pPr>
              <w:ind w:firstLine="0" w:firstLineChars="0"/>
              <w:jc w:val="center"/>
              <w:rPr>
                <w:rFonts w:hint="eastAsia" w:ascii="宋体" w:hAnsi="宋体" w:eastAsia="宋体"/>
                <w:b/>
                <w:bCs/>
                <w:color w:val="auto"/>
                <w:sz w:val="21"/>
                <w:szCs w:val="21"/>
              </w:rPr>
            </w:pPr>
            <w:r>
              <w:rPr>
                <w:rFonts w:hint="eastAsia" w:ascii="宋体" w:hAnsi="宋体" w:eastAsia="宋体"/>
                <w:b/>
                <w:bCs/>
                <w:color w:val="auto"/>
                <w:sz w:val="21"/>
                <w:szCs w:val="21"/>
              </w:rPr>
              <w:t>广州市花都区发展和改革局关于广州市花都区城市道路临时泊位使用费标准的通知</w:t>
            </w:r>
          </w:p>
          <w:p w14:paraId="5F9D2AB2">
            <w:pPr>
              <w:ind w:firstLine="0" w:firstLineChars="0"/>
              <w:jc w:val="center"/>
              <w:rPr>
                <w:color w:val="auto"/>
              </w:rPr>
            </w:pPr>
            <w:r>
              <w:rPr>
                <w:rFonts w:hint="eastAsia" w:ascii="宋体" w:hAnsi="宋体" w:eastAsia="宋体"/>
                <w:b/>
                <w:bCs/>
                <w:color w:val="auto"/>
                <w:sz w:val="21"/>
                <w:szCs w:val="21"/>
              </w:rPr>
              <w:t>（花发改规字〔2021〕1号）</w:t>
            </w:r>
          </w:p>
        </w:tc>
      </w:tr>
      <w:tr w14:paraId="792E8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4831FE3D">
            <w:pPr>
              <w:spacing w:line="240" w:lineRule="auto"/>
              <w:ind w:firstLine="0" w:firstLineChars="0"/>
              <w:jc w:val="center"/>
              <w:rPr>
                <w:rFonts w:hint="eastAsia" w:ascii="宋体" w:hAnsi="宋体" w:eastAsia="宋体"/>
                <w:b/>
                <w:bCs/>
                <w:color w:val="auto"/>
                <w:sz w:val="21"/>
                <w:szCs w:val="21"/>
              </w:rPr>
            </w:pPr>
            <w:r>
              <w:rPr>
                <w:rFonts w:hint="eastAsia" w:ascii="宋体" w:hAnsi="宋体" w:eastAsia="宋体"/>
                <w:b/>
                <w:bCs/>
                <w:color w:val="auto"/>
                <w:sz w:val="21"/>
                <w:szCs w:val="21"/>
              </w:rPr>
              <w:t>收费标准</w:t>
            </w:r>
          </w:p>
        </w:tc>
        <w:tc>
          <w:tcPr>
            <w:tcW w:w="4961" w:type="dxa"/>
            <w:gridSpan w:val="3"/>
          </w:tcPr>
          <w:p w14:paraId="40F35562">
            <w:pPr>
              <w:spacing w:line="240" w:lineRule="auto"/>
              <w:ind w:firstLine="0" w:firstLineChars="0"/>
              <w:rPr>
                <w:rFonts w:hint="eastAsia" w:ascii="宋体" w:hAnsi="宋体" w:eastAsia="宋体"/>
                <w:color w:val="auto"/>
                <w:sz w:val="21"/>
                <w:szCs w:val="21"/>
              </w:rPr>
            </w:pPr>
            <w:r>
              <w:rPr>
                <w:rFonts w:hint="eastAsia" w:ascii="宋体" w:hAnsi="宋体" w:eastAsia="宋体"/>
                <w:color w:val="auto"/>
                <w:sz w:val="21"/>
                <w:szCs w:val="21"/>
              </w:rPr>
              <w:t>1. 收费时段：工作日（8:00-20:00），非工作日  （10:00-20:00）；</w:t>
            </w:r>
          </w:p>
          <w:p w14:paraId="521F67AB">
            <w:pPr>
              <w:spacing w:line="240" w:lineRule="auto"/>
              <w:ind w:firstLine="0" w:firstLineChars="0"/>
              <w:rPr>
                <w:rFonts w:hint="eastAsia" w:ascii="宋体" w:hAnsi="宋体" w:eastAsia="宋体"/>
                <w:color w:val="auto"/>
                <w:sz w:val="21"/>
                <w:szCs w:val="21"/>
              </w:rPr>
            </w:pPr>
            <w:r>
              <w:rPr>
                <w:rFonts w:hint="eastAsia" w:ascii="宋体" w:hAnsi="宋体" w:eastAsia="宋体"/>
                <w:color w:val="auto"/>
                <w:sz w:val="21"/>
                <w:szCs w:val="21"/>
              </w:rPr>
              <w:t>2. 收费时段外停车免费；</w:t>
            </w:r>
          </w:p>
          <w:p w14:paraId="19D8E783">
            <w:pPr>
              <w:spacing w:line="240" w:lineRule="auto"/>
              <w:ind w:firstLine="0" w:firstLineChars="0"/>
              <w:rPr>
                <w:rFonts w:hint="eastAsia" w:ascii="宋体" w:hAnsi="宋体" w:eastAsia="宋体"/>
                <w:color w:val="auto"/>
                <w:sz w:val="21"/>
                <w:szCs w:val="21"/>
              </w:rPr>
            </w:pPr>
            <w:r>
              <w:rPr>
                <w:rFonts w:hint="eastAsia" w:ascii="宋体" w:hAnsi="宋体" w:eastAsia="宋体"/>
                <w:color w:val="auto"/>
                <w:sz w:val="21"/>
                <w:szCs w:val="21"/>
              </w:rPr>
              <w:t>3. 停车15分钟内不收费；</w:t>
            </w:r>
          </w:p>
          <w:p w14:paraId="31363EA5">
            <w:pPr>
              <w:spacing w:line="240" w:lineRule="auto"/>
              <w:ind w:firstLine="0" w:firstLineChars="0"/>
              <w:rPr>
                <w:rFonts w:hint="eastAsia" w:ascii="宋体" w:hAnsi="宋体" w:eastAsia="宋体"/>
                <w:color w:val="auto"/>
                <w:sz w:val="21"/>
                <w:szCs w:val="21"/>
              </w:rPr>
            </w:pPr>
            <w:r>
              <w:rPr>
                <w:rFonts w:hint="eastAsia" w:ascii="宋体" w:hAnsi="宋体" w:eastAsia="宋体"/>
                <w:color w:val="auto"/>
                <w:sz w:val="21"/>
                <w:szCs w:val="21"/>
              </w:rPr>
              <w:t>4. 计时收费单位：元/半小时。</w:t>
            </w:r>
          </w:p>
        </w:tc>
        <w:tc>
          <w:tcPr>
            <w:tcW w:w="2177" w:type="dxa"/>
            <w:vAlign w:val="center"/>
          </w:tcPr>
          <w:p w14:paraId="090E004F">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收费时段内单次连续停放最高限价（以连续停放6小时计算）</w:t>
            </w:r>
          </w:p>
        </w:tc>
      </w:tr>
      <w:tr w14:paraId="33DC30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09A2D015">
            <w:pPr>
              <w:ind w:firstLine="0" w:firstLineChars="0"/>
              <w:jc w:val="center"/>
              <w:rPr>
                <w:rFonts w:hint="eastAsia" w:ascii="宋体" w:hAnsi="宋体" w:eastAsia="宋体"/>
                <w:b/>
                <w:bCs/>
                <w:color w:val="auto"/>
                <w:sz w:val="21"/>
                <w:szCs w:val="21"/>
              </w:rPr>
            </w:pPr>
            <w:r>
              <w:rPr>
                <w:rFonts w:hint="eastAsia" w:ascii="宋体" w:hAnsi="宋体" w:eastAsia="宋体"/>
                <w:b/>
                <w:bCs/>
                <w:color w:val="auto"/>
                <w:sz w:val="21"/>
                <w:szCs w:val="21"/>
              </w:rPr>
              <w:t>阶梯梯次</w:t>
            </w:r>
          </w:p>
        </w:tc>
        <w:tc>
          <w:tcPr>
            <w:tcW w:w="1867" w:type="dxa"/>
            <w:vAlign w:val="center"/>
          </w:tcPr>
          <w:p w14:paraId="461577A4">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第一阶梯</w:t>
            </w:r>
          </w:p>
        </w:tc>
        <w:tc>
          <w:tcPr>
            <w:tcW w:w="1547" w:type="dxa"/>
            <w:vAlign w:val="center"/>
          </w:tcPr>
          <w:p w14:paraId="409BA964">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第二阶梯</w:t>
            </w:r>
          </w:p>
        </w:tc>
        <w:tc>
          <w:tcPr>
            <w:tcW w:w="1547" w:type="dxa"/>
            <w:vAlign w:val="center"/>
          </w:tcPr>
          <w:p w14:paraId="2EBE40DD">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第三阶梯</w:t>
            </w:r>
          </w:p>
        </w:tc>
        <w:tc>
          <w:tcPr>
            <w:tcW w:w="2177" w:type="dxa"/>
            <w:vMerge w:val="restart"/>
            <w:vAlign w:val="center"/>
          </w:tcPr>
          <w:p w14:paraId="53CB2877">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46元</w:t>
            </w:r>
          </w:p>
        </w:tc>
      </w:tr>
      <w:tr w14:paraId="1FE61D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2136CADA">
            <w:pPr>
              <w:spacing w:line="240" w:lineRule="auto"/>
              <w:ind w:firstLine="0" w:firstLineChars="0"/>
              <w:jc w:val="center"/>
              <w:rPr>
                <w:rFonts w:hint="eastAsia" w:ascii="宋体" w:hAnsi="宋体" w:eastAsia="宋体"/>
                <w:b/>
                <w:bCs/>
                <w:color w:val="auto"/>
                <w:sz w:val="21"/>
                <w:szCs w:val="21"/>
              </w:rPr>
            </w:pPr>
            <w:r>
              <w:rPr>
                <w:rFonts w:hint="eastAsia" w:ascii="宋体" w:hAnsi="宋体" w:eastAsia="宋体"/>
                <w:b/>
                <w:bCs/>
                <w:color w:val="auto"/>
                <w:sz w:val="21"/>
                <w:szCs w:val="21"/>
              </w:rPr>
              <w:t>停车时长</w:t>
            </w:r>
          </w:p>
        </w:tc>
        <w:tc>
          <w:tcPr>
            <w:tcW w:w="1867" w:type="dxa"/>
            <w:vAlign w:val="center"/>
          </w:tcPr>
          <w:p w14:paraId="4E10D9D9">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1小时内</w:t>
            </w:r>
          </w:p>
          <w:p w14:paraId="77822CB3">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（含1小时）</w:t>
            </w:r>
          </w:p>
        </w:tc>
        <w:tc>
          <w:tcPr>
            <w:tcW w:w="1547" w:type="dxa"/>
            <w:vAlign w:val="center"/>
          </w:tcPr>
          <w:p w14:paraId="57F9CB2F">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1-3小时</w:t>
            </w:r>
          </w:p>
          <w:p w14:paraId="24F4A32A">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（含3小时）</w:t>
            </w:r>
          </w:p>
        </w:tc>
        <w:tc>
          <w:tcPr>
            <w:tcW w:w="1547" w:type="dxa"/>
            <w:vAlign w:val="center"/>
          </w:tcPr>
          <w:p w14:paraId="58245AF9">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3小时以上</w:t>
            </w:r>
          </w:p>
        </w:tc>
        <w:tc>
          <w:tcPr>
            <w:tcW w:w="2177" w:type="dxa"/>
            <w:vMerge w:val="continue"/>
            <w:vAlign w:val="center"/>
          </w:tcPr>
          <w:p w14:paraId="05C2DEB3">
            <w:pPr>
              <w:spacing w:line="240" w:lineRule="auto"/>
              <w:ind w:firstLine="0" w:firstLineChars="0"/>
              <w:jc w:val="center"/>
              <w:rPr>
                <w:rFonts w:hint="eastAsia" w:ascii="宋体" w:hAnsi="宋体" w:eastAsia="宋体"/>
                <w:color w:val="auto"/>
                <w:sz w:val="21"/>
                <w:szCs w:val="21"/>
              </w:rPr>
            </w:pPr>
          </w:p>
        </w:tc>
      </w:tr>
      <w:tr w14:paraId="28DD5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84" w:type="dxa"/>
            <w:vAlign w:val="center"/>
          </w:tcPr>
          <w:p w14:paraId="59F8DD0C">
            <w:pPr>
              <w:spacing w:line="240" w:lineRule="auto"/>
              <w:ind w:firstLine="0" w:firstLineChars="0"/>
              <w:jc w:val="center"/>
              <w:rPr>
                <w:rFonts w:hint="eastAsia" w:ascii="宋体" w:hAnsi="宋体" w:eastAsia="宋体"/>
                <w:b/>
                <w:bCs/>
                <w:color w:val="auto"/>
                <w:sz w:val="21"/>
                <w:szCs w:val="21"/>
              </w:rPr>
            </w:pPr>
            <w:r>
              <w:rPr>
                <w:rFonts w:hint="eastAsia" w:ascii="宋体" w:hAnsi="宋体" w:eastAsia="宋体"/>
                <w:b/>
                <w:bCs/>
                <w:color w:val="auto"/>
                <w:sz w:val="21"/>
                <w:szCs w:val="21"/>
              </w:rPr>
              <w:t>收费标准</w:t>
            </w:r>
          </w:p>
        </w:tc>
        <w:tc>
          <w:tcPr>
            <w:tcW w:w="1867" w:type="dxa"/>
            <w:vAlign w:val="center"/>
          </w:tcPr>
          <w:p w14:paraId="3B44EF93">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2</w:t>
            </w:r>
          </w:p>
        </w:tc>
        <w:tc>
          <w:tcPr>
            <w:tcW w:w="1547" w:type="dxa"/>
            <w:vAlign w:val="center"/>
          </w:tcPr>
          <w:p w14:paraId="5EA7A88D">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3</w:t>
            </w:r>
          </w:p>
        </w:tc>
        <w:tc>
          <w:tcPr>
            <w:tcW w:w="1547" w:type="dxa"/>
            <w:vAlign w:val="center"/>
          </w:tcPr>
          <w:p w14:paraId="60FA145E">
            <w:pPr>
              <w:spacing w:line="240" w:lineRule="auto"/>
              <w:ind w:firstLine="0" w:firstLineChars="0"/>
              <w:jc w:val="center"/>
              <w:rPr>
                <w:rFonts w:hint="eastAsia" w:ascii="宋体" w:hAnsi="宋体" w:eastAsia="宋体"/>
                <w:color w:val="auto"/>
                <w:sz w:val="21"/>
                <w:szCs w:val="21"/>
              </w:rPr>
            </w:pPr>
            <w:r>
              <w:rPr>
                <w:rFonts w:hint="eastAsia" w:ascii="宋体" w:hAnsi="宋体" w:eastAsia="宋体"/>
                <w:color w:val="auto"/>
                <w:sz w:val="21"/>
                <w:szCs w:val="21"/>
              </w:rPr>
              <w:t>5</w:t>
            </w:r>
          </w:p>
        </w:tc>
        <w:tc>
          <w:tcPr>
            <w:tcW w:w="2177" w:type="dxa"/>
            <w:vMerge w:val="continue"/>
            <w:vAlign w:val="center"/>
          </w:tcPr>
          <w:p w14:paraId="74EC509B">
            <w:pPr>
              <w:spacing w:line="240" w:lineRule="auto"/>
              <w:ind w:firstLine="0" w:firstLineChars="0"/>
              <w:jc w:val="center"/>
              <w:rPr>
                <w:rFonts w:hint="eastAsia" w:ascii="宋体" w:hAnsi="宋体" w:eastAsia="宋体"/>
                <w:color w:val="auto"/>
                <w:sz w:val="21"/>
                <w:szCs w:val="21"/>
              </w:rPr>
            </w:pPr>
          </w:p>
        </w:tc>
      </w:tr>
    </w:tbl>
    <w:p w14:paraId="4D8029C0">
      <w:pPr>
        <w:ind w:firstLine="560"/>
        <w:rPr>
          <w:color w:val="auto"/>
        </w:rPr>
      </w:pPr>
    </w:p>
    <w:p w14:paraId="48CE9500">
      <w:pPr>
        <w:pStyle w:val="2"/>
        <w:ind w:firstLine="640"/>
        <w:jc w:val="both"/>
        <w:rPr>
          <w:rFonts w:cs="仿宋_GB2312"/>
          <w:color w:val="auto"/>
          <w:sz w:val="32"/>
          <w:szCs w:val="32"/>
        </w:rPr>
      </w:pPr>
      <w:r>
        <w:rPr>
          <w:rFonts w:cs="仿宋_GB2312"/>
          <w:color w:val="auto"/>
          <w:sz w:val="32"/>
          <w:szCs w:val="32"/>
        </w:rPr>
        <w:t>运营期第1年停车位使用率按65%进行测算；第2年使用率按75%进行测算；第</w:t>
      </w:r>
      <w:r>
        <w:rPr>
          <w:rFonts w:hint="default" w:cs="仿宋_GB2312"/>
          <w:color w:val="auto"/>
          <w:sz w:val="32"/>
          <w:szCs w:val="32"/>
        </w:rPr>
        <w:t>3</w:t>
      </w:r>
      <w:r>
        <w:rPr>
          <w:rFonts w:cs="仿宋_GB2312"/>
          <w:color w:val="auto"/>
          <w:sz w:val="32"/>
          <w:szCs w:val="32"/>
        </w:rPr>
        <w:t>年使用率按</w:t>
      </w:r>
      <w:r>
        <w:rPr>
          <w:rFonts w:hint="default" w:cs="仿宋_GB2312"/>
          <w:color w:val="auto"/>
          <w:sz w:val="32"/>
          <w:szCs w:val="32"/>
        </w:rPr>
        <w:t>85</w:t>
      </w:r>
      <w:r>
        <w:rPr>
          <w:rFonts w:cs="仿宋_GB2312"/>
          <w:color w:val="auto"/>
          <w:sz w:val="32"/>
          <w:szCs w:val="32"/>
        </w:rPr>
        <w:t>%进行测算；第</w:t>
      </w:r>
      <w:r>
        <w:rPr>
          <w:rFonts w:hint="default" w:cs="仿宋_GB2312"/>
          <w:color w:val="auto"/>
          <w:sz w:val="32"/>
          <w:szCs w:val="32"/>
        </w:rPr>
        <w:t>4</w:t>
      </w:r>
      <w:r>
        <w:rPr>
          <w:rFonts w:cs="仿宋_GB2312"/>
          <w:color w:val="auto"/>
          <w:sz w:val="32"/>
          <w:szCs w:val="32"/>
        </w:rPr>
        <w:t>年及以后使用率按</w:t>
      </w:r>
      <w:r>
        <w:rPr>
          <w:rFonts w:hint="default" w:cs="仿宋_GB2312"/>
          <w:color w:val="auto"/>
          <w:sz w:val="32"/>
          <w:szCs w:val="32"/>
        </w:rPr>
        <w:t>9</w:t>
      </w:r>
      <w:r>
        <w:rPr>
          <w:rFonts w:cs="仿宋_GB2312"/>
          <w:color w:val="auto"/>
          <w:sz w:val="32"/>
          <w:szCs w:val="32"/>
        </w:rPr>
        <w:t>5%进行测算。</w:t>
      </w:r>
    </w:p>
    <w:p w14:paraId="35910068">
      <w:pPr>
        <w:pStyle w:val="2"/>
        <w:ind w:firstLine="640"/>
        <w:jc w:val="both"/>
        <w:rPr>
          <w:rFonts w:cs="仿宋_GB2312"/>
          <w:color w:val="auto"/>
          <w:sz w:val="32"/>
          <w:szCs w:val="32"/>
        </w:rPr>
      </w:pPr>
      <w:r>
        <w:rPr>
          <w:rFonts w:cs="仿宋_GB2312"/>
          <w:color w:val="auto"/>
          <w:sz w:val="32"/>
          <w:szCs w:val="32"/>
        </w:rPr>
        <w:t>3）充电桩服务费收入</w:t>
      </w:r>
    </w:p>
    <w:p w14:paraId="16C967AE">
      <w:pPr>
        <w:pStyle w:val="2"/>
        <w:ind w:firstLine="640"/>
        <w:jc w:val="both"/>
        <w:rPr>
          <w:rFonts w:cs="仿宋_GB2312"/>
          <w:color w:val="auto"/>
          <w:sz w:val="32"/>
          <w:szCs w:val="32"/>
        </w:rPr>
      </w:pPr>
      <w:r>
        <w:rPr>
          <w:rFonts w:cs="仿宋_GB2312"/>
          <w:color w:val="auto"/>
          <w:sz w:val="32"/>
          <w:szCs w:val="32"/>
        </w:rPr>
        <w:t>根据项目建设内容，本项目配套建设快速充电桩300个，功率为60KW。</w:t>
      </w:r>
    </w:p>
    <w:p w14:paraId="479B4624">
      <w:pPr>
        <w:pStyle w:val="2"/>
        <w:ind w:firstLine="640"/>
        <w:jc w:val="both"/>
        <w:rPr>
          <w:rFonts w:cs="仿宋_GB2312"/>
          <w:b/>
          <w:bCs/>
          <w:color w:val="auto"/>
          <w:sz w:val="32"/>
          <w:szCs w:val="32"/>
        </w:rPr>
      </w:pPr>
      <w:r>
        <w:rPr>
          <w:rFonts w:cs="仿宋_GB2312"/>
          <w:color w:val="auto"/>
          <w:sz w:val="32"/>
          <w:szCs w:val="32"/>
        </w:rPr>
        <w:t>参考紧凑型轿车的电池容量：约为40-69.5kwh，保守预测，</w:t>
      </w:r>
      <w:r>
        <w:rPr>
          <w:rFonts w:cs="仿宋_GB2312"/>
          <w:b/>
          <w:bCs/>
          <w:color w:val="auto"/>
          <w:sz w:val="32"/>
          <w:szCs w:val="32"/>
        </w:rPr>
        <w:t>本项目机动车每次充电量按45kwh估算。</w:t>
      </w:r>
    </w:p>
    <w:p w14:paraId="2ADEBB4E">
      <w:pPr>
        <w:ind w:firstLine="640"/>
        <w:rPr>
          <w:color w:val="auto"/>
        </w:rPr>
      </w:pPr>
      <w:r>
        <w:rPr>
          <w:rFonts w:cs="仿宋_GB2312"/>
          <w:color w:val="auto"/>
          <w:sz w:val="32"/>
          <w:szCs w:val="32"/>
        </w:rPr>
        <w:drawing>
          <wp:anchor distT="0" distB="0" distL="114300" distR="114300" simplePos="0" relativeHeight="251661312" behindDoc="0" locked="0" layoutInCell="1" allowOverlap="1">
            <wp:simplePos x="0" y="0"/>
            <wp:positionH relativeFrom="column">
              <wp:posOffset>673100</wp:posOffset>
            </wp:positionH>
            <wp:positionV relativeFrom="paragraph">
              <wp:posOffset>440690</wp:posOffset>
            </wp:positionV>
            <wp:extent cx="4185920" cy="2016760"/>
            <wp:effectExtent l="0" t="0" r="5080" b="2540"/>
            <wp:wrapTopAndBottom/>
            <wp:docPr id="251713798" name="图片 2517137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1713798" name="图片 25171379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a:xfrm>
                      <a:off x="0" y="0"/>
                      <a:ext cx="4185920" cy="2016760"/>
                    </a:xfrm>
                    <a:prstGeom prst="rect">
                      <a:avLst/>
                    </a:prstGeom>
                    <a:noFill/>
                    <a:ln>
                      <a:noFill/>
                    </a:ln>
                  </pic:spPr>
                </pic:pic>
              </a:graphicData>
            </a:graphic>
          </wp:anchor>
        </w:drawing>
      </w:r>
    </w:p>
    <w:p w14:paraId="3DC46C36">
      <w:pPr>
        <w:pStyle w:val="2"/>
        <w:ind w:firstLine="480"/>
        <w:rPr>
          <w:color w:val="auto"/>
        </w:rPr>
      </w:pPr>
    </w:p>
    <w:p w14:paraId="33783B65">
      <w:pPr>
        <w:pStyle w:val="7"/>
        <w:spacing w:line="560" w:lineRule="exact"/>
        <w:ind w:firstLine="643"/>
        <w:rPr>
          <w:rFonts w:hint="eastAsia" w:ascii="仿宋_GB2312" w:eastAsia="仿宋_GB2312"/>
          <w:color w:val="auto"/>
          <w:sz w:val="32"/>
          <w:szCs w:val="32"/>
        </w:rPr>
      </w:pPr>
      <w:r>
        <w:rPr>
          <w:rFonts w:hint="eastAsia" w:ascii="仿宋_GB2312" w:eastAsia="仿宋_GB2312"/>
          <w:b/>
          <w:bCs/>
          <w:color w:val="auto"/>
          <w:sz w:val="32"/>
          <w:szCs w:val="32"/>
        </w:rPr>
        <w:t>充电桩按每天充电</w:t>
      </w:r>
      <w:r>
        <w:rPr>
          <w:rFonts w:ascii="仿宋_GB2312" w:eastAsia="仿宋_GB2312"/>
          <w:b/>
          <w:bCs/>
          <w:color w:val="auto"/>
          <w:sz w:val="32"/>
          <w:szCs w:val="32"/>
        </w:rPr>
        <w:t>3</w:t>
      </w:r>
      <w:r>
        <w:rPr>
          <w:rFonts w:hint="eastAsia" w:ascii="仿宋_GB2312" w:eastAsia="仿宋_GB2312"/>
          <w:b/>
          <w:bCs/>
          <w:color w:val="auto"/>
          <w:sz w:val="32"/>
          <w:szCs w:val="32"/>
        </w:rPr>
        <w:t>次；</w:t>
      </w:r>
      <w:r>
        <w:rPr>
          <w:rFonts w:hint="eastAsia" w:ascii="仿宋_GB2312" w:eastAsia="仿宋_GB2312"/>
          <w:color w:val="auto"/>
          <w:sz w:val="32"/>
          <w:szCs w:val="32"/>
        </w:rPr>
        <w:t>充电桩按每年运营</w:t>
      </w:r>
      <w:r>
        <w:rPr>
          <w:rFonts w:ascii="仿宋_GB2312" w:eastAsia="仿宋_GB2312"/>
          <w:color w:val="auto"/>
          <w:sz w:val="32"/>
          <w:szCs w:val="32"/>
        </w:rPr>
        <w:t>340</w:t>
      </w:r>
      <w:r>
        <w:rPr>
          <w:rFonts w:hint="eastAsia" w:ascii="仿宋_GB2312" w:eastAsia="仿宋_GB2312"/>
          <w:color w:val="auto"/>
          <w:sz w:val="32"/>
          <w:szCs w:val="32"/>
        </w:rPr>
        <w:t>天进行测算。运营期第1年充电桩使用率按50%进行测算，第2年充电桩使用率按60%进行测算，第</w:t>
      </w:r>
      <w:r>
        <w:rPr>
          <w:rFonts w:ascii="仿宋_GB2312" w:eastAsia="仿宋_GB2312"/>
          <w:color w:val="auto"/>
          <w:sz w:val="32"/>
          <w:szCs w:val="32"/>
        </w:rPr>
        <w:t>3</w:t>
      </w:r>
      <w:r>
        <w:rPr>
          <w:rFonts w:hint="eastAsia" w:ascii="仿宋_GB2312" w:eastAsia="仿宋_GB2312"/>
          <w:color w:val="auto"/>
          <w:sz w:val="32"/>
          <w:szCs w:val="32"/>
        </w:rPr>
        <w:t>年及以后充电桩使用率按70%进行测算。</w:t>
      </w:r>
    </w:p>
    <w:p w14:paraId="268B5B1F">
      <w:pPr>
        <w:pStyle w:val="7"/>
        <w:spacing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根据《国务院办公厅关于加快电动汽车充电基础设施建设的指导意见》（国办发〔2015〕73号），充电设施收费标准由电费和服务两个部分组成。参考广州市花都区充电桩服务费收费情况，谨慎保守估算，</w:t>
      </w:r>
      <w:r>
        <w:rPr>
          <w:rFonts w:hint="eastAsia" w:ascii="仿宋_GB2312" w:eastAsia="仿宋_GB2312"/>
          <w:b/>
          <w:bCs/>
          <w:color w:val="auto"/>
          <w:sz w:val="32"/>
          <w:szCs w:val="32"/>
        </w:rPr>
        <w:t>本项目充电桩服务费按照0.5元/千瓦时计算</w:t>
      </w:r>
      <w:r>
        <w:rPr>
          <w:rFonts w:hint="eastAsia" w:ascii="仿宋_GB2312" w:eastAsia="仿宋_GB2312"/>
          <w:color w:val="auto"/>
          <w:sz w:val="32"/>
          <w:szCs w:val="32"/>
        </w:rPr>
        <w:t>，谨慎测算，债券存续期内不考虑充电桩服务费价格涨幅。</w:t>
      </w:r>
    </w:p>
    <w:p w14:paraId="4B338E66">
      <w:pPr>
        <w:pStyle w:val="8"/>
        <w:jc w:val="center"/>
        <w:rPr>
          <w:rFonts w:ascii="仿宋_GB2312" w:eastAsia="仿宋_GB2312"/>
          <w:color w:val="auto"/>
          <w:sz w:val="32"/>
          <w:szCs w:val="32"/>
        </w:rPr>
      </w:pPr>
      <w:r>
        <w:rPr>
          <w:rFonts w:hint="eastAsia" w:ascii="仿宋_GB2312" w:hAnsi="宋体" w:eastAsia="仿宋_GB2312"/>
          <w:color w:val="auto"/>
          <w:sz w:val="32"/>
          <w:szCs w:val="32"/>
        </w:rPr>
        <w:t>表</w:t>
      </w:r>
      <w:r>
        <w:rPr>
          <w:rFonts w:hint="eastAsia" w:ascii="仿宋_GB2312" w:hAnsi="宋体" w:eastAsia="仿宋_GB2312"/>
          <w:color w:val="auto"/>
          <w:sz w:val="32"/>
          <w:szCs w:val="32"/>
        </w:rPr>
        <w:fldChar w:fldCharType="begin"/>
      </w:r>
      <w:r>
        <w:rPr>
          <w:rFonts w:hint="eastAsia" w:ascii="仿宋_GB2312" w:hAnsi="宋体" w:eastAsia="仿宋_GB2312"/>
          <w:color w:val="auto"/>
          <w:sz w:val="32"/>
          <w:szCs w:val="32"/>
        </w:rPr>
        <w:instrText xml:space="preserve"> SEQ 表格 \* ARABIC </w:instrText>
      </w:r>
      <w:r>
        <w:rPr>
          <w:rFonts w:hint="eastAsia" w:ascii="仿宋_GB2312" w:hAnsi="宋体" w:eastAsia="仿宋_GB2312"/>
          <w:color w:val="auto"/>
          <w:sz w:val="32"/>
          <w:szCs w:val="32"/>
        </w:rPr>
        <w:fldChar w:fldCharType="separate"/>
      </w:r>
      <w:r>
        <w:rPr>
          <w:rFonts w:hint="eastAsia" w:ascii="仿宋_GB2312" w:hAnsi="宋体" w:eastAsia="仿宋_GB2312"/>
          <w:color w:val="auto"/>
          <w:sz w:val="32"/>
          <w:szCs w:val="32"/>
        </w:rPr>
        <w:t>6</w:t>
      </w:r>
      <w:r>
        <w:rPr>
          <w:rFonts w:hint="eastAsia" w:ascii="仿宋_GB2312" w:hAnsi="宋体" w:eastAsia="仿宋_GB2312"/>
          <w:color w:val="auto"/>
          <w:sz w:val="32"/>
          <w:szCs w:val="32"/>
        </w:rPr>
        <w:fldChar w:fldCharType="end"/>
      </w:r>
      <w:r>
        <w:rPr>
          <w:rFonts w:hint="eastAsia" w:ascii="仿宋_GB2312" w:hAnsi="宋体" w:eastAsia="仿宋_GB2312"/>
          <w:color w:val="auto"/>
          <w:sz w:val="32"/>
          <w:szCs w:val="32"/>
        </w:rPr>
        <w:t xml:space="preserve">  广州市花都区充电桩服务费收费情况</w:t>
      </w:r>
    </w:p>
    <w:tbl>
      <w:tblPr>
        <w:tblStyle w:val="1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
        <w:gridCol w:w="5727"/>
        <w:gridCol w:w="2177"/>
      </w:tblGrid>
      <w:tr w14:paraId="1E5B2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blHeader/>
        </w:trPr>
        <w:tc>
          <w:tcPr>
            <w:tcW w:w="363" w:type="pct"/>
            <w:vAlign w:val="center"/>
          </w:tcPr>
          <w:p w14:paraId="13EACC9A">
            <w:pPr>
              <w:pStyle w:val="7"/>
              <w:spacing w:before="0" w:after="0" w:line="240" w:lineRule="auto"/>
              <w:ind w:firstLine="0" w:firstLineChars="0"/>
              <w:jc w:val="center"/>
              <w:rPr>
                <w:rFonts w:ascii="Times New Roman" w:hAnsi="Times New Roman" w:eastAsia="宋体"/>
                <w:b/>
                <w:bCs/>
                <w:color w:val="auto"/>
                <w:sz w:val="18"/>
                <w:szCs w:val="18"/>
              </w:rPr>
            </w:pPr>
          </w:p>
        </w:tc>
        <w:tc>
          <w:tcPr>
            <w:tcW w:w="3360" w:type="pct"/>
            <w:vAlign w:val="center"/>
          </w:tcPr>
          <w:p w14:paraId="31B7F8DA">
            <w:pPr>
              <w:pStyle w:val="7"/>
              <w:spacing w:before="0" w:after="0" w:line="240" w:lineRule="auto"/>
              <w:ind w:firstLine="0" w:firstLineChars="0"/>
              <w:jc w:val="center"/>
              <w:rPr>
                <w:rFonts w:ascii="Times New Roman" w:hAnsi="Times New Roman" w:eastAsia="宋体"/>
                <w:b/>
                <w:bCs/>
                <w:color w:val="auto"/>
                <w:sz w:val="18"/>
                <w:szCs w:val="18"/>
              </w:rPr>
            </w:pPr>
            <w:r>
              <w:rPr>
                <w:rFonts w:hint="eastAsia" w:ascii="Times New Roman" w:hAnsi="Times New Roman" w:eastAsia="宋体"/>
                <w:b/>
                <w:bCs/>
                <w:color w:val="auto"/>
                <w:sz w:val="18"/>
                <w:szCs w:val="18"/>
              </w:rPr>
              <w:t>位置</w:t>
            </w:r>
          </w:p>
        </w:tc>
        <w:tc>
          <w:tcPr>
            <w:tcW w:w="1277" w:type="pct"/>
            <w:vAlign w:val="center"/>
          </w:tcPr>
          <w:p w14:paraId="79D292EA">
            <w:pPr>
              <w:pStyle w:val="7"/>
              <w:spacing w:before="0" w:after="0" w:line="240" w:lineRule="auto"/>
              <w:ind w:firstLine="0" w:firstLineChars="0"/>
              <w:jc w:val="center"/>
              <w:rPr>
                <w:rFonts w:ascii="Times New Roman" w:hAnsi="Times New Roman" w:eastAsia="宋体"/>
                <w:b/>
                <w:bCs/>
                <w:color w:val="auto"/>
                <w:sz w:val="18"/>
                <w:szCs w:val="18"/>
              </w:rPr>
            </w:pPr>
            <w:r>
              <w:rPr>
                <w:rFonts w:hint="eastAsia" w:ascii="Times New Roman" w:hAnsi="Times New Roman" w:eastAsia="宋体"/>
                <w:b/>
                <w:bCs/>
                <w:color w:val="auto"/>
                <w:sz w:val="18"/>
                <w:szCs w:val="18"/>
              </w:rPr>
              <w:t>充电桩服务费（元/度）</w:t>
            </w:r>
          </w:p>
        </w:tc>
      </w:tr>
      <w:tr w14:paraId="2B26F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3" w:type="pct"/>
            <w:vAlign w:val="center"/>
          </w:tcPr>
          <w:p w14:paraId="29B6A6C7">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1</w:t>
            </w:r>
          </w:p>
        </w:tc>
        <w:tc>
          <w:tcPr>
            <w:tcW w:w="3360" w:type="pct"/>
            <w:vAlign w:val="center"/>
          </w:tcPr>
          <w:p w14:paraId="5F28E946">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开迈斯充电站（广州市花都区百花广场直流站）</w:t>
            </w:r>
          </w:p>
        </w:tc>
        <w:tc>
          <w:tcPr>
            <w:tcW w:w="1277" w:type="pct"/>
            <w:vAlign w:val="center"/>
          </w:tcPr>
          <w:p w14:paraId="3F89F91F">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0.7</w:t>
            </w:r>
          </w:p>
        </w:tc>
      </w:tr>
      <w:tr w14:paraId="207C3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3" w:type="pct"/>
            <w:vAlign w:val="center"/>
          </w:tcPr>
          <w:p w14:paraId="115830A5">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2</w:t>
            </w:r>
          </w:p>
        </w:tc>
        <w:tc>
          <w:tcPr>
            <w:tcW w:w="3360" w:type="pct"/>
            <w:vAlign w:val="center"/>
          </w:tcPr>
          <w:p w14:paraId="7F4EE86E">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石头记矿物园充电站</w:t>
            </w:r>
          </w:p>
        </w:tc>
        <w:tc>
          <w:tcPr>
            <w:tcW w:w="1277" w:type="pct"/>
            <w:vAlign w:val="center"/>
          </w:tcPr>
          <w:p w14:paraId="1137B089">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0.6</w:t>
            </w:r>
          </w:p>
        </w:tc>
      </w:tr>
      <w:tr w14:paraId="2E8FC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trPr>
        <w:tc>
          <w:tcPr>
            <w:tcW w:w="363" w:type="pct"/>
            <w:vAlign w:val="center"/>
          </w:tcPr>
          <w:p w14:paraId="57B9145E">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3</w:t>
            </w:r>
          </w:p>
        </w:tc>
        <w:tc>
          <w:tcPr>
            <w:tcW w:w="3360" w:type="pct"/>
            <w:vAlign w:val="center"/>
          </w:tcPr>
          <w:p w14:paraId="724F352F">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花都区新都大道东金满福酒店充电站</w:t>
            </w:r>
          </w:p>
        </w:tc>
        <w:tc>
          <w:tcPr>
            <w:tcW w:w="1277" w:type="pct"/>
            <w:vAlign w:val="center"/>
          </w:tcPr>
          <w:p w14:paraId="63B84083">
            <w:pPr>
              <w:pStyle w:val="7"/>
              <w:spacing w:before="0" w:after="0" w:line="240" w:lineRule="auto"/>
              <w:ind w:firstLine="0" w:firstLineChars="0"/>
              <w:jc w:val="center"/>
              <w:rPr>
                <w:rFonts w:ascii="Times New Roman" w:hAnsi="Times New Roman" w:eastAsia="宋体"/>
                <w:color w:val="auto"/>
                <w:sz w:val="18"/>
                <w:szCs w:val="18"/>
              </w:rPr>
            </w:pPr>
            <w:r>
              <w:rPr>
                <w:rFonts w:hint="eastAsia" w:ascii="Times New Roman" w:hAnsi="Times New Roman" w:eastAsia="宋体"/>
                <w:color w:val="auto"/>
                <w:sz w:val="18"/>
                <w:szCs w:val="18"/>
              </w:rPr>
              <w:t>0.6</w:t>
            </w:r>
          </w:p>
        </w:tc>
      </w:tr>
    </w:tbl>
    <w:p w14:paraId="5CA8AA87">
      <w:pPr>
        <w:pStyle w:val="7"/>
        <w:spacing w:line="560" w:lineRule="exact"/>
        <w:ind w:firstLine="640"/>
        <w:rPr>
          <w:rFonts w:hint="eastAsia"/>
          <w:color w:val="auto"/>
        </w:rPr>
      </w:pPr>
      <w:r>
        <w:rPr>
          <w:rFonts w:hint="eastAsia" w:ascii="仿宋_GB2312" w:eastAsia="仿宋_GB2312"/>
          <w:color w:val="auto"/>
          <w:sz w:val="32"/>
          <w:szCs w:val="32"/>
        </w:rPr>
        <w:t>谨慎估算，本项目收入测算不考虑充电桩电费收入。</w:t>
      </w:r>
    </w:p>
    <w:p w14:paraId="4DA2D4EF">
      <w:pPr>
        <w:pStyle w:val="2"/>
        <w:ind w:firstLine="640"/>
        <w:jc w:val="both"/>
        <w:rPr>
          <w:rFonts w:cs="仿宋_GB2312"/>
          <w:color w:val="auto"/>
          <w:sz w:val="32"/>
          <w:szCs w:val="32"/>
        </w:rPr>
      </w:pPr>
      <w:r>
        <w:rPr>
          <w:rFonts w:hint="default" w:cs="仿宋_GB2312"/>
          <w:color w:val="auto"/>
          <w:sz w:val="32"/>
          <w:szCs w:val="32"/>
        </w:rPr>
        <w:t>4</w:t>
      </w:r>
      <w:r>
        <w:rPr>
          <w:rFonts w:cs="仿宋_GB2312"/>
          <w:color w:val="auto"/>
          <w:sz w:val="32"/>
          <w:szCs w:val="32"/>
        </w:rPr>
        <w:t>）广告位收入</w:t>
      </w:r>
    </w:p>
    <w:p w14:paraId="7ACFB122">
      <w:pPr>
        <w:pStyle w:val="2"/>
        <w:ind w:firstLine="640"/>
        <w:jc w:val="both"/>
        <w:rPr>
          <w:rFonts w:cs="仿宋_GB2312"/>
          <w:color w:val="auto"/>
          <w:sz w:val="32"/>
          <w:szCs w:val="32"/>
        </w:rPr>
      </w:pPr>
      <w:r>
        <w:rPr>
          <w:rFonts w:cs="仿宋_GB2312"/>
          <w:color w:val="auto"/>
          <w:sz w:val="32"/>
          <w:szCs w:val="32"/>
        </w:rPr>
        <w:t>根据可研报告，本项目建成后广告牌数量共500个。</w:t>
      </w:r>
    </w:p>
    <w:p w14:paraId="0CCB5D2A">
      <w:pPr>
        <w:pStyle w:val="7"/>
        <w:spacing w:line="560" w:lineRule="exact"/>
        <w:ind w:firstLine="640"/>
        <w:rPr>
          <w:rFonts w:hint="eastAsia" w:ascii="仿宋_GB2312" w:eastAsia="仿宋_GB2312"/>
          <w:color w:val="auto"/>
          <w:sz w:val="32"/>
          <w:szCs w:val="32"/>
          <w:lang w:val="zh-CN"/>
        </w:rPr>
      </w:pPr>
      <w:r>
        <w:rPr>
          <w:rFonts w:hint="eastAsia" w:ascii="仿宋_GB2312" w:eastAsia="仿宋_GB2312"/>
          <w:color w:val="auto"/>
          <w:sz w:val="32"/>
          <w:szCs w:val="32"/>
        </w:rPr>
        <w:t>谨慎测算，</w:t>
      </w:r>
      <w:r>
        <w:rPr>
          <w:rFonts w:hint="eastAsia" w:ascii="仿宋_GB2312" w:eastAsia="仿宋_GB2312"/>
          <w:color w:val="auto"/>
          <w:sz w:val="32"/>
          <w:szCs w:val="32"/>
          <w:lang w:val="zh-CN"/>
        </w:rPr>
        <w:t>运营期第一年广告位</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hint="eastAsia" w:ascii="仿宋_GB2312" w:eastAsia="仿宋_GB2312"/>
          <w:color w:val="auto"/>
          <w:sz w:val="32"/>
          <w:szCs w:val="32"/>
        </w:rPr>
        <w:t>6</w:t>
      </w:r>
      <w:r>
        <w:rPr>
          <w:rFonts w:ascii="仿宋_GB2312" w:eastAsia="仿宋_GB2312"/>
          <w:color w:val="auto"/>
          <w:sz w:val="32"/>
          <w:szCs w:val="32"/>
        </w:rPr>
        <w:t>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进行测算，第二年</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ascii="仿宋_GB2312" w:eastAsia="仿宋_GB2312"/>
          <w:color w:val="auto"/>
          <w:sz w:val="32"/>
          <w:szCs w:val="32"/>
        </w:rPr>
        <w:t>75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进行测算，第三年</w:t>
      </w:r>
      <w:r>
        <w:rPr>
          <w:rFonts w:hint="eastAsia" w:ascii="仿宋_GB2312" w:eastAsia="仿宋_GB2312"/>
          <w:color w:val="auto"/>
          <w:sz w:val="32"/>
          <w:szCs w:val="32"/>
        </w:rPr>
        <w:t>出租率</w:t>
      </w:r>
      <w:r>
        <w:rPr>
          <w:rFonts w:hint="eastAsia" w:ascii="仿宋_GB2312" w:eastAsia="仿宋_GB2312"/>
          <w:color w:val="auto"/>
          <w:sz w:val="32"/>
          <w:szCs w:val="32"/>
          <w:lang w:val="zh-CN"/>
        </w:rPr>
        <w:t>按</w:t>
      </w:r>
      <w:r>
        <w:rPr>
          <w:rFonts w:hint="eastAsia" w:ascii="仿宋_GB2312" w:eastAsia="仿宋_GB2312"/>
          <w:color w:val="auto"/>
          <w:sz w:val="32"/>
          <w:szCs w:val="32"/>
        </w:rPr>
        <w:t>8</w:t>
      </w:r>
      <w:r>
        <w:rPr>
          <w:rFonts w:ascii="仿宋_GB2312" w:eastAsia="仿宋_GB2312"/>
          <w:color w:val="auto"/>
          <w:sz w:val="32"/>
          <w:szCs w:val="32"/>
        </w:rPr>
        <w:t>5</w:t>
      </w:r>
      <w:r>
        <w:rPr>
          <w:rFonts w:hint="eastAsia" w:ascii="仿宋_GB2312" w:eastAsia="仿宋_GB2312"/>
          <w:color w:val="auto"/>
          <w:sz w:val="32"/>
          <w:szCs w:val="32"/>
        </w:rPr>
        <w:t>%</w:t>
      </w:r>
      <w:r>
        <w:rPr>
          <w:rFonts w:hint="eastAsia" w:ascii="仿宋_GB2312" w:eastAsia="仿宋_GB2312"/>
          <w:color w:val="auto"/>
          <w:sz w:val="32"/>
          <w:szCs w:val="32"/>
          <w:lang w:val="zh-CN"/>
        </w:rPr>
        <w:t>进行测算，第</w:t>
      </w:r>
      <w:r>
        <w:rPr>
          <w:rFonts w:hint="eastAsia" w:ascii="仿宋_GB2312" w:eastAsia="仿宋_GB2312"/>
          <w:color w:val="auto"/>
          <w:sz w:val="32"/>
          <w:szCs w:val="32"/>
        </w:rPr>
        <w:t>四</w:t>
      </w:r>
      <w:r>
        <w:rPr>
          <w:rFonts w:hint="eastAsia" w:ascii="仿宋_GB2312" w:eastAsia="仿宋_GB2312"/>
          <w:color w:val="auto"/>
          <w:sz w:val="32"/>
          <w:szCs w:val="32"/>
          <w:lang w:val="zh-CN"/>
        </w:rPr>
        <w:t>年</w:t>
      </w:r>
      <w:r>
        <w:rPr>
          <w:rFonts w:hint="eastAsia" w:ascii="仿宋_GB2312" w:eastAsia="仿宋_GB2312"/>
          <w:color w:val="auto"/>
          <w:sz w:val="32"/>
          <w:szCs w:val="32"/>
        </w:rPr>
        <w:t>及以后出租率按</w:t>
      </w:r>
      <w:r>
        <w:rPr>
          <w:rFonts w:ascii="仿宋_GB2312" w:eastAsia="仿宋_GB2312"/>
          <w:color w:val="auto"/>
          <w:sz w:val="32"/>
          <w:szCs w:val="32"/>
        </w:rPr>
        <w:t>95</w:t>
      </w:r>
      <w:r>
        <w:rPr>
          <w:rFonts w:hint="eastAsia" w:ascii="仿宋_GB2312" w:eastAsia="仿宋_GB2312"/>
          <w:color w:val="auto"/>
          <w:sz w:val="32"/>
          <w:szCs w:val="32"/>
        </w:rPr>
        <w:t>%进行测算</w:t>
      </w:r>
      <w:r>
        <w:rPr>
          <w:rFonts w:hint="eastAsia" w:ascii="仿宋_GB2312" w:eastAsia="仿宋_GB2312"/>
          <w:color w:val="auto"/>
          <w:sz w:val="32"/>
          <w:szCs w:val="32"/>
          <w:lang w:val="zh-CN"/>
        </w:rPr>
        <w:t>。</w:t>
      </w:r>
    </w:p>
    <w:p w14:paraId="70C1D8D1">
      <w:pPr>
        <w:pStyle w:val="2"/>
        <w:ind w:firstLine="640"/>
        <w:jc w:val="both"/>
        <w:rPr>
          <w:rFonts w:cs="仿宋_GB2312"/>
          <w:color w:val="auto"/>
          <w:sz w:val="32"/>
          <w:szCs w:val="32"/>
        </w:rPr>
      </w:pPr>
      <w:r>
        <w:rPr>
          <w:rFonts w:cs="仿宋_GB2312"/>
          <w:color w:val="auto"/>
          <w:sz w:val="32"/>
          <w:szCs w:val="32"/>
        </w:rPr>
        <w:t>参照易播网广州市灯杆广告位出租数据，基于谨慎性原则，本项目运营期第1年广告位月租金拟定为250元/个。租金涨幅按每4年增长10%进行测算，债券存续期内，年均复合增长率2.41%。广州市2014-2023年近十年GDP平均增速6.16%，本项目涨幅低于广州市近十年GDP平均涨幅的80%（即4.9%）。</w:t>
      </w:r>
    </w:p>
    <w:p w14:paraId="566A7AB4">
      <w:pPr>
        <w:ind w:firstLine="640"/>
        <w:rPr>
          <w:rFonts w:ascii="仿宋_GB2312" w:eastAsia="仿宋_GB2312"/>
          <w:color w:val="auto"/>
          <w:sz w:val="32"/>
          <w:szCs w:val="32"/>
        </w:rPr>
      </w:pPr>
    </w:p>
    <w:p w14:paraId="4DF2303E">
      <w:pPr>
        <w:pStyle w:val="2"/>
        <w:ind w:firstLine="480"/>
        <w:rPr>
          <w:color w:val="auto"/>
        </w:rPr>
      </w:pPr>
      <w:r>
        <w:rPr>
          <w:color w:val="auto"/>
        </w:rPr>
        <w:drawing>
          <wp:anchor distT="0" distB="0" distL="114300" distR="114300" simplePos="0" relativeHeight="251666432" behindDoc="0" locked="0" layoutInCell="1" allowOverlap="1">
            <wp:simplePos x="0" y="0"/>
            <wp:positionH relativeFrom="column">
              <wp:posOffset>304800</wp:posOffset>
            </wp:positionH>
            <wp:positionV relativeFrom="paragraph">
              <wp:posOffset>273050</wp:posOffset>
            </wp:positionV>
            <wp:extent cx="4925060" cy="3852545"/>
            <wp:effectExtent l="0" t="0" r="8890" b="0"/>
            <wp:wrapTopAndBottom/>
            <wp:docPr id="166579470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794701" name="图片 1"/>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4925060" cy="3852545"/>
                    </a:xfrm>
                    <a:prstGeom prst="rect">
                      <a:avLst/>
                    </a:prstGeom>
                  </pic:spPr>
                </pic:pic>
              </a:graphicData>
            </a:graphic>
          </wp:anchor>
        </w:drawing>
      </w:r>
    </w:p>
    <w:p w14:paraId="5F31A718">
      <w:pPr>
        <w:ind w:firstLine="560"/>
        <w:rPr>
          <w:color w:val="auto"/>
        </w:rPr>
      </w:pPr>
    </w:p>
    <w:p w14:paraId="0EE42521">
      <w:pPr>
        <w:ind w:firstLine="640"/>
        <w:rPr>
          <w:rFonts w:ascii="仿宋_GB2312" w:eastAsia="仿宋_GB2312"/>
          <w:color w:val="auto"/>
          <w:sz w:val="32"/>
          <w:szCs w:val="32"/>
        </w:rPr>
      </w:pPr>
      <w:r>
        <w:rPr>
          <w:rFonts w:hint="eastAsia" w:ascii="仿宋_GB2312" w:eastAsia="仿宋_GB2312"/>
          <w:color w:val="auto"/>
          <w:sz w:val="32"/>
          <w:szCs w:val="32"/>
        </w:rPr>
        <w:t>（</w:t>
      </w:r>
      <w:r>
        <w:rPr>
          <w:rFonts w:ascii="仿宋_GB2312" w:eastAsia="仿宋_GB2312"/>
          <w:color w:val="auto"/>
          <w:sz w:val="32"/>
          <w:szCs w:val="32"/>
        </w:rPr>
        <w:t>2</w:t>
      </w:r>
      <w:r>
        <w:rPr>
          <w:rFonts w:hint="eastAsia" w:ascii="仿宋_GB2312" w:eastAsia="仿宋_GB2312"/>
          <w:color w:val="auto"/>
          <w:sz w:val="32"/>
          <w:szCs w:val="32"/>
        </w:rPr>
        <w:t>）政府性基金收入预测</w:t>
      </w:r>
    </w:p>
    <w:p w14:paraId="61711B8F">
      <w:pPr>
        <w:pStyle w:val="7"/>
        <w:spacing w:line="560" w:lineRule="exact"/>
        <w:ind w:firstLine="643"/>
        <w:jc w:val="both"/>
        <w:rPr>
          <w:rFonts w:hint="eastAsia" w:ascii="仿宋_GB2312" w:eastAsia="仿宋_GB2312"/>
          <w:color w:val="auto"/>
          <w:sz w:val="32"/>
          <w:szCs w:val="32"/>
        </w:rPr>
      </w:pPr>
      <w:r>
        <w:rPr>
          <w:rFonts w:hint="eastAsia" w:ascii="仿宋_GB2312" w:eastAsia="仿宋_GB2312"/>
          <w:b/>
          <w:bCs/>
          <w:color w:val="auto"/>
          <w:sz w:val="32"/>
          <w:szCs w:val="32"/>
        </w:rPr>
        <w:t>出让土地与项目相关性：</w:t>
      </w:r>
      <w:r>
        <w:rPr>
          <w:rFonts w:hint="eastAsia" w:ascii="仿宋_GB2312" w:eastAsia="仿宋_GB2312"/>
          <w:color w:val="auto"/>
          <w:sz w:val="32"/>
          <w:szCs w:val="32"/>
        </w:rPr>
        <w:t>本项目配套土地</w:t>
      </w:r>
      <w:r>
        <w:rPr>
          <w:rFonts w:ascii="仿宋_GB2312" w:eastAsia="仿宋_GB2312"/>
          <w:color w:val="auto"/>
          <w:sz w:val="32"/>
          <w:szCs w:val="32"/>
        </w:rPr>
        <w:t>J09-YY01</w:t>
      </w:r>
      <w:r>
        <w:rPr>
          <w:rFonts w:hint="eastAsia" w:ascii="仿宋_GB2312" w:eastAsia="仿宋_GB2312"/>
          <w:color w:val="auto"/>
          <w:sz w:val="32"/>
          <w:szCs w:val="32"/>
        </w:rPr>
        <w:t>，本项目建成后将带动以上地块及周边土地价值上涨。</w:t>
      </w:r>
    </w:p>
    <w:p w14:paraId="5E0A0B1A">
      <w:pPr>
        <w:pStyle w:val="7"/>
        <w:spacing w:line="560" w:lineRule="exact"/>
        <w:ind w:firstLine="640"/>
        <w:jc w:val="both"/>
        <w:rPr>
          <w:rFonts w:hint="eastAsia" w:ascii="仿宋_GB2312" w:eastAsia="仿宋_GB2312"/>
          <w:color w:val="auto"/>
          <w:sz w:val="32"/>
          <w:szCs w:val="32"/>
        </w:rPr>
        <w:sectPr>
          <w:footerReference r:id="rId15" w:type="first"/>
          <w:footerReference r:id="rId14" w:type="default"/>
          <w:pgSz w:w="11906" w:h="16838"/>
          <w:pgMar w:top="1440" w:right="1800" w:bottom="1440" w:left="1800" w:header="851" w:footer="992" w:gutter="0"/>
          <w:cols w:space="425" w:num="1"/>
          <w:docGrid w:type="lines" w:linePitch="312" w:charSpace="0"/>
        </w:sectPr>
      </w:pPr>
      <w:r>
        <w:rPr>
          <w:rFonts w:hint="eastAsia" w:ascii="仿宋_GB2312" w:eastAsia="仿宋_GB2312"/>
          <w:color w:val="auto"/>
          <w:sz w:val="32"/>
          <w:szCs w:val="32"/>
        </w:rPr>
        <w:t>经查询广州公共资源交易中心土地出让信息，2021年至今，项目周边商住用地出让情况如下表。</w:t>
      </w:r>
    </w:p>
    <w:p w14:paraId="35B22BE0">
      <w:pPr>
        <w:adjustRightInd w:val="0"/>
        <w:snapToGrid w:val="0"/>
        <w:spacing w:before="190" w:beforeLines="50" w:after="156" w:line="240" w:lineRule="auto"/>
        <w:ind w:firstLine="0" w:firstLineChars="0"/>
        <w:jc w:val="center"/>
        <w:rPr>
          <w:rFonts w:ascii="仿宋_GB2312" w:eastAsia="仿宋_GB2312"/>
          <w:color w:val="auto"/>
          <w:sz w:val="32"/>
          <w:szCs w:val="32"/>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7</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广州市花都区周边土地出让情况表</w:t>
      </w:r>
    </w:p>
    <w:tbl>
      <w:tblPr>
        <w:tblStyle w:val="19"/>
        <w:tblW w:w="138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126"/>
        <w:gridCol w:w="818"/>
        <w:gridCol w:w="1134"/>
        <w:gridCol w:w="992"/>
        <w:gridCol w:w="1276"/>
        <w:gridCol w:w="1417"/>
        <w:gridCol w:w="1701"/>
        <w:gridCol w:w="1418"/>
        <w:gridCol w:w="2301"/>
      </w:tblGrid>
      <w:tr w14:paraId="10904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tblHeader/>
          <w:jc w:val="center"/>
        </w:trPr>
        <w:tc>
          <w:tcPr>
            <w:tcW w:w="709" w:type="dxa"/>
            <w:shd w:val="clear" w:color="000000" w:fill="FFFFFF"/>
            <w:vAlign w:val="center"/>
          </w:tcPr>
          <w:p w14:paraId="0F49F1B7">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项目</w:t>
            </w:r>
          </w:p>
        </w:tc>
        <w:tc>
          <w:tcPr>
            <w:tcW w:w="2126" w:type="dxa"/>
            <w:shd w:val="clear" w:color="000000" w:fill="FFFFFF"/>
            <w:vAlign w:val="center"/>
          </w:tcPr>
          <w:p w14:paraId="22CABBF2">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地块</w:t>
            </w:r>
          </w:p>
        </w:tc>
        <w:tc>
          <w:tcPr>
            <w:tcW w:w="818" w:type="dxa"/>
            <w:shd w:val="clear" w:color="000000" w:fill="FFFFFF"/>
            <w:vAlign w:val="center"/>
          </w:tcPr>
          <w:p w14:paraId="5698EACF">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区位</w:t>
            </w:r>
          </w:p>
        </w:tc>
        <w:tc>
          <w:tcPr>
            <w:tcW w:w="1134" w:type="dxa"/>
            <w:shd w:val="clear" w:color="000000" w:fill="FFFFFF"/>
            <w:vAlign w:val="center"/>
          </w:tcPr>
          <w:p w14:paraId="4374F45F">
            <w:pPr>
              <w:pStyle w:val="9"/>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占地面积</w:t>
            </w:r>
          </w:p>
          <w:p w14:paraId="78CFACEF">
            <w:pPr>
              <w:pStyle w:val="9"/>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w:t>
            </w:r>
          </w:p>
        </w:tc>
        <w:tc>
          <w:tcPr>
            <w:tcW w:w="992" w:type="dxa"/>
            <w:shd w:val="clear" w:color="000000" w:fill="FFFFFF"/>
            <w:vAlign w:val="center"/>
          </w:tcPr>
          <w:p w14:paraId="522A5784">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容积率</w:t>
            </w:r>
          </w:p>
        </w:tc>
        <w:tc>
          <w:tcPr>
            <w:tcW w:w="1276" w:type="dxa"/>
            <w:shd w:val="clear" w:color="000000" w:fill="FFFFFF"/>
            <w:vAlign w:val="center"/>
          </w:tcPr>
          <w:p w14:paraId="3D6C452F">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建筑面积（㎡）</w:t>
            </w:r>
          </w:p>
        </w:tc>
        <w:tc>
          <w:tcPr>
            <w:tcW w:w="1417" w:type="dxa"/>
            <w:shd w:val="clear" w:color="000000" w:fill="FFFFFF"/>
            <w:vAlign w:val="center"/>
          </w:tcPr>
          <w:p w14:paraId="7DA6FAEE">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中标总地价</w:t>
            </w:r>
          </w:p>
          <w:p w14:paraId="09F57B05">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（万元）</w:t>
            </w:r>
          </w:p>
        </w:tc>
        <w:tc>
          <w:tcPr>
            <w:tcW w:w="1701" w:type="dxa"/>
            <w:shd w:val="clear" w:color="000000" w:fill="FFFFFF"/>
            <w:vAlign w:val="center"/>
          </w:tcPr>
          <w:p w14:paraId="297D1A5A">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楼面价格</w:t>
            </w:r>
          </w:p>
          <w:p w14:paraId="3F68B6A0">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（元/平方米）</w:t>
            </w:r>
          </w:p>
        </w:tc>
        <w:tc>
          <w:tcPr>
            <w:tcW w:w="1418" w:type="dxa"/>
            <w:shd w:val="clear" w:color="000000" w:fill="FFFFFF"/>
            <w:vAlign w:val="center"/>
          </w:tcPr>
          <w:p w14:paraId="2F33005A">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出让日期</w:t>
            </w:r>
          </w:p>
        </w:tc>
        <w:tc>
          <w:tcPr>
            <w:tcW w:w="2301" w:type="dxa"/>
            <w:shd w:val="clear" w:color="000000" w:fill="FFFFFF"/>
            <w:vAlign w:val="center"/>
          </w:tcPr>
          <w:p w14:paraId="52A14992">
            <w:pPr>
              <w:spacing w:line="240" w:lineRule="auto"/>
              <w:ind w:firstLine="0" w:firstLineChars="0"/>
              <w:jc w:val="center"/>
              <w:rPr>
                <w:rFonts w:hint="eastAsia" w:ascii="宋体" w:hAnsi="宋体" w:eastAsia="宋体"/>
                <w:b/>
                <w:bCs/>
                <w:color w:val="auto"/>
                <w:sz w:val="20"/>
                <w:szCs w:val="20"/>
              </w:rPr>
            </w:pPr>
            <w:r>
              <w:rPr>
                <w:rFonts w:hint="eastAsia" w:ascii="宋体" w:hAnsi="宋体" w:eastAsia="宋体"/>
                <w:b/>
                <w:bCs/>
                <w:color w:val="auto"/>
                <w:sz w:val="20"/>
                <w:szCs w:val="20"/>
              </w:rPr>
              <w:t>用途</w:t>
            </w:r>
          </w:p>
        </w:tc>
      </w:tr>
      <w:tr w14:paraId="3863B6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709" w:type="dxa"/>
            <w:shd w:val="clear" w:color="000000" w:fill="FFFFFF"/>
            <w:vAlign w:val="center"/>
          </w:tcPr>
          <w:p w14:paraId="0B06145C">
            <w:pPr>
              <w:spacing w:line="240" w:lineRule="auto"/>
              <w:ind w:firstLine="0" w:firstLine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1</w:t>
            </w:r>
          </w:p>
        </w:tc>
        <w:tc>
          <w:tcPr>
            <w:tcW w:w="2126" w:type="dxa"/>
            <w:shd w:val="clear" w:color="000000" w:fill="FFFFFF"/>
            <w:vAlign w:val="center"/>
          </w:tcPr>
          <w:p w14:paraId="0347C134">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穗规划资源挂出告字〔2022〕37号</w:t>
            </w:r>
          </w:p>
        </w:tc>
        <w:tc>
          <w:tcPr>
            <w:tcW w:w="818" w:type="dxa"/>
            <w:shd w:val="clear" w:color="000000" w:fill="FFFFFF"/>
            <w:vAlign w:val="center"/>
          </w:tcPr>
          <w:p w14:paraId="72CB88B5">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rPr>
              <w:t>花都区</w:t>
            </w:r>
          </w:p>
        </w:tc>
        <w:tc>
          <w:tcPr>
            <w:tcW w:w="1134" w:type="dxa"/>
            <w:shd w:val="clear" w:color="000000" w:fill="FFFFFF"/>
            <w:vAlign w:val="center"/>
          </w:tcPr>
          <w:p w14:paraId="05487707">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5069</w:t>
            </w:r>
          </w:p>
        </w:tc>
        <w:tc>
          <w:tcPr>
            <w:tcW w:w="992" w:type="dxa"/>
            <w:shd w:val="clear" w:color="000000" w:fill="FFFFFF"/>
            <w:vAlign w:val="center"/>
          </w:tcPr>
          <w:p w14:paraId="480B07E8">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2.8</w:t>
            </w:r>
          </w:p>
        </w:tc>
        <w:tc>
          <w:tcPr>
            <w:tcW w:w="1276" w:type="dxa"/>
            <w:shd w:val="clear" w:color="000000" w:fill="FFFFFF"/>
            <w:vAlign w:val="center"/>
          </w:tcPr>
          <w:p w14:paraId="6A3B2A3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14193</w:t>
            </w:r>
          </w:p>
        </w:tc>
        <w:tc>
          <w:tcPr>
            <w:tcW w:w="1417" w:type="dxa"/>
            <w:shd w:val="clear" w:color="000000" w:fill="FFFFFF"/>
            <w:vAlign w:val="center"/>
          </w:tcPr>
          <w:p w14:paraId="7AD079F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 xml:space="preserve"> 17,785.00 </w:t>
            </w:r>
          </w:p>
        </w:tc>
        <w:tc>
          <w:tcPr>
            <w:tcW w:w="1701" w:type="dxa"/>
            <w:shd w:val="clear" w:color="000000" w:fill="FFFFFF"/>
            <w:vAlign w:val="center"/>
          </w:tcPr>
          <w:p w14:paraId="2AE4ED93">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12,530.83</w:t>
            </w:r>
          </w:p>
        </w:tc>
        <w:tc>
          <w:tcPr>
            <w:tcW w:w="1418" w:type="dxa"/>
            <w:shd w:val="clear" w:color="000000" w:fill="FFFFFF"/>
            <w:vAlign w:val="center"/>
          </w:tcPr>
          <w:p w14:paraId="2B7AF440">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2022/8/1</w:t>
            </w:r>
          </w:p>
        </w:tc>
        <w:tc>
          <w:tcPr>
            <w:tcW w:w="2301" w:type="dxa"/>
            <w:shd w:val="clear" w:color="000000" w:fill="FFFFFF"/>
            <w:vAlign w:val="center"/>
          </w:tcPr>
          <w:p w14:paraId="26F8F88B">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shd w:val="clear" w:color="auto" w:fill="FFFFFF"/>
              </w:rPr>
              <w:t>二类居住用地兼容商业商务用地（R2（兼容B1/B2））</w:t>
            </w:r>
          </w:p>
        </w:tc>
      </w:tr>
      <w:tr w14:paraId="54019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09" w:type="dxa"/>
            <w:shd w:val="clear" w:color="000000" w:fill="FFFFFF"/>
            <w:vAlign w:val="center"/>
          </w:tcPr>
          <w:p w14:paraId="64557E96">
            <w:pPr>
              <w:spacing w:line="240" w:lineRule="auto"/>
              <w:ind w:firstLine="0" w:firstLine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2</w:t>
            </w:r>
          </w:p>
        </w:tc>
        <w:tc>
          <w:tcPr>
            <w:tcW w:w="2126" w:type="dxa"/>
            <w:shd w:val="clear" w:color="000000" w:fill="FFFFFF"/>
            <w:vAlign w:val="center"/>
          </w:tcPr>
          <w:p w14:paraId="3EE63FCC">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穗规划资源挂出告字〔2022〕32号</w:t>
            </w:r>
          </w:p>
        </w:tc>
        <w:tc>
          <w:tcPr>
            <w:tcW w:w="818" w:type="dxa"/>
            <w:shd w:val="clear" w:color="000000" w:fill="FFFFFF"/>
            <w:vAlign w:val="center"/>
          </w:tcPr>
          <w:p w14:paraId="222A3FE4">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rPr>
              <w:t>花都区</w:t>
            </w:r>
          </w:p>
        </w:tc>
        <w:tc>
          <w:tcPr>
            <w:tcW w:w="1134" w:type="dxa"/>
            <w:shd w:val="clear" w:color="000000" w:fill="FFFFFF"/>
            <w:vAlign w:val="center"/>
          </w:tcPr>
          <w:p w14:paraId="49E1CBF2">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40656</w:t>
            </w:r>
          </w:p>
        </w:tc>
        <w:tc>
          <w:tcPr>
            <w:tcW w:w="992" w:type="dxa"/>
            <w:shd w:val="clear" w:color="000000" w:fill="FFFFFF"/>
            <w:vAlign w:val="center"/>
          </w:tcPr>
          <w:p w14:paraId="7659CCA4">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3</w:t>
            </w:r>
          </w:p>
        </w:tc>
        <w:tc>
          <w:tcPr>
            <w:tcW w:w="1276" w:type="dxa"/>
            <w:shd w:val="clear" w:color="000000" w:fill="FFFFFF"/>
            <w:vAlign w:val="center"/>
          </w:tcPr>
          <w:p w14:paraId="6E0CA596">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121968</w:t>
            </w:r>
          </w:p>
        </w:tc>
        <w:tc>
          <w:tcPr>
            <w:tcW w:w="1417" w:type="dxa"/>
            <w:shd w:val="clear" w:color="000000" w:fill="FFFFFF"/>
            <w:vAlign w:val="center"/>
          </w:tcPr>
          <w:p w14:paraId="76396EFD">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 xml:space="preserve"> 122,944.00 </w:t>
            </w:r>
          </w:p>
        </w:tc>
        <w:tc>
          <w:tcPr>
            <w:tcW w:w="1701" w:type="dxa"/>
            <w:shd w:val="clear" w:color="000000" w:fill="FFFFFF"/>
            <w:vAlign w:val="center"/>
          </w:tcPr>
          <w:p w14:paraId="1463D7B9">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10,080.02</w:t>
            </w:r>
          </w:p>
        </w:tc>
        <w:tc>
          <w:tcPr>
            <w:tcW w:w="1418" w:type="dxa"/>
            <w:shd w:val="clear" w:color="000000" w:fill="FFFFFF"/>
            <w:vAlign w:val="center"/>
          </w:tcPr>
          <w:p w14:paraId="555798C4">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2022/8/1</w:t>
            </w:r>
          </w:p>
        </w:tc>
        <w:tc>
          <w:tcPr>
            <w:tcW w:w="2301" w:type="dxa"/>
            <w:shd w:val="clear" w:color="000000" w:fill="FFFFFF"/>
            <w:vAlign w:val="center"/>
          </w:tcPr>
          <w:p w14:paraId="1C8C78C3">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shd w:val="clear" w:color="auto" w:fill="FFFFFF"/>
              </w:rPr>
              <w:t>二类居住用地（</w:t>
            </w:r>
            <w:r>
              <w:rPr>
                <w:rFonts w:ascii="宋体" w:hAnsi="宋体" w:eastAsia="宋体" w:cs="Times New Roman"/>
                <w:color w:val="auto"/>
                <w:sz w:val="20"/>
                <w:szCs w:val="20"/>
                <w:shd w:val="clear" w:color="auto" w:fill="FFFFFF"/>
              </w:rPr>
              <w:t>R2</w:t>
            </w:r>
            <w:r>
              <w:rPr>
                <w:rFonts w:hint="eastAsia" w:ascii="宋体" w:hAnsi="宋体" w:eastAsia="宋体"/>
                <w:color w:val="auto"/>
                <w:sz w:val="20"/>
                <w:szCs w:val="20"/>
                <w:shd w:val="clear" w:color="auto" w:fill="FFFFFF"/>
              </w:rPr>
              <w:t>）</w:t>
            </w:r>
          </w:p>
        </w:tc>
      </w:tr>
      <w:tr w14:paraId="126814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709" w:type="dxa"/>
            <w:shd w:val="clear" w:color="000000" w:fill="FFFFFF"/>
            <w:vAlign w:val="center"/>
          </w:tcPr>
          <w:p w14:paraId="5C18083F">
            <w:pPr>
              <w:spacing w:line="240" w:lineRule="auto"/>
              <w:ind w:firstLine="0" w:firstLine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3</w:t>
            </w:r>
          </w:p>
        </w:tc>
        <w:tc>
          <w:tcPr>
            <w:tcW w:w="2126" w:type="dxa"/>
            <w:shd w:val="clear" w:color="000000" w:fill="FFFFFF"/>
            <w:vAlign w:val="center"/>
          </w:tcPr>
          <w:p w14:paraId="21014DB4">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穗规划资源挂出告字〔2023〕39号</w:t>
            </w:r>
          </w:p>
        </w:tc>
        <w:tc>
          <w:tcPr>
            <w:tcW w:w="818" w:type="dxa"/>
            <w:shd w:val="clear" w:color="000000" w:fill="FFFFFF"/>
            <w:vAlign w:val="center"/>
          </w:tcPr>
          <w:p w14:paraId="4A0EACAF">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rPr>
              <w:t>花都区</w:t>
            </w:r>
          </w:p>
        </w:tc>
        <w:tc>
          <w:tcPr>
            <w:tcW w:w="1134" w:type="dxa"/>
            <w:shd w:val="clear" w:color="000000" w:fill="FFFFFF"/>
            <w:vAlign w:val="center"/>
          </w:tcPr>
          <w:p w14:paraId="30039B8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124,821</w:t>
            </w:r>
          </w:p>
        </w:tc>
        <w:tc>
          <w:tcPr>
            <w:tcW w:w="992" w:type="dxa"/>
            <w:shd w:val="clear" w:color="000000" w:fill="FFFFFF"/>
            <w:vAlign w:val="center"/>
          </w:tcPr>
          <w:p w14:paraId="1573523B">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2.72</w:t>
            </w:r>
          </w:p>
        </w:tc>
        <w:tc>
          <w:tcPr>
            <w:tcW w:w="1276" w:type="dxa"/>
            <w:shd w:val="clear" w:color="000000" w:fill="FFFFFF"/>
            <w:vAlign w:val="center"/>
          </w:tcPr>
          <w:p w14:paraId="04266B64">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111813</w:t>
            </w:r>
          </w:p>
        </w:tc>
        <w:tc>
          <w:tcPr>
            <w:tcW w:w="1417" w:type="dxa"/>
            <w:shd w:val="clear" w:color="000000" w:fill="FFFFFF"/>
            <w:vAlign w:val="center"/>
          </w:tcPr>
          <w:p w14:paraId="50F29985">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 xml:space="preserve"> 71,002.00 </w:t>
            </w:r>
          </w:p>
        </w:tc>
        <w:tc>
          <w:tcPr>
            <w:tcW w:w="1701" w:type="dxa"/>
            <w:shd w:val="clear" w:color="000000" w:fill="FFFFFF"/>
            <w:vAlign w:val="center"/>
          </w:tcPr>
          <w:p w14:paraId="05F85405">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6,350.07</w:t>
            </w:r>
          </w:p>
        </w:tc>
        <w:tc>
          <w:tcPr>
            <w:tcW w:w="1418" w:type="dxa"/>
            <w:shd w:val="clear" w:color="000000" w:fill="FFFFFF"/>
            <w:vAlign w:val="center"/>
          </w:tcPr>
          <w:p w14:paraId="22BBE8FC">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2023/8/18</w:t>
            </w:r>
          </w:p>
        </w:tc>
        <w:tc>
          <w:tcPr>
            <w:tcW w:w="2301" w:type="dxa"/>
            <w:shd w:val="clear" w:color="000000" w:fill="FFFFFF"/>
            <w:vAlign w:val="center"/>
          </w:tcPr>
          <w:p w14:paraId="1DE5C29F">
            <w:pPr>
              <w:spacing w:line="240" w:lineRule="auto"/>
              <w:ind w:firstLine="0" w:firstLineChars="0"/>
              <w:jc w:val="center"/>
              <w:textAlignment w:val="center"/>
              <w:rPr>
                <w:rFonts w:hint="eastAsia" w:ascii="宋体" w:hAnsi="宋体" w:eastAsia="宋体" w:cs="Times New Roman"/>
                <w:color w:val="auto"/>
                <w:sz w:val="20"/>
                <w:szCs w:val="20"/>
                <w:lang w:bidi="ar"/>
              </w:rPr>
            </w:pPr>
            <w:r>
              <w:rPr>
                <w:rFonts w:hint="eastAsia" w:ascii="宋体" w:hAnsi="宋体" w:eastAsia="宋体"/>
                <w:color w:val="auto"/>
                <w:sz w:val="20"/>
                <w:szCs w:val="20"/>
                <w:shd w:val="clear" w:color="auto" w:fill="FFFFFF"/>
              </w:rPr>
              <w:t>二类居住用地（</w:t>
            </w:r>
            <w:r>
              <w:rPr>
                <w:rFonts w:ascii="宋体" w:hAnsi="宋体" w:eastAsia="宋体" w:cs="Times New Roman"/>
                <w:color w:val="auto"/>
                <w:sz w:val="20"/>
                <w:szCs w:val="20"/>
                <w:shd w:val="clear" w:color="auto" w:fill="FFFFFF"/>
              </w:rPr>
              <w:t>R2</w:t>
            </w:r>
            <w:r>
              <w:rPr>
                <w:rFonts w:hint="eastAsia" w:ascii="宋体" w:hAnsi="宋体" w:eastAsia="宋体"/>
                <w:color w:val="auto"/>
                <w:sz w:val="20"/>
                <w:szCs w:val="20"/>
                <w:shd w:val="clear" w:color="auto" w:fill="FFFFFF"/>
              </w:rPr>
              <w:t>）</w:t>
            </w:r>
          </w:p>
        </w:tc>
      </w:tr>
      <w:tr w14:paraId="7F1AB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1" w:hRule="atLeast"/>
          <w:jc w:val="center"/>
        </w:trPr>
        <w:tc>
          <w:tcPr>
            <w:tcW w:w="709" w:type="dxa"/>
            <w:shd w:val="clear" w:color="000000" w:fill="FFFFFF"/>
            <w:vAlign w:val="center"/>
          </w:tcPr>
          <w:p w14:paraId="3DECD156">
            <w:pPr>
              <w:spacing w:line="240" w:lineRule="auto"/>
              <w:ind w:firstLine="0" w:firstLine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4</w:t>
            </w:r>
          </w:p>
        </w:tc>
        <w:tc>
          <w:tcPr>
            <w:tcW w:w="2126" w:type="dxa"/>
            <w:shd w:val="clear" w:color="000000" w:fill="FFFFFF"/>
            <w:vAlign w:val="center"/>
          </w:tcPr>
          <w:p w14:paraId="4127B073">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穗规划资源挂出告字〔2023〕58号</w:t>
            </w:r>
          </w:p>
        </w:tc>
        <w:tc>
          <w:tcPr>
            <w:tcW w:w="818" w:type="dxa"/>
            <w:shd w:val="clear" w:color="000000" w:fill="FFFFFF"/>
            <w:vAlign w:val="center"/>
          </w:tcPr>
          <w:p w14:paraId="2AA90E4F">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rPr>
              <w:t>花都区</w:t>
            </w:r>
          </w:p>
        </w:tc>
        <w:tc>
          <w:tcPr>
            <w:tcW w:w="1134" w:type="dxa"/>
            <w:shd w:val="clear" w:color="000000" w:fill="FFFFFF"/>
            <w:vAlign w:val="center"/>
          </w:tcPr>
          <w:p w14:paraId="3296C112">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66382.12</w:t>
            </w:r>
          </w:p>
        </w:tc>
        <w:tc>
          <w:tcPr>
            <w:tcW w:w="992" w:type="dxa"/>
            <w:shd w:val="clear" w:color="000000" w:fill="FFFFFF"/>
            <w:vAlign w:val="center"/>
          </w:tcPr>
          <w:p w14:paraId="5C79973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3</w:t>
            </w:r>
          </w:p>
        </w:tc>
        <w:tc>
          <w:tcPr>
            <w:tcW w:w="1276" w:type="dxa"/>
            <w:shd w:val="clear" w:color="000000" w:fill="FFFFFF"/>
            <w:vAlign w:val="center"/>
          </w:tcPr>
          <w:p w14:paraId="3FAC1F35">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98430</w:t>
            </w:r>
          </w:p>
        </w:tc>
        <w:tc>
          <w:tcPr>
            <w:tcW w:w="1417" w:type="dxa"/>
            <w:shd w:val="clear" w:color="000000" w:fill="FFFFFF"/>
            <w:vAlign w:val="center"/>
          </w:tcPr>
          <w:p w14:paraId="49360D7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79,729.00</w:t>
            </w:r>
          </w:p>
        </w:tc>
        <w:tc>
          <w:tcPr>
            <w:tcW w:w="1701" w:type="dxa"/>
            <w:shd w:val="clear" w:color="000000" w:fill="FFFFFF"/>
            <w:vAlign w:val="center"/>
          </w:tcPr>
          <w:p w14:paraId="39B0816D">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8,100.07</w:t>
            </w:r>
          </w:p>
        </w:tc>
        <w:tc>
          <w:tcPr>
            <w:tcW w:w="1418" w:type="dxa"/>
            <w:shd w:val="clear" w:color="000000" w:fill="FFFFFF"/>
            <w:vAlign w:val="center"/>
          </w:tcPr>
          <w:p w14:paraId="43620698">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2023/9/21</w:t>
            </w:r>
          </w:p>
        </w:tc>
        <w:tc>
          <w:tcPr>
            <w:tcW w:w="2301" w:type="dxa"/>
            <w:shd w:val="clear" w:color="000000" w:fill="FFFFFF"/>
            <w:vAlign w:val="center"/>
          </w:tcPr>
          <w:p w14:paraId="22A3C073">
            <w:pPr>
              <w:spacing w:line="240" w:lineRule="auto"/>
              <w:ind w:firstLine="0" w:firstLineChars="0"/>
              <w:jc w:val="center"/>
              <w:textAlignment w:val="center"/>
              <w:rPr>
                <w:rFonts w:hint="eastAsia" w:ascii="宋体" w:hAnsi="宋体" w:eastAsia="宋体" w:cs="Times New Roman"/>
                <w:color w:val="auto"/>
                <w:sz w:val="20"/>
                <w:szCs w:val="20"/>
                <w:lang w:bidi="ar"/>
              </w:rPr>
            </w:pPr>
            <w:r>
              <w:rPr>
                <w:rFonts w:hint="eastAsia" w:ascii="宋体" w:hAnsi="宋体" w:eastAsia="宋体" w:cs="Times New Roman"/>
                <w:color w:val="auto"/>
                <w:sz w:val="20"/>
                <w:szCs w:val="20"/>
                <w:lang w:bidi="ar"/>
              </w:rPr>
              <w:t>二类居住用地（R2）、中小学用地（A33）</w:t>
            </w:r>
          </w:p>
        </w:tc>
      </w:tr>
      <w:tr w14:paraId="70A51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709" w:type="dxa"/>
            <w:shd w:val="clear" w:color="000000" w:fill="FFFFFF"/>
            <w:vAlign w:val="center"/>
          </w:tcPr>
          <w:p w14:paraId="3FDE89F9">
            <w:pPr>
              <w:spacing w:line="240" w:lineRule="auto"/>
              <w:ind w:firstLine="0" w:firstLineChars="0"/>
              <w:jc w:val="center"/>
              <w:rPr>
                <w:rFonts w:hint="eastAsia" w:ascii="宋体" w:hAnsi="宋体" w:eastAsia="宋体" w:cs="Times New Roman"/>
                <w:color w:val="auto"/>
                <w:sz w:val="20"/>
                <w:szCs w:val="20"/>
              </w:rPr>
            </w:pPr>
            <w:r>
              <w:rPr>
                <w:rFonts w:hint="eastAsia" w:ascii="宋体" w:hAnsi="宋体" w:eastAsia="宋体" w:cs="Times New Roman"/>
                <w:color w:val="auto"/>
                <w:sz w:val="20"/>
                <w:szCs w:val="20"/>
              </w:rPr>
              <w:t>5</w:t>
            </w:r>
          </w:p>
        </w:tc>
        <w:tc>
          <w:tcPr>
            <w:tcW w:w="2126" w:type="dxa"/>
            <w:shd w:val="clear" w:color="000000" w:fill="FFFFFF"/>
            <w:vAlign w:val="center"/>
          </w:tcPr>
          <w:p w14:paraId="575FE781">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穗规划资源挂出告字〔2023〕89号</w:t>
            </w:r>
          </w:p>
        </w:tc>
        <w:tc>
          <w:tcPr>
            <w:tcW w:w="818" w:type="dxa"/>
            <w:shd w:val="clear" w:color="000000" w:fill="FFFFFF"/>
            <w:vAlign w:val="center"/>
          </w:tcPr>
          <w:p w14:paraId="154115BC">
            <w:pPr>
              <w:spacing w:line="240" w:lineRule="auto"/>
              <w:ind w:firstLine="0" w:firstLineChars="0"/>
              <w:jc w:val="center"/>
              <w:rPr>
                <w:rFonts w:hint="eastAsia" w:ascii="宋体" w:hAnsi="宋体" w:eastAsia="宋体"/>
                <w:color w:val="auto"/>
                <w:sz w:val="20"/>
                <w:szCs w:val="20"/>
              </w:rPr>
            </w:pPr>
            <w:r>
              <w:rPr>
                <w:rFonts w:hint="eastAsia" w:ascii="宋体" w:hAnsi="宋体" w:eastAsia="宋体"/>
                <w:color w:val="auto"/>
                <w:sz w:val="20"/>
                <w:szCs w:val="20"/>
              </w:rPr>
              <w:t>花都区</w:t>
            </w:r>
          </w:p>
        </w:tc>
        <w:tc>
          <w:tcPr>
            <w:tcW w:w="1134" w:type="dxa"/>
            <w:shd w:val="clear" w:color="000000" w:fill="FFFFFF"/>
            <w:vAlign w:val="center"/>
          </w:tcPr>
          <w:p w14:paraId="7CEB86EA">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23659.67</w:t>
            </w:r>
          </w:p>
        </w:tc>
        <w:tc>
          <w:tcPr>
            <w:tcW w:w="992" w:type="dxa"/>
            <w:shd w:val="clear" w:color="000000" w:fill="FFFFFF"/>
            <w:vAlign w:val="center"/>
          </w:tcPr>
          <w:p w14:paraId="72A3B2FE">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2.5</w:t>
            </w:r>
          </w:p>
        </w:tc>
        <w:tc>
          <w:tcPr>
            <w:tcW w:w="1276" w:type="dxa"/>
            <w:shd w:val="clear" w:color="000000" w:fill="FFFFFF"/>
            <w:vAlign w:val="center"/>
          </w:tcPr>
          <w:p w14:paraId="0D16C15F">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55053</w:t>
            </w:r>
          </w:p>
        </w:tc>
        <w:tc>
          <w:tcPr>
            <w:tcW w:w="1417" w:type="dxa"/>
            <w:shd w:val="clear" w:color="000000" w:fill="FFFFFF"/>
            <w:vAlign w:val="center"/>
          </w:tcPr>
          <w:p w14:paraId="3D05202B">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56,660.00</w:t>
            </w:r>
          </w:p>
        </w:tc>
        <w:tc>
          <w:tcPr>
            <w:tcW w:w="1701" w:type="dxa"/>
            <w:shd w:val="clear" w:color="000000" w:fill="FFFFFF"/>
            <w:vAlign w:val="center"/>
          </w:tcPr>
          <w:p w14:paraId="08AFF67A">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10,291.90</w:t>
            </w:r>
          </w:p>
        </w:tc>
        <w:tc>
          <w:tcPr>
            <w:tcW w:w="1418" w:type="dxa"/>
            <w:shd w:val="clear" w:color="000000" w:fill="FFFFFF"/>
            <w:vAlign w:val="center"/>
          </w:tcPr>
          <w:p w14:paraId="618F6C87">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2023/12/25</w:t>
            </w:r>
          </w:p>
        </w:tc>
        <w:tc>
          <w:tcPr>
            <w:tcW w:w="2301" w:type="dxa"/>
            <w:shd w:val="clear" w:color="000000" w:fill="FFFFFF"/>
            <w:vAlign w:val="center"/>
          </w:tcPr>
          <w:p w14:paraId="56435873">
            <w:pPr>
              <w:spacing w:line="240" w:lineRule="auto"/>
              <w:ind w:firstLine="0" w:firstLineChars="0"/>
              <w:jc w:val="center"/>
              <w:textAlignment w:val="center"/>
              <w:rPr>
                <w:rFonts w:hint="eastAsia" w:ascii="宋体" w:hAnsi="宋体" w:eastAsia="宋体" w:cs="Times New Roman"/>
                <w:color w:val="auto"/>
                <w:sz w:val="20"/>
                <w:szCs w:val="20"/>
                <w:lang w:bidi="ar"/>
              </w:rPr>
            </w:pPr>
            <w:r>
              <w:rPr>
                <w:rFonts w:hint="eastAsia" w:ascii="宋体" w:hAnsi="宋体" w:eastAsia="宋体" w:cs="Times New Roman"/>
                <w:color w:val="auto"/>
                <w:sz w:val="20"/>
                <w:szCs w:val="20"/>
                <w:lang w:bidi="ar"/>
              </w:rPr>
              <w:t>二类居住用地（R2）</w:t>
            </w:r>
          </w:p>
        </w:tc>
      </w:tr>
      <w:tr w14:paraId="2C100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13892" w:type="dxa"/>
            <w:gridSpan w:val="10"/>
            <w:shd w:val="clear" w:color="000000" w:fill="FFFFFF"/>
            <w:vAlign w:val="center"/>
          </w:tcPr>
          <w:p w14:paraId="07CBAF48">
            <w:pPr>
              <w:spacing w:line="240" w:lineRule="auto"/>
              <w:ind w:firstLine="0" w:firstLineChars="0"/>
              <w:jc w:val="center"/>
              <w:textAlignment w:val="center"/>
              <w:rPr>
                <w:rFonts w:hint="eastAsia" w:ascii="宋体" w:hAnsi="宋体" w:eastAsia="宋体"/>
                <w:color w:val="auto"/>
                <w:sz w:val="20"/>
                <w:szCs w:val="20"/>
                <w:lang w:bidi="ar"/>
              </w:rPr>
            </w:pPr>
            <w:r>
              <w:rPr>
                <w:rFonts w:hint="eastAsia" w:ascii="宋体" w:hAnsi="宋体" w:eastAsia="宋体"/>
                <w:color w:val="auto"/>
                <w:sz w:val="20"/>
                <w:szCs w:val="20"/>
                <w:lang w:bidi="ar"/>
              </w:rPr>
              <w:t>综合楼面地价</w:t>
            </w:r>
            <w:r>
              <w:rPr>
                <w:rFonts w:ascii="宋体" w:hAnsi="宋体" w:eastAsia="宋体"/>
                <w:color w:val="auto"/>
                <w:sz w:val="20"/>
                <w:szCs w:val="20"/>
                <w:lang w:bidi="ar"/>
              </w:rPr>
              <w:t>9470.57</w:t>
            </w:r>
            <w:r>
              <w:rPr>
                <w:rFonts w:hint="eastAsia" w:ascii="宋体" w:hAnsi="宋体" w:eastAsia="宋体"/>
                <w:color w:val="auto"/>
                <w:sz w:val="20"/>
                <w:szCs w:val="20"/>
                <w:lang w:bidi="ar"/>
              </w:rPr>
              <w:t>元/平方米</w:t>
            </w:r>
          </w:p>
        </w:tc>
      </w:tr>
    </w:tbl>
    <w:p w14:paraId="7D8EFD36">
      <w:pPr>
        <w:pStyle w:val="7"/>
        <w:spacing w:line="560" w:lineRule="exact"/>
        <w:ind w:firstLine="640"/>
        <w:jc w:val="both"/>
        <w:rPr>
          <w:rFonts w:hint="eastAsia" w:ascii="仿宋_GB2312" w:eastAsia="仿宋_GB2312"/>
          <w:color w:val="auto"/>
          <w:sz w:val="32"/>
          <w:szCs w:val="32"/>
        </w:rPr>
      </w:pPr>
      <w:r>
        <w:rPr>
          <w:rFonts w:hint="eastAsia" w:ascii="仿宋_GB2312" w:eastAsia="仿宋_GB2312"/>
          <w:color w:val="auto"/>
          <w:sz w:val="32"/>
          <w:szCs w:val="32"/>
        </w:rPr>
        <w:t>经测算，2021年-2023年项目周边商住用地平均综合楼面地价9470.57元/平方米，本项目2023年土地价格参考周边土地近三年平均价，按9470.57元/平方米计算。</w:t>
      </w:r>
    </w:p>
    <w:p w14:paraId="7195078F">
      <w:pPr>
        <w:pStyle w:val="7"/>
        <w:spacing w:line="560" w:lineRule="exact"/>
        <w:ind w:firstLine="640"/>
        <w:rPr>
          <w:rFonts w:hint="eastAsia" w:ascii="仿宋_GB2312" w:eastAsia="仿宋_GB2312"/>
          <w:color w:val="auto"/>
          <w:sz w:val="32"/>
          <w:szCs w:val="32"/>
          <w:lang w:val="en-US"/>
        </w:rPr>
      </w:pPr>
      <w:r>
        <w:rPr>
          <w:rFonts w:hint="eastAsia" w:ascii="仿宋_GB2312" w:eastAsia="仿宋_GB2312"/>
          <w:color w:val="auto"/>
          <w:sz w:val="32"/>
          <w:szCs w:val="32"/>
          <w:lang w:val="en-US"/>
        </w:rPr>
        <w:t>广州市2014-2023年全市生产总值(GDP)同比增速按可比价格计算分别为8.60%、8.4%、8.2%、7%、6.2%、6.8%、2.7%、8.1%、1%、4.6%，近十年平均增速6.16%，根据谨慎性原则此次预测按照5.5%计算土地价格的增长。</w:t>
      </w:r>
    </w:p>
    <w:p w14:paraId="7D4FFE65">
      <w:pPr>
        <w:pStyle w:val="8"/>
        <w:jc w:val="center"/>
        <w:rPr>
          <w:rFonts w:ascii="仿宋_GB2312" w:eastAsia="仿宋_GB2312"/>
          <w:color w:val="auto"/>
          <w:sz w:val="32"/>
          <w:szCs w:val="32"/>
        </w:rPr>
      </w:pPr>
      <w:r>
        <w:rPr>
          <w:rFonts w:hint="eastAsia" w:ascii="仿宋_GB2312" w:hAnsi="宋体" w:eastAsia="仿宋_GB2312"/>
          <w:color w:val="auto"/>
          <w:sz w:val="32"/>
          <w:szCs w:val="32"/>
        </w:rPr>
        <w:t>表</w:t>
      </w:r>
      <w:r>
        <w:rPr>
          <w:rFonts w:hint="eastAsia" w:ascii="仿宋_GB2312" w:hAnsi="宋体" w:eastAsia="仿宋_GB2312"/>
          <w:color w:val="auto"/>
          <w:sz w:val="32"/>
          <w:szCs w:val="32"/>
        </w:rPr>
        <w:fldChar w:fldCharType="begin"/>
      </w:r>
      <w:r>
        <w:rPr>
          <w:rFonts w:hint="eastAsia" w:ascii="仿宋_GB2312" w:hAnsi="宋体" w:eastAsia="仿宋_GB2312"/>
          <w:color w:val="auto"/>
          <w:sz w:val="32"/>
          <w:szCs w:val="32"/>
        </w:rPr>
        <w:instrText xml:space="preserve"> SEQ 表格 \* ARABIC </w:instrText>
      </w:r>
      <w:r>
        <w:rPr>
          <w:rFonts w:hint="eastAsia" w:ascii="仿宋_GB2312" w:hAnsi="宋体" w:eastAsia="仿宋_GB2312"/>
          <w:color w:val="auto"/>
          <w:sz w:val="32"/>
          <w:szCs w:val="32"/>
        </w:rPr>
        <w:fldChar w:fldCharType="separate"/>
      </w:r>
      <w:r>
        <w:rPr>
          <w:rFonts w:hint="eastAsia" w:ascii="仿宋_GB2312" w:hAnsi="宋体" w:eastAsia="仿宋_GB2312"/>
          <w:color w:val="auto"/>
          <w:sz w:val="32"/>
          <w:szCs w:val="32"/>
        </w:rPr>
        <w:t>8</w:t>
      </w:r>
      <w:r>
        <w:rPr>
          <w:rFonts w:hint="eastAsia" w:ascii="仿宋_GB2312" w:hAnsi="宋体" w:eastAsia="仿宋_GB2312"/>
          <w:color w:val="auto"/>
          <w:sz w:val="32"/>
          <w:szCs w:val="32"/>
        </w:rPr>
        <w:fldChar w:fldCharType="end"/>
      </w:r>
      <w:r>
        <w:rPr>
          <w:rFonts w:hint="eastAsia" w:ascii="仿宋_GB2312" w:hAnsi="宋体" w:eastAsia="仿宋_GB2312"/>
          <w:color w:val="auto"/>
          <w:sz w:val="32"/>
          <w:szCs w:val="32"/>
        </w:rPr>
        <w:t xml:space="preserve">   土地拟出让年度地价及收入预测情况</w:t>
      </w:r>
    </w:p>
    <w:tbl>
      <w:tblPr>
        <w:tblStyle w:val="1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59"/>
        <w:gridCol w:w="2410"/>
        <w:gridCol w:w="1559"/>
        <w:gridCol w:w="992"/>
        <w:gridCol w:w="2268"/>
        <w:gridCol w:w="1701"/>
        <w:gridCol w:w="1134"/>
        <w:gridCol w:w="1683"/>
        <w:gridCol w:w="1452"/>
      </w:tblGrid>
      <w:tr w14:paraId="78111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659" w:type="dxa"/>
            <w:vAlign w:val="center"/>
          </w:tcPr>
          <w:p w14:paraId="00DF55DE">
            <w:pPr>
              <w:spacing w:line="240" w:lineRule="auto"/>
              <w:ind w:firstLine="0" w:firstLineChars="0"/>
              <w:jc w:val="center"/>
              <w:rPr>
                <w:rStyle w:val="42"/>
                <w:rFonts w:ascii="Times New Roman" w:hAnsi="Times New Roman" w:eastAsia="宋体" w:cs="Times New Roman"/>
                <w:b w:val="0"/>
                <w:bCs w:val="0"/>
                <w:color w:val="auto"/>
                <w:sz w:val="18"/>
                <w:szCs w:val="18"/>
              </w:rPr>
            </w:pPr>
            <w:r>
              <w:rPr>
                <w:rFonts w:ascii="Times New Roman" w:hAnsi="Times New Roman" w:eastAsia="宋体" w:cs="Times New Roman"/>
                <w:b/>
                <w:bCs/>
                <w:color w:val="auto"/>
                <w:sz w:val="18"/>
                <w:szCs w:val="18"/>
              </w:rPr>
              <w:t>序号</w:t>
            </w:r>
          </w:p>
        </w:tc>
        <w:tc>
          <w:tcPr>
            <w:tcW w:w="2410" w:type="dxa"/>
            <w:vAlign w:val="center"/>
          </w:tcPr>
          <w:p w14:paraId="12EDCBCA">
            <w:pPr>
              <w:spacing w:line="240" w:lineRule="auto"/>
              <w:ind w:firstLine="0" w:firstLineChars="0"/>
              <w:jc w:val="center"/>
              <w:rPr>
                <w:rStyle w:val="42"/>
                <w:rFonts w:ascii="Times New Roman" w:hAnsi="Times New Roman" w:eastAsia="宋体" w:cs="Times New Roman"/>
                <w:b w:val="0"/>
                <w:bCs w:val="0"/>
                <w:color w:val="auto"/>
                <w:sz w:val="18"/>
                <w:szCs w:val="18"/>
              </w:rPr>
            </w:pPr>
            <w:r>
              <w:rPr>
                <w:rFonts w:ascii="Times New Roman" w:hAnsi="Times New Roman" w:eastAsia="宋体" w:cs="Times New Roman"/>
                <w:b/>
                <w:bCs/>
                <w:color w:val="auto"/>
                <w:sz w:val="18"/>
                <w:szCs w:val="18"/>
              </w:rPr>
              <w:t>地块名称</w:t>
            </w:r>
          </w:p>
        </w:tc>
        <w:tc>
          <w:tcPr>
            <w:tcW w:w="1559" w:type="dxa"/>
            <w:vAlign w:val="center"/>
          </w:tcPr>
          <w:p w14:paraId="47AFC951">
            <w:pPr>
              <w:pStyle w:val="2"/>
              <w:ind w:firstLine="0" w:firstLineChars="0"/>
              <w:jc w:val="center"/>
              <w:rPr>
                <w:rFonts w:hint="default" w:ascii="Times New Roman" w:hAnsi="Times New Roman" w:eastAsia="宋体"/>
                <w:b/>
                <w:bCs/>
                <w:color w:val="auto"/>
                <w:sz w:val="18"/>
                <w:szCs w:val="18"/>
              </w:rPr>
            </w:pPr>
            <w:r>
              <w:rPr>
                <w:rFonts w:ascii="Times New Roman" w:hAnsi="Times New Roman" w:eastAsia="宋体"/>
                <w:b/>
                <w:bCs/>
                <w:color w:val="auto"/>
                <w:sz w:val="18"/>
                <w:szCs w:val="18"/>
              </w:rPr>
              <w:t>土地储备面积</w:t>
            </w:r>
          </w:p>
          <w:p w14:paraId="3DCB11F6">
            <w:pPr>
              <w:pStyle w:val="2"/>
              <w:ind w:firstLine="0" w:firstLineChars="0"/>
              <w:jc w:val="center"/>
              <w:rPr>
                <w:rFonts w:hint="default" w:ascii="Times New Roman" w:hAnsi="Times New Roman" w:eastAsia="宋体"/>
                <w:b/>
                <w:bCs/>
                <w:color w:val="auto"/>
                <w:sz w:val="18"/>
                <w:szCs w:val="18"/>
              </w:rPr>
            </w:pPr>
            <w:r>
              <w:rPr>
                <w:rFonts w:ascii="Times New Roman" w:hAnsi="Times New Roman" w:eastAsia="宋体"/>
                <w:b/>
                <w:bCs/>
                <w:color w:val="auto"/>
                <w:sz w:val="18"/>
                <w:szCs w:val="18"/>
              </w:rPr>
              <w:t>(平方米）</w:t>
            </w:r>
          </w:p>
        </w:tc>
        <w:tc>
          <w:tcPr>
            <w:tcW w:w="992" w:type="dxa"/>
          </w:tcPr>
          <w:p w14:paraId="327CF152">
            <w:pPr>
              <w:spacing w:line="240" w:lineRule="auto"/>
              <w:ind w:firstLine="0" w:firstLineChars="0"/>
              <w:jc w:val="center"/>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建筑面积</w:t>
            </w:r>
          </w:p>
          <w:p w14:paraId="7E42A04A">
            <w:pPr>
              <w:spacing w:line="240" w:lineRule="auto"/>
              <w:ind w:firstLine="0" w:firstLineChars="0"/>
              <w:jc w:val="center"/>
              <w:rPr>
                <w:rFonts w:ascii="Times New Roman" w:hAnsi="Times New Roman" w:eastAsia="宋体" w:cs="Times New Roman"/>
                <w:b/>
                <w:bCs/>
                <w:color w:val="auto"/>
                <w:sz w:val="18"/>
                <w:szCs w:val="18"/>
              </w:rPr>
            </w:pPr>
            <w:r>
              <w:rPr>
                <w:rFonts w:ascii="Times New Roman" w:hAnsi="Times New Roman" w:eastAsia="宋体"/>
                <w:b/>
                <w:bCs/>
                <w:color w:val="auto"/>
                <w:sz w:val="18"/>
                <w:szCs w:val="18"/>
              </w:rPr>
              <w:t>（㎡）</w:t>
            </w:r>
          </w:p>
        </w:tc>
        <w:tc>
          <w:tcPr>
            <w:tcW w:w="2268" w:type="dxa"/>
            <w:vAlign w:val="center"/>
          </w:tcPr>
          <w:p w14:paraId="5D0C3E5A">
            <w:pPr>
              <w:spacing w:line="240" w:lineRule="auto"/>
              <w:ind w:firstLine="0" w:firstLineChars="0"/>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容积率</w:t>
            </w:r>
          </w:p>
        </w:tc>
        <w:tc>
          <w:tcPr>
            <w:tcW w:w="1701" w:type="dxa"/>
            <w:vAlign w:val="center"/>
          </w:tcPr>
          <w:p w14:paraId="39C0EC1F">
            <w:pPr>
              <w:spacing w:line="240" w:lineRule="auto"/>
              <w:ind w:firstLine="0" w:firstLineChars="0"/>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土地性质</w:t>
            </w:r>
          </w:p>
        </w:tc>
        <w:tc>
          <w:tcPr>
            <w:tcW w:w="1134" w:type="dxa"/>
            <w:vAlign w:val="center"/>
          </w:tcPr>
          <w:p w14:paraId="392F2A8B">
            <w:pPr>
              <w:pStyle w:val="2"/>
              <w:spacing w:line="240" w:lineRule="auto"/>
              <w:ind w:firstLine="0" w:firstLineChars="0"/>
              <w:jc w:val="center"/>
              <w:rPr>
                <w:rFonts w:hint="default" w:ascii="Times New Roman" w:hAnsi="Times New Roman" w:eastAsia="宋体"/>
                <w:b/>
                <w:bCs/>
                <w:color w:val="auto"/>
                <w:sz w:val="18"/>
                <w:szCs w:val="18"/>
              </w:rPr>
            </w:pPr>
            <w:r>
              <w:rPr>
                <w:rFonts w:ascii="Times New Roman" w:hAnsi="Times New Roman" w:eastAsia="宋体"/>
                <w:b/>
                <w:bCs/>
                <w:color w:val="auto"/>
                <w:sz w:val="18"/>
                <w:szCs w:val="18"/>
              </w:rPr>
              <w:t>出让年度</w:t>
            </w:r>
          </w:p>
        </w:tc>
        <w:tc>
          <w:tcPr>
            <w:tcW w:w="1683" w:type="dxa"/>
            <w:vAlign w:val="center"/>
          </w:tcPr>
          <w:p w14:paraId="617FE2B2">
            <w:pPr>
              <w:spacing w:line="240" w:lineRule="auto"/>
              <w:ind w:firstLine="0" w:firstLineChars="0"/>
              <w:jc w:val="center"/>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出让年度预测地价</w:t>
            </w:r>
          </w:p>
          <w:p w14:paraId="0228BC75">
            <w:pPr>
              <w:pStyle w:val="2"/>
              <w:ind w:firstLine="0" w:firstLineChars="0"/>
              <w:jc w:val="center"/>
              <w:rPr>
                <w:rFonts w:hint="default" w:ascii="Times New Roman" w:hAnsi="Times New Roman" w:eastAsia="宋体"/>
                <w:b/>
                <w:bCs/>
                <w:color w:val="auto"/>
                <w:sz w:val="18"/>
                <w:szCs w:val="18"/>
              </w:rPr>
            </w:pPr>
            <w:r>
              <w:rPr>
                <w:rFonts w:ascii="Times New Roman" w:hAnsi="Times New Roman" w:eastAsia="宋体"/>
                <w:b/>
                <w:bCs/>
                <w:color w:val="auto"/>
                <w:sz w:val="18"/>
                <w:szCs w:val="18"/>
              </w:rPr>
              <w:t>（</w:t>
            </w:r>
            <w:r>
              <w:rPr>
                <w:rFonts w:eastAsia="宋体"/>
                <w:b/>
                <w:bCs/>
                <w:color w:val="auto"/>
                <w:sz w:val="18"/>
                <w:szCs w:val="18"/>
              </w:rPr>
              <w:t>元/</w:t>
            </w:r>
            <w:r>
              <w:rPr>
                <w:rFonts w:ascii="Times New Roman" w:hAnsi="Times New Roman" w:eastAsia="宋体"/>
                <w:b/>
                <w:bCs/>
                <w:color w:val="auto"/>
                <w:sz w:val="18"/>
                <w:szCs w:val="18"/>
              </w:rPr>
              <w:t>㎡）</w:t>
            </w:r>
          </w:p>
        </w:tc>
        <w:tc>
          <w:tcPr>
            <w:tcW w:w="1452" w:type="dxa"/>
            <w:vAlign w:val="center"/>
          </w:tcPr>
          <w:p w14:paraId="6FD2764B">
            <w:pPr>
              <w:spacing w:line="240" w:lineRule="auto"/>
              <w:ind w:firstLine="0" w:firstLineChars="0"/>
              <w:jc w:val="center"/>
              <w:rPr>
                <w:rFonts w:ascii="Times New Roman" w:hAnsi="Times New Roman" w:eastAsia="宋体" w:cs="Times New Roman"/>
                <w:b/>
                <w:bCs/>
                <w:color w:val="auto"/>
                <w:sz w:val="18"/>
                <w:szCs w:val="18"/>
              </w:rPr>
            </w:pPr>
            <w:r>
              <w:rPr>
                <w:rFonts w:hint="eastAsia" w:ascii="Times New Roman" w:hAnsi="Times New Roman" w:eastAsia="宋体" w:cs="Times New Roman"/>
                <w:b/>
                <w:bCs/>
                <w:color w:val="auto"/>
                <w:sz w:val="18"/>
                <w:szCs w:val="18"/>
              </w:rPr>
              <w:t>土地出让收入</w:t>
            </w:r>
          </w:p>
        </w:tc>
      </w:tr>
      <w:tr w14:paraId="4F963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659" w:type="dxa"/>
            <w:vAlign w:val="center"/>
          </w:tcPr>
          <w:p w14:paraId="42E118D4">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w:t>
            </w:r>
          </w:p>
        </w:tc>
        <w:tc>
          <w:tcPr>
            <w:tcW w:w="2410" w:type="dxa"/>
            <w:vAlign w:val="center"/>
          </w:tcPr>
          <w:p w14:paraId="508263E4">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J09-YY01</w:t>
            </w:r>
          </w:p>
        </w:tc>
        <w:tc>
          <w:tcPr>
            <w:tcW w:w="1559" w:type="dxa"/>
            <w:vAlign w:val="center"/>
          </w:tcPr>
          <w:p w14:paraId="353F0ABB">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61775</w:t>
            </w:r>
          </w:p>
        </w:tc>
        <w:tc>
          <w:tcPr>
            <w:tcW w:w="992" w:type="dxa"/>
            <w:vAlign w:val="center"/>
          </w:tcPr>
          <w:p w14:paraId="4E8B66CC">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95911</w:t>
            </w:r>
          </w:p>
        </w:tc>
        <w:tc>
          <w:tcPr>
            <w:tcW w:w="2268" w:type="dxa"/>
            <w:vAlign w:val="center"/>
          </w:tcPr>
          <w:p w14:paraId="54F38928">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居住：2.0</w:t>
            </w:r>
          </w:p>
        </w:tc>
        <w:tc>
          <w:tcPr>
            <w:tcW w:w="1701" w:type="dxa"/>
            <w:vAlign w:val="center"/>
          </w:tcPr>
          <w:p w14:paraId="1DE1B6B3">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二类居住用地（R2）</w:t>
            </w:r>
          </w:p>
        </w:tc>
        <w:tc>
          <w:tcPr>
            <w:tcW w:w="1134" w:type="dxa"/>
            <w:vAlign w:val="center"/>
          </w:tcPr>
          <w:p w14:paraId="772AAB78">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2033年</w:t>
            </w:r>
          </w:p>
        </w:tc>
        <w:tc>
          <w:tcPr>
            <w:tcW w:w="1683" w:type="dxa"/>
            <w:vAlign w:val="center"/>
          </w:tcPr>
          <w:p w14:paraId="3B010E82">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16177.10</w:t>
            </w:r>
          </w:p>
        </w:tc>
        <w:tc>
          <w:tcPr>
            <w:tcW w:w="1452" w:type="dxa"/>
            <w:vAlign w:val="center"/>
          </w:tcPr>
          <w:p w14:paraId="32966B11">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155156.2</w:t>
            </w:r>
          </w:p>
        </w:tc>
      </w:tr>
    </w:tbl>
    <w:p w14:paraId="625A3C7F">
      <w:pPr>
        <w:pStyle w:val="7"/>
        <w:spacing w:line="360" w:lineRule="auto"/>
        <w:ind w:firstLine="640"/>
        <w:rPr>
          <w:rFonts w:hint="eastAsia" w:ascii="仿宋_GB2312" w:eastAsia="仿宋_GB2312"/>
          <w:color w:val="auto"/>
          <w:sz w:val="32"/>
          <w:szCs w:val="32"/>
        </w:rPr>
      </w:pPr>
      <w:r>
        <w:rPr>
          <w:rFonts w:hint="eastAsia" w:ascii="仿宋_GB2312" w:eastAsia="仿宋_GB2312"/>
          <w:bCs/>
          <w:color w:val="auto"/>
          <w:sz w:val="32"/>
          <w:szCs w:val="32"/>
        </w:rPr>
        <w:t>土地出让收入对应的成本包括：土地开发成本、农业土地开发资金（11.8元/平方米）、新增建设用地土地有偿使用费48元/平方米、政策性基金按政府收益（扣除土地开发成本和二项基本政策成本）的33%计提、市级分成按净收益的</w:t>
      </w:r>
      <w:r>
        <w:rPr>
          <w:rFonts w:ascii="仿宋_GB2312" w:eastAsia="仿宋_GB2312"/>
          <w:bCs/>
          <w:color w:val="auto"/>
          <w:sz w:val="32"/>
          <w:szCs w:val="32"/>
        </w:rPr>
        <w:t>27.75%</w:t>
      </w:r>
      <w:r>
        <w:rPr>
          <w:rFonts w:hint="eastAsia" w:ascii="仿宋_GB2312" w:eastAsia="仿宋_GB2312"/>
          <w:bCs/>
          <w:color w:val="auto"/>
          <w:sz w:val="32"/>
          <w:szCs w:val="32"/>
        </w:rPr>
        <w:t>。</w:t>
      </w:r>
    </w:p>
    <w:p w14:paraId="3ACFB7A4">
      <w:pPr>
        <w:adjustRightInd w:val="0"/>
        <w:snapToGrid w:val="0"/>
        <w:spacing w:before="190" w:beforeLines="50" w:after="156" w:line="240" w:lineRule="auto"/>
        <w:ind w:firstLine="0" w:firstLineChars="0"/>
        <w:jc w:val="center"/>
        <w:rPr>
          <w:rFonts w:ascii="仿宋_GB2312" w:eastAsia="仿宋_GB2312"/>
          <w:bCs/>
          <w:color w:val="auto"/>
          <w:sz w:val="32"/>
          <w:szCs w:val="32"/>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9</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土地出让净收入估算表</w:t>
      </w:r>
    </w:p>
    <w:tbl>
      <w:tblPr>
        <w:tblStyle w:val="19"/>
        <w:tblW w:w="4860" w:type="pct"/>
        <w:jc w:val="center"/>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Layout w:type="autofit"/>
        <w:tblCellMar>
          <w:top w:w="0" w:type="dxa"/>
          <w:left w:w="108" w:type="dxa"/>
          <w:bottom w:w="0" w:type="dxa"/>
          <w:right w:w="108" w:type="dxa"/>
        </w:tblCellMar>
      </w:tblPr>
      <w:tblGrid>
        <w:gridCol w:w="614"/>
        <w:gridCol w:w="1402"/>
        <w:gridCol w:w="1378"/>
        <w:gridCol w:w="1072"/>
        <w:gridCol w:w="1400"/>
        <w:gridCol w:w="975"/>
        <w:gridCol w:w="1562"/>
        <w:gridCol w:w="1130"/>
        <w:gridCol w:w="981"/>
        <w:gridCol w:w="1573"/>
        <w:gridCol w:w="1690"/>
      </w:tblGrid>
      <w:tr w14:paraId="011FF2BE">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19" w:hRule="atLeast"/>
          <w:tblHeader/>
          <w:jc w:val="center"/>
        </w:trPr>
        <w:tc>
          <w:tcPr>
            <w:tcW w:w="223" w:type="pct"/>
            <w:tcBorders>
              <w:top w:val="single" w:color="auto" w:sz="4" w:space="0"/>
              <w:bottom w:val="single" w:color="auto" w:sz="4" w:space="0"/>
              <w:right w:val="single" w:color="auto" w:sz="4" w:space="0"/>
            </w:tcBorders>
            <w:vAlign w:val="center"/>
          </w:tcPr>
          <w:p w14:paraId="4DC4F0CF">
            <w:pPr>
              <w:spacing w:line="240" w:lineRule="auto"/>
              <w:ind w:firstLine="0" w:firstLineChars="0"/>
              <w:jc w:val="center"/>
              <w:rPr>
                <w:rFonts w:hint="eastAsia" w:ascii="宋体" w:hAnsi="宋体" w:eastAsia="宋体" w:cs="Times New Roman"/>
                <w:b/>
                <w:color w:val="auto"/>
                <w:sz w:val="18"/>
                <w:szCs w:val="18"/>
              </w:rPr>
            </w:pPr>
            <w:r>
              <w:rPr>
                <w:rFonts w:ascii="宋体" w:hAnsi="宋体" w:eastAsia="宋体" w:cs="Times New Roman"/>
                <w:b/>
                <w:color w:val="auto"/>
                <w:sz w:val="18"/>
                <w:szCs w:val="18"/>
              </w:rPr>
              <w:t>序号</w:t>
            </w:r>
          </w:p>
        </w:tc>
        <w:tc>
          <w:tcPr>
            <w:tcW w:w="509" w:type="pct"/>
            <w:tcBorders>
              <w:top w:val="single" w:color="auto" w:sz="4" w:space="0"/>
              <w:left w:val="single" w:color="auto" w:sz="4" w:space="0"/>
              <w:bottom w:val="single" w:color="auto" w:sz="4" w:space="0"/>
              <w:right w:val="single" w:color="auto" w:sz="4" w:space="0"/>
            </w:tcBorders>
            <w:vAlign w:val="center"/>
          </w:tcPr>
          <w:p w14:paraId="17571410">
            <w:pPr>
              <w:spacing w:line="240" w:lineRule="auto"/>
              <w:ind w:firstLine="0" w:firstLineChars="0"/>
              <w:jc w:val="center"/>
              <w:rPr>
                <w:rFonts w:hint="eastAsia" w:ascii="宋体" w:hAnsi="宋体" w:eastAsia="宋体" w:cs="Times New Roman"/>
                <w:b/>
                <w:color w:val="auto"/>
                <w:sz w:val="18"/>
                <w:szCs w:val="18"/>
              </w:rPr>
            </w:pPr>
            <w:r>
              <w:rPr>
                <w:rFonts w:hint="eastAsia" w:ascii="宋体" w:hAnsi="宋体" w:eastAsia="宋体"/>
                <w:b/>
                <w:bCs/>
                <w:color w:val="auto"/>
                <w:sz w:val="18"/>
                <w:szCs w:val="18"/>
              </w:rPr>
              <w:t>地块名称</w:t>
            </w:r>
          </w:p>
        </w:tc>
        <w:tc>
          <w:tcPr>
            <w:tcW w:w="500" w:type="pct"/>
            <w:tcBorders>
              <w:top w:val="single" w:color="auto" w:sz="4" w:space="0"/>
              <w:left w:val="single" w:color="auto" w:sz="4" w:space="0"/>
              <w:bottom w:val="single" w:color="auto" w:sz="4" w:space="0"/>
              <w:right w:val="single" w:color="auto" w:sz="4" w:space="0"/>
            </w:tcBorders>
            <w:vAlign w:val="center"/>
          </w:tcPr>
          <w:p w14:paraId="02A95BA5">
            <w:pPr>
              <w:pStyle w:val="2"/>
              <w:spacing w:line="240" w:lineRule="auto"/>
              <w:ind w:firstLine="0" w:firstLineChars="0"/>
              <w:jc w:val="center"/>
              <w:rPr>
                <w:rFonts w:ascii="宋体" w:hAnsi="宋体" w:eastAsia="宋体"/>
                <w:b/>
                <w:bCs/>
                <w:color w:val="auto"/>
                <w:sz w:val="18"/>
                <w:szCs w:val="18"/>
              </w:rPr>
            </w:pPr>
            <w:r>
              <w:rPr>
                <w:rFonts w:ascii="宋体" w:hAnsi="宋体" w:eastAsia="宋体"/>
                <w:b/>
                <w:bCs/>
                <w:color w:val="auto"/>
                <w:sz w:val="18"/>
                <w:szCs w:val="18"/>
              </w:rPr>
              <w:t>土地储备面积</w:t>
            </w:r>
          </w:p>
          <w:p w14:paraId="362D7467">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(平方米）</w:t>
            </w:r>
          </w:p>
        </w:tc>
        <w:tc>
          <w:tcPr>
            <w:tcW w:w="389" w:type="pct"/>
            <w:tcBorders>
              <w:top w:val="single" w:color="auto" w:sz="4" w:space="0"/>
              <w:left w:val="single" w:color="auto" w:sz="4" w:space="0"/>
              <w:bottom w:val="single" w:color="auto" w:sz="4" w:space="0"/>
              <w:right w:val="single" w:color="auto" w:sz="4" w:space="0"/>
            </w:tcBorders>
            <w:vAlign w:val="center"/>
          </w:tcPr>
          <w:p w14:paraId="08D75463">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土地出让收入</w:t>
            </w:r>
          </w:p>
        </w:tc>
        <w:tc>
          <w:tcPr>
            <w:tcW w:w="508" w:type="pct"/>
            <w:tcBorders>
              <w:top w:val="single" w:color="auto" w:sz="4" w:space="0"/>
              <w:left w:val="single" w:color="auto" w:sz="4" w:space="0"/>
              <w:bottom w:val="single" w:color="auto" w:sz="4" w:space="0"/>
              <w:right w:val="single" w:color="auto" w:sz="4" w:space="0"/>
            </w:tcBorders>
            <w:vAlign w:val="center"/>
          </w:tcPr>
          <w:p w14:paraId="47CD1096">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土地开发成本</w:t>
            </w:r>
          </w:p>
        </w:tc>
        <w:tc>
          <w:tcPr>
            <w:tcW w:w="354" w:type="pct"/>
            <w:tcBorders>
              <w:top w:val="single" w:color="auto" w:sz="4" w:space="0"/>
              <w:left w:val="single" w:color="auto" w:sz="4" w:space="0"/>
              <w:bottom w:val="single" w:color="auto" w:sz="4" w:space="0"/>
              <w:right w:val="single" w:color="auto" w:sz="4" w:space="0"/>
            </w:tcBorders>
            <w:vAlign w:val="center"/>
          </w:tcPr>
          <w:p w14:paraId="2102344B">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农业土地开发资金</w:t>
            </w:r>
          </w:p>
        </w:tc>
        <w:tc>
          <w:tcPr>
            <w:tcW w:w="567" w:type="pct"/>
            <w:tcBorders>
              <w:top w:val="single" w:color="auto" w:sz="4" w:space="0"/>
              <w:left w:val="single" w:color="auto" w:sz="4" w:space="0"/>
              <w:bottom w:val="single" w:color="auto" w:sz="4" w:space="0"/>
              <w:right w:val="single" w:color="auto" w:sz="4" w:space="0"/>
            </w:tcBorders>
            <w:vAlign w:val="center"/>
          </w:tcPr>
          <w:p w14:paraId="6C9CE700">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新增建设用地土地有偿使用费</w:t>
            </w:r>
          </w:p>
        </w:tc>
        <w:tc>
          <w:tcPr>
            <w:tcW w:w="410" w:type="pct"/>
            <w:tcBorders>
              <w:top w:val="single" w:color="auto" w:sz="4" w:space="0"/>
              <w:left w:val="single" w:color="auto" w:sz="4" w:space="0"/>
              <w:bottom w:val="single" w:color="auto" w:sz="4" w:space="0"/>
              <w:right w:val="single" w:color="auto" w:sz="4" w:space="0"/>
            </w:tcBorders>
            <w:vAlign w:val="center"/>
          </w:tcPr>
          <w:p w14:paraId="5A56EF52">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政策性基金</w:t>
            </w:r>
          </w:p>
        </w:tc>
        <w:tc>
          <w:tcPr>
            <w:tcW w:w="356" w:type="pct"/>
            <w:tcBorders>
              <w:top w:val="single" w:color="auto" w:sz="4" w:space="0"/>
              <w:left w:val="single" w:color="auto" w:sz="4" w:space="0"/>
              <w:bottom w:val="single" w:color="auto" w:sz="4" w:space="0"/>
              <w:right w:val="single" w:color="auto" w:sz="4" w:space="0"/>
            </w:tcBorders>
            <w:vAlign w:val="center"/>
          </w:tcPr>
          <w:p w14:paraId="54281499">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市级分成</w:t>
            </w:r>
          </w:p>
        </w:tc>
        <w:tc>
          <w:tcPr>
            <w:tcW w:w="571" w:type="pct"/>
            <w:tcBorders>
              <w:top w:val="single" w:color="auto" w:sz="4" w:space="0"/>
              <w:left w:val="single" w:color="auto" w:sz="4" w:space="0"/>
              <w:bottom w:val="single" w:color="auto" w:sz="4" w:space="0"/>
              <w:right w:val="single" w:color="auto" w:sz="4" w:space="0"/>
            </w:tcBorders>
            <w:vAlign w:val="center"/>
          </w:tcPr>
          <w:p w14:paraId="20AB1C6F">
            <w:pPr>
              <w:pStyle w:val="2"/>
              <w:spacing w:line="240" w:lineRule="auto"/>
              <w:ind w:firstLine="0" w:firstLineChars="0"/>
              <w:jc w:val="center"/>
              <w:rPr>
                <w:rFonts w:ascii="宋体" w:hAnsi="宋体" w:eastAsia="宋体"/>
                <w:b/>
                <w:bCs/>
                <w:color w:val="auto"/>
                <w:sz w:val="18"/>
                <w:szCs w:val="18"/>
              </w:rPr>
            </w:pPr>
            <w:r>
              <w:rPr>
                <w:rFonts w:ascii="宋体" w:hAnsi="宋体" w:eastAsia="宋体"/>
                <w:b/>
                <w:bCs/>
                <w:color w:val="auto"/>
                <w:sz w:val="18"/>
                <w:szCs w:val="18"/>
              </w:rPr>
              <w:t>土地出让收入对应的成本</w:t>
            </w:r>
          </w:p>
          <w:p w14:paraId="5F6E828C">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（含市级分成）</w:t>
            </w:r>
          </w:p>
        </w:tc>
        <w:tc>
          <w:tcPr>
            <w:tcW w:w="613" w:type="pct"/>
            <w:tcBorders>
              <w:top w:val="single" w:color="auto" w:sz="4" w:space="0"/>
              <w:left w:val="single" w:color="auto" w:sz="4" w:space="0"/>
              <w:bottom w:val="single" w:color="auto" w:sz="4" w:space="0"/>
              <w:right w:val="single" w:color="auto" w:sz="4" w:space="0"/>
            </w:tcBorders>
            <w:vAlign w:val="center"/>
          </w:tcPr>
          <w:p w14:paraId="2D9325DA">
            <w:pPr>
              <w:pStyle w:val="2"/>
              <w:spacing w:line="240" w:lineRule="auto"/>
              <w:ind w:firstLine="0" w:firstLineChars="0"/>
              <w:jc w:val="center"/>
              <w:rPr>
                <w:rFonts w:ascii="宋体" w:hAnsi="宋体" w:eastAsia="宋体"/>
                <w:color w:val="auto"/>
                <w:sz w:val="18"/>
                <w:szCs w:val="18"/>
              </w:rPr>
            </w:pPr>
            <w:r>
              <w:rPr>
                <w:rFonts w:ascii="宋体" w:hAnsi="宋体" w:eastAsia="宋体"/>
                <w:b/>
                <w:bCs/>
                <w:color w:val="auto"/>
                <w:sz w:val="18"/>
                <w:szCs w:val="18"/>
              </w:rPr>
              <w:t>用于资金平衡的区级分成土地收益</w:t>
            </w:r>
          </w:p>
        </w:tc>
      </w:tr>
      <w:tr w14:paraId="0AAE2E47">
        <w:tblPrEx>
          <w:tblBorders>
            <w:top w:val="single" w:color="auto" w:sz="4" w:space="0"/>
            <w:left w:val="single" w:color="auto" w:sz="4" w:space="0"/>
            <w:bottom w:val="single" w:color="auto" w:sz="4" w:space="0"/>
            <w:right w:val="single" w:color="auto" w:sz="4" w:space="0"/>
            <w:insideH w:val="dotted" w:color="auto" w:sz="4" w:space="0"/>
            <w:insideV w:val="dotted" w:color="auto" w:sz="4" w:space="0"/>
          </w:tblBorders>
          <w:tblCellMar>
            <w:top w:w="0" w:type="dxa"/>
            <w:left w:w="108" w:type="dxa"/>
            <w:bottom w:w="0" w:type="dxa"/>
            <w:right w:w="108" w:type="dxa"/>
          </w:tblCellMar>
        </w:tblPrEx>
        <w:trPr>
          <w:trHeight w:val="397" w:hRule="atLeast"/>
          <w:jc w:val="center"/>
        </w:trPr>
        <w:tc>
          <w:tcPr>
            <w:tcW w:w="223" w:type="pct"/>
            <w:tcBorders>
              <w:top w:val="single" w:color="auto" w:sz="4" w:space="0"/>
              <w:bottom w:val="single" w:color="auto" w:sz="4" w:space="0"/>
              <w:right w:val="single" w:color="auto" w:sz="4" w:space="0"/>
            </w:tcBorders>
            <w:vAlign w:val="center"/>
          </w:tcPr>
          <w:p w14:paraId="41B00EA2">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w:t>
            </w:r>
          </w:p>
        </w:tc>
        <w:tc>
          <w:tcPr>
            <w:tcW w:w="509" w:type="pct"/>
            <w:tcBorders>
              <w:top w:val="single" w:color="auto" w:sz="4" w:space="0"/>
              <w:left w:val="single" w:color="auto" w:sz="4" w:space="0"/>
              <w:bottom w:val="single" w:color="auto" w:sz="4" w:space="0"/>
              <w:right w:val="single" w:color="auto" w:sz="4" w:space="0"/>
            </w:tcBorders>
            <w:vAlign w:val="center"/>
          </w:tcPr>
          <w:p w14:paraId="1A2E2BC1">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J09-YY01</w:t>
            </w:r>
          </w:p>
        </w:tc>
        <w:tc>
          <w:tcPr>
            <w:tcW w:w="500" w:type="pct"/>
            <w:tcBorders>
              <w:top w:val="single" w:color="auto" w:sz="4" w:space="0"/>
              <w:left w:val="single" w:color="auto" w:sz="4" w:space="0"/>
              <w:bottom w:val="single" w:color="auto" w:sz="4" w:space="0"/>
              <w:right w:val="single" w:color="auto" w:sz="4" w:space="0"/>
            </w:tcBorders>
            <w:vAlign w:val="center"/>
          </w:tcPr>
          <w:p w14:paraId="78515451">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61775</w:t>
            </w:r>
          </w:p>
        </w:tc>
        <w:tc>
          <w:tcPr>
            <w:tcW w:w="389" w:type="pct"/>
            <w:tcBorders>
              <w:top w:val="single" w:color="auto" w:sz="4" w:space="0"/>
              <w:left w:val="single" w:color="auto" w:sz="4" w:space="0"/>
              <w:bottom w:val="single" w:color="auto" w:sz="4" w:space="0"/>
              <w:right w:val="single" w:color="auto" w:sz="4" w:space="0"/>
            </w:tcBorders>
            <w:vAlign w:val="center"/>
          </w:tcPr>
          <w:p w14:paraId="631C930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155156.20</w:t>
            </w:r>
          </w:p>
        </w:tc>
        <w:tc>
          <w:tcPr>
            <w:tcW w:w="508" w:type="pct"/>
            <w:tcBorders>
              <w:top w:val="single" w:color="auto" w:sz="4" w:space="0"/>
              <w:left w:val="single" w:color="auto" w:sz="4" w:space="0"/>
              <w:bottom w:val="single" w:color="auto" w:sz="4" w:space="0"/>
              <w:right w:val="single" w:color="auto" w:sz="4" w:space="0"/>
            </w:tcBorders>
            <w:vAlign w:val="center"/>
          </w:tcPr>
          <w:p w14:paraId="5A4120B9">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4633.00</w:t>
            </w:r>
          </w:p>
        </w:tc>
        <w:tc>
          <w:tcPr>
            <w:tcW w:w="354" w:type="pct"/>
            <w:tcBorders>
              <w:top w:val="single" w:color="auto" w:sz="4" w:space="0"/>
              <w:left w:val="single" w:color="auto" w:sz="4" w:space="0"/>
              <w:bottom w:val="single" w:color="auto" w:sz="4" w:space="0"/>
              <w:right w:val="single" w:color="auto" w:sz="4" w:space="0"/>
            </w:tcBorders>
            <w:vAlign w:val="center"/>
          </w:tcPr>
          <w:p w14:paraId="0F91475B">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72.89</w:t>
            </w:r>
          </w:p>
        </w:tc>
        <w:tc>
          <w:tcPr>
            <w:tcW w:w="567" w:type="pct"/>
            <w:tcBorders>
              <w:top w:val="single" w:color="auto" w:sz="4" w:space="0"/>
              <w:left w:val="single" w:color="auto" w:sz="4" w:space="0"/>
              <w:bottom w:val="single" w:color="auto" w:sz="4" w:space="0"/>
              <w:right w:val="single" w:color="auto" w:sz="4" w:space="0"/>
            </w:tcBorders>
            <w:vAlign w:val="center"/>
          </w:tcPr>
          <w:p w14:paraId="536B21F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296.52</w:t>
            </w:r>
          </w:p>
        </w:tc>
        <w:tc>
          <w:tcPr>
            <w:tcW w:w="410" w:type="pct"/>
            <w:tcBorders>
              <w:top w:val="single" w:color="auto" w:sz="4" w:space="0"/>
              <w:left w:val="single" w:color="auto" w:sz="4" w:space="0"/>
              <w:bottom w:val="single" w:color="auto" w:sz="4" w:space="0"/>
              <w:right w:val="single" w:color="auto" w:sz="4" w:space="0"/>
            </w:tcBorders>
            <w:vAlign w:val="center"/>
          </w:tcPr>
          <w:p w14:paraId="500395AA">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49550.75</w:t>
            </w:r>
          </w:p>
        </w:tc>
        <w:tc>
          <w:tcPr>
            <w:tcW w:w="356" w:type="pct"/>
            <w:tcBorders>
              <w:top w:val="single" w:color="auto" w:sz="4" w:space="0"/>
              <w:left w:val="single" w:color="auto" w:sz="4" w:space="0"/>
              <w:bottom w:val="single" w:color="auto" w:sz="4" w:space="0"/>
              <w:right w:val="single" w:color="auto" w:sz="4" w:space="0"/>
            </w:tcBorders>
            <w:vAlign w:val="center"/>
          </w:tcPr>
          <w:p w14:paraId="349181C9">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27917.34</w:t>
            </w:r>
          </w:p>
        </w:tc>
        <w:tc>
          <w:tcPr>
            <w:tcW w:w="571" w:type="pct"/>
            <w:tcBorders>
              <w:top w:val="single" w:color="auto" w:sz="4" w:space="0"/>
              <w:left w:val="single" w:color="auto" w:sz="4" w:space="0"/>
              <w:bottom w:val="single" w:color="auto" w:sz="4" w:space="0"/>
              <w:right w:val="single" w:color="auto" w:sz="4" w:space="0"/>
            </w:tcBorders>
            <w:vAlign w:val="center"/>
          </w:tcPr>
          <w:p w14:paraId="4D2CCC7E">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82470.5</w:t>
            </w:r>
            <w:r>
              <w:rPr>
                <w:rFonts w:hint="eastAsia" w:ascii="Times New Roman" w:hAnsi="Times New Roman" w:eastAsia="宋体" w:cs="Times New Roman"/>
                <w:color w:val="auto"/>
                <w:sz w:val="18"/>
                <w:szCs w:val="18"/>
              </w:rPr>
              <w:t>0</w:t>
            </w:r>
          </w:p>
        </w:tc>
        <w:tc>
          <w:tcPr>
            <w:tcW w:w="613" w:type="pct"/>
            <w:tcBorders>
              <w:top w:val="single" w:color="auto" w:sz="4" w:space="0"/>
              <w:left w:val="single" w:color="auto" w:sz="4" w:space="0"/>
              <w:bottom w:val="single" w:color="auto" w:sz="4" w:space="0"/>
              <w:right w:val="single" w:color="auto" w:sz="4" w:space="0"/>
            </w:tcBorders>
            <w:vAlign w:val="center"/>
          </w:tcPr>
          <w:p w14:paraId="4AADDAC2">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72685.7</w:t>
            </w:r>
            <w:r>
              <w:rPr>
                <w:rFonts w:hint="eastAsia" w:ascii="Times New Roman" w:hAnsi="Times New Roman" w:eastAsia="宋体" w:cs="Times New Roman"/>
                <w:color w:val="auto"/>
                <w:sz w:val="18"/>
                <w:szCs w:val="18"/>
              </w:rPr>
              <w:t>0</w:t>
            </w:r>
          </w:p>
        </w:tc>
      </w:tr>
    </w:tbl>
    <w:p w14:paraId="5D9E6DE9">
      <w:pPr>
        <w:pStyle w:val="7"/>
        <w:spacing w:line="560" w:lineRule="exact"/>
        <w:ind w:firstLine="640"/>
        <w:rPr>
          <w:rFonts w:hint="eastAsia"/>
          <w:color w:val="auto"/>
        </w:rPr>
      </w:pPr>
      <w:r>
        <w:rPr>
          <w:rFonts w:hint="eastAsia" w:ascii="仿宋_GB2312" w:eastAsia="仿宋_GB2312"/>
          <w:color w:val="auto"/>
          <w:sz w:val="32"/>
          <w:szCs w:val="32"/>
        </w:rPr>
        <w:t>经测算，本项目配套土地净收入预计为</w:t>
      </w:r>
      <w:r>
        <w:rPr>
          <w:rFonts w:ascii="仿宋_GB2312" w:eastAsia="仿宋_GB2312"/>
          <w:color w:val="auto"/>
          <w:sz w:val="32"/>
          <w:szCs w:val="32"/>
        </w:rPr>
        <w:t>72685.70</w:t>
      </w:r>
      <w:r>
        <w:rPr>
          <w:rFonts w:hint="eastAsia" w:ascii="仿宋_GB2312" w:eastAsia="仿宋_GB2312"/>
          <w:color w:val="auto"/>
          <w:sz w:val="32"/>
          <w:szCs w:val="32"/>
        </w:rPr>
        <w:t>万元。</w:t>
      </w:r>
    </w:p>
    <w:p w14:paraId="21EB74A3">
      <w:pPr>
        <w:pStyle w:val="7"/>
        <w:spacing w:after="0" w:line="560" w:lineRule="exact"/>
        <w:ind w:firstLine="640"/>
        <w:rPr>
          <w:rFonts w:hint="eastAsia" w:ascii="仿宋_GB2312" w:eastAsia="仿宋_GB2312"/>
          <w:color w:val="auto"/>
          <w:sz w:val="32"/>
          <w:szCs w:val="32"/>
        </w:rPr>
      </w:pPr>
      <w:r>
        <w:rPr>
          <w:rFonts w:hint="eastAsia" w:ascii="仿宋_GB2312" w:eastAsia="仿宋_GB2312"/>
          <w:color w:val="auto"/>
          <w:sz w:val="32"/>
          <w:szCs w:val="32"/>
        </w:rPr>
        <w:t>（</w:t>
      </w:r>
      <w:r>
        <w:rPr>
          <w:rFonts w:ascii="仿宋_GB2312" w:eastAsia="仿宋_GB2312"/>
          <w:color w:val="auto"/>
          <w:sz w:val="32"/>
          <w:szCs w:val="32"/>
        </w:rPr>
        <w:t>3</w:t>
      </w:r>
      <w:r>
        <w:rPr>
          <w:rFonts w:hint="eastAsia" w:ascii="仿宋_GB2312" w:eastAsia="仿宋_GB2312"/>
          <w:color w:val="auto"/>
          <w:sz w:val="32"/>
          <w:szCs w:val="32"/>
        </w:rPr>
        <w:t>）项目收入预测</w:t>
      </w:r>
    </w:p>
    <w:p w14:paraId="60E667C1">
      <w:pPr>
        <w:pStyle w:val="7"/>
        <w:spacing w:after="0" w:line="560" w:lineRule="exact"/>
        <w:ind w:firstLine="640"/>
        <w:rPr>
          <w:rFonts w:hint="eastAsia" w:cs="仿宋_GB2312"/>
          <w:color w:val="auto"/>
          <w:sz w:val="32"/>
          <w:szCs w:val="32"/>
        </w:rPr>
      </w:pPr>
      <w:r>
        <w:rPr>
          <w:rFonts w:hint="eastAsia" w:ascii="仿宋_GB2312" w:eastAsia="仿宋_GB2312"/>
          <w:bCs/>
          <w:color w:val="auto"/>
          <w:sz w:val="32"/>
          <w:szCs w:val="32"/>
        </w:rPr>
        <w:t>本项目预计收入合计</w:t>
      </w:r>
      <w:r>
        <w:rPr>
          <w:rFonts w:ascii="仿宋_GB2312" w:hAnsi="Calibri" w:eastAsia="仿宋_GB2312"/>
          <w:color w:val="auto"/>
          <w:sz w:val="32"/>
          <w:szCs w:val="32"/>
          <w:lang w:val="en-US"/>
        </w:rPr>
        <w:t>148148.22</w:t>
      </w:r>
      <w:r>
        <w:rPr>
          <w:rFonts w:hint="eastAsia" w:ascii="仿宋_GB2312" w:eastAsia="仿宋_GB2312"/>
          <w:bCs/>
          <w:color w:val="auto"/>
          <w:sz w:val="32"/>
          <w:szCs w:val="32"/>
        </w:rPr>
        <w:t>万元。</w:t>
      </w:r>
    </w:p>
    <w:p w14:paraId="02274F74">
      <w:pPr>
        <w:ind w:firstLine="560"/>
        <w:rPr>
          <w:rFonts w:hint="eastAsia" w:ascii="仿宋_GB2312" w:hAnsi="仿宋_GB2312" w:eastAsia="仿宋_GB2312" w:cs="仿宋_GB2312"/>
          <w:color w:val="auto"/>
          <w:szCs w:val="28"/>
        </w:rPr>
      </w:pPr>
    </w:p>
    <w:p w14:paraId="364DA1AC">
      <w:pPr>
        <w:ind w:firstLine="560"/>
        <w:rPr>
          <w:rFonts w:hint="eastAsia" w:ascii="仿宋_GB2312" w:hAnsi="仿宋_GB2312" w:eastAsia="仿宋_GB2312" w:cs="仿宋_GB2312"/>
          <w:color w:val="auto"/>
          <w:szCs w:val="28"/>
        </w:rPr>
        <w:sectPr>
          <w:pgSz w:w="16838" w:h="11906" w:orient="landscape"/>
          <w:pgMar w:top="1800" w:right="1440" w:bottom="1800" w:left="1440" w:header="851" w:footer="992" w:gutter="0"/>
          <w:cols w:space="425" w:num="1"/>
          <w:docGrid w:type="lines" w:linePitch="381" w:charSpace="0"/>
        </w:sectPr>
      </w:pPr>
    </w:p>
    <w:p w14:paraId="11BC79F5">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10</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项目营业收入估算表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1"/>
        <w:gridCol w:w="4614"/>
        <w:gridCol w:w="1460"/>
        <w:gridCol w:w="1326"/>
        <w:gridCol w:w="1326"/>
        <w:gridCol w:w="1326"/>
        <w:gridCol w:w="1327"/>
        <w:gridCol w:w="1327"/>
        <w:gridCol w:w="1327"/>
      </w:tblGrid>
      <w:tr w14:paraId="70928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89" w:type="pct"/>
            <w:vAlign w:val="center"/>
          </w:tcPr>
          <w:p w14:paraId="0AB365AF">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序号</w:t>
            </w:r>
          </w:p>
        </w:tc>
        <w:tc>
          <w:tcPr>
            <w:tcW w:w="1548" w:type="pct"/>
            <w:vAlign w:val="center"/>
          </w:tcPr>
          <w:p w14:paraId="1F509ECD">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项目</w:t>
            </w:r>
          </w:p>
        </w:tc>
        <w:tc>
          <w:tcPr>
            <w:tcW w:w="490" w:type="pct"/>
            <w:vAlign w:val="center"/>
          </w:tcPr>
          <w:p w14:paraId="72E8E919">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合计</w:t>
            </w:r>
          </w:p>
        </w:tc>
        <w:tc>
          <w:tcPr>
            <w:tcW w:w="445" w:type="pct"/>
            <w:vAlign w:val="center"/>
          </w:tcPr>
          <w:p w14:paraId="6C4360FC">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2027年</w:t>
            </w:r>
          </w:p>
        </w:tc>
        <w:tc>
          <w:tcPr>
            <w:tcW w:w="445" w:type="pct"/>
            <w:vAlign w:val="center"/>
          </w:tcPr>
          <w:p w14:paraId="6FEC9BF4">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2028年</w:t>
            </w:r>
          </w:p>
        </w:tc>
        <w:tc>
          <w:tcPr>
            <w:tcW w:w="445" w:type="pct"/>
            <w:vAlign w:val="center"/>
          </w:tcPr>
          <w:p w14:paraId="6327DBF2">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2029年</w:t>
            </w:r>
          </w:p>
        </w:tc>
        <w:tc>
          <w:tcPr>
            <w:tcW w:w="445" w:type="pct"/>
            <w:vAlign w:val="center"/>
          </w:tcPr>
          <w:p w14:paraId="0B2DB9F2">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2030年</w:t>
            </w:r>
          </w:p>
        </w:tc>
        <w:tc>
          <w:tcPr>
            <w:tcW w:w="445" w:type="pct"/>
            <w:vAlign w:val="center"/>
          </w:tcPr>
          <w:p w14:paraId="74432305">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2031年</w:t>
            </w:r>
          </w:p>
        </w:tc>
        <w:tc>
          <w:tcPr>
            <w:tcW w:w="445" w:type="pct"/>
            <w:vAlign w:val="center"/>
          </w:tcPr>
          <w:p w14:paraId="4EA37A2A">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2032年</w:t>
            </w:r>
          </w:p>
        </w:tc>
      </w:tr>
      <w:tr w14:paraId="6DD39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4056F01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w:t>
            </w:r>
          </w:p>
        </w:tc>
        <w:tc>
          <w:tcPr>
            <w:tcW w:w="1548" w:type="pct"/>
            <w:vAlign w:val="center"/>
          </w:tcPr>
          <w:p w14:paraId="6245091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总收入(万元）</w:t>
            </w:r>
          </w:p>
        </w:tc>
        <w:tc>
          <w:tcPr>
            <w:tcW w:w="490" w:type="pct"/>
            <w:vAlign w:val="center"/>
          </w:tcPr>
          <w:p w14:paraId="0D7B227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148148.22</w:t>
            </w:r>
          </w:p>
        </w:tc>
        <w:tc>
          <w:tcPr>
            <w:tcW w:w="445" w:type="pct"/>
            <w:vAlign w:val="center"/>
          </w:tcPr>
          <w:p w14:paraId="47E6A21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3671.89</w:t>
            </w:r>
          </w:p>
        </w:tc>
        <w:tc>
          <w:tcPr>
            <w:tcW w:w="445" w:type="pct"/>
            <w:vAlign w:val="center"/>
          </w:tcPr>
          <w:p w14:paraId="75E4812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4252.68</w:t>
            </w:r>
          </w:p>
        </w:tc>
        <w:tc>
          <w:tcPr>
            <w:tcW w:w="445" w:type="pct"/>
            <w:vAlign w:val="center"/>
          </w:tcPr>
          <w:p w14:paraId="5A3A9AB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4833.47</w:t>
            </w:r>
          </w:p>
        </w:tc>
        <w:tc>
          <w:tcPr>
            <w:tcW w:w="445" w:type="pct"/>
            <w:vAlign w:val="center"/>
          </w:tcPr>
          <w:p w14:paraId="154F371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5831.76</w:t>
            </w:r>
          </w:p>
        </w:tc>
        <w:tc>
          <w:tcPr>
            <w:tcW w:w="445" w:type="pct"/>
            <w:vAlign w:val="center"/>
          </w:tcPr>
          <w:p w14:paraId="1B00BBC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5831.76</w:t>
            </w:r>
          </w:p>
        </w:tc>
        <w:tc>
          <w:tcPr>
            <w:tcW w:w="445" w:type="pct"/>
            <w:vAlign w:val="center"/>
          </w:tcPr>
          <w:p w14:paraId="062FAB8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5831.76</w:t>
            </w:r>
          </w:p>
        </w:tc>
      </w:tr>
      <w:tr w14:paraId="63C28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945A63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w:t>
            </w:r>
          </w:p>
        </w:tc>
        <w:tc>
          <w:tcPr>
            <w:tcW w:w="1548" w:type="pct"/>
            <w:vAlign w:val="center"/>
          </w:tcPr>
          <w:p w14:paraId="3006EAE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租金收入（万元）</w:t>
            </w:r>
          </w:p>
        </w:tc>
        <w:tc>
          <w:tcPr>
            <w:tcW w:w="490" w:type="pct"/>
            <w:vAlign w:val="center"/>
          </w:tcPr>
          <w:p w14:paraId="146E154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10981.10</w:t>
            </w:r>
          </w:p>
        </w:tc>
        <w:tc>
          <w:tcPr>
            <w:tcW w:w="445" w:type="pct"/>
            <w:vAlign w:val="center"/>
          </w:tcPr>
          <w:p w14:paraId="5E33269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526.50</w:t>
            </w:r>
          </w:p>
        </w:tc>
        <w:tc>
          <w:tcPr>
            <w:tcW w:w="445" w:type="pct"/>
            <w:vAlign w:val="center"/>
          </w:tcPr>
          <w:p w14:paraId="6B5BB0D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607.50</w:t>
            </w:r>
          </w:p>
        </w:tc>
        <w:tc>
          <w:tcPr>
            <w:tcW w:w="445" w:type="pct"/>
            <w:vAlign w:val="center"/>
          </w:tcPr>
          <w:p w14:paraId="379B0C7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688.50</w:t>
            </w:r>
          </w:p>
        </w:tc>
        <w:tc>
          <w:tcPr>
            <w:tcW w:w="445" w:type="pct"/>
            <w:vAlign w:val="center"/>
          </w:tcPr>
          <w:p w14:paraId="523A9A5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c>
          <w:tcPr>
            <w:tcW w:w="445" w:type="pct"/>
            <w:vAlign w:val="center"/>
          </w:tcPr>
          <w:p w14:paraId="2D3F8BF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c>
          <w:tcPr>
            <w:tcW w:w="445" w:type="pct"/>
            <w:vAlign w:val="center"/>
          </w:tcPr>
          <w:p w14:paraId="79E866F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r>
      <w:tr w14:paraId="41C8E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8B41FE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713921C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出租率</w:t>
            </w:r>
          </w:p>
        </w:tc>
        <w:tc>
          <w:tcPr>
            <w:tcW w:w="490" w:type="pct"/>
            <w:vAlign w:val="center"/>
          </w:tcPr>
          <w:p w14:paraId="37D1E45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A3128E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65.00%</w:t>
            </w:r>
          </w:p>
        </w:tc>
        <w:tc>
          <w:tcPr>
            <w:tcW w:w="445" w:type="pct"/>
            <w:vAlign w:val="center"/>
          </w:tcPr>
          <w:p w14:paraId="1AFC181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75.00%</w:t>
            </w:r>
          </w:p>
        </w:tc>
        <w:tc>
          <w:tcPr>
            <w:tcW w:w="445" w:type="pct"/>
            <w:vAlign w:val="center"/>
          </w:tcPr>
          <w:p w14:paraId="5434035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85.00%</w:t>
            </w:r>
          </w:p>
        </w:tc>
        <w:tc>
          <w:tcPr>
            <w:tcW w:w="445" w:type="pct"/>
            <w:vAlign w:val="center"/>
          </w:tcPr>
          <w:p w14:paraId="6A70FF2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0BF9D0F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09D1697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r>
      <w:tr w14:paraId="1D8C1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5429A40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C85FFA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租金涨幅</w:t>
            </w:r>
          </w:p>
        </w:tc>
        <w:tc>
          <w:tcPr>
            <w:tcW w:w="490" w:type="pct"/>
            <w:vAlign w:val="center"/>
          </w:tcPr>
          <w:p w14:paraId="1BAD671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665974E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0E7036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979A04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A0720F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1E891ED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D70056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34E8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21C9F3C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2.1</w:t>
            </w:r>
          </w:p>
        </w:tc>
        <w:tc>
          <w:tcPr>
            <w:tcW w:w="1548" w:type="pct"/>
            <w:vAlign w:val="center"/>
          </w:tcPr>
          <w:p w14:paraId="5B9B02F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产业配套服务中心租金收入（万元）</w:t>
            </w:r>
          </w:p>
        </w:tc>
        <w:tc>
          <w:tcPr>
            <w:tcW w:w="490" w:type="pct"/>
            <w:vAlign w:val="center"/>
          </w:tcPr>
          <w:p w14:paraId="64CDDBD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10981.10</w:t>
            </w:r>
          </w:p>
        </w:tc>
        <w:tc>
          <w:tcPr>
            <w:tcW w:w="445" w:type="pct"/>
            <w:vAlign w:val="center"/>
          </w:tcPr>
          <w:p w14:paraId="487737E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526.50</w:t>
            </w:r>
          </w:p>
        </w:tc>
        <w:tc>
          <w:tcPr>
            <w:tcW w:w="445" w:type="pct"/>
            <w:vAlign w:val="center"/>
          </w:tcPr>
          <w:p w14:paraId="20A82AE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607.50</w:t>
            </w:r>
          </w:p>
        </w:tc>
        <w:tc>
          <w:tcPr>
            <w:tcW w:w="445" w:type="pct"/>
            <w:vAlign w:val="center"/>
          </w:tcPr>
          <w:p w14:paraId="6E82AA2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688.50</w:t>
            </w:r>
          </w:p>
        </w:tc>
        <w:tc>
          <w:tcPr>
            <w:tcW w:w="445" w:type="pct"/>
            <w:vAlign w:val="center"/>
          </w:tcPr>
          <w:p w14:paraId="25C7340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c>
          <w:tcPr>
            <w:tcW w:w="445" w:type="pct"/>
            <w:vAlign w:val="center"/>
          </w:tcPr>
          <w:p w14:paraId="6624971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c>
          <w:tcPr>
            <w:tcW w:w="445" w:type="pct"/>
            <w:vAlign w:val="center"/>
          </w:tcPr>
          <w:p w14:paraId="24C501F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846.45</w:t>
            </w:r>
          </w:p>
        </w:tc>
      </w:tr>
      <w:tr w14:paraId="020BF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42AA97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3B45AC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出租面积（㎡）</w:t>
            </w:r>
          </w:p>
        </w:tc>
        <w:tc>
          <w:tcPr>
            <w:tcW w:w="490" w:type="pct"/>
            <w:vAlign w:val="center"/>
          </w:tcPr>
          <w:p w14:paraId="490C4E2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81E11C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c>
          <w:tcPr>
            <w:tcW w:w="445" w:type="pct"/>
            <w:vAlign w:val="center"/>
          </w:tcPr>
          <w:p w14:paraId="349D6F5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c>
          <w:tcPr>
            <w:tcW w:w="445" w:type="pct"/>
            <w:vAlign w:val="center"/>
          </w:tcPr>
          <w:p w14:paraId="16C61BB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c>
          <w:tcPr>
            <w:tcW w:w="445" w:type="pct"/>
            <w:vAlign w:val="center"/>
          </w:tcPr>
          <w:p w14:paraId="4922795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c>
          <w:tcPr>
            <w:tcW w:w="445" w:type="pct"/>
            <w:vAlign w:val="center"/>
          </w:tcPr>
          <w:p w14:paraId="4A962FD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c>
          <w:tcPr>
            <w:tcW w:w="445" w:type="pct"/>
            <w:vAlign w:val="center"/>
          </w:tcPr>
          <w:p w14:paraId="7EB5084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15000.00</w:t>
            </w:r>
          </w:p>
        </w:tc>
      </w:tr>
      <w:tr w14:paraId="1A21AF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1FBED25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7697B1E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每月租金（元/㎡）</w:t>
            </w:r>
          </w:p>
        </w:tc>
        <w:tc>
          <w:tcPr>
            <w:tcW w:w="490" w:type="pct"/>
            <w:vAlign w:val="center"/>
          </w:tcPr>
          <w:p w14:paraId="34904C5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ECDC7F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577D8CE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06932D8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57470D1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49.50</w:t>
            </w:r>
          </w:p>
        </w:tc>
        <w:tc>
          <w:tcPr>
            <w:tcW w:w="445" w:type="pct"/>
            <w:vAlign w:val="center"/>
          </w:tcPr>
          <w:p w14:paraId="5BCE95F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49.50</w:t>
            </w:r>
          </w:p>
        </w:tc>
        <w:tc>
          <w:tcPr>
            <w:tcW w:w="445" w:type="pct"/>
            <w:vAlign w:val="center"/>
          </w:tcPr>
          <w:p w14:paraId="1F5BA6F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49.50</w:t>
            </w:r>
          </w:p>
        </w:tc>
      </w:tr>
      <w:tr w14:paraId="3CECE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1965AD5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1548" w:type="pct"/>
            <w:vAlign w:val="center"/>
          </w:tcPr>
          <w:p w14:paraId="6CB7076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停车位收入（万元）</w:t>
            </w:r>
          </w:p>
        </w:tc>
        <w:tc>
          <w:tcPr>
            <w:tcW w:w="490" w:type="pct"/>
            <w:vAlign w:val="center"/>
          </w:tcPr>
          <w:p w14:paraId="44A46B8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56389.06</w:t>
            </w:r>
          </w:p>
        </w:tc>
        <w:tc>
          <w:tcPr>
            <w:tcW w:w="445" w:type="pct"/>
            <w:vAlign w:val="center"/>
          </w:tcPr>
          <w:p w14:paraId="72BE54B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2703.64</w:t>
            </w:r>
          </w:p>
        </w:tc>
        <w:tc>
          <w:tcPr>
            <w:tcW w:w="445" w:type="pct"/>
            <w:vAlign w:val="center"/>
          </w:tcPr>
          <w:p w14:paraId="0AC3CFB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3119.58</w:t>
            </w:r>
          </w:p>
        </w:tc>
        <w:tc>
          <w:tcPr>
            <w:tcW w:w="445" w:type="pct"/>
            <w:vAlign w:val="center"/>
          </w:tcPr>
          <w:p w14:paraId="15034E3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3535.52</w:t>
            </w:r>
          </w:p>
        </w:tc>
        <w:tc>
          <w:tcPr>
            <w:tcW w:w="445" w:type="pct"/>
            <w:vAlign w:val="center"/>
          </w:tcPr>
          <w:p w14:paraId="3ADC14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4346.61</w:t>
            </w:r>
          </w:p>
        </w:tc>
        <w:tc>
          <w:tcPr>
            <w:tcW w:w="445" w:type="pct"/>
            <w:vAlign w:val="center"/>
          </w:tcPr>
          <w:p w14:paraId="28141C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4346.61</w:t>
            </w:r>
          </w:p>
        </w:tc>
        <w:tc>
          <w:tcPr>
            <w:tcW w:w="445" w:type="pct"/>
            <w:vAlign w:val="center"/>
          </w:tcPr>
          <w:p w14:paraId="269F00C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4346.61</w:t>
            </w:r>
          </w:p>
        </w:tc>
      </w:tr>
      <w:tr w14:paraId="320F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8B12B6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3.1</w:t>
            </w:r>
          </w:p>
        </w:tc>
        <w:tc>
          <w:tcPr>
            <w:tcW w:w="1548" w:type="pct"/>
            <w:vAlign w:val="center"/>
          </w:tcPr>
          <w:p w14:paraId="6FDB18A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停车场收入（万元）</w:t>
            </w:r>
          </w:p>
        </w:tc>
        <w:tc>
          <w:tcPr>
            <w:tcW w:w="490" w:type="pct"/>
            <w:vAlign w:val="center"/>
          </w:tcPr>
          <w:p w14:paraId="434DEA1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8052.78</w:t>
            </w:r>
          </w:p>
        </w:tc>
        <w:tc>
          <w:tcPr>
            <w:tcW w:w="445" w:type="pct"/>
            <w:vAlign w:val="center"/>
          </w:tcPr>
          <w:p w14:paraId="1F1AD81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386.10</w:t>
            </w:r>
          </w:p>
        </w:tc>
        <w:tc>
          <w:tcPr>
            <w:tcW w:w="445" w:type="pct"/>
            <w:vAlign w:val="center"/>
          </w:tcPr>
          <w:p w14:paraId="63DFB7E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445.50</w:t>
            </w:r>
          </w:p>
        </w:tc>
        <w:tc>
          <w:tcPr>
            <w:tcW w:w="445" w:type="pct"/>
            <w:vAlign w:val="center"/>
          </w:tcPr>
          <w:p w14:paraId="189DF2F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504.90</w:t>
            </w:r>
          </w:p>
        </w:tc>
        <w:tc>
          <w:tcPr>
            <w:tcW w:w="445" w:type="pct"/>
            <w:vAlign w:val="center"/>
          </w:tcPr>
          <w:p w14:paraId="7E7E47A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620.73</w:t>
            </w:r>
          </w:p>
        </w:tc>
        <w:tc>
          <w:tcPr>
            <w:tcW w:w="445" w:type="pct"/>
            <w:vAlign w:val="center"/>
          </w:tcPr>
          <w:p w14:paraId="4D903A7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620.73</w:t>
            </w:r>
          </w:p>
        </w:tc>
        <w:tc>
          <w:tcPr>
            <w:tcW w:w="445" w:type="pct"/>
            <w:vAlign w:val="center"/>
          </w:tcPr>
          <w:p w14:paraId="311FF53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620.73</w:t>
            </w:r>
          </w:p>
        </w:tc>
      </w:tr>
      <w:tr w14:paraId="5D3C05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0F2B51E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0BF21E1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停车位数量（个）</w:t>
            </w:r>
          </w:p>
        </w:tc>
        <w:tc>
          <w:tcPr>
            <w:tcW w:w="490" w:type="pct"/>
            <w:vAlign w:val="center"/>
          </w:tcPr>
          <w:p w14:paraId="6278B53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BCCD18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c>
          <w:tcPr>
            <w:tcW w:w="445" w:type="pct"/>
            <w:vAlign w:val="center"/>
          </w:tcPr>
          <w:p w14:paraId="0B8FEE8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c>
          <w:tcPr>
            <w:tcW w:w="445" w:type="pct"/>
            <w:vAlign w:val="center"/>
          </w:tcPr>
          <w:p w14:paraId="2BBDB45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c>
          <w:tcPr>
            <w:tcW w:w="445" w:type="pct"/>
            <w:vAlign w:val="center"/>
          </w:tcPr>
          <w:p w14:paraId="27BD240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c>
          <w:tcPr>
            <w:tcW w:w="445" w:type="pct"/>
            <w:vAlign w:val="center"/>
          </w:tcPr>
          <w:p w14:paraId="1E1C355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c>
          <w:tcPr>
            <w:tcW w:w="445" w:type="pct"/>
            <w:vAlign w:val="center"/>
          </w:tcPr>
          <w:p w14:paraId="3B378D7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550</w:t>
            </w:r>
          </w:p>
        </w:tc>
      </w:tr>
      <w:tr w14:paraId="0C924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2B63F1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049F3E1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每次收费（元/次）</w:t>
            </w:r>
          </w:p>
        </w:tc>
        <w:tc>
          <w:tcPr>
            <w:tcW w:w="490" w:type="pct"/>
            <w:vAlign w:val="center"/>
          </w:tcPr>
          <w:p w14:paraId="6C1E691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65B2D55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18B08FE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488E5EF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18DD60A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11.00</w:t>
            </w:r>
          </w:p>
        </w:tc>
        <w:tc>
          <w:tcPr>
            <w:tcW w:w="445" w:type="pct"/>
            <w:vAlign w:val="center"/>
          </w:tcPr>
          <w:p w14:paraId="7FD2A2D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11.00</w:t>
            </w:r>
          </w:p>
        </w:tc>
        <w:tc>
          <w:tcPr>
            <w:tcW w:w="445" w:type="pct"/>
            <w:vAlign w:val="center"/>
          </w:tcPr>
          <w:p w14:paraId="4EBEE63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11.00</w:t>
            </w:r>
          </w:p>
        </w:tc>
      </w:tr>
      <w:tr w14:paraId="0D99B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262E29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069AB67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每日周转次数</w:t>
            </w:r>
          </w:p>
        </w:tc>
        <w:tc>
          <w:tcPr>
            <w:tcW w:w="490" w:type="pct"/>
            <w:vAlign w:val="center"/>
          </w:tcPr>
          <w:p w14:paraId="785681E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9C2DEE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33EEF9B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71EFF17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1D0E932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533133C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219C8B5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r>
      <w:tr w14:paraId="29CB3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5D53A5E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6D0F89E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使用率</w:t>
            </w:r>
          </w:p>
        </w:tc>
        <w:tc>
          <w:tcPr>
            <w:tcW w:w="490" w:type="pct"/>
            <w:vAlign w:val="center"/>
          </w:tcPr>
          <w:p w14:paraId="082AECC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1C9E05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65.00%</w:t>
            </w:r>
          </w:p>
        </w:tc>
        <w:tc>
          <w:tcPr>
            <w:tcW w:w="445" w:type="pct"/>
            <w:vAlign w:val="center"/>
          </w:tcPr>
          <w:p w14:paraId="68B11C5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75.00%</w:t>
            </w:r>
          </w:p>
        </w:tc>
        <w:tc>
          <w:tcPr>
            <w:tcW w:w="445" w:type="pct"/>
            <w:vAlign w:val="center"/>
          </w:tcPr>
          <w:p w14:paraId="6D99E7D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85.00%</w:t>
            </w:r>
          </w:p>
        </w:tc>
        <w:tc>
          <w:tcPr>
            <w:tcW w:w="445" w:type="pct"/>
            <w:vAlign w:val="center"/>
          </w:tcPr>
          <w:p w14:paraId="445FE49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2DD16BC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5620222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r>
      <w:tr w14:paraId="36949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51E63B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29E5973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收费涨幅</w:t>
            </w:r>
          </w:p>
        </w:tc>
        <w:tc>
          <w:tcPr>
            <w:tcW w:w="490" w:type="pct"/>
            <w:vAlign w:val="center"/>
          </w:tcPr>
          <w:p w14:paraId="67E5EF9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B24736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06D101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30E0C3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CF7114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6D5F1B0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49C988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4A5C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D06D0B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3.2</w:t>
            </w:r>
          </w:p>
        </w:tc>
        <w:tc>
          <w:tcPr>
            <w:tcW w:w="1548" w:type="pct"/>
            <w:vAlign w:val="center"/>
          </w:tcPr>
          <w:p w14:paraId="09826C1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路边临时泊位收入（万元）</w:t>
            </w:r>
          </w:p>
        </w:tc>
        <w:tc>
          <w:tcPr>
            <w:tcW w:w="490" w:type="pct"/>
            <w:vAlign w:val="center"/>
          </w:tcPr>
          <w:p w14:paraId="6B79F71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48336.28</w:t>
            </w:r>
          </w:p>
        </w:tc>
        <w:tc>
          <w:tcPr>
            <w:tcW w:w="445" w:type="pct"/>
            <w:vAlign w:val="center"/>
          </w:tcPr>
          <w:p w14:paraId="4108F86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2317.54</w:t>
            </w:r>
          </w:p>
        </w:tc>
        <w:tc>
          <w:tcPr>
            <w:tcW w:w="445" w:type="pct"/>
            <w:vAlign w:val="center"/>
          </w:tcPr>
          <w:p w14:paraId="102F947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2674.08</w:t>
            </w:r>
          </w:p>
        </w:tc>
        <w:tc>
          <w:tcPr>
            <w:tcW w:w="445" w:type="pct"/>
            <w:vAlign w:val="center"/>
          </w:tcPr>
          <w:p w14:paraId="0C5F606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3030.62</w:t>
            </w:r>
          </w:p>
        </w:tc>
        <w:tc>
          <w:tcPr>
            <w:tcW w:w="445" w:type="pct"/>
            <w:vAlign w:val="center"/>
          </w:tcPr>
          <w:p w14:paraId="42028B6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3725.88</w:t>
            </w:r>
          </w:p>
        </w:tc>
        <w:tc>
          <w:tcPr>
            <w:tcW w:w="445" w:type="pct"/>
            <w:vAlign w:val="center"/>
          </w:tcPr>
          <w:p w14:paraId="76AB313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3725.88</w:t>
            </w:r>
          </w:p>
        </w:tc>
        <w:tc>
          <w:tcPr>
            <w:tcW w:w="445" w:type="pct"/>
            <w:vAlign w:val="center"/>
          </w:tcPr>
          <w:p w14:paraId="208C887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3725.88</w:t>
            </w:r>
          </w:p>
        </w:tc>
      </w:tr>
      <w:tr w14:paraId="06D87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470280D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4615686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停车位数量（个）</w:t>
            </w:r>
          </w:p>
        </w:tc>
        <w:tc>
          <w:tcPr>
            <w:tcW w:w="490" w:type="pct"/>
            <w:vAlign w:val="center"/>
          </w:tcPr>
          <w:p w14:paraId="3E544A3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2B0A67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c>
          <w:tcPr>
            <w:tcW w:w="445" w:type="pct"/>
            <w:vAlign w:val="center"/>
          </w:tcPr>
          <w:p w14:paraId="0DEE94F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c>
          <w:tcPr>
            <w:tcW w:w="445" w:type="pct"/>
            <w:vAlign w:val="center"/>
          </w:tcPr>
          <w:p w14:paraId="14D6C0D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c>
          <w:tcPr>
            <w:tcW w:w="445" w:type="pct"/>
            <w:vAlign w:val="center"/>
          </w:tcPr>
          <w:p w14:paraId="0DB0FFE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c>
          <w:tcPr>
            <w:tcW w:w="445" w:type="pct"/>
            <w:vAlign w:val="center"/>
          </w:tcPr>
          <w:p w14:paraId="5A55134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c>
          <w:tcPr>
            <w:tcW w:w="445" w:type="pct"/>
            <w:vAlign w:val="center"/>
          </w:tcPr>
          <w:p w14:paraId="0CD29CD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2476</w:t>
            </w:r>
          </w:p>
        </w:tc>
      </w:tr>
      <w:tr w14:paraId="619CD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9" w:type="pct"/>
            <w:vAlign w:val="center"/>
          </w:tcPr>
          <w:p w14:paraId="388BC87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65963FB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每天收费（元/天）</w:t>
            </w:r>
          </w:p>
        </w:tc>
        <w:tc>
          <w:tcPr>
            <w:tcW w:w="490" w:type="pct"/>
            <w:vAlign w:val="center"/>
          </w:tcPr>
          <w:p w14:paraId="5016478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1C4262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40.00</w:t>
            </w:r>
          </w:p>
        </w:tc>
        <w:tc>
          <w:tcPr>
            <w:tcW w:w="445" w:type="pct"/>
            <w:vAlign w:val="center"/>
          </w:tcPr>
          <w:p w14:paraId="5CF73FB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40.00</w:t>
            </w:r>
          </w:p>
        </w:tc>
        <w:tc>
          <w:tcPr>
            <w:tcW w:w="445" w:type="pct"/>
            <w:vAlign w:val="center"/>
          </w:tcPr>
          <w:p w14:paraId="1453274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40.00</w:t>
            </w:r>
          </w:p>
        </w:tc>
        <w:tc>
          <w:tcPr>
            <w:tcW w:w="445" w:type="pct"/>
            <w:vAlign w:val="center"/>
          </w:tcPr>
          <w:p w14:paraId="551654D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44.00</w:t>
            </w:r>
          </w:p>
        </w:tc>
        <w:tc>
          <w:tcPr>
            <w:tcW w:w="445" w:type="pct"/>
            <w:vAlign w:val="center"/>
          </w:tcPr>
          <w:p w14:paraId="54C2711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44.00</w:t>
            </w:r>
          </w:p>
        </w:tc>
        <w:tc>
          <w:tcPr>
            <w:tcW w:w="445" w:type="pct"/>
            <w:vAlign w:val="center"/>
          </w:tcPr>
          <w:p w14:paraId="427A1C4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44.00</w:t>
            </w:r>
          </w:p>
        </w:tc>
      </w:tr>
      <w:tr w14:paraId="15967F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58809A6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8B0D99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使用率</w:t>
            </w:r>
          </w:p>
        </w:tc>
        <w:tc>
          <w:tcPr>
            <w:tcW w:w="490" w:type="pct"/>
            <w:vAlign w:val="center"/>
          </w:tcPr>
          <w:p w14:paraId="1397F36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760D0A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65.00%</w:t>
            </w:r>
          </w:p>
        </w:tc>
        <w:tc>
          <w:tcPr>
            <w:tcW w:w="445" w:type="pct"/>
            <w:vAlign w:val="center"/>
          </w:tcPr>
          <w:p w14:paraId="6831F05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75.00%</w:t>
            </w:r>
          </w:p>
        </w:tc>
        <w:tc>
          <w:tcPr>
            <w:tcW w:w="445" w:type="pct"/>
            <w:vAlign w:val="center"/>
          </w:tcPr>
          <w:p w14:paraId="5EDDE04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85.00%</w:t>
            </w:r>
          </w:p>
        </w:tc>
        <w:tc>
          <w:tcPr>
            <w:tcW w:w="445" w:type="pct"/>
            <w:vAlign w:val="center"/>
          </w:tcPr>
          <w:p w14:paraId="00F1866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4CBE780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4210B25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r>
      <w:tr w14:paraId="013A7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499AF8A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9422E2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收费涨幅</w:t>
            </w:r>
          </w:p>
        </w:tc>
        <w:tc>
          <w:tcPr>
            <w:tcW w:w="490" w:type="pct"/>
            <w:vAlign w:val="center"/>
          </w:tcPr>
          <w:p w14:paraId="5AF1884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F06CEA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332F75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546DB0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A4D9E5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6EC15B8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AE1530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43F9E6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AB7C08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w:t>
            </w:r>
          </w:p>
        </w:tc>
        <w:tc>
          <w:tcPr>
            <w:tcW w:w="1548" w:type="pct"/>
            <w:vAlign w:val="center"/>
          </w:tcPr>
          <w:p w14:paraId="36628E8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充电桩服务费收入（万元）</w:t>
            </w:r>
          </w:p>
        </w:tc>
        <w:tc>
          <w:tcPr>
            <w:tcW w:w="490" w:type="pct"/>
            <w:vAlign w:val="center"/>
          </w:tcPr>
          <w:p w14:paraId="7E03BEC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6058.80</w:t>
            </w:r>
          </w:p>
        </w:tc>
        <w:tc>
          <w:tcPr>
            <w:tcW w:w="445" w:type="pct"/>
            <w:vAlign w:val="center"/>
          </w:tcPr>
          <w:p w14:paraId="70BA559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344.25</w:t>
            </w:r>
          </w:p>
        </w:tc>
        <w:tc>
          <w:tcPr>
            <w:tcW w:w="445" w:type="pct"/>
            <w:vAlign w:val="center"/>
          </w:tcPr>
          <w:p w14:paraId="377293B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413.10</w:t>
            </w:r>
          </w:p>
        </w:tc>
        <w:tc>
          <w:tcPr>
            <w:tcW w:w="445" w:type="pct"/>
            <w:vAlign w:val="center"/>
          </w:tcPr>
          <w:p w14:paraId="419AACA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481.95</w:t>
            </w:r>
          </w:p>
        </w:tc>
        <w:tc>
          <w:tcPr>
            <w:tcW w:w="445" w:type="pct"/>
            <w:vAlign w:val="center"/>
          </w:tcPr>
          <w:p w14:paraId="65DF3BB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481.95</w:t>
            </w:r>
          </w:p>
        </w:tc>
        <w:tc>
          <w:tcPr>
            <w:tcW w:w="445" w:type="pct"/>
            <w:vAlign w:val="center"/>
          </w:tcPr>
          <w:p w14:paraId="4002D7A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481.95</w:t>
            </w:r>
          </w:p>
        </w:tc>
        <w:tc>
          <w:tcPr>
            <w:tcW w:w="445" w:type="pct"/>
            <w:vAlign w:val="center"/>
          </w:tcPr>
          <w:p w14:paraId="4817613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481.95</w:t>
            </w:r>
          </w:p>
        </w:tc>
      </w:tr>
      <w:tr w14:paraId="7538E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500531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87FA3A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快充充电桩数量(个)</w:t>
            </w:r>
          </w:p>
        </w:tc>
        <w:tc>
          <w:tcPr>
            <w:tcW w:w="490" w:type="pct"/>
            <w:vAlign w:val="center"/>
          </w:tcPr>
          <w:p w14:paraId="33B5BD1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E2323F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0528B9E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06711C6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3C5B5F7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1869BC4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c>
          <w:tcPr>
            <w:tcW w:w="445" w:type="pct"/>
            <w:vAlign w:val="center"/>
          </w:tcPr>
          <w:p w14:paraId="2B68F98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300</w:t>
            </w:r>
          </w:p>
        </w:tc>
      </w:tr>
      <w:tr w14:paraId="5414D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2397C73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10C1ED5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快充充电桩每日充电次数</w:t>
            </w:r>
          </w:p>
        </w:tc>
        <w:tc>
          <w:tcPr>
            <w:tcW w:w="490" w:type="pct"/>
            <w:vAlign w:val="center"/>
          </w:tcPr>
          <w:p w14:paraId="7ABAAEB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66CE993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445" w:type="pct"/>
            <w:vAlign w:val="center"/>
          </w:tcPr>
          <w:p w14:paraId="1ED7FBD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445" w:type="pct"/>
            <w:vAlign w:val="center"/>
          </w:tcPr>
          <w:p w14:paraId="5EE5376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445" w:type="pct"/>
            <w:vAlign w:val="center"/>
          </w:tcPr>
          <w:p w14:paraId="1A8C460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445" w:type="pct"/>
            <w:vAlign w:val="center"/>
          </w:tcPr>
          <w:p w14:paraId="1266ACC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c>
          <w:tcPr>
            <w:tcW w:w="445" w:type="pct"/>
            <w:vAlign w:val="center"/>
          </w:tcPr>
          <w:p w14:paraId="07FEC69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w:t>
            </w:r>
          </w:p>
        </w:tc>
      </w:tr>
      <w:tr w14:paraId="4B4EB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9" w:type="pct"/>
            <w:vAlign w:val="center"/>
          </w:tcPr>
          <w:p w14:paraId="3F0B9BE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3B69AC4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每次充电量（kwh）</w:t>
            </w:r>
          </w:p>
        </w:tc>
        <w:tc>
          <w:tcPr>
            <w:tcW w:w="490" w:type="pct"/>
            <w:vAlign w:val="center"/>
          </w:tcPr>
          <w:p w14:paraId="6002660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710CC4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3A7A4A7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00877C5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68B8F50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1A9D2A4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c>
          <w:tcPr>
            <w:tcW w:w="445" w:type="pct"/>
            <w:vAlign w:val="center"/>
          </w:tcPr>
          <w:p w14:paraId="1A6C644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45.00</w:t>
            </w:r>
          </w:p>
        </w:tc>
      </w:tr>
      <w:tr w14:paraId="58708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27115ED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6070D73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充电服务费单价（元/kwh）</w:t>
            </w:r>
          </w:p>
        </w:tc>
        <w:tc>
          <w:tcPr>
            <w:tcW w:w="490" w:type="pct"/>
            <w:vAlign w:val="center"/>
          </w:tcPr>
          <w:p w14:paraId="63FE3DA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B8F876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c>
          <w:tcPr>
            <w:tcW w:w="445" w:type="pct"/>
            <w:vAlign w:val="center"/>
          </w:tcPr>
          <w:p w14:paraId="3C4B726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c>
          <w:tcPr>
            <w:tcW w:w="445" w:type="pct"/>
            <w:vAlign w:val="center"/>
          </w:tcPr>
          <w:p w14:paraId="3570EBC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c>
          <w:tcPr>
            <w:tcW w:w="445" w:type="pct"/>
            <w:vAlign w:val="center"/>
          </w:tcPr>
          <w:p w14:paraId="48111B2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c>
          <w:tcPr>
            <w:tcW w:w="445" w:type="pct"/>
            <w:vAlign w:val="center"/>
          </w:tcPr>
          <w:p w14:paraId="534AE74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c>
          <w:tcPr>
            <w:tcW w:w="445" w:type="pct"/>
            <w:vAlign w:val="center"/>
          </w:tcPr>
          <w:p w14:paraId="7B9684C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0.50</w:t>
            </w:r>
          </w:p>
        </w:tc>
      </w:tr>
      <w:tr w14:paraId="6F212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06370A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31E4FE0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使用率</w:t>
            </w:r>
          </w:p>
        </w:tc>
        <w:tc>
          <w:tcPr>
            <w:tcW w:w="490" w:type="pct"/>
            <w:vAlign w:val="center"/>
          </w:tcPr>
          <w:p w14:paraId="38F1F9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60654B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50.00%</w:t>
            </w:r>
          </w:p>
        </w:tc>
        <w:tc>
          <w:tcPr>
            <w:tcW w:w="445" w:type="pct"/>
            <w:vAlign w:val="center"/>
          </w:tcPr>
          <w:p w14:paraId="2BEC21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60.00%</w:t>
            </w:r>
          </w:p>
        </w:tc>
        <w:tc>
          <w:tcPr>
            <w:tcW w:w="445" w:type="pct"/>
            <w:vAlign w:val="center"/>
          </w:tcPr>
          <w:p w14:paraId="1CD6E07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70.00%</w:t>
            </w:r>
          </w:p>
        </w:tc>
        <w:tc>
          <w:tcPr>
            <w:tcW w:w="445" w:type="pct"/>
            <w:vAlign w:val="center"/>
          </w:tcPr>
          <w:p w14:paraId="7A6D434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70.00%</w:t>
            </w:r>
          </w:p>
        </w:tc>
        <w:tc>
          <w:tcPr>
            <w:tcW w:w="445" w:type="pct"/>
            <w:vAlign w:val="center"/>
          </w:tcPr>
          <w:p w14:paraId="4CBA56F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70.00%</w:t>
            </w:r>
          </w:p>
        </w:tc>
        <w:tc>
          <w:tcPr>
            <w:tcW w:w="445" w:type="pct"/>
            <w:vAlign w:val="center"/>
          </w:tcPr>
          <w:p w14:paraId="23A7958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70.00%</w:t>
            </w:r>
          </w:p>
        </w:tc>
      </w:tr>
      <w:tr w14:paraId="1CDD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71B628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209EDFA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年运营天数（天）</w:t>
            </w:r>
          </w:p>
        </w:tc>
        <w:tc>
          <w:tcPr>
            <w:tcW w:w="490" w:type="pct"/>
            <w:vAlign w:val="center"/>
          </w:tcPr>
          <w:p w14:paraId="09F60B7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F2398B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c>
          <w:tcPr>
            <w:tcW w:w="445" w:type="pct"/>
            <w:vAlign w:val="center"/>
          </w:tcPr>
          <w:p w14:paraId="53A7A52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c>
          <w:tcPr>
            <w:tcW w:w="445" w:type="pct"/>
            <w:vAlign w:val="center"/>
          </w:tcPr>
          <w:p w14:paraId="6178049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c>
          <w:tcPr>
            <w:tcW w:w="445" w:type="pct"/>
            <w:vAlign w:val="center"/>
          </w:tcPr>
          <w:p w14:paraId="5453ED0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c>
          <w:tcPr>
            <w:tcW w:w="445" w:type="pct"/>
            <w:vAlign w:val="center"/>
          </w:tcPr>
          <w:p w14:paraId="32B8911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c>
          <w:tcPr>
            <w:tcW w:w="445" w:type="pct"/>
            <w:vAlign w:val="center"/>
          </w:tcPr>
          <w:p w14:paraId="6DA2E2A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340.00</w:t>
            </w:r>
          </w:p>
        </w:tc>
      </w:tr>
      <w:tr w14:paraId="5DAC4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A479E1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w:t>
            </w:r>
          </w:p>
        </w:tc>
        <w:tc>
          <w:tcPr>
            <w:tcW w:w="1548" w:type="pct"/>
            <w:vAlign w:val="center"/>
          </w:tcPr>
          <w:p w14:paraId="2889BC6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广告位收入（万元）</w:t>
            </w:r>
          </w:p>
        </w:tc>
        <w:tc>
          <w:tcPr>
            <w:tcW w:w="490" w:type="pct"/>
            <w:vAlign w:val="center"/>
          </w:tcPr>
          <w:p w14:paraId="470E0E5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2033.56</w:t>
            </w:r>
          </w:p>
        </w:tc>
        <w:tc>
          <w:tcPr>
            <w:tcW w:w="445" w:type="pct"/>
            <w:vAlign w:val="center"/>
          </w:tcPr>
          <w:p w14:paraId="014905A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97.50</w:t>
            </w:r>
          </w:p>
        </w:tc>
        <w:tc>
          <w:tcPr>
            <w:tcW w:w="445" w:type="pct"/>
            <w:vAlign w:val="center"/>
          </w:tcPr>
          <w:p w14:paraId="696AE70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112.50</w:t>
            </w:r>
          </w:p>
        </w:tc>
        <w:tc>
          <w:tcPr>
            <w:tcW w:w="445" w:type="pct"/>
            <w:vAlign w:val="center"/>
          </w:tcPr>
          <w:p w14:paraId="452CFD9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127.50</w:t>
            </w:r>
          </w:p>
        </w:tc>
        <w:tc>
          <w:tcPr>
            <w:tcW w:w="445" w:type="pct"/>
            <w:vAlign w:val="center"/>
          </w:tcPr>
          <w:p w14:paraId="6A08475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c>
          <w:tcPr>
            <w:tcW w:w="445" w:type="pct"/>
            <w:vAlign w:val="center"/>
          </w:tcPr>
          <w:p w14:paraId="5AA5C02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c>
          <w:tcPr>
            <w:tcW w:w="445" w:type="pct"/>
            <w:vAlign w:val="center"/>
          </w:tcPr>
          <w:p w14:paraId="23C87E9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r>
      <w:tr w14:paraId="01510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602A3A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1E4E22D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出租率</w:t>
            </w:r>
          </w:p>
        </w:tc>
        <w:tc>
          <w:tcPr>
            <w:tcW w:w="490" w:type="pct"/>
            <w:vAlign w:val="center"/>
          </w:tcPr>
          <w:p w14:paraId="369BDA7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418D5D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65.00%</w:t>
            </w:r>
          </w:p>
        </w:tc>
        <w:tc>
          <w:tcPr>
            <w:tcW w:w="445" w:type="pct"/>
            <w:vAlign w:val="center"/>
          </w:tcPr>
          <w:p w14:paraId="17D0149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75.00%</w:t>
            </w:r>
          </w:p>
        </w:tc>
        <w:tc>
          <w:tcPr>
            <w:tcW w:w="445" w:type="pct"/>
            <w:vAlign w:val="center"/>
          </w:tcPr>
          <w:p w14:paraId="24B3826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85.00%</w:t>
            </w:r>
          </w:p>
        </w:tc>
        <w:tc>
          <w:tcPr>
            <w:tcW w:w="445" w:type="pct"/>
            <w:vAlign w:val="center"/>
          </w:tcPr>
          <w:p w14:paraId="159EB28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04341B0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c>
          <w:tcPr>
            <w:tcW w:w="445" w:type="pct"/>
            <w:vAlign w:val="center"/>
          </w:tcPr>
          <w:p w14:paraId="5DFE56B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95.00%</w:t>
            </w:r>
          </w:p>
        </w:tc>
      </w:tr>
      <w:tr w14:paraId="40312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1D3FDF6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366ADB1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租金涨幅</w:t>
            </w:r>
          </w:p>
        </w:tc>
        <w:tc>
          <w:tcPr>
            <w:tcW w:w="490" w:type="pct"/>
            <w:vAlign w:val="center"/>
          </w:tcPr>
          <w:p w14:paraId="3C6326A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42CEC66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19E79A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7AD7E1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5CA24D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10.00%</w:t>
            </w:r>
          </w:p>
        </w:tc>
        <w:tc>
          <w:tcPr>
            <w:tcW w:w="445" w:type="pct"/>
            <w:vAlign w:val="center"/>
          </w:tcPr>
          <w:p w14:paraId="56F3738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4A45A8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2B2B3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847168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5.1</w:t>
            </w:r>
          </w:p>
        </w:tc>
        <w:tc>
          <w:tcPr>
            <w:tcW w:w="1548" w:type="pct"/>
            <w:vAlign w:val="center"/>
          </w:tcPr>
          <w:p w14:paraId="1A388DB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广告位租金收入（万元）</w:t>
            </w:r>
          </w:p>
        </w:tc>
        <w:tc>
          <w:tcPr>
            <w:tcW w:w="490" w:type="pct"/>
            <w:vAlign w:val="center"/>
          </w:tcPr>
          <w:p w14:paraId="06A085D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2033.56</w:t>
            </w:r>
          </w:p>
        </w:tc>
        <w:tc>
          <w:tcPr>
            <w:tcW w:w="445" w:type="pct"/>
            <w:vAlign w:val="center"/>
          </w:tcPr>
          <w:p w14:paraId="573A2D1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97.50</w:t>
            </w:r>
          </w:p>
        </w:tc>
        <w:tc>
          <w:tcPr>
            <w:tcW w:w="445" w:type="pct"/>
            <w:vAlign w:val="center"/>
          </w:tcPr>
          <w:p w14:paraId="6DE1A65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112.50</w:t>
            </w:r>
          </w:p>
        </w:tc>
        <w:tc>
          <w:tcPr>
            <w:tcW w:w="445" w:type="pct"/>
            <w:vAlign w:val="center"/>
          </w:tcPr>
          <w:p w14:paraId="04B784F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127.50</w:t>
            </w:r>
          </w:p>
        </w:tc>
        <w:tc>
          <w:tcPr>
            <w:tcW w:w="445" w:type="pct"/>
            <w:vAlign w:val="center"/>
          </w:tcPr>
          <w:p w14:paraId="0F75C40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c>
          <w:tcPr>
            <w:tcW w:w="445" w:type="pct"/>
            <w:vAlign w:val="center"/>
          </w:tcPr>
          <w:p w14:paraId="33EE7D3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c>
          <w:tcPr>
            <w:tcW w:w="445" w:type="pct"/>
            <w:vAlign w:val="center"/>
          </w:tcPr>
          <w:p w14:paraId="5F4668B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156.75</w:t>
            </w:r>
          </w:p>
        </w:tc>
      </w:tr>
      <w:tr w14:paraId="0781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3678AF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264AEE6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广告位数量（个）</w:t>
            </w:r>
          </w:p>
        </w:tc>
        <w:tc>
          <w:tcPr>
            <w:tcW w:w="490" w:type="pct"/>
            <w:vAlign w:val="center"/>
          </w:tcPr>
          <w:p w14:paraId="23A9135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857478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c>
          <w:tcPr>
            <w:tcW w:w="445" w:type="pct"/>
            <w:vAlign w:val="center"/>
          </w:tcPr>
          <w:p w14:paraId="37608B0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c>
          <w:tcPr>
            <w:tcW w:w="445" w:type="pct"/>
            <w:vAlign w:val="center"/>
          </w:tcPr>
          <w:p w14:paraId="0DC20B6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c>
          <w:tcPr>
            <w:tcW w:w="445" w:type="pct"/>
            <w:vAlign w:val="center"/>
          </w:tcPr>
          <w:p w14:paraId="683BED9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c>
          <w:tcPr>
            <w:tcW w:w="445" w:type="pct"/>
            <w:vAlign w:val="center"/>
          </w:tcPr>
          <w:p w14:paraId="5E16BA2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c>
          <w:tcPr>
            <w:tcW w:w="445" w:type="pct"/>
            <w:vAlign w:val="center"/>
          </w:tcPr>
          <w:p w14:paraId="28EF82F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500</w:t>
            </w:r>
          </w:p>
        </w:tc>
      </w:tr>
      <w:tr w14:paraId="617F4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FA3E61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4DBF155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月租金标准（元/个）</w:t>
            </w:r>
          </w:p>
        </w:tc>
        <w:tc>
          <w:tcPr>
            <w:tcW w:w="490" w:type="pct"/>
            <w:vAlign w:val="center"/>
          </w:tcPr>
          <w:p w14:paraId="36A17BC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6C1723D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250.00</w:t>
            </w:r>
          </w:p>
        </w:tc>
        <w:tc>
          <w:tcPr>
            <w:tcW w:w="445" w:type="pct"/>
            <w:vAlign w:val="center"/>
          </w:tcPr>
          <w:p w14:paraId="4EC7BE8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250.00</w:t>
            </w:r>
          </w:p>
        </w:tc>
        <w:tc>
          <w:tcPr>
            <w:tcW w:w="445" w:type="pct"/>
            <w:vAlign w:val="center"/>
          </w:tcPr>
          <w:p w14:paraId="5FE655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250.00</w:t>
            </w:r>
          </w:p>
        </w:tc>
        <w:tc>
          <w:tcPr>
            <w:tcW w:w="445" w:type="pct"/>
            <w:vAlign w:val="center"/>
          </w:tcPr>
          <w:p w14:paraId="2273C25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275.00</w:t>
            </w:r>
          </w:p>
        </w:tc>
        <w:tc>
          <w:tcPr>
            <w:tcW w:w="445" w:type="pct"/>
            <w:vAlign w:val="center"/>
          </w:tcPr>
          <w:p w14:paraId="4DF39AE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275.00</w:t>
            </w:r>
          </w:p>
        </w:tc>
        <w:tc>
          <w:tcPr>
            <w:tcW w:w="445" w:type="pct"/>
            <w:vAlign w:val="center"/>
          </w:tcPr>
          <w:p w14:paraId="1589C60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275.00</w:t>
            </w:r>
          </w:p>
        </w:tc>
      </w:tr>
      <w:tr w14:paraId="1C775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6A56051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w:t>
            </w:r>
          </w:p>
        </w:tc>
        <w:tc>
          <w:tcPr>
            <w:tcW w:w="1548" w:type="pct"/>
            <w:vAlign w:val="center"/>
          </w:tcPr>
          <w:p w14:paraId="010E515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土地出让收入（万元）</w:t>
            </w:r>
          </w:p>
        </w:tc>
        <w:tc>
          <w:tcPr>
            <w:tcW w:w="490" w:type="pct"/>
            <w:vAlign w:val="center"/>
          </w:tcPr>
          <w:p w14:paraId="1D537ED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72685.70</w:t>
            </w:r>
          </w:p>
        </w:tc>
        <w:tc>
          <w:tcPr>
            <w:tcW w:w="445" w:type="pct"/>
            <w:vAlign w:val="center"/>
          </w:tcPr>
          <w:p w14:paraId="2735470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445" w:type="pct"/>
            <w:vAlign w:val="center"/>
          </w:tcPr>
          <w:p w14:paraId="41F2F63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445" w:type="pct"/>
            <w:vAlign w:val="center"/>
          </w:tcPr>
          <w:p w14:paraId="20DC077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445" w:type="pct"/>
            <w:vAlign w:val="center"/>
          </w:tcPr>
          <w:p w14:paraId="3418196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445" w:type="pct"/>
            <w:vAlign w:val="center"/>
          </w:tcPr>
          <w:p w14:paraId="1B9474B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445" w:type="pct"/>
            <w:vAlign w:val="center"/>
          </w:tcPr>
          <w:p w14:paraId="294D7B1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r>
      <w:tr w14:paraId="3489A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29D3D45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6.1</w:t>
            </w:r>
          </w:p>
        </w:tc>
        <w:tc>
          <w:tcPr>
            <w:tcW w:w="1548" w:type="pct"/>
            <w:vAlign w:val="center"/>
          </w:tcPr>
          <w:p w14:paraId="3E8707C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商住用地出让收入（万元）</w:t>
            </w:r>
          </w:p>
        </w:tc>
        <w:tc>
          <w:tcPr>
            <w:tcW w:w="490" w:type="pct"/>
            <w:vAlign w:val="center"/>
          </w:tcPr>
          <w:p w14:paraId="5D41E07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72685.70</w:t>
            </w:r>
          </w:p>
        </w:tc>
        <w:tc>
          <w:tcPr>
            <w:tcW w:w="445" w:type="pct"/>
            <w:vAlign w:val="center"/>
          </w:tcPr>
          <w:p w14:paraId="434C1AA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9A75D1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4AA64A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7E4A18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91594B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BF797D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47CD8E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202B8CB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41C24E3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建筑面积（㎡）</w:t>
            </w:r>
          </w:p>
        </w:tc>
        <w:tc>
          <w:tcPr>
            <w:tcW w:w="490" w:type="pct"/>
            <w:vAlign w:val="center"/>
          </w:tcPr>
          <w:p w14:paraId="563FE9A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95911.00</w:t>
            </w:r>
          </w:p>
        </w:tc>
        <w:tc>
          <w:tcPr>
            <w:tcW w:w="445" w:type="pct"/>
            <w:vAlign w:val="center"/>
          </w:tcPr>
          <w:p w14:paraId="6CF46D2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80D8E0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B0E500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F20D9E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1A54906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9352B5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1D7DA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33DF327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14A0B549">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楼面价（元/㎡）</w:t>
            </w:r>
          </w:p>
        </w:tc>
        <w:tc>
          <w:tcPr>
            <w:tcW w:w="490" w:type="pct"/>
            <w:vAlign w:val="center"/>
          </w:tcPr>
          <w:p w14:paraId="74577D1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B67F2A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DD54CE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AF34DD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2FF40B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561E0F4">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06FFC6E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6A6E2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9" w:type="pct"/>
            <w:vAlign w:val="center"/>
          </w:tcPr>
          <w:p w14:paraId="78B87BB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1548" w:type="pct"/>
            <w:vAlign w:val="center"/>
          </w:tcPr>
          <w:p w14:paraId="586E3E45">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土地出让收入对应的成本</w:t>
            </w:r>
          </w:p>
        </w:tc>
        <w:tc>
          <w:tcPr>
            <w:tcW w:w="490" w:type="pct"/>
            <w:vAlign w:val="center"/>
          </w:tcPr>
          <w:p w14:paraId="1857B86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784A315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154B6D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39F75243">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601BAD5A">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20D64DC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c>
          <w:tcPr>
            <w:tcW w:w="445" w:type="pct"/>
            <w:vAlign w:val="center"/>
          </w:tcPr>
          <w:p w14:paraId="5873B83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bl>
    <w:p w14:paraId="1DA4D496">
      <w:pPr>
        <w:ind w:firstLine="640"/>
        <w:rPr>
          <w:rFonts w:ascii="仿宋_GB2312" w:eastAsia="仿宋_GB2312"/>
          <w:color w:val="auto"/>
          <w:sz w:val="32"/>
        </w:rPr>
      </w:pPr>
      <w:r>
        <w:rPr>
          <w:rFonts w:hint="eastAsia" w:ascii="仿宋_GB2312" w:eastAsia="仿宋_GB2312"/>
          <w:color w:val="auto"/>
          <w:sz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4233"/>
        <w:gridCol w:w="1340"/>
        <w:gridCol w:w="1218"/>
        <w:gridCol w:w="1219"/>
        <w:gridCol w:w="1219"/>
        <w:gridCol w:w="1219"/>
        <w:gridCol w:w="1219"/>
        <w:gridCol w:w="1219"/>
        <w:gridCol w:w="1219"/>
      </w:tblGrid>
      <w:tr w14:paraId="558540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65" w:type="pct"/>
            <w:vAlign w:val="center"/>
          </w:tcPr>
          <w:p w14:paraId="557D4403">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序号</w:t>
            </w:r>
          </w:p>
        </w:tc>
        <w:tc>
          <w:tcPr>
            <w:tcW w:w="1421" w:type="pct"/>
            <w:vAlign w:val="center"/>
          </w:tcPr>
          <w:p w14:paraId="41A7031B">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项目</w:t>
            </w:r>
          </w:p>
        </w:tc>
        <w:tc>
          <w:tcPr>
            <w:tcW w:w="450" w:type="pct"/>
            <w:vAlign w:val="center"/>
          </w:tcPr>
          <w:p w14:paraId="3F2EEF63">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合计</w:t>
            </w:r>
          </w:p>
        </w:tc>
        <w:tc>
          <w:tcPr>
            <w:tcW w:w="409" w:type="pct"/>
            <w:vAlign w:val="center"/>
          </w:tcPr>
          <w:p w14:paraId="06A274DF">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2033年</w:t>
            </w:r>
          </w:p>
        </w:tc>
        <w:tc>
          <w:tcPr>
            <w:tcW w:w="409" w:type="pct"/>
            <w:vAlign w:val="center"/>
          </w:tcPr>
          <w:p w14:paraId="216A4291">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2034年</w:t>
            </w:r>
          </w:p>
        </w:tc>
        <w:tc>
          <w:tcPr>
            <w:tcW w:w="409" w:type="pct"/>
            <w:vAlign w:val="center"/>
          </w:tcPr>
          <w:p w14:paraId="048866F5">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2035年</w:t>
            </w:r>
          </w:p>
        </w:tc>
        <w:tc>
          <w:tcPr>
            <w:tcW w:w="409" w:type="pct"/>
            <w:vAlign w:val="center"/>
          </w:tcPr>
          <w:p w14:paraId="7FE273E8">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2036年</w:t>
            </w:r>
          </w:p>
        </w:tc>
        <w:tc>
          <w:tcPr>
            <w:tcW w:w="409" w:type="pct"/>
            <w:vAlign w:val="center"/>
          </w:tcPr>
          <w:p w14:paraId="2D85803F">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2037年</w:t>
            </w:r>
          </w:p>
        </w:tc>
        <w:tc>
          <w:tcPr>
            <w:tcW w:w="409" w:type="pct"/>
            <w:vAlign w:val="center"/>
          </w:tcPr>
          <w:p w14:paraId="7595B931">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2038年</w:t>
            </w:r>
          </w:p>
        </w:tc>
        <w:tc>
          <w:tcPr>
            <w:tcW w:w="409" w:type="pct"/>
            <w:vAlign w:val="center"/>
          </w:tcPr>
          <w:p w14:paraId="0BEE7182">
            <w:pPr>
              <w:pStyle w:val="2"/>
              <w:autoSpaceDE/>
              <w:autoSpaceDN/>
              <w:adjustRightInd/>
              <w:snapToGrid/>
              <w:spacing w:line="240" w:lineRule="auto"/>
              <w:ind w:firstLine="0" w:firstLineChars="0"/>
              <w:jc w:val="center"/>
              <w:textAlignment w:val="auto"/>
              <w:rPr>
                <w:rFonts w:ascii="Times New Roman" w:hAnsi="Times New Roman" w:eastAsia="宋体"/>
                <w:b/>
                <w:color w:val="auto"/>
                <w:sz w:val="18"/>
              </w:rPr>
            </w:pPr>
            <w:r>
              <w:rPr>
                <w:rFonts w:ascii="Times New Roman" w:hAnsi="Times New Roman" w:eastAsia="宋体"/>
                <w:b/>
                <w:color w:val="auto"/>
                <w:sz w:val="18"/>
              </w:rPr>
              <w:t>2039年</w:t>
            </w:r>
          </w:p>
        </w:tc>
      </w:tr>
      <w:tr w14:paraId="36478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40831C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w:t>
            </w:r>
          </w:p>
        </w:tc>
        <w:tc>
          <w:tcPr>
            <w:tcW w:w="1421" w:type="pct"/>
            <w:vAlign w:val="center"/>
          </w:tcPr>
          <w:p w14:paraId="796ACA3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总收入(万元）</w:t>
            </w:r>
          </w:p>
        </w:tc>
        <w:tc>
          <w:tcPr>
            <w:tcW w:w="450" w:type="pct"/>
            <w:vAlign w:val="center"/>
          </w:tcPr>
          <w:p w14:paraId="10DC132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148148.22</w:t>
            </w:r>
          </w:p>
        </w:tc>
        <w:tc>
          <w:tcPr>
            <w:tcW w:w="409" w:type="pct"/>
            <w:vAlign w:val="center"/>
          </w:tcPr>
          <w:p w14:paraId="65D8303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78517.46</w:t>
            </w:r>
          </w:p>
        </w:tc>
        <w:tc>
          <w:tcPr>
            <w:tcW w:w="409" w:type="pct"/>
            <w:vAlign w:val="center"/>
          </w:tcPr>
          <w:p w14:paraId="31BE6E6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6366.75</w:t>
            </w:r>
          </w:p>
        </w:tc>
        <w:tc>
          <w:tcPr>
            <w:tcW w:w="409" w:type="pct"/>
            <w:vAlign w:val="center"/>
          </w:tcPr>
          <w:p w14:paraId="719EE0C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6366.75</w:t>
            </w:r>
          </w:p>
        </w:tc>
        <w:tc>
          <w:tcPr>
            <w:tcW w:w="409" w:type="pct"/>
            <w:vAlign w:val="center"/>
          </w:tcPr>
          <w:p w14:paraId="772301D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6366.75</w:t>
            </w:r>
          </w:p>
        </w:tc>
        <w:tc>
          <w:tcPr>
            <w:tcW w:w="409" w:type="pct"/>
            <w:vAlign w:val="center"/>
          </w:tcPr>
          <w:p w14:paraId="1509BE1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6366.75</w:t>
            </w:r>
          </w:p>
        </w:tc>
        <w:tc>
          <w:tcPr>
            <w:tcW w:w="409" w:type="pct"/>
            <w:vAlign w:val="center"/>
          </w:tcPr>
          <w:p w14:paraId="31CF3CD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6955.22</w:t>
            </w:r>
          </w:p>
        </w:tc>
        <w:tc>
          <w:tcPr>
            <w:tcW w:w="409" w:type="pct"/>
            <w:vAlign w:val="center"/>
          </w:tcPr>
          <w:p w14:paraId="765F04C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6955.22</w:t>
            </w:r>
          </w:p>
        </w:tc>
      </w:tr>
      <w:tr w14:paraId="51EAF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04721B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w:t>
            </w:r>
          </w:p>
        </w:tc>
        <w:tc>
          <w:tcPr>
            <w:tcW w:w="1421" w:type="pct"/>
            <w:vAlign w:val="center"/>
          </w:tcPr>
          <w:p w14:paraId="73E54F1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租金收入（万元）</w:t>
            </w:r>
          </w:p>
        </w:tc>
        <w:tc>
          <w:tcPr>
            <w:tcW w:w="450" w:type="pct"/>
            <w:vAlign w:val="center"/>
          </w:tcPr>
          <w:p w14:paraId="3F17BE2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10981.10</w:t>
            </w:r>
          </w:p>
        </w:tc>
        <w:tc>
          <w:tcPr>
            <w:tcW w:w="409" w:type="pct"/>
            <w:vAlign w:val="center"/>
          </w:tcPr>
          <w:p w14:paraId="0CE6E32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846.45</w:t>
            </w:r>
          </w:p>
        </w:tc>
        <w:tc>
          <w:tcPr>
            <w:tcW w:w="409" w:type="pct"/>
            <w:vAlign w:val="center"/>
          </w:tcPr>
          <w:p w14:paraId="10A5ABE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3EC0C17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03CAD87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17DDEAE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378850F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1024.20</w:t>
            </w:r>
          </w:p>
        </w:tc>
        <w:tc>
          <w:tcPr>
            <w:tcW w:w="409" w:type="pct"/>
            <w:vAlign w:val="center"/>
          </w:tcPr>
          <w:p w14:paraId="0396F96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1024.20</w:t>
            </w:r>
          </w:p>
        </w:tc>
      </w:tr>
      <w:tr w14:paraId="0A8591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E1D393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02296F7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出租率</w:t>
            </w:r>
          </w:p>
        </w:tc>
        <w:tc>
          <w:tcPr>
            <w:tcW w:w="450" w:type="pct"/>
            <w:vAlign w:val="center"/>
          </w:tcPr>
          <w:p w14:paraId="0AA6ED3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0E6686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623F8AE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3AC08E8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08284C8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0D0D749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583ECDF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7C70B2B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r>
      <w:tr w14:paraId="5BF1A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131150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130055D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租金涨幅</w:t>
            </w:r>
          </w:p>
        </w:tc>
        <w:tc>
          <w:tcPr>
            <w:tcW w:w="450" w:type="pct"/>
            <w:vAlign w:val="center"/>
          </w:tcPr>
          <w:p w14:paraId="0EEA81C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580C91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8AF5A7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0A2F2CC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ED6819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635BAB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649084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5ACF40B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55F879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60F806F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2.1</w:t>
            </w:r>
          </w:p>
        </w:tc>
        <w:tc>
          <w:tcPr>
            <w:tcW w:w="1421" w:type="pct"/>
            <w:vAlign w:val="center"/>
          </w:tcPr>
          <w:p w14:paraId="263053C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产业配套服务中心租金收入（万元）</w:t>
            </w:r>
          </w:p>
        </w:tc>
        <w:tc>
          <w:tcPr>
            <w:tcW w:w="450" w:type="pct"/>
            <w:vAlign w:val="center"/>
          </w:tcPr>
          <w:p w14:paraId="270BB50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10981.10</w:t>
            </w:r>
          </w:p>
        </w:tc>
        <w:tc>
          <w:tcPr>
            <w:tcW w:w="409" w:type="pct"/>
            <w:vAlign w:val="center"/>
          </w:tcPr>
          <w:p w14:paraId="072D2B1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846.45</w:t>
            </w:r>
          </w:p>
        </w:tc>
        <w:tc>
          <w:tcPr>
            <w:tcW w:w="409" w:type="pct"/>
            <w:vAlign w:val="center"/>
          </w:tcPr>
          <w:p w14:paraId="6ADB88E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03207E9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10A5D50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44EB3E4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931.10</w:t>
            </w:r>
          </w:p>
        </w:tc>
        <w:tc>
          <w:tcPr>
            <w:tcW w:w="409" w:type="pct"/>
            <w:vAlign w:val="center"/>
          </w:tcPr>
          <w:p w14:paraId="0FC0D92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1024.20</w:t>
            </w:r>
          </w:p>
        </w:tc>
        <w:tc>
          <w:tcPr>
            <w:tcW w:w="409" w:type="pct"/>
            <w:vAlign w:val="center"/>
          </w:tcPr>
          <w:p w14:paraId="745758D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1024.20</w:t>
            </w:r>
          </w:p>
        </w:tc>
      </w:tr>
      <w:tr w14:paraId="29FBB3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8493AF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6C67317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出租面积（㎡）</w:t>
            </w:r>
          </w:p>
        </w:tc>
        <w:tc>
          <w:tcPr>
            <w:tcW w:w="450" w:type="pct"/>
            <w:vAlign w:val="center"/>
          </w:tcPr>
          <w:p w14:paraId="4DE1EDC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F6D0BF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457106E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1C22B5A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7A9F39B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49769D0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6672737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c>
          <w:tcPr>
            <w:tcW w:w="409" w:type="pct"/>
            <w:vAlign w:val="center"/>
          </w:tcPr>
          <w:p w14:paraId="4FC3EA2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15000.00</w:t>
            </w:r>
          </w:p>
        </w:tc>
      </w:tr>
      <w:tr w14:paraId="2A606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828492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7C8AAF6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每月租金（元/㎡）</w:t>
            </w:r>
          </w:p>
        </w:tc>
        <w:tc>
          <w:tcPr>
            <w:tcW w:w="450" w:type="pct"/>
            <w:vAlign w:val="center"/>
          </w:tcPr>
          <w:p w14:paraId="6F77437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D64895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49.50</w:t>
            </w:r>
          </w:p>
        </w:tc>
        <w:tc>
          <w:tcPr>
            <w:tcW w:w="409" w:type="pct"/>
            <w:vAlign w:val="center"/>
          </w:tcPr>
          <w:p w14:paraId="24F5CFB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54.45</w:t>
            </w:r>
          </w:p>
        </w:tc>
        <w:tc>
          <w:tcPr>
            <w:tcW w:w="409" w:type="pct"/>
            <w:vAlign w:val="center"/>
          </w:tcPr>
          <w:p w14:paraId="052E2B5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54.45</w:t>
            </w:r>
          </w:p>
        </w:tc>
        <w:tc>
          <w:tcPr>
            <w:tcW w:w="409" w:type="pct"/>
            <w:vAlign w:val="center"/>
          </w:tcPr>
          <w:p w14:paraId="5740B71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54.45</w:t>
            </w:r>
          </w:p>
        </w:tc>
        <w:tc>
          <w:tcPr>
            <w:tcW w:w="409" w:type="pct"/>
            <w:vAlign w:val="center"/>
          </w:tcPr>
          <w:p w14:paraId="68BCC01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54.45</w:t>
            </w:r>
          </w:p>
        </w:tc>
        <w:tc>
          <w:tcPr>
            <w:tcW w:w="409" w:type="pct"/>
            <w:vAlign w:val="center"/>
          </w:tcPr>
          <w:p w14:paraId="2C21872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59.90</w:t>
            </w:r>
          </w:p>
        </w:tc>
        <w:tc>
          <w:tcPr>
            <w:tcW w:w="409" w:type="pct"/>
            <w:vAlign w:val="center"/>
          </w:tcPr>
          <w:p w14:paraId="1D49918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59.90</w:t>
            </w:r>
          </w:p>
        </w:tc>
      </w:tr>
      <w:tr w14:paraId="1BF54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5028207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1421" w:type="pct"/>
            <w:vAlign w:val="center"/>
          </w:tcPr>
          <w:p w14:paraId="2E72422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停车位收入（万元）</w:t>
            </w:r>
          </w:p>
        </w:tc>
        <w:tc>
          <w:tcPr>
            <w:tcW w:w="450" w:type="pct"/>
            <w:vAlign w:val="center"/>
          </w:tcPr>
          <w:p w14:paraId="7061CD7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56389.06</w:t>
            </w:r>
          </w:p>
        </w:tc>
        <w:tc>
          <w:tcPr>
            <w:tcW w:w="409" w:type="pct"/>
            <w:vAlign w:val="center"/>
          </w:tcPr>
          <w:p w14:paraId="7313C6C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4346.61</w:t>
            </w:r>
          </w:p>
        </w:tc>
        <w:tc>
          <w:tcPr>
            <w:tcW w:w="409" w:type="pct"/>
            <w:vAlign w:val="center"/>
          </w:tcPr>
          <w:p w14:paraId="58BEF42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4781.27</w:t>
            </w:r>
          </w:p>
        </w:tc>
        <w:tc>
          <w:tcPr>
            <w:tcW w:w="409" w:type="pct"/>
            <w:vAlign w:val="center"/>
          </w:tcPr>
          <w:p w14:paraId="30A946D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4781.27</w:t>
            </w:r>
          </w:p>
        </w:tc>
        <w:tc>
          <w:tcPr>
            <w:tcW w:w="409" w:type="pct"/>
            <w:vAlign w:val="center"/>
          </w:tcPr>
          <w:p w14:paraId="6910B68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4781.27</w:t>
            </w:r>
          </w:p>
        </w:tc>
        <w:tc>
          <w:tcPr>
            <w:tcW w:w="409" w:type="pct"/>
            <w:vAlign w:val="center"/>
          </w:tcPr>
          <w:p w14:paraId="4137008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4781.27</w:t>
            </w:r>
          </w:p>
        </w:tc>
        <w:tc>
          <w:tcPr>
            <w:tcW w:w="409" w:type="pct"/>
            <w:vAlign w:val="center"/>
          </w:tcPr>
          <w:p w14:paraId="761C30A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5259.40</w:t>
            </w:r>
          </w:p>
        </w:tc>
        <w:tc>
          <w:tcPr>
            <w:tcW w:w="409" w:type="pct"/>
            <w:vAlign w:val="center"/>
          </w:tcPr>
          <w:p w14:paraId="328463C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5259.40</w:t>
            </w:r>
          </w:p>
        </w:tc>
      </w:tr>
      <w:tr w14:paraId="32841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2AEB4F1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3.1</w:t>
            </w:r>
          </w:p>
        </w:tc>
        <w:tc>
          <w:tcPr>
            <w:tcW w:w="1421" w:type="pct"/>
            <w:vAlign w:val="center"/>
          </w:tcPr>
          <w:p w14:paraId="2046D0F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停车场收入（万元）</w:t>
            </w:r>
          </w:p>
        </w:tc>
        <w:tc>
          <w:tcPr>
            <w:tcW w:w="450" w:type="pct"/>
            <w:vAlign w:val="center"/>
          </w:tcPr>
          <w:p w14:paraId="57CC88B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8052.78</w:t>
            </w:r>
          </w:p>
        </w:tc>
        <w:tc>
          <w:tcPr>
            <w:tcW w:w="409" w:type="pct"/>
            <w:vAlign w:val="center"/>
          </w:tcPr>
          <w:p w14:paraId="5CA602F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620.73</w:t>
            </w:r>
          </w:p>
        </w:tc>
        <w:tc>
          <w:tcPr>
            <w:tcW w:w="409" w:type="pct"/>
            <w:vAlign w:val="center"/>
          </w:tcPr>
          <w:p w14:paraId="67CD7F5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682.80</w:t>
            </w:r>
          </w:p>
        </w:tc>
        <w:tc>
          <w:tcPr>
            <w:tcW w:w="409" w:type="pct"/>
            <w:vAlign w:val="center"/>
          </w:tcPr>
          <w:p w14:paraId="519A5DB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682.80</w:t>
            </w:r>
          </w:p>
        </w:tc>
        <w:tc>
          <w:tcPr>
            <w:tcW w:w="409" w:type="pct"/>
            <w:vAlign w:val="center"/>
          </w:tcPr>
          <w:p w14:paraId="2A09B85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682.80</w:t>
            </w:r>
          </w:p>
        </w:tc>
        <w:tc>
          <w:tcPr>
            <w:tcW w:w="409" w:type="pct"/>
            <w:vAlign w:val="center"/>
          </w:tcPr>
          <w:p w14:paraId="51F1449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682.80</w:t>
            </w:r>
          </w:p>
        </w:tc>
        <w:tc>
          <w:tcPr>
            <w:tcW w:w="409" w:type="pct"/>
            <w:vAlign w:val="center"/>
          </w:tcPr>
          <w:p w14:paraId="2FE1E33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751.08</w:t>
            </w:r>
          </w:p>
        </w:tc>
        <w:tc>
          <w:tcPr>
            <w:tcW w:w="409" w:type="pct"/>
            <w:vAlign w:val="center"/>
          </w:tcPr>
          <w:p w14:paraId="07D5DCC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751.08</w:t>
            </w:r>
          </w:p>
        </w:tc>
      </w:tr>
      <w:tr w14:paraId="2CEFDA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0FE2ED8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0FBFB3E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停车位数量（个）</w:t>
            </w:r>
          </w:p>
        </w:tc>
        <w:tc>
          <w:tcPr>
            <w:tcW w:w="450" w:type="pct"/>
            <w:vAlign w:val="center"/>
          </w:tcPr>
          <w:p w14:paraId="4866816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F7F6BB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76542BC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161FC15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5B48F6D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1932F7A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53531E6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c>
          <w:tcPr>
            <w:tcW w:w="409" w:type="pct"/>
            <w:vAlign w:val="center"/>
          </w:tcPr>
          <w:p w14:paraId="36C133E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550</w:t>
            </w:r>
          </w:p>
        </w:tc>
      </w:tr>
      <w:tr w14:paraId="00C3D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089FA28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6F2A9F9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每次收费（元/次）</w:t>
            </w:r>
          </w:p>
        </w:tc>
        <w:tc>
          <w:tcPr>
            <w:tcW w:w="450" w:type="pct"/>
            <w:vAlign w:val="center"/>
          </w:tcPr>
          <w:p w14:paraId="5139EE9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683560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11.00</w:t>
            </w:r>
          </w:p>
        </w:tc>
        <w:tc>
          <w:tcPr>
            <w:tcW w:w="409" w:type="pct"/>
            <w:vAlign w:val="center"/>
          </w:tcPr>
          <w:p w14:paraId="6786FF7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12.10</w:t>
            </w:r>
          </w:p>
        </w:tc>
        <w:tc>
          <w:tcPr>
            <w:tcW w:w="409" w:type="pct"/>
            <w:vAlign w:val="center"/>
          </w:tcPr>
          <w:p w14:paraId="41042EC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12.10</w:t>
            </w:r>
          </w:p>
        </w:tc>
        <w:tc>
          <w:tcPr>
            <w:tcW w:w="409" w:type="pct"/>
            <w:vAlign w:val="center"/>
          </w:tcPr>
          <w:p w14:paraId="5884913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12.10</w:t>
            </w:r>
          </w:p>
        </w:tc>
        <w:tc>
          <w:tcPr>
            <w:tcW w:w="409" w:type="pct"/>
            <w:vAlign w:val="center"/>
          </w:tcPr>
          <w:p w14:paraId="70C3D8E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12.10</w:t>
            </w:r>
          </w:p>
        </w:tc>
        <w:tc>
          <w:tcPr>
            <w:tcW w:w="409" w:type="pct"/>
            <w:vAlign w:val="center"/>
          </w:tcPr>
          <w:p w14:paraId="2464DB4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13.31</w:t>
            </w:r>
          </w:p>
        </w:tc>
        <w:tc>
          <w:tcPr>
            <w:tcW w:w="409" w:type="pct"/>
            <w:vAlign w:val="center"/>
          </w:tcPr>
          <w:p w14:paraId="4C3DFA9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13.31</w:t>
            </w:r>
          </w:p>
        </w:tc>
      </w:tr>
      <w:tr w14:paraId="2A0CC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486C6D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71860EC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每日周转次数</w:t>
            </w:r>
          </w:p>
        </w:tc>
        <w:tc>
          <w:tcPr>
            <w:tcW w:w="450" w:type="pct"/>
            <w:vAlign w:val="center"/>
          </w:tcPr>
          <w:p w14:paraId="3EF0C46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5AC59F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300561A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5980319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25FB333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30E98CA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0AC5557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4F6D2AB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r>
      <w:tr w14:paraId="3396F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792B35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61F6BE7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使用率</w:t>
            </w:r>
          </w:p>
        </w:tc>
        <w:tc>
          <w:tcPr>
            <w:tcW w:w="450" w:type="pct"/>
            <w:vAlign w:val="center"/>
          </w:tcPr>
          <w:p w14:paraId="51F5950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561FC9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2B22F8C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77AFBE2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2C1F4E7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4811F2C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739BF4C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4109E4A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r>
      <w:tr w14:paraId="278B5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10A4A3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42CE836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收费涨幅</w:t>
            </w:r>
          </w:p>
        </w:tc>
        <w:tc>
          <w:tcPr>
            <w:tcW w:w="450" w:type="pct"/>
            <w:vAlign w:val="center"/>
          </w:tcPr>
          <w:p w14:paraId="0793518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9AB2C0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6C460F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66C95A9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5A64CB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7DA093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2A0125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41EC768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534AEC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2699B22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3.2</w:t>
            </w:r>
          </w:p>
        </w:tc>
        <w:tc>
          <w:tcPr>
            <w:tcW w:w="1421" w:type="pct"/>
            <w:vAlign w:val="center"/>
          </w:tcPr>
          <w:p w14:paraId="7154575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路边临时泊位收入（万元）</w:t>
            </w:r>
          </w:p>
        </w:tc>
        <w:tc>
          <w:tcPr>
            <w:tcW w:w="450" w:type="pct"/>
            <w:vAlign w:val="center"/>
          </w:tcPr>
          <w:p w14:paraId="4BA8526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48336.28</w:t>
            </w:r>
          </w:p>
        </w:tc>
        <w:tc>
          <w:tcPr>
            <w:tcW w:w="409" w:type="pct"/>
            <w:vAlign w:val="center"/>
          </w:tcPr>
          <w:p w14:paraId="136E9F3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3725.88</w:t>
            </w:r>
          </w:p>
        </w:tc>
        <w:tc>
          <w:tcPr>
            <w:tcW w:w="409" w:type="pct"/>
            <w:vAlign w:val="center"/>
          </w:tcPr>
          <w:p w14:paraId="15DF2B1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4098.47</w:t>
            </w:r>
          </w:p>
        </w:tc>
        <w:tc>
          <w:tcPr>
            <w:tcW w:w="409" w:type="pct"/>
            <w:vAlign w:val="center"/>
          </w:tcPr>
          <w:p w14:paraId="2D84117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4098.47</w:t>
            </w:r>
          </w:p>
        </w:tc>
        <w:tc>
          <w:tcPr>
            <w:tcW w:w="409" w:type="pct"/>
            <w:vAlign w:val="center"/>
          </w:tcPr>
          <w:p w14:paraId="3E9E66A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4098.47</w:t>
            </w:r>
          </w:p>
        </w:tc>
        <w:tc>
          <w:tcPr>
            <w:tcW w:w="409" w:type="pct"/>
            <w:vAlign w:val="center"/>
          </w:tcPr>
          <w:p w14:paraId="5DD51AD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4098.47</w:t>
            </w:r>
          </w:p>
        </w:tc>
        <w:tc>
          <w:tcPr>
            <w:tcW w:w="409" w:type="pct"/>
            <w:vAlign w:val="center"/>
          </w:tcPr>
          <w:p w14:paraId="5374765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4508.32</w:t>
            </w:r>
          </w:p>
        </w:tc>
        <w:tc>
          <w:tcPr>
            <w:tcW w:w="409" w:type="pct"/>
            <w:vAlign w:val="center"/>
          </w:tcPr>
          <w:p w14:paraId="35ECAA3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4508.32</w:t>
            </w:r>
          </w:p>
        </w:tc>
      </w:tr>
      <w:tr w14:paraId="215B22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C535F4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257AF3F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停车位数量（个）</w:t>
            </w:r>
          </w:p>
        </w:tc>
        <w:tc>
          <w:tcPr>
            <w:tcW w:w="450" w:type="pct"/>
            <w:vAlign w:val="center"/>
          </w:tcPr>
          <w:p w14:paraId="78EE4E8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9477E4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76C4B06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72B133B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131ADA7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083BC40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77DAF36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c>
          <w:tcPr>
            <w:tcW w:w="409" w:type="pct"/>
            <w:vAlign w:val="center"/>
          </w:tcPr>
          <w:p w14:paraId="25B8106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2476</w:t>
            </w:r>
          </w:p>
        </w:tc>
      </w:tr>
      <w:tr w14:paraId="1818F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041C11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35998CD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每天收费（元/天）</w:t>
            </w:r>
          </w:p>
        </w:tc>
        <w:tc>
          <w:tcPr>
            <w:tcW w:w="450" w:type="pct"/>
            <w:vAlign w:val="center"/>
          </w:tcPr>
          <w:p w14:paraId="5EBDB74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F2CF31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44.00</w:t>
            </w:r>
          </w:p>
        </w:tc>
        <w:tc>
          <w:tcPr>
            <w:tcW w:w="409" w:type="pct"/>
            <w:vAlign w:val="center"/>
          </w:tcPr>
          <w:p w14:paraId="6A767A1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48.40</w:t>
            </w:r>
          </w:p>
        </w:tc>
        <w:tc>
          <w:tcPr>
            <w:tcW w:w="409" w:type="pct"/>
            <w:vAlign w:val="center"/>
          </w:tcPr>
          <w:p w14:paraId="5E36C22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48.40</w:t>
            </w:r>
          </w:p>
        </w:tc>
        <w:tc>
          <w:tcPr>
            <w:tcW w:w="409" w:type="pct"/>
            <w:vAlign w:val="center"/>
          </w:tcPr>
          <w:p w14:paraId="75C377C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48.40</w:t>
            </w:r>
          </w:p>
        </w:tc>
        <w:tc>
          <w:tcPr>
            <w:tcW w:w="409" w:type="pct"/>
            <w:vAlign w:val="center"/>
          </w:tcPr>
          <w:p w14:paraId="66D637A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48.40</w:t>
            </w:r>
          </w:p>
        </w:tc>
        <w:tc>
          <w:tcPr>
            <w:tcW w:w="409" w:type="pct"/>
            <w:vAlign w:val="center"/>
          </w:tcPr>
          <w:p w14:paraId="4321C3F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53.24</w:t>
            </w:r>
          </w:p>
        </w:tc>
        <w:tc>
          <w:tcPr>
            <w:tcW w:w="409" w:type="pct"/>
            <w:vAlign w:val="center"/>
          </w:tcPr>
          <w:p w14:paraId="0168448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53.24</w:t>
            </w:r>
          </w:p>
        </w:tc>
      </w:tr>
      <w:tr w14:paraId="7827E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11DFB57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4E41B37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使用率</w:t>
            </w:r>
          </w:p>
        </w:tc>
        <w:tc>
          <w:tcPr>
            <w:tcW w:w="450" w:type="pct"/>
            <w:vAlign w:val="center"/>
          </w:tcPr>
          <w:p w14:paraId="498ECFE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6C9E5A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0A7ADA6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261992D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3E23DBE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00B8594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3B44E3C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5CE27ED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r>
      <w:tr w14:paraId="5F93A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2DFFEE8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4E6FB7F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收费涨幅</w:t>
            </w:r>
          </w:p>
        </w:tc>
        <w:tc>
          <w:tcPr>
            <w:tcW w:w="450" w:type="pct"/>
            <w:vAlign w:val="center"/>
          </w:tcPr>
          <w:p w14:paraId="2EF08A2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CF06F0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EDF50B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2828E7D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4529E4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09024E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4E564F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0F5F8C3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30018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DE9C23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w:t>
            </w:r>
          </w:p>
        </w:tc>
        <w:tc>
          <w:tcPr>
            <w:tcW w:w="1421" w:type="pct"/>
            <w:vAlign w:val="center"/>
          </w:tcPr>
          <w:p w14:paraId="4BCC58C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充电桩服务费收入（万元）</w:t>
            </w:r>
          </w:p>
        </w:tc>
        <w:tc>
          <w:tcPr>
            <w:tcW w:w="450" w:type="pct"/>
            <w:vAlign w:val="center"/>
          </w:tcPr>
          <w:p w14:paraId="7977796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6058.80</w:t>
            </w:r>
          </w:p>
        </w:tc>
        <w:tc>
          <w:tcPr>
            <w:tcW w:w="409" w:type="pct"/>
            <w:vAlign w:val="center"/>
          </w:tcPr>
          <w:p w14:paraId="77784DF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5D53BA6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7022A16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7B97287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70F91A4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1F70F72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c>
          <w:tcPr>
            <w:tcW w:w="409" w:type="pct"/>
            <w:vAlign w:val="center"/>
          </w:tcPr>
          <w:p w14:paraId="4BC7187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481.95</w:t>
            </w:r>
          </w:p>
        </w:tc>
      </w:tr>
      <w:tr w14:paraId="2ACF2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6EB034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40E9BC9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快充充电桩数量(个)</w:t>
            </w:r>
          </w:p>
        </w:tc>
        <w:tc>
          <w:tcPr>
            <w:tcW w:w="450" w:type="pct"/>
            <w:vAlign w:val="center"/>
          </w:tcPr>
          <w:p w14:paraId="61F3F79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76E51C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0E44AED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7BF43CA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63C6D41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5DC43E7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4C9D449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c>
          <w:tcPr>
            <w:tcW w:w="409" w:type="pct"/>
            <w:vAlign w:val="center"/>
          </w:tcPr>
          <w:p w14:paraId="485CCA7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300</w:t>
            </w:r>
          </w:p>
        </w:tc>
      </w:tr>
      <w:tr w14:paraId="35899B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67402EE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245505C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快充充电桩每日充电次数</w:t>
            </w:r>
          </w:p>
        </w:tc>
        <w:tc>
          <w:tcPr>
            <w:tcW w:w="450" w:type="pct"/>
            <w:vAlign w:val="center"/>
          </w:tcPr>
          <w:p w14:paraId="6CCB684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26D36F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42E2E8F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161024E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046444E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15B31D7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137F35A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c>
          <w:tcPr>
            <w:tcW w:w="409" w:type="pct"/>
            <w:vAlign w:val="center"/>
          </w:tcPr>
          <w:p w14:paraId="1239269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w:t>
            </w:r>
          </w:p>
        </w:tc>
      </w:tr>
      <w:tr w14:paraId="1084D3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B0C921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2C4E3C1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每次充电量（kwh）</w:t>
            </w:r>
          </w:p>
        </w:tc>
        <w:tc>
          <w:tcPr>
            <w:tcW w:w="450" w:type="pct"/>
            <w:vAlign w:val="center"/>
          </w:tcPr>
          <w:p w14:paraId="5063812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45E0C8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7714928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6B472BC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246825A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4A782FF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7FD5AD9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c>
          <w:tcPr>
            <w:tcW w:w="409" w:type="pct"/>
            <w:vAlign w:val="center"/>
          </w:tcPr>
          <w:p w14:paraId="43723C6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45.00</w:t>
            </w:r>
          </w:p>
        </w:tc>
      </w:tr>
      <w:tr w14:paraId="38EDFA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52BB4DE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76A86DC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充电服务费单价（元/kwh）</w:t>
            </w:r>
          </w:p>
        </w:tc>
        <w:tc>
          <w:tcPr>
            <w:tcW w:w="450" w:type="pct"/>
            <w:vAlign w:val="center"/>
          </w:tcPr>
          <w:p w14:paraId="3687995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B11C3B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438E370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41E1981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0694FCC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1CB153C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59E6CC3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c>
          <w:tcPr>
            <w:tcW w:w="409" w:type="pct"/>
            <w:vAlign w:val="center"/>
          </w:tcPr>
          <w:p w14:paraId="0634F6D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0.50</w:t>
            </w:r>
          </w:p>
        </w:tc>
      </w:tr>
      <w:tr w14:paraId="63D21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1CA593C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172249A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使用率</w:t>
            </w:r>
          </w:p>
        </w:tc>
        <w:tc>
          <w:tcPr>
            <w:tcW w:w="450" w:type="pct"/>
            <w:vAlign w:val="center"/>
          </w:tcPr>
          <w:p w14:paraId="19704CC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43E689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693EBA0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2673643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33D8DC1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217F273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2610DEF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c>
          <w:tcPr>
            <w:tcW w:w="409" w:type="pct"/>
            <w:vAlign w:val="center"/>
          </w:tcPr>
          <w:p w14:paraId="7046B67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70.00%</w:t>
            </w:r>
          </w:p>
        </w:tc>
      </w:tr>
      <w:tr w14:paraId="250D0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0D05805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2719770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年运营天数（天）</w:t>
            </w:r>
          </w:p>
        </w:tc>
        <w:tc>
          <w:tcPr>
            <w:tcW w:w="450" w:type="pct"/>
            <w:vAlign w:val="center"/>
          </w:tcPr>
          <w:p w14:paraId="16F71C5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106C0D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1B2101C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5C4CF01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0EA2F42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1C7C46B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66B0D0A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c>
          <w:tcPr>
            <w:tcW w:w="409" w:type="pct"/>
            <w:vAlign w:val="center"/>
          </w:tcPr>
          <w:p w14:paraId="2842C85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340.00</w:t>
            </w:r>
          </w:p>
        </w:tc>
      </w:tr>
      <w:tr w14:paraId="5D902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007C093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w:t>
            </w:r>
          </w:p>
        </w:tc>
        <w:tc>
          <w:tcPr>
            <w:tcW w:w="1421" w:type="pct"/>
            <w:vAlign w:val="center"/>
          </w:tcPr>
          <w:p w14:paraId="3179B0A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广告位收入（万元）</w:t>
            </w:r>
          </w:p>
        </w:tc>
        <w:tc>
          <w:tcPr>
            <w:tcW w:w="450" w:type="pct"/>
            <w:vAlign w:val="center"/>
          </w:tcPr>
          <w:p w14:paraId="247A1F2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2033.56</w:t>
            </w:r>
          </w:p>
        </w:tc>
        <w:tc>
          <w:tcPr>
            <w:tcW w:w="409" w:type="pct"/>
            <w:vAlign w:val="center"/>
          </w:tcPr>
          <w:p w14:paraId="7C09FA8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156.75</w:t>
            </w:r>
          </w:p>
        </w:tc>
        <w:tc>
          <w:tcPr>
            <w:tcW w:w="409" w:type="pct"/>
            <w:vAlign w:val="center"/>
          </w:tcPr>
          <w:p w14:paraId="25DC65E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133DCC7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44D90B7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559A2DE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16DF9D9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189.67</w:t>
            </w:r>
          </w:p>
        </w:tc>
        <w:tc>
          <w:tcPr>
            <w:tcW w:w="409" w:type="pct"/>
            <w:vAlign w:val="center"/>
          </w:tcPr>
          <w:p w14:paraId="1BAD2C7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189.67</w:t>
            </w:r>
          </w:p>
        </w:tc>
      </w:tr>
      <w:tr w14:paraId="3595A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EEFE4E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542D320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出租率</w:t>
            </w:r>
          </w:p>
        </w:tc>
        <w:tc>
          <w:tcPr>
            <w:tcW w:w="450" w:type="pct"/>
            <w:vAlign w:val="center"/>
          </w:tcPr>
          <w:p w14:paraId="64E62F8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DB961B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7BE5D0D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3A89A69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4DC8CAA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2B12E2F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0E9A4BC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c>
          <w:tcPr>
            <w:tcW w:w="409" w:type="pct"/>
            <w:vAlign w:val="center"/>
          </w:tcPr>
          <w:p w14:paraId="505A5C5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95.00%</w:t>
            </w:r>
          </w:p>
        </w:tc>
      </w:tr>
      <w:tr w14:paraId="40DDB9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8FF455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0414C5A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租金涨幅</w:t>
            </w:r>
          </w:p>
        </w:tc>
        <w:tc>
          <w:tcPr>
            <w:tcW w:w="450" w:type="pct"/>
            <w:vAlign w:val="center"/>
          </w:tcPr>
          <w:p w14:paraId="2BEF220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FF8831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BCAC7F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3D659C0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E1EAD5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9EC369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5F85A2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10.00%</w:t>
            </w:r>
          </w:p>
        </w:tc>
        <w:tc>
          <w:tcPr>
            <w:tcW w:w="409" w:type="pct"/>
            <w:vAlign w:val="center"/>
          </w:tcPr>
          <w:p w14:paraId="53A6CB9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66714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152316B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5.1</w:t>
            </w:r>
          </w:p>
        </w:tc>
        <w:tc>
          <w:tcPr>
            <w:tcW w:w="1421" w:type="pct"/>
            <w:vAlign w:val="center"/>
          </w:tcPr>
          <w:p w14:paraId="7E2AED1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广告位租金收入（万元）</w:t>
            </w:r>
          </w:p>
        </w:tc>
        <w:tc>
          <w:tcPr>
            <w:tcW w:w="450" w:type="pct"/>
            <w:vAlign w:val="center"/>
          </w:tcPr>
          <w:p w14:paraId="4FD6E5F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2033.56</w:t>
            </w:r>
          </w:p>
        </w:tc>
        <w:tc>
          <w:tcPr>
            <w:tcW w:w="409" w:type="pct"/>
            <w:vAlign w:val="center"/>
          </w:tcPr>
          <w:p w14:paraId="024242A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156.75</w:t>
            </w:r>
          </w:p>
        </w:tc>
        <w:tc>
          <w:tcPr>
            <w:tcW w:w="409" w:type="pct"/>
            <w:vAlign w:val="center"/>
          </w:tcPr>
          <w:p w14:paraId="4304B4E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269DA5E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08F2ED3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6A83C77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172.43</w:t>
            </w:r>
          </w:p>
        </w:tc>
        <w:tc>
          <w:tcPr>
            <w:tcW w:w="409" w:type="pct"/>
            <w:vAlign w:val="center"/>
          </w:tcPr>
          <w:p w14:paraId="5C8955E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189.67</w:t>
            </w:r>
          </w:p>
        </w:tc>
        <w:tc>
          <w:tcPr>
            <w:tcW w:w="409" w:type="pct"/>
            <w:vAlign w:val="center"/>
          </w:tcPr>
          <w:p w14:paraId="1BB0BDE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189.67</w:t>
            </w:r>
          </w:p>
        </w:tc>
      </w:tr>
      <w:tr w14:paraId="394DA9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22CF7B3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0CB5F44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广告位数量（个）</w:t>
            </w:r>
          </w:p>
        </w:tc>
        <w:tc>
          <w:tcPr>
            <w:tcW w:w="450" w:type="pct"/>
            <w:vAlign w:val="center"/>
          </w:tcPr>
          <w:p w14:paraId="3B68E35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1E760F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6480D3E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3D4F1B4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1ED5D65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0C8BE0B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6D3930B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c>
          <w:tcPr>
            <w:tcW w:w="409" w:type="pct"/>
            <w:vAlign w:val="center"/>
          </w:tcPr>
          <w:p w14:paraId="460E9A9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500</w:t>
            </w:r>
          </w:p>
        </w:tc>
      </w:tr>
      <w:tr w14:paraId="682FF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7368119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7A775A1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月租金标准（元/个）</w:t>
            </w:r>
          </w:p>
        </w:tc>
        <w:tc>
          <w:tcPr>
            <w:tcW w:w="450" w:type="pct"/>
            <w:vAlign w:val="center"/>
          </w:tcPr>
          <w:p w14:paraId="4FC72F6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771FAD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275.00</w:t>
            </w:r>
          </w:p>
        </w:tc>
        <w:tc>
          <w:tcPr>
            <w:tcW w:w="409" w:type="pct"/>
            <w:vAlign w:val="center"/>
          </w:tcPr>
          <w:p w14:paraId="5AB149C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302.50</w:t>
            </w:r>
          </w:p>
        </w:tc>
        <w:tc>
          <w:tcPr>
            <w:tcW w:w="409" w:type="pct"/>
            <w:vAlign w:val="center"/>
          </w:tcPr>
          <w:p w14:paraId="5E67FCD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302.50</w:t>
            </w:r>
          </w:p>
        </w:tc>
        <w:tc>
          <w:tcPr>
            <w:tcW w:w="409" w:type="pct"/>
            <w:vAlign w:val="center"/>
          </w:tcPr>
          <w:p w14:paraId="565B514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302.50</w:t>
            </w:r>
          </w:p>
        </w:tc>
        <w:tc>
          <w:tcPr>
            <w:tcW w:w="409" w:type="pct"/>
            <w:vAlign w:val="center"/>
          </w:tcPr>
          <w:p w14:paraId="084A82E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302.50</w:t>
            </w:r>
          </w:p>
        </w:tc>
        <w:tc>
          <w:tcPr>
            <w:tcW w:w="409" w:type="pct"/>
            <w:vAlign w:val="center"/>
          </w:tcPr>
          <w:p w14:paraId="2D8C13B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332.75</w:t>
            </w:r>
          </w:p>
        </w:tc>
        <w:tc>
          <w:tcPr>
            <w:tcW w:w="409" w:type="pct"/>
            <w:vAlign w:val="center"/>
          </w:tcPr>
          <w:p w14:paraId="71DDE1E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332.75</w:t>
            </w:r>
          </w:p>
        </w:tc>
      </w:tr>
      <w:tr w14:paraId="1F6DB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140188C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w:t>
            </w:r>
          </w:p>
        </w:tc>
        <w:tc>
          <w:tcPr>
            <w:tcW w:w="1421" w:type="pct"/>
            <w:vAlign w:val="center"/>
          </w:tcPr>
          <w:p w14:paraId="19E836D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土地出让收入（万元）</w:t>
            </w:r>
          </w:p>
        </w:tc>
        <w:tc>
          <w:tcPr>
            <w:tcW w:w="450" w:type="pct"/>
            <w:vAlign w:val="center"/>
          </w:tcPr>
          <w:p w14:paraId="7C8DCBE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72685.70</w:t>
            </w:r>
          </w:p>
        </w:tc>
        <w:tc>
          <w:tcPr>
            <w:tcW w:w="409" w:type="pct"/>
            <w:vAlign w:val="center"/>
          </w:tcPr>
          <w:p w14:paraId="66D4FE7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72685.70</w:t>
            </w:r>
          </w:p>
        </w:tc>
        <w:tc>
          <w:tcPr>
            <w:tcW w:w="409" w:type="pct"/>
            <w:vAlign w:val="center"/>
          </w:tcPr>
          <w:p w14:paraId="1432097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c>
          <w:tcPr>
            <w:tcW w:w="409" w:type="pct"/>
            <w:vAlign w:val="center"/>
          </w:tcPr>
          <w:p w14:paraId="5EA31BC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c>
          <w:tcPr>
            <w:tcW w:w="409" w:type="pct"/>
            <w:vAlign w:val="center"/>
          </w:tcPr>
          <w:p w14:paraId="326EC9C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c>
          <w:tcPr>
            <w:tcW w:w="409" w:type="pct"/>
            <w:vAlign w:val="center"/>
          </w:tcPr>
          <w:p w14:paraId="5F3F177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c>
          <w:tcPr>
            <w:tcW w:w="409" w:type="pct"/>
            <w:vAlign w:val="center"/>
          </w:tcPr>
          <w:p w14:paraId="1273A04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c>
          <w:tcPr>
            <w:tcW w:w="409" w:type="pct"/>
            <w:vAlign w:val="center"/>
          </w:tcPr>
          <w:p w14:paraId="78D85CD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0.00</w:t>
            </w:r>
          </w:p>
        </w:tc>
      </w:tr>
      <w:tr w14:paraId="71008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E3B1FB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6.1</w:t>
            </w:r>
          </w:p>
        </w:tc>
        <w:tc>
          <w:tcPr>
            <w:tcW w:w="1421" w:type="pct"/>
            <w:vAlign w:val="center"/>
          </w:tcPr>
          <w:p w14:paraId="4D3CC03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商住用地出让收入（万元）</w:t>
            </w:r>
          </w:p>
        </w:tc>
        <w:tc>
          <w:tcPr>
            <w:tcW w:w="450" w:type="pct"/>
            <w:vAlign w:val="center"/>
          </w:tcPr>
          <w:p w14:paraId="2EA7E1A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72685.70</w:t>
            </w:r>
          </w:p>
        </w:tc>
        <w:tc>
          <w:tcPr>
            <w:tcW w:w="409" w:type="pct"/>
            <w:vAlign w:val="center"/>
          </w:tcPr>
          <w:p w14:paraId="79891A1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72685.70</w:t>
            </w:r>
          </w:p>
        </w:tc>
        <w:tc>
          <w:tcPr>
            <w:tcW w:w="409" w:type="pct"/>
            <w:vAlign w:val="center"/>
          </w:tcPr>
          <w:p w14:paraId="1BBB9ED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7C91232">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7CBC03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E99AC5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8762FF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91B2253">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1D85E6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D27E0E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3DEC052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建筑面积（㎡）</w:t>
            </w:r>
          </w:p>
        </w:tc>
        <w:tc>
          <w:tcPr>
            <w:tcW w:w="450" w:type="pct"/>
            <w:vAlign w:val="center"/>
          </w:tcPr>
          <w:p w14:paraId="228EF0C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95911.00</w:t>
            </w:r>
          </w:p>
        </w:tc>
        <w:tc>
          <w:tcPr>
            <w:tcW w:w="409" w:type="pct"/>
            <w:vAlign w:val="center"/>
          </w:tcPr>
          <w:p w14:paraId="60B7D7E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95911.00</w:t>
            </w:r>
          </w:p>
        </w:tc>
        <w:tc>
          <w:tcPr>
            <w:tcW w:w="409" w:type="pct"/>
            <w:vAlign w:val="center"/>
          </w:tcPr>
          <w:p w14:paraId="07E3DD45">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4BAC53B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D138CE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21197C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7F915B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9C31EEB">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0EF44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34E8A121">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5B7A46A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楼面价（元/㎡）</w:t>
            </w:r>
          </w:p>
        </w:tc>
        <w:tc>
          <w:tcPr>
            <w:tcW w:w="450" w:type="pct"/>
            <w:vAlign w:val="center"/>
          </w:tcPr>
          <w:p w14:paraId="7CF5626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CCE407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16177.10</w:t>
            </w:r>
          </w:p>
        </w:tc>
        <w:tc>
          <w:tcPr>
            <w:tcW w:w="409" w:type="pct"/>
            <w:vAlign w:val="center"/>
          </w:tcPr>
          <w:p w14:paraId="3F8D31D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6BEAA27">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B925CD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9010A5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77F74C4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653720DA">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r w14:paraId="4CC0F8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5" w:type="pct"/>
            <w:vAlign w:val="center"/>
          </w:tcPr>
          <w:p w14:paraId="4C5C60F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1421" w:type="pct"/>
            <w:vAlign w:val="center"/>
          </w:tcPr>
          <w:p w14:paraId="0F00E416">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土地出让收入对应的成本</w:t>
            </w:r>
          </w:p>
        </w:tc>
        <w:tc>
          <w:tcPr>
            <w:tcW w:w="450" w:type="pct"/>
            <w:vAlign w:val="center"/>
          </w:tcPr>
          <w:p w14:paraId="303AD93D">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5CACCA4E">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r>
              <w:rPr>
                <w:rFonts w:ascii="Times New Roman" w:hAnsi="Times New Roman" w:eastAsia="宋体"/>
                <w:color w:val="auto"/>
                <w:sz w:val="18"/>
              </w:rPr>
              <w:t>82470.50</w:t>
            </w:r>
          </w:p>
        </w:tc>
        <w:tc>
          <w:tcPr>
            <w:tcW w:w="409" w:type="pct"/>
            <w:vAlign w:val="center"/>
          </w:tcPr>
          <w:p w14:paraId="6BDA07AC">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26653C8F">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4D10328">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3172DAC4">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1E3F64C0">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c>
          <w:tcPr>
            <w:tcW w:w="409" w:type="pct"/>
            <w:vAlign w:val="center"/>
          </w:tcPr>
          <w:p w14:paraId="0108E189">
            <w:pPr>
              <w:pStyle w:val="2"/>
              <w:autoSpaceDE/>
              <w:autoSpaceDN/>
              <w:adjustRightInd/>
              <w:snapToGrid/>
              <w:spacing w:line="240" w:lineRule="auto"/>
              <w:ind w:firstLine="0" w:firstLineChars="0"/>
              <w:jc w:val="center"/>
              <w:textAlignment w:val="auto"/>
              <w:rPr>
                <w:rFonts w:ascii="Times New Roman" w:hAnsi="Times New Roman" w:eastAsia="宋体"/>
                <w:color w:val="auto"/>
                <w:sz w:val="18"/>
              </w:rPr>
            </w:pPr>
          </w:p>
        </w:tc>
      </w:tr>
    </w:tbl>
    <w:p w14:paraId="54A016E2">
      <w:pPr>
        <w:pStyle w:val="2"/>
        <w:ind w:firstLine="480"/>
        <w:rPr>
          <w:color w:val="auto"/>
        </w:rPr>
        <w:sectPr>
          <w:type w:val="continuous"/>
          <w:pgSz w:w="16838" w:h="11906" w:orient="landscape"/>
          <w:pgMar w:top="1440" w:right="1080" w:bottom="1440" w:left="1080" w:header="851" w:footer="992" w:gutter="0"/>
          <w:cols w:space="425" w:num="1"/>
          <w:docGrid w:type="lines" w:linePitch="312" w:charSpace="0"/>
        </w:sectPr>
      </w:pPr>
    </w:p>
    <w:p w14:paraId="3674D240">
      <w:pPr>
        <w:adjustRightInd w:val="0"/>
        <w:snapToGrid w:val="0"/>
        <w:spacing w:before="190" w:beforeLines="50" w:line="360" w:lineRule="auto"/>
        <w:ind w:firstLine="643"/>
        <w:outlineLvl w:val="2"/>
        <w:rPr>
          <w:rFonts w:hint="eastAsia" w:ascii="仿宋_GB2312" w:hAnsi="仿宋_GB2312" w:eastAsia="仿宋_GB2312" w:cs="仿宋_GB2312"/>
          <w:b/>
          <w:bCs/>
          <w:color w:val="auto"/>
          <w:sz w:val="32"/>
          <w:szCs w:val="32"/>
        </w:rPr>
      </w:pPr>
      <w:bookmarkStart w:id="83" w:name="_Toc174657289"/>
      <w:r>
        <w:rPr>
          <w:rFonts w:hint="eastAsia" w:ascii="仿宋_GB2312" w:hAnsi="仿宋_GB2312" w:eastAsia="仿宋_GB2312" w:cs="仿宋_GB2312"/>
          <w:b/>
          <w:bCs/>
          <w:color w:val="auto"/>
          <w:sz w:val="32"/>
          <w:szCs w:val="32"/>
        </w:rPr>
        <w:t>2.项目成本及相关税费</w:t>
      </w:r>
      <w:bookmarkEnd w:id="83"/>
    </w:p>
    <w:p w14:paraId="3AB2BD30">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（1）财务费用</w:t>
      </w:r>
    </w:p>
    <w:p w14:paraId="7610AF67">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本项目债券融资本金</w:t>
      </w:r>
      <w:r>
        <w:rPr>
          <w:rFonts w:ascii="仿宋_GB2312" w:hAnsi="Calibri" w:eastAsia="仿宋_GB2312"/>
          <w:color w:val="auto"/>
          <w:sz w:val="32"/>
          <w:szCs w:val="32"/>
          <w:lang w:val="en-US"/>
        </w:rPr>
        <w:t>60000.00</w:t>
      </w:r>
      <w:r>
        <w:rPr>
          <w:rFonts w:hint="eastAsia" w:ascii="仿宋_GB2312" w:eastAsia="仿宋_GB2312"/>
          <w:bCs/>
          <w:color w:val="auto"/>
          <w:sz w:val="32"/>
          <w:szCs w:val="32"/>
        </w:rPr>
        <w:t>万元，</w:t>
      </w:r>
      <w:r>
        <w:rPr>
          <w:rFonts w:ascii="仿宋_GB2312" w:eastAsia="仿宋_GB2312"/>
          <w:bCs/>
          <w:color w:val="auto"/>
          <w:sz w:val="32"/>
          <w:szCs w:val="32"/>
        </w:rPr>
        <w:t>其中2024年计划发行专项债券21000.00万元，</w:t>
      </w:r>
      <w:r>
        <w:rPr>
          <w:rFonts w:hint="eastAsia" w:ascii="仿宋_GB2312" w:eastAsia="仿宋_GB2312"/>
          <w:bCs/>
          <w:color w:val="auto"/>
          <w:sz w:val="32"/>
          <w:szCs w:val="32"/>
        </w:rPr>
        <w:t>本批次计划发行9000.00万元（2024年广东省政府专项债券（</w:t>
      </w:r>
      <w:r>
        <w:rPr>
          <w:rFonts w:hint="eastAsia" w:ascii="仿宋_GB2312" w:eastAsia="仿宋_GB2312"/>
          <w:bCs/>
          <w:color w:val="auto"/>
          <w:sz w:val="32"/>
          <w:szCs w:val="32"/>
          <w:lang w:eastAsia="zh-CN"/>
        </w:rPr>
        <w:t>六十三</w:t>
      </w:r>
      <w:r>
        <w:rPr>
          <w:rFonts w:hint="eastAsia" w:ascii="仿宋_GB2312" w:eastAsia="仿宋_GB2312"/>
          <w:bCs/>
          <w:color w:val="auto"/>
          <w:sz w:val="32"/>
          <w:szCs w:val="32"/>
        </w:rPr>
        <w:t>期）），</w:t>
      </w:r>
      <w:r>
        <w:rPr>
          <w:rFonts w:ascii="仿宋_GB2312" w:eastAsia="仿宋_GB2312"/>
          <w:bCs/>
          <w:color w:val="auto"/>
          <w:sz w:val="32"/>
          <w:szCs w:val="32"/>
        </w:rPr>
        <w:t>债券期限为15年，债券年利率按3.95%测算</w:t>
      </w:r>
      <w:r>
        <w:rPr>
          <w:rFonts w:hint="eastAsia" w:ascii="仿宋_GB2312" w:eastAsia="仿宋_GB2312"/>
          <w:bCs/>
          <w:color w:val="auto"/>
          <w:sz w:val="32"/>
          <w:szCs w:val="32"/>
        </w:rPr>
        <w:t>；</w:t>
      </w:r>
      <w:r>
        <w:rPr>
          <w:rFonts w:ascii="仿宋_GB2312" w:eastAsia="仿宋_GB2312"/>
          <w:bCs/>
          <w:color w:val="auto"/>
          <w:sz w:val="32"/>
          <w:szCs w:val="32"/>
        </w:rPr>
        <w:t>2025年计划发行专项债券20000.00万元，债券期限为</w:t>
      </w:r>
      <w:r>
        <w:rPr>
          <w:rFonts w:hint="eastAsia" w:ascii="仿宋_GB2312" w:eastAsia="仿宋_GB2312"/>
          <w:bCs/>
          <w:color w:val="auto"/>
          <w:sz w:val="32"/>
          <w:szCs w:val="32"/>
        </w:rPr>
        <w:t>10</w:t>
      </w:r>
      <w:r>
        <w:rPr>
          <w:rFonts w:ascii="仿宋_GB2312" w:eastAsia="仿宋_GB2312"/>
          <w:bCs/>
          <w:color w:val="auto"/>
          <w:sz w:val="32"/>
          <w:szCs w:val="32"/>
        </w:rPr>
        <w:t>年，债券年利率按3.</w:t>
      </w:r>
      <w:r>
        <w:rPr>
          <w:rFonts w:hint="eastAsia" w:ascii="仿宋_GB2312" w:eastAsia="仿宋_GB2312"/>
          <w:bCs/>
          <w:color w:val="auto"/>
          <w:sz w:val="32"/>
          <w:szCs w:val="32"/>
        </w:rPr>
        <w:t>6</w:t>
      </w:r>
      <w:r>
        <w:rPr>
          <w:rFonts w:ascii="仿宋_GB2312" w:eastAsia="仿宋_GB2312"/>
          <w:bCs/>
          <w:color w:val="auto"/>
          <w:sz w:val="32"/>
          <w:szCs w:val="32"/>
        </w:rPr>
        <w:t>%测算</w:t>
      </w:r>
      <w:r>
        <w:rPr>
          <w:rFonts w:hint="eastAsia" w:ascii="仿宋_GB2312" w:eastAsia="仿宋_GB2312"/>
          <w:bCs/>
          <w:color w:val="auto"/>
          <w:sz w:val="32"/>
          <w:szCs w:val="32"/>
        </w:rPr>
        <w:t>；</w:t>
      </w:r>
      <w:r>
        <w:rPr>
          <w:rFonts w:ascii="仿宋_GB2312" w:eastAsia="仿宋_GB2312"/>
          <w:bCs/>
          <w:color w:val="auto"/>
          <w:sz w:val="32"/>
          <w:szCs w:val="32"/>
        </w:rPr>
        <w:t>2026年计划发行专项债券19000.00万元，债券期限为</w:t>
      </w:r>
      <w:r>
        <w:rPr>
          <w:rFonts w:hint="eastAsia" w:ascii="仿宋_GB2312" w:eastAsia="仿宋_GB2312"/>
          <w:bCs/>
          <w:color w:val="auto"/>
          <w:sz w:val="32"/>
          <w:szCs w:val="32"/>
        </w:rPr>
        <w:t>10</w:t>
      </w:r>
      <w:r>
        <w:rPr>
          <w:rFonts w:ascii="仿宋_GB2312" w:eastAsia="仿宋_GB2312"/>
          <w:bCs/>
          <w:color w:val="auto"/>
          <w:sz w:val="32"/>
          <w:szCs w:val="32"/>
        </w:rPr>
        <w:t>年，债券年利率按3.</w:t>
      </w:r>
      <w:r>
        <w:rPr>
          <w:rFonts w:hint="eastAsia" w:ascii="仿宋_GB2312" w:eastAsia="仿宋_GB2312"/>
          <w:bCs/>
          <w:color w:val="auto"/>
          <w:sz w:val="32"/>
          <w:szCs w:val="32"/>
        </w:rPr>
        <w:t>6</w:t>
      </w:r>
      <w:r>
        <w:rPr>
          <w:rFonts w:ascii="仿宋_GB2312" w:eastAsia="仿宋_GB2312"/>
          <w:bCs/>
          <w:color w:val="auto"/>
          <w:sz w:val="32"/>
          <w:szCs w:val="32"/>
        </w:rPr>
        <w:t>%测算</w:t>
      </w:r>
      <w:r>
        <w:rPr>
          <w:rFonts w:hint="eastAsia" w:ascii="仿宋_GB2312" w:eastAsia="仿宋_GB2312"/>
          <w:bCs/>
          <w:color w:val="auto"/>
          <w:sz w:val="32"/>
          <w:szCs w:val="32"/>
        </w:rPr>
        <w:t>。利息按半年支付，本金到期一次性偿还。</w:t>
      </w:r>
    </w:p>
    <w:p w14:paraId="792601DE">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本项目应付债券利息共</w:t>
      </w:r>
      <w:r>
        <w:rPr>
          <w:rFonts w:ascii="仿宋_GB2312" w:eastAsia="仿宋_GB2312"/>
          <w:bCs/>
          <w:color w:val="auto"/>
          <w:sz w:val="32"/>
          <w:szCs w:val="32"/>
        </w:rPr>
        <w:t>26482.50万元，其中，计入建设期利息3081.00万元，计入经营期财务费用的债券利息共23401.50万元</w:t>
      </w:r>
      <w:r>
        <w:rPr>
          <w:rFonts w:hint="eastAsia" w:ascii="仿宋_GB2312" w:eastAsia="仿宋_GB2312"/>
          <w:bCs/>
          <w:color w:val="auto"/>
          <w:sz w:val="32"/>
          <w:szCs w:val="32"/>
        </w:rPr>
        <w:t>。</w:t>
      </w:r>
    </w:p>
    <w:p w14:paraId="28D0F8A4">
      <w:pPr>
        <w:pStyle w:val="7"/>
        <w:spacing w:before="0" w:after="0" w:line="360" w:lineRule="auto"/>
        <w:ind w:firstLine="640"/>
        <w:rPr>
          <w:rFonts w:ascii="仿宋_GB2312" w:hAnsi="Times New Roman" w:eastAsia="仿宋_GB2312" w:cs="Times New Roman"/>
          <w:color w:val="auto"/>
          <w:kern w:val="2"/>
          <w:sz w:val="32"/>
          <w:szCs w:val="32"/>
        </w:rPr>
      </w:pPr>
      <w:r>
        <w:rPr>
          <w:rFonts w:hint="eastAsia" w:ascii="仿宋_GB2312" w:eastAsia="仿宋_GB2312"/>
          <w:bCs/>
          <w:color w:val="auto"/>
          <w:sz w:val="32"/>
          <w:szCs w:val="32"/>
        </w:rPr>
        <w:t>债券利率以最终发行利率为准。</w:t>
      </w:r>
    </w:p>
    <w:p w14:paraId="457FBBC1">
      <w:pPr>
        <w:adjustRightInd w:val="0"/>
        <w:snapToGrid w:val="0"/>
        <w:spacing w:before="190"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11</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项目财务费用估算表（单位：万元）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692"/>
        <w:gridCol w:w="1190"/>
        <w:gridCol w:w="1191"/>
        <w:gridCol w:w="1191"/>
        <w:gridCol w:w="1191"/>
        <w:gridCol w:w="1191"/>
        <w:gridCol w:w="1191"/>
        <w:gridCol w:w="1191"/>
        <w:gridCol w:w="1191"/>
        <w:gridCol w:w="1185"/>
      </w:tblGrid>
      <w:tr w14:paraId="2887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72" w:type="pct"/>
            <w:vAlign w:val="center"/>
          </w:tcPr>
          <w:p w14:paraId="7C5FE11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950" w:type="pct"/>
            <w:vAlign w:val="center"/>
          </w:tcPr>
          <w:p w14:paraId="054A603C">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　目</w:t>
            </w:r>
          </w:p>
        </w:tc>
        <w:tc>
          <w:tcPr>
            <w:tcW w:w="420" w:type="pct"/>
            <w:vAlign w:val="center"/>
          </w:tcPr>
          <w:p w14:paraId="115A987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20" w:type="pct"/>
            <w:vAlign w:val="center"/>
          </w:tcPr>
          <w:p w14:paraId="5B97EFA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2024年</w:t>
            </w:r>
          </w:p>
        </w:tc>
        <w:tc>
          <w:tcPr>
            <w:tcW w:w="420" w:type="pct"/>
            <w:vAlign w:val="center"/>
          </w:tcPr>
          <w:p w14:paraId="6ED3005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2025年</w:t>
            </w:r>
          </w:p>
        </w:tc>
        <w:tc>
          <w:tcPr>
            <w:tcW w:w="420" w:type="pct"/>
            <w:vAlign w:val="center"/>
          </w:tcPr>
          <w:p w14:paraId="2FC0D56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2026年</w:t>
            </w:r>
          </w:p>
        </w:tc>
        <w:tc>
          <w:tcPr>
            <w:tcW w:w="420" w:type="pct"/>
            <w:vAlign w:val="center"/>
          </w:tcPr>
          <w:p w14:paraId="13C8D64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2027年</w:t>
            </w:r>
          </w:p>
        </w:tc>
        <w:tc>
          <w:tcPr>
            <w:tcW w:w="420" w:type="pct"/>
            <w:vAlign w:val="center"/>
          </w:tcPr>
          <w:p w14:paraId="1AD0F1D5">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2028年</w:t>
            </w:r>
          </w:p>
        </w:tc>
        <w:tc>
          <w:tcPr>
            <w:tcW w:w="420" w:type="pct"/>
            <w:vAlign w:val="center"/>
          </w:tcPr>
          <w:p w14:paraId="5CDA26E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2029年</w:t>
            </w:r>
          </w:p>
        </w:tc>
        <w:tc>
          <w:tcPr>
            <w:tcW w:w="420" w:type="pct"/>
            <w:vAlign w:val="center"/>
          </w:tcPr>
          <w:p w14:paraId="38138AC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2030年</w:t>
            </w:r>
          </w:p>
        </w:tc>
        <w:tc>
          <w:tcPr>
            <w:tcW w:w="420" w:type="pct"/>
            <w:vAlign w:val="center"/>
          </w:tcPr>
          <w:p w14:paraId="60BF5E0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2031年</w:t>
            </w:r>
          </w:p>
        </w:tc>
      </w:tr>
      <w:tr w14:paraId="76576B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717FB32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950" w:type="pct"/>
            <w:vAlign w:val="center"/>
          </w:tcPr>
          <w:p w14:paraId="4B0822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年初债券融资本金累计</w:t>
            </w:r>
          </w:p>
        </w:tc>
        <w:tc>
          <w:tcPr>
            <w:tcW w:w="420" w:type="pct"/>
            <w:vAlign w:val="center"/>
          </w:tcPr>
          <w:p w14:paraId="1230B6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1D3C6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470E27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59AE0F4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41000.00</w:t>
            </w:r>
          </w:p>
        </w:tc>
        <w:tc>
          <w:tcPr>
            <w:tcW w:w="420" w:type="pct"/>
            <w:vAlign w:val="center"/>
          </w:tcPr>
          <w:p w14:paraId="058E162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36F3AD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3D654BC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7219A8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5D7541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r>
      <w:tr w14:paraId="6B895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12C4451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950" w:type="pct"/>
            <w:vAlign w:val="center"/>
          </w:tcPr>
          <w:p w14:paraId="0E9AC4A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新增债券融资</w:t>
            </w:r>
          </w:p>
        </w:tc>
        <w:tc>
          <w:tcPr>
            <w:tcW w:w="420" w:type="pct"/>
            <w:vAlign w:val="center"/>
          </w:tcPr>
          <w:p w14:paraId="6276A0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7BEA79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6D4D40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20000.00</w:t>
            </w:r>
          </w:p>
        </w:tc>
        <w:tc>
          <w:tcPr>
            <w:tcW w:w="420" w:type="pct"/>
            <w:vAlign w:val="center"/>
          </w:tcPr>
          <w:p w14:paraId="47B9A73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19000.00</w:t>
            </w:r>
          </w:p>
        </w:tc>
        <w:tc>
          <w:tcPr>
            <w:tcW w:w="420" w:type="pct"/>
            <w:vAlign w:val="center"/>
          </w:tcPr>
          <w:p w14:paraId="3851D6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36AC67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0F0C62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93D44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E8125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216E6B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0FB7E7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950" w:type="pct"/>
            <w:vAlign w:val="center"/>
          </w:tcPr>
          <w:p w14:paraId="1D492F2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应计债券利息</w:t>
            </w:r>
          </w:p>
        </w:tc>
        <w:tc>
          <w:tcPr>
            <w:tcW w:w="420" w:type="pct"/>
            <w:vAlign w:val="center"/>
          </w:tcPr>
          <w:p w14:paraId="1BA31D5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420" w:type="pct"/>
            <w:vAlign w:val="center"/>
          </w:tcPr>
          <w:p w14:paraId="5BA9B6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0" w:type="pct"/>
            <w:vAlign w:val="center"/>
          </w:tcPr>
          <w:p w14:paraId="18DB62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20" w:type="pct"/>
            <w:vAlign w:val="center"/>
          </w:tcPr>
          <w:p w14:paraId="336003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420" w:type="pct"/>
            <w:vAlign w:val="center"/>
          </w:tcPr>
          <w:p w14:paraId="057AD3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540BF2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6964DB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5D4758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152AAE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77252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2411E8E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w:t>
            </w:r>
          </w:p>
        </w:tc>
        <w:tc>
          <w:tcPr>
            <w:tcW w:w="950" w:type="pct"/>
            <w:vAlign w:val="center"/>
          </w:tcPr>
          <w:p w14:paraId="5E2093B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建设期利息</w:t>
            </w:r>
          </w:p>
        </w:tc>
        <w:tc>
          <w:tcPr>
            <w:tcW w:w="420" w:type="pct"/>
            <w:vAlign w:val="center"/>
          </w:tcPr>
          <w:p w14:paraId="22CF133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3081.00</w:t>
            </w:r>
          </w:p>
        </w:tc>
        <w:tc>
          <w:tcPr>
            <w:tcW w:w="420" w:type="pct"/>
            <w:vAlign w:val="center"/>
          </w:tcPr>
          <w:p w14:paraId="7D201E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43E53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20" w:type="pct"/>
            <w:vAlign w:val="center"/>
          </w:tcPr>
          <w:p w14:paraId="76093D1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420" w:type="pct"/>
            <w:vAlign w:val="center"/>
          </w:tcPr>
          <w:p w14:paraId="5B7A46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CF407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38D1574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20E10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0091DF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07841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67D5300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w:t>
            </w:r>
          </w:p>
        </w:tc>
        <w:tc>
          <w:tcPr>
            <w:tcW w:w="950" w:type="pct"/>
            <w:vAlign w:val="center"/>
          </w:tcPr>
          <w:p w14:paraId="78A16B2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财务费用</w:t>
            </w:r>
          </w:p>
        </w:tc>
        <w:tc>
          <w:tcPr>
            <w:tcW w:w="420" w:type="pct"/>
            <w:vAlign w:val="center"/>
          </w:tcPr>
          <w:p w14:paraId="639921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23401.50</w:t>
            </w:r>
          </w:p>
        </w:tc>
        <w:tc>
          <w:tcPr>
            <w:tcW w:w="420" w:type="pct"/>
            <w:vAlign w:val="center"/>
          </w:tcPr>
          <w:p w14:paraId="04A8B1E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6BEC88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01FF7C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1571562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3801D2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38F0BB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0651B1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070936B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09D6B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70F557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950" w:type="pct"/>
            <w:vAlign w:val="center"/>
          </w:tcPr>
          <w:p w14:paraId="0F2ACBA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债券还本付息</w:t>
            </w:r>
          </w:p>
        </w:tc>
        <w:tc>
          <w:tcPr>
            <w:tcW w:w="420" w:type="pct"/>
            <w:vAlign w:val="center"/>
          </w:tcPr>
          <w:p w14:paraId="77D38CC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420" w:type="pct"/>
            <w:vAlign w:val="center"/>
          </w:tcPr>
          <w:p w14:paraId="09CC703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0" w:type="pct"/>
            <w:vAlign w:val="center"/>
          </w:tcPr>
          <w:p w14:paraId="02FA5B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20" w:type="pct"/>
            <w:vAlign w:val="center"/>
          </w:tcPr>
          <w:p w14:paraId="598C96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420" w:type="pct"/>
            <w:vAlign w:val="center"/>
          </w:tcPr>
          <w:p w14:paraId="017483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6DE8D8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18D00D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00A78A4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3670360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061D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0C6DB8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w:t>
            </w:r>
          </w:p>
        </w:tc>
        <w:tc>
          <w:tcPr>
            <w:tcW w:w="950" w:type="pct"/>
            <w:vAlign w:val="center"/>
          </w:tcPr>
          <w:p w14:paraId="684F484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债券还本</w:t>
            </w:r>
          </w:p>
        </w:tc>
        <w:tc>
          <w:tcPr>
            <w:tcW w:w="420" w:type="pct"/>
            <w:vAlign w:val="center"/>
          </w:tcPr>
          <w:p w14:paraId="4494BA5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18BC65D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0E9B5CE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9477F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46FBE7C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48F8663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C76DF9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76B9A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760DAFC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728573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2" w:type="pct"/>
            <w:vAlign w:val="center"/>
          </w:tcPr>
          <w:p w14:paraId="370F82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w:t>
            </w:r>
          </w:p>
        </w:tc>
        <w:tc>
          <w:tcPr>
            <w:tcW w:w="950" w:type="pct"/>
            <w:vAlign w:val="center"/>
          </w:tcPr>
          <w:p w14:paraId="6916AF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债券付息</w:t>
            </w:r>
          </w:p>
        </w:tc>
        <w:tc>
          <w:tcPr>
            <w:tcW w:w="420" w:type="pct"/>
            <w:vAlign w:val="center"/>
          </w:tcPr>
          <w:p w14:paraId="2655AA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420" w:type="pct"/>
            <w:vAlign w:val="center"/>
          </w:tcPr>
          <w:p w14:paraId="3F6C04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0" w:type="pct"/>
            <w:vAlign w:val="center"/>
          </w:tcPr>
          <w:p w14:paraId="2DF4DC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20" w:type="pct"/>
            <w:vAlign w:val="center"/>
          </w:tcPr>
          <w:p w14:paraId="25C53A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420" w:type="pct"/>
            <w:vAlign w:val="center"/>
          </w:tcPr>
          <w:p w14:paraId="1A6B5D1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23DE51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22E5E2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683946D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785F13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145A91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04A661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950" w:type="pct"/>
            <w:vAlign w:val="center"/>
          </w:tcPr>
          <w:p w14:paraId="7E07265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年末债券融资本金累计</w:t>
            </w:r>
          </w:p>
        </w:tc>
        <w:tc>
          <w:tcPr>
            <w:tcW w:w="420" w:type="pct"/>
            <w:vAlign w:val="center"/>
          </w:tcPr>
          <w:p w14:paraId="7357041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C44C59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255D069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41000.00</w:t>
            </w:r>
          </w:p>
        </w:tc>
        <w:tc>
          <w:tcPr>
            <w:tcW w:w="420" w:type="pct"/>
            <w:vAlign w:val="center"/>
          </w:tcPr>
          <w:p w14:paraId="7CD306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46A1E4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4BD8A25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50D853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161666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745FA56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r>
    </w:tbl>
    <w:p w14:paraId="5052A870">
      <w:pPr>
        <w:pStyle w:val="7"/>
        <w:spacing w:after="0" w:line="56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70"/>
        <w:gridCol w:w="2692"/>
        <w:gridCol w:w="1190"/>
        <w:gridCol w:w="1191"/>
        <w:gridCol w:w="1191"/>
        <w:gridCol w:w="1191"/>
        <w:gridCol w:w="1191"/>
        <w:gridCol w:w="1191"/>
        <w:gridCol w:w="1191"/>
        <w:gridCol w:w="1191"/>
        <w:gridCol w:w="1185"/>
      </w:tblGrid>
      <w:tr w14:paraId="458A3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72" w:type="pct"/>
            <w:vAlign w:val="center"/>
          </w:tcPr>
          <w:p w14:paraId="49DE06F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950" w:type="pct"/>
            <w:vAlign w:val="center"/>
          </w:tcPr>
          <w:p w14:paraId="65BE7837">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　目</w:t>
            </w:r>
          </w:p>
        </w:tc>
        <w:tc>
          <w:tcPr>
            <w:tcW w:w="420" w:type="pct"/>
            <w:vAlign w:val="center"/>
          </w:tcPr>
          <w:p w14:paraId="5716B63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20" w:type="pct"/>
            <w:vAlign w:val="center"/>
          </w:tcPr>
          <w:p w14:paraId="1D5831F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2032年</w:t>
            </w:r>
          </w:p>
        </w:tc>
        <w:tc>
          <w:tcPr>
            <w:tcW w:w="420" w:type="pct"/>
            <w:vAlign w:val="center"/>
          </w:tcPr>
          <w:p w14:paraId="5B81CB7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2033年</w:t>
            </w:r>
          </w:p>
        </w:tc>
        <w:tc>
          <w:tcPr>
            <w:tcW w:w="420" w:type="pct"/>
            <w:vAlign w:val="center"/>
          </w:tcPr>
          <w:p w14:paraId="1D675BF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2034年</w:t>
            </w:r>
          </w:p>
        </w:tc>
        <w:tc>
          <w:tcPr>
            <w:tcW w:w="420" w:type="pct"/>
            <w:vAlign w:val="center"/>
          </w:tcPr>
          <w:p w14:paraId="213ED983">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2035年</w:t>
            </w:r>
          </w:p>
        </w:tc>
        <w:tc>
          <w:tcPr>
            <w:tcW w:w="420" w:type="pct"/>
            <w:vAlign w:val="center"/>
          </w:tcPr>
          <w:p w14:paraId="032B297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2036年</w:t>
            </w:r>
          </w:p>
        </w:tc>
        <w:tc>
          <w:tcPr>
            <w:tcW w:w="420" w:type="pct"/>
            <w:vAlign w:val="center"/>
          </w:tcPr>
          <w:p w14:paraId="29E2A0E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2037年</w:t>
            </w:r>
          </w:p>
        </w:tc>
        <w:tc>
          <w:tcPr>
            <w:tcW w:w="420" w:type="pct"/>
            <w:vAlign w:val="center"/>
          </w:tcPr>
          <w:p w14:paraId="7642D21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2038年</w:t>
            </w:r>
          </w:p>
        </w:tc>
        <w:tc>
          <w:tcPr>
            <w:tcW w:w="420" w:type="pct"/>
            <w:vAlign w:val="center"/>
          </w:tcPr>
          <w:p w14:paraId="7C82EB4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2039年</w:t>
            </w:r>
          </w:p>
        </w:tc>
      </w:tr>
      <w:tr w14:paraId="2D470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630627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950" w:type="pct"/>
            <w:vAlign w:val="center"/>
          </w:tcPr>
          <w:p w14:paraId="7E346A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年初债券融资本金累计</w:t>
            </w:r>
          </w:p>
        </w:tc>
        <w:tc>
          <w:tcPr>
            <w:tcW w:w="420" w:type="pct"/>
            <w:vAlign w:val="center"/>
          </w:tcPr>
          <w:p w14:paraId="3BED78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203FC6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49B4FC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3F50B3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15F3E1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481E213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40000.00</w:t>
            </w:r>
          </w:p>
        </w:tc>
        <w:tc>
          <w:tcPr>
            <w:tcW w:w="420" w:type="pct"/>
            <w:vAlign w:val="center"/>
          </w:tcPr>
          <w:p w14:paraId="46EE47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3E39DC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4CD1F23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r>
      <w:tr w14:paraId="2653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18162D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950" w:type="pct"/>
            <w:vAlign w:val="center"/>
          </w:tcPr>
          <w:p w14:paraId="25DA2B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新增债券融资</w:t>
            </w:r>
          </w:p>
        </w:tc>
        <w:tc>
          <w:tcPr>
            <w:tcW w:w="420" w:type="pct"/>
            <w:vAlign w:val="center"/>
          </w:tcPr>
          <w:p w14:paraId="3DC2E8F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796F6E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42FE1F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29F865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394A391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F7DAB4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4320C7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B895A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3F727D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07E45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5DB80DE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950" w:type="pct"/>
            <w:vAlign w:val="center"/>
          </w:tcPr>
          <w:p w14:paraId="78FAA4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应计债券利息</w:t>
            </w:r>
          </w:p>
        </w:tc>
        <w:tc>
          <w:tcPr>
            <w:tcW w:w="420" w:type="pct"/>
            <w:vAlign w:val="center"/>
          </w:tcPr>
          <w:p w14:paraId="428F0B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420" w:type="pct"/>
            <w:vAlign w:val="center"/>
          </w:tcPr>
          <w:p w14:paraId="04CA5E1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628879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28974E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4F9AC42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1873.50</w:t>
            </w:r>
          </w:p>
        </w:tc>
        <w:tc>
          <w:tcPr>
            <w:tcW w:w="420" w:type="pct"/>
            <w:vAlign w:val="center"/>
          </w:tcPr>
          <w:p w14:paraId="7F6509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1171.50</w:t>
            </w:r>
          </w:p>
        </w:tc>
        <w:tc>
          <w:tcPr>
            <w:tcW w:w="420" w:type="pct"/>
            <w:vAlign w:val="center"/>
          </w:tcPr>
          <w:p w14:paraId="6218361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55E02D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144EDC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r>
      <w:tr w14:paraId="7A78BC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773515E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w:t>
            </w:r>
          </w:p>
        </w:tc>
        <w:tc>
          <w:tcPr>
            <w:tcW w:w="950" w:type="pct"/>
            <w:vAlign w:val="center"/>
          </w:tcPr>
          <w:p w14:paraId="4A95251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建设期利息</w:t>
            </w:r>
          </w:p>
        </w:tc>
        <w:tc>
          <w:tcPr>
            <w:tcW w:w="420" w:type="pct"/>
            <w:vAlign w:val="center"/>
          </w:tcPr>
          <w:p w14:paraId="56BCC0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3081.00</w:t>
            </w:r>
          </w:p>
        </w:tc>
        <w:tc>
          <w:tcPr>
            <w:tcW w:w="420" w:type="pct"/>
            <w:vAlign w:val="center"/>
          </w:tcPr>
          <w:p w14:paraId="223CF2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1734DDE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23107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0DF2443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22305F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34D829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63BE8CD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202D072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3053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04F40AA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w:t>
            </w:r>
          </w:p>
        </w:tc>
        <w:tc>
          <w:tcPr>
            <w:tcW w:w="950" w:type="pct"/>
            <w:vAlign w:val="center"/>
          </w:tcPr>
          <w:p w14:paraId="214900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财务费用</w:t>
            </w:r>
          </w:p>
        </w:tc>
        <w:tc>
          <w:tcPr>
            <w:tcW w:w="420" w:type="pct"/>
            <w:vAlign w:val="center"/>
          </w:tcPr>
          <w:p w14:paraId="08B3A6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23401.50</w:t>
            </w:r>
          </w:p>
        </w:tc>
        <w:tc>
          <w:tcPr>
            <w:tcW w:w="420" w:type="pct"/>
            <w:vAlign w:val="center"/>
          </w:tcPr>
          <w:p w14:paraId="6F0C681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4A02595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572ABC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1D92DAF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1873.50</w:t>
            </w:r>
          </w:p>
        </w:tc>
        <w:tc>
          <w:tcPr>
            <w:tcW w:w="420" w:type="pct"/>
            <w:vAlign w:val="center"/>
          </w:tcPr>
          <w:p w14:paraId="25E6AF8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1171.50</w:t>
            </w:r>
          </w:p>
        </w:tc>
        <w:tc>
          <w:tcPr>
            <w:tcW w:w="420" w:type="pct"/>
            <w:vAlign w:val="center"/>
          </w:tcPr>
          <w:p w14:paraId="1DE80B8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6A0E48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4106F5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r>
      <w:tr w14:paraId="1F742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3AD589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950" w:type="pct"/>
            <w:vAlign w:val="center"/>
          </w:tcPr>
          <w:p w14:paraId="2CF9E7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债券还本付息</w:t>
            </w:r>
          </w:p>
        </w:tc>
        <w:tc>
          <w:tcPr>
            <w:tcW w:w="420" w:type="pct"/>
            <w:vAlign w:val="center"/>
          </w:tcPr>
          <w:p w14:paraId="0A328AF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420" w:type="pct"/>
            <w:vAlign w:val="center"/>
          </w:tcPr>
          <w:p w14:paraId="5009F6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293FA5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09BC89D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210110B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21873.50</w:t>
            </w:r>
          </w:p>
        </w:tc>
        <w:tc>
          <w:tcPr>
            <w:tcW w:w="420" w:type="pct"/>
            <w:vAlign w:val="center"/>
          </w:tcPr>
          <w:p w14:paraId="40EB0FE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20171.50</w:t>
            </w:r>
          </w:p>
        </w:tc>
        <w:tc>
          <w:tcPr>
            <w:tcW w:w="420" w:type="pct"/>
            <w:vAlign w:val="center"/>
          </w:tcPr>
          <w:p w14:paraId="14CCE49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136A0A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6627C9C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21829.50</w:t>
            </w:r>
          </w:p>
        </w:tc>
      </w:tr>
      <w:tr w14:paraId="0F184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46C55C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w:t>
            </w:r>
          </w:p>
        </w:tc>
        <w:tc>
          <w:tcPr>
            <w:tcW w:w="950" w:type="pct"/>
            <w:vAlign w:val="center"/>
          </w:tcPr>
          <w:p w14:paraId="1C8C48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债券还本</w:t>
            </w:r>
          </w:p>
        </w:tc>
        <w:tc>
          <w:tcPr>
            <w:tcW w:w="420" w:type="pct"/>
            <w:vAlign w:val="center"/>
          </w:tcPr>
          <w:p w14:paraId="4CD838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1E05CB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F5839D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56AF61F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214D31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20000.00</w:t>
            </w:r>
          </w:p>
        </w:tc>
        <w:tc>
          <w:tcPr>
            <w:tcW w:w="420" w:type="pct"/>
            <w:vAlign w:val="center"/>
          </w:tcPr>
          <w:p w14:paraId="2980D64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19000.00</w:t>
            </w:r>
          </w:p>
        </w:tc>
        <w:tc>
          <w:tcPr>
            <w:tcW w:w="420" w:type="pct"/>
            <w:vAlign w:val="center"/>
          </w:tcPr>
          <w:p w14:paraId="4EA8DC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0" w:type="pct"/>
            <w:vAlign w:val="center"/>
          </w:tcPr>
          <w:p w14:paraId="3F330AD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0" w:type="pct"/>
            <w:vAlign w:val="center"/>
          </w:tcPr>
          <w:p w14:paraId="24348D2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r>
      <w:tr w14:paraId="505F6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3135A0E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w:t>
            </w:r>
          </w:p>
        </w:tc>
        <w:tc>
          <w:tcPr>
            <w:tcW w:w="950" w:type="pct"/>
            <w:vAlign w:val="center"/>
          </w:tcPr>
          <w:p w14:paraId="716B0B2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债券付息</w:t>
            </w:r>
          </w:p>
        </w:tc>
        <w:tc>
          <w:tcPr>
            <w:tcW w:w="420" w:type="pct"/>
            <w:vAlign w:val="center"/>
          </w:tcPr>
          <w:p w14:paraId="329777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420" w:type="pct"/>
            <w:vAlign w:val="center"/>
          </w:tcPr>
          <w:p w14:paraId="77E2EDF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57CFFA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60C5AA4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0" w:type="pct"/>
            <w:vAlign w:val="center"/>
          </w:tcPr>
          <w:p w14:paraId="1A21C7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1873.50</w:t>
            </w:r>
          </w:p>
        </w:tc>
        <w:tc>
          <w:tcPr>
            <w:tcW w:w="420" w:type="pct"/>
            <w:vAlign w:val="center"/>
          </w:tcPr>
          <w:p w14:paraId="1CF5EA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1171.50</w:t>
            </w:r>
          </w:p>
        </w:tc>
        <w:tc>
          <w:tcPr>
            <w:tcW w:w="420" w:type="pct"/>
            <w:vAlign w:val="center"/>
          </w:tcPr>
          <w:p w14:paraId="2134E21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04D375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0" w:type="pct"/>
            <w:vAlign w:val="center"/>
          </w:tcPr>
          <w:p w14:paraId="3F418A3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r>
      <w:tr w14:paraId="3E6BCA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2" w:type="pct"/>
            <w:vAlign w:val="center"/>
          </w:tcPr>
          <w:p w14:paraId="774327C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950" w:type="pct"/>
            <w:vAlign w:val="center"/>
          </w:tcPr>
          <w:p w14:paraId="6659F1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年末债券融资本金累计</w:t>
            </w:r>
          </w:p>
        </w:tc>
        <w:tc>
          <w:tcPr>
            <w:tcW w:w="420" w:type="pct"/>
            <w:vAlign w:val="center"/>
          </w:tcPr>
          <w:p w14:paraId="239E570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0" w:type="pct"/>
            <w:vAlign w:val="center"/>
          </w:tcPr>
          <w:p w14:paraId="0C7EB1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736CF1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35736F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20" w:type="pct"/>
            <w:vAlign w:val="center"/>
          </w:tcPr>
          <w:p w14:paraId="2876F9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40000.00</w:t>
            </w:r>
          </w:p>
        </w:tc>
        <w:tc>
          <w:tcPr>
            <w:tcW w:w="420" w:type="pct"/>
            <w:vAlign w:val="center"/>
          </w:tcPr>
          <w:p w14:paraId="7750247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589389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2F20FDD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20" w:type="pct"/>
            <w:vAlign w:val="center"/>
          </w:tcPr>
          <w:p w14:paraId="1FB6AF3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bl>
    <w:p w14:paraId="72AFE0E6">
      <w:pPr>
        <w:pStyle w:val="7"/>
        <w:spacing w:after="0" w:line="560" w:lineRule="exact"/>
        <w:ind w:firstLine="640"/>
        <w:rPr>
          <w:rFonts w:hint="eastAsia" w:ascii="仿宋_GB2312" w:eastAsia="仿宋_GB2312"/>
          <w:bCs/>
          <w:color w:val="auto"/>
          <w:sz w:val="32"/>
          <w:szCs w:val="32"/>
        </w:rPr>
      </w:pPr>
    </w:p>
    <w:p w14:paraId="0E14BBEA">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w:t>
      </w:r>
      <w:r>
        <w:rPr>
          <w:rFonts w:ascii="仿宋_GB2312" w:eastAsia="仿宋_GB2312"/>
          <w:bCs/>
          <w:color w:val="auto"/>
          <w:sz w:val="32"/>
          <w:szCs w:val="32"/>
        </w:rPr>
        <w:t>2</w:t>
      </w:r>
      <w:r>
        <w:rPr>
          <w:rFonts w:hint="eastAsia" w:ascii="仿宋_GB2312" w:eastAsia="仿宋_GB2312"/>
          <w:bCs/>
          <w:color w:val="auto"/>
          <w:sz w:val="32"/>
          <w:szCs w:val="32"/>
        </w:rPr>
        <w:t>）运营付现成本</w:t>
      </w:r>
    </w:p>
    <w:p w14:paraId="4C79B0B6">
      <w:pPr>
        <w:pStyle w:val="7"/>
        <w:spacing w:before="0" w:after="0" w:line="360" w:lineRule="auto"/>
        <w:ind w:firstLine="640"/>
        <w:jc w:val="both"/>
        <w:rPr>
          <w:rFonts w:hint="eastAsia" w:ascii="仿宋_GB2312" w:eastAsia="仿宋_GB2312"/>
          <w:bCs/>
          <w:color w:val="auto"/>
          <w:sz w:val="32"/>
          <w:szCs w:val="32"/>
        </w:rPr>
      </w:pPr>
      <w:r>
        <w:rPr>
          <w:rFonts w:hint="eastAsia" w:ascii="仿宋_GB2312" w:eastAsia="仿宋_GB2312"/>
          <w:bCs/>
          <w:color w:val="auto"/>
          <w:sz w:val="32"/>
          <w:szCs w:val="32"/>
        </w:rPr>
        <w:t>1）外购燃料动力费：因为</w:t>
      </w:r>
      <w:r>
        <w:rPr>
          <w:rFonts w:hint="eastAsia" w:ascii="仿宋_GB2312" w:eastAsia="仿宋_GB2312"/>
          <w:color w:val="auto"/>
          <w:sz w:val="32"/>
          <w:szCs w:val="32"/>
        </w:rPr>
        <w:t>本项目收入测算不考虑充电桩电费收入，相应的成本测算也不考虑充电桩电费成本。</w:t>
      </w:r>
      <w:r>
        <w:rPr>
          <w:rFonts w:hint="eastAsia" w:ascii="仿宋_GB2312" w:eastAsia="仿宋_GB2312"/>
          <w:bCs/>
          <w:color w:val="auto"/>
          <w:sz w:val="32"/>
          <w:szCs w:val="32"/>
        </w:rPr>
        <w:t>外购燃料动力费主要为员工工作用水电费，本项目外购燃料动力费按其他管理费的50%测算。</w:t>
      </w:r>
    </w:p>
    <w:p w14:paraId="737D1280">
      <w:pPr>
        <w:pStyle w:val="7"/>
        <w:spacing w:before="0" w:after="0" w:line="360" w:lineRule="auto"/>
        <w:ind w:firstLine="640"/>
        <w:jc w:val="both"/>
        <w:rPr>
          <w:rFonts w:hint="eastAsia" w:ascii="仿宋_GB2312" w:eastAsia="仿宋_GB2312"/>
          <w:bCs/>
          <w:color w:val="auto"/>
          <w:sz w:val="32"/>
          <w:szCs w:val="32"/>
        </w:rPr>
      </w:pPr>
      <w:r>
        <w:rPr>
          <w:rFonts w:hint="eastAsia" w:ascii="仿宋_GB2312" w:eastAsia="仿宋_GB2312"/>
          <w:bCs/>
          <w:color w:val="auto"/>
          <w:sz w:val="32"/>
          <w:szCs w:val="32"/>
        </w:rPr>
        <w:t>2）工资福利费：本项目按新增员工10人测算（本项目停车位收费为自动计费，非人工收费），运营期首年员工人均工资福利费用按</w:t>
      </w:r>
      <w:r>
        <w:rPr>
          <w:rFonts w:ascii="仿宋_GB2312" w:eastAsia="仿宋_GB2312"/>
          <w:bCs/>
          <w:color w:val="auto"/>
          <w:sz w:val="32"/>
          <w:szCs w:val="32"/>
        </w:rPr>
        <w:t>9.5</w:t>
      </w:r>
      <w:r>
        <w:rPr>
          <w:rFonts w:hint="eastAsia" w:ascii="仿宋_GB2312" w:eastAsia="仿宋_GB2312"/>
          <w:bCs/>
          <w:color w:val="auto"/>
          <w:sz w:val="32"/>
          <w:szCs w:val="32"/>
        </w:rPr>
        <w:t>万元/年估算。工资福利费按每年增长</w:t>
      </w:r>
      <w:r>
        <w:rPr>
          <w:rFonts w:ascii="仿宋_GB2312" w:eastAsia="仿宋_GB2312"/>
          <w:bCs/>
          <w:color w:val="auto"/>
          <w:sz w:val="32"/>
          <w:szCs w:val="32"/>
        </w:rPr>
        <w:t>2.5</w:t>
      </w:r>
      <w:r>
        <w:rPr>
          <w:rFonts w:hint="eastAsia" w:ascii="仿宋_GB2312" w:eastAsia="仿宋_GB2312"/>
          <w:bCs/>
          <w:color w:val="auto"/>
          <w:sz w:val="32"/>
          <w:szCs w:val="32"/>
        </w:rPr>
        <w:t>%（高于停车费涨幅）进行测算。</w:t>
      </w:r>
    </w:p>
    <w:p w14:paraId="203BB748">
      <w:pPr>
        <w:pStyle w:val="7"/>
        <w:spacing w:before="0" w:after="0" w:line="360" w:lineRule="auto"/>
        <w:ind w:firstLine="640"/>
        <w:jc w:val="both"/>
        <w:rPr>
          <w:rFonts w:hint="eastAsia" w:ascii="仿宋_GB2312" w:eastAsia="仿宋_GB2312"/>
          <w:bCs/>
          <w:color w:val="auto"/>
          <w:sz w:val="32"/>
          <w:szCs w:val="32"/>
        </w:rPr>
      </w:pPr>
      <w:r>
        <w:rPr>
          <w:rFonts w:hint="eastAsia" w:ascii="仿宋_GB2312" w:eastAsia="仿宋_GB2312"/>
          <w:bCs/>
          <w:color w:val="auto"/>
          <w:sz w:val="32"/>
          <w:szCs w:val="32"/>
        </w:rPr>
        <w:t>3）修理费：</w:t>
      </w:r>
      <w:r>
        <w:rPr>
          <w:rFonts w:hint="eastAsia" w:ascii="仿宋_GB2312" w:eastAsia="仿宋_GB2312"/>
          <w:color w:val="auto"/>
          <w:sz w:val="32"/>
          <w:szCs w:val="32"/>
        </w:rPr>
        <w:t>运营期第1年维修费按折旧摊销费的3%进行测算，维修费</w:t>
      </w:r>
      <w:r>
        <w:rPr>
          <w:rFonts w:hint="eastAsia" w:ascii="仿宋_GB2312" w:hAnsi="Calibri" w:eastAsia="仿宋_GB2312" w:cs="Calibri"/>
          <w:color w:val="auto"/>
          <w:sz w:val="32"/>
          <w:szCs w:val="32"/>
        </w:rPr>
        <w:t>按每年</w:t>
      </w:r>
      <w:r>
        <w:rPr>
          <w:rFonts w:hint="eastAsia" w:ascii="仿宋_GB2312" w:eastAsia="仿宋_GB2312"/>
          <w:color w:val="auto"/>
          <w:sz w:val="32"/>
          <w:szCs w:val="32"/>
        </w:rPr>
        <w:t>增长</w:t>
      </w:r>
      <w:r>
        <w:rPr>
          <w:rFonts w:ascii="仿宋_GB2312" w:eastAsia="仿宋_GB2312"/>
          <w:color w:val="auto"/>
          <w:sz w:val="32"/>
          <w:szCs w:val="32"/>
        </w:rPr>
        <w:t>2.5</w:t>
      </w:r>
      <w:r>
        <w:rPr>
          <w:rFonts w:hint="eastAsia" w:ascii="仿宋_GB2312" w:eastAsia="仿宋_GB2312"/>
          <w:color w:val="auto"/>
          <w:sz w:val="32"/>
          <w:szCs w:val="32"/>
        </w:rPr>
        <w:t>%（</w:t>
      </w:r>
      <w:r>
        <w:rPr>
          <w:rFonts w:hint="eastAsia" w:ascii="仿宋_GB2312" w:eastAsia="仿宋_GB2312"/>
          <w:bCs/>
          <w:color w:val="auto"/>
          <w:sz w:val="32"/>
          <w:szCs w:val="32"/>
        </w:rPr>
        <w:t>高于停车费涨幅</w:t>
      </w:r>
      <w:r>
        <w:rPr>
          <w:rFonts w:hint="eastAsia" w:ascii="仿宋_GB2312" w:eastAsia="仿宋_GB2312"/>
          <w:color w:val="auto"/>
          <w:sz w:val="32"/>
          <w:szCs w:val="32"/>
        </w:rPr>
        <w:t>）进行测算。充电桩维修、更新费用均摊计提在修理费中。</w:t>
      </w:r>
    </w:p>
    <w:p w14:paraId="2DF30585">
      <w:pPr>
        <w:pStyle w:val="7"/>
        <w:spacing w:before="0" w:after="0" w:line="360" w:lineRule="auto"/>
        <w:ind w:firstLine="640"/>
        <w:jc w:val="both"/>
        <w:rPr>
          <w:rFonts w:hint="eastAsia" w:ascii="仿宋_GB2312" w:eastAsia="仿宋_GB2312"/>
          <w:bCs/>
          <w:color w:val="auto"/>
          <w:sz w:val="32"/>
          <w:szCs w:val="32"/>
        </w:rPr>
      </w:pPr>
      <w:r>
        <w:rPr>
          <w:rFonts w:hint="eastAsia" w:ascii="仿宋_GB2312" w:eastAsia="仿宋_GB2312"/>
          <w:bCs/>
          <w:color w:val="auto"/>
          <w:sz w:val="32"/>
          <w:szCs w:val="32"/>
        </w:rPr>
        <w:t>4）其他管理费用：按工资福利费的</w:t>
      </w:r>
      <w:r>
        <w:rPr>
          <w:rFonts w:ascii="仿宋_GB2312" w:eastAsia="仿宋_GB2312"/>
          <w:bCs/>
          <w:color w:val="auto"/>
          <w:sz w:val="32"/>
          <w:szCs w:val="32"/>
        </w:rPr>
        <w:t>50</w:t>
      </w:r>
      <w:r>
        <w:rPr>
          <w:rFonts w:hint="eastAsia" w:ascii="仿宋_GB2312" w:eastAsia="仿宋_GB2312"/>
          <w:bCs/>
          <w:color w:val="auto"/>
          <w:sz w:val="32"/>
          <w:szCs w:val="32"/>
        </w:rPr>
        <w:t>%估算。</w:t>
      </w:r>
    </w:p>
    <w:p w14:paraId="5F279A47">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（以上为参照行业一般水平估算；项目运营后，在成本节约原则下，具体成本以实际支出为准）</w:t>
      </w:r>
    </w:p>
    <w:p w14:paraId="0D568344">
      <w:pPr>
        <w:pStyle w:val="7"/>
        <w:spacing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本项目简易、保守估算，折旧摊销残值率统一按0.00%计，折旧摊销年限取</w:t>
      </w:r>
      <w:r>
        <w:rPr>
          <w:rFonts w:ascii="仿宋_GB2312" w:eastAsia="仿宋_GB2312"/>
          <w:bCs/>
          <w:color w:val="auto"/>
          <w:sz w:val="32"/>
          <w:szCs w:val="32"/>
        </w:rPr>
        <w:t>3</w:t>
      </w:r>
      <w:r>
        <w:rPr>
          <w:rFonts w:hint="eastAsia" w:ascii="仿宋_GB2312" w:eastAsia="仿宋_GB2312"/>
          <w:bCs/>
          <w:color w:val="auto"/>
          <w:sz w:val="32"/>
          <w:szCs w:val="32"/>
        </w:rPr>
        <w:t>0年。</w:t>
      </w:r>
    </w:p>
    <w:p w14:paraId="4AF689A4">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经估算，项目经营期内，总经营成本为</w:t>
      </w:r>
      <w:r>
        <w:rPr>
          <w:rFonts w:ascii="仿宋_GB2312" w:eastAsia="仿宋_GB2312"/>
          <w:bCs/>
          <w:color w:val="auto"/>
          <w:sz w:val="32"/>
          <w:szCs w:val="32"/>
        </w:rPr>
        <w:t>3743.86</w:t>
      </w:r>
      <w:r>
        <w:rPr>
          <w:rFonts w:hint="eastAsia" w:ascii="仿宋_GB2312" w:eastAsia="仿宋_GB2312"/>
          <w:bCs/>
          <w:color w:val="auto"/>
          <w:sz w:val="32"/>
          <w:szCs w:val="32"/>
        </w:rPr>
        <w:t>万元，总成本费用</w:t>
      </w:r>
      <w:r>
        <w:rPr>
          <w:rFonts w:ascii="仿宋_GB2312" w:eastAsia="仿宋_GB2312"/>
          <w:bCs/>
          <w:color w:val="auto"/>
          <w:sz w:val="32"/>
          <w:szCs w:val="32"/>
        </w:rPr>
        <w:t>62244.58</w:t>
      </w:r>
      <w:r>
        <w:rPr>
          <w:rFonts w:hint="eastAsia" w:ascii="仿宋_GB2312" w:eastAsia="仿宋_GB2312"/>
          <w:bCs/>
          <w:color w:val="auto"/>
          <w:sz w:val="32"/>
          <w:szCs w:val="32"/>
        </w:rPr>
        <w:t>万元。</w:t>
      </w:r>
    </w:p>
    <w:p w14:paraId="4A97F5EB">
      <w:pPr>
        <w:pStyle w:val="7"/>
        <w:spacing w:before="0" w:after="0" w:line="360" w:lineRule="auto"/>
        <w:ind w:firstLine="640"/>
        <w:rPr>
          <w:rFonts w:hint="eastAsia" w:ascii="仿宋_GB2312" w:eastAsia="仿宋_GB2312"/>
          <w:bCs/>
          <w:color w:val="auto"/>
          <w:sz w:val="32"/>
          <w:szCs w:val="32"/>
        </w:rPr>
        <w:sectPr>
          <w:type w:val="continuous"/>
          <w:pgSz w:w="16838" w:h="11906" w:orient="landscape"/>
          <w:pgMar w:top="1800" w:right="1440" w:bottom="1800" w:left="1440" w:header="851" w:footer="992" w:gutter="0"/>
          <w:cols w:space="425" w:num="1"/>
          <w:docGrid w:type="lines" w:linePitch="381" w:charSpace="0"/>
        </w:sectPr>
      </w:pPr>
    </w:p>
    <w:p w14:paraId="1AB40EE4">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12</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项目成本估算表（单位：万元）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1"/>
        <w:gridCol w:w="2833"/>
        <w:gridCol w:w="1710"/>
        <w:gridCol w:w="1540"/>
        <w:gridCol w:w="1540"/>
        <w:gridCol w:w="1540"/>
        <w:gridCol w:w="1540"/>
        <w:gridCol w:w="1540"/>
        <w:gridCol w:w="1540"/>
      </w:tblGrid>
      <w:tr w14:paraId="3160DF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73" w:type="pct"/>
            <w:vAlign w:val="center"/>
          </w:tcPr>
          <w:p w14:paraId="2AAFD16C">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951" w:type="pct"/>
            <w:vAlign w:val="center"/>
          </w:tcPr>
          <w:p w14:paraId="3601D5A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574" w:type="pct"/>
            <w:vAlign w:val="center"/>
          </w:tcPr>
          <w:p w14:paraId="7F6D609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517" w:type="pct"/>
            <w:vAlign w:val="center"/>
          </w:tcPr>
          <w:p w14:paraId="221EAE23">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2027年</w:t>
            </w:r>
          </w:p>
        </w:tc>
        <w:tc>
          <w:tcPr>
            <w:tcW w:w="517" w:type="pct"/>
            <w:vAlign w:val="center"/>
          </w:tcPr>
          <w:p w14:paraId="0E0B3A2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2028年</w:t>
            </w:r>
          </w:p>
        </w:tc>
        <w:tc>
          <w:tcPr>
            <w:tcW w:w="517" w:type="pct"/>
            <w:vAlign w:val="center"/>
          </w:tcPr>
          <w:p w14:paraId="5FC3926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2029年</w:t>
            </w:r>
          </w:p>
        </w:tc>
        <w:tc>
          <w:tcPr>
            <w:tcW w:w="517" w:type="pct"/>
            <w:vAlign w:val="center"/>
          </w:tcPr>
          <w:p w14:paraId="6CD58E1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2030年</w:t>
            </w:r>
          </w:p>
        </w:tc>
        <w:tc>
          <w:tcPr>
            <w:tcW w:w="517" w:type="pct"/>
            <w:vAlign w:val="center"/>
          </w:tcPr>
          <w:p w14:paraId="57B97D38">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2031年</w:t>
            </w:r>
          </w:p>
        </w:tc>
        <w:tc>
          <w:tcPr>
            <w:tcW w:w="517" w:type="pct"/>
            <w:vAlign w:val="center"/>
          </w:tcPr>
          <w:p w14:paraId="0205BE4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2032年</w:t>
            </w:r>
          </w:p>
        </w:tc>
      </w:tr>
      <w:tr w14:paraId="21C62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6C7AEA1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951" w:type="pct"/>
            <w:vAlign w:val="center"/>
          </w:tcPr>
          <w:p w14:paraId="4273CC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外购燃料动力费</w:t>
            </w:r>
          </w:p>
        </w:tc>
        <w:tc>
          <w:tcPr>
            <w:tcW w:w="574" w:type="pct"/>
            <w:vAlign w:val="center"/>
          </w:tcPr>
          <w:p w14:paraId="6F8B4B1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359.66</w:t>
            </w:r>
          </w:p>
        </w:tc>
        <w:tc>
          <w:tcPr>
            <w:tcW w:w="517" w:type="pct"/>
            <w:vAlign w:val="center"/>
          </w:tcPr>
          <w:p w14:paraId="4DCC9B0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23.75</w:t>
            </w:r>
          </w:p>
        </w:tc>
        <w:tc>
          <w:tcPr>
            <w:tcW w:w="517" w:type="pct"/>
            <w:vAlign w:val="center"/>
          </w:tcPr>
          <w:p w14:paraId="3D6353B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24.35</w:t>
            </w:r>
          </w:p>
        </w:tc>
        <w:tc>
          <w:tcPr>
            <w:tcW w:w="517" w:type="pct"/>
            <w:vAlign w:val="center"/>
          </w:tcPr>
          <w:p w14:paraId="268EC7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24.96</w:t>
            </w:r>
          </w:p>
        </w:tc>
        <w:tc>
          <w:tcPr>
            <w:tcW w:w="517" w:type="pct"/>
            <w:vAlign w:val="center"/>
          </w:tcPr>
          <w:p w14:paraId="4E93F2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25.58</w:t>
            </w:r>
          </w:p>
        </w:tc>
        <w:tc>
          <w:tcPr>
            <w:tcW w:w="517" w:type="pct"/>
            <w:vAlign w:val="center"/>
          </w:tcPr>
          <w:p w14:paraId="1CBD33C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26.22</w:t>
            </w:r>
          </w:p>
        </w:tc>
        <w:tc>
          <w:tcPr>
            <w:tcW w:w="517" w:type="pct"/>
            <w:vAlign w:val="center"/>
          </w:tcPr>
          <w:p w14:paraId="21785E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26.88</w:t>
            </w:r>
          </w:p>
        </w:tc>
      </w:tr>
      <w:tr w14:paraId="4A9E94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49C10D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951" w:type="pct"/>
            <w:vAlign w:val="center"/>
          </w:tcPr>
          <w:p w14:paraId="0E33401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工资和福利费</w:t>
            </w:r>
          </w:p>
        </w:tc>
        <w:tc>
          <w:tcPr>
            <w:tcW w:w="574" w:type="pct"/>
            <w:vAlign w:val="center"/>
          </w:tcPr>
          <w:p w14:paraId="5F2D4F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1438.39</w:t>
            </w:r>
          </w:p>
        </w:tc>
        <w:tc>
          <w:tcPr>
            <w:tcW w:w="517" w:type="pct"/>
            <w:vAlign w:val="center"/>
          </w:tcPr>
          <w:p w14:paraId="6862CD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95.00</w:t>
            </w:r>
          </w:p>
        </w:tc>
        <w:tc>
          <w:tcPr>
            <w:tcW w:w="517" w:type="pct"/>
            <w:vAlign w:val="center"/>
          </w:tcPr>
          <w:p w14:paraId="3175FF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97.38</w:t>
            </w:r>
          </w:p>
        </w:tc>
        <w:tc>
          <w:tcPr>
            <w:tcW w:w="517" w:type="pct"/>
            <w:vAlign w:val="center"/>
          </w:tcPr>
          <w:p w14:paraId="16D8F0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99.81</w:t>
            </w:r>
          </w:p>
        </w:tc>
        <w:tc>
          <w:tcPr>
            <w:tcW w:w="517" w:type="pct"/>
            <w:vAlign w:val="center"/>
          </w:tcPr>
          <w:p w14:paraId="1B9EA8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102.31</w:t>
            </w:r>
          </w:p>
        </w:tc>
        <w:tc>
          <w:tcPr>
            <w:tcW w:w="517" w:type="pct"/>
            <w:vAlign w:val="center"/>
          </w:tcPr>
          <w:p w14:paraId="30AD8E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104.87</w:t>
            </w:r>
          </w:p>
        </w:tc>
        <w:tc>
          <w:tcPr>
            <w:tcW w:w="517" w:type="pct"/>
            <w:vAlign w:val="center"/>
          </w:tcPr>
          <w:p w14:paraId="0D31CD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107.49</w:t>
            </w:r>
          </w:p>
        </w:tc>
      </w:tr>
      <w:tr w14:paraId="7BFA2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40A10D0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951" w:type="pct"/>
            <w:vAlign w:val="center"/>
          </w:tcPr>
          <w:p w14:paraId="7D7DD2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修理费</w:t>
            </w:r>
          </w:p>
        </w:tc>
        <w:tc>
          <w:tcPr>
            <w:tcW w:w="574" w:type="pct"/>
            <w:vAlign w:val="center"/>
          </w:tcPr>
          <w:p w14:paraId="5F0F0B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1226.57</w:t>
            </w:r>
          </w:p>
        </w:tc>
        <w:tc>
          <w:tcPr>
            <w:tcW w:w="517" w:type="pct"/>
            <w:vAlign w:val="center"/>
          </w:tcPr>
          <w:p w14:paraId="5F3635C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81.00</w:t>
            </w:r>
          </w:p>
        </w:tc>
        <w:tc>
          <w:tcPr>
            <w:tcW w:w="517" w:type="pct"/>
            <w:vAlign w:val="center"/>
          </w:tcPr>
          <w:p w14:paraId="3DBA03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83.03</w:t>
            </w:r>
          </w:p>
        </w:tc>
        <w:tc>
          <w:tcPr>
            <w:tcW w:w="517" w:type="pct"/>
            <w:vAlign w:val="center"/>
          </w:tcPr>
          <w:p w14:paraId="242C3C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85.11</w:t>
            </w:r>
          </w:p>
        </w:tc>
        <w:tc>
          <w:tcPr>
            <w:tcW w:w="517" w:type="pct"/>
            <w:vAlign w:val="center"/>
          </w:tcPr>
          <w:p w14:paraId="500A57A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87.24</w:t>
            </w:r>
          </w:p>
        </w:tc>
        <w:tc>
          <w:tcPr>
            <w:tcW w:w="517" w:type="pct"/>
            <w:vAlign w:val="center"/>
          </w:tcPr>
          <w:p w14:paraId="37D1BA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89.42</w:t>
            </w:r>
          </w:p>
        </w:tc>
        <w:tc>
          <w:tcPr>
            <w:tcW w:w="517" w:type="pct"/>
            <w:vAlign w:val="center"/>
          </w:tcPr>
          <w:p w14:paraId="03E4CF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91.66</w:t>
            </w:r>
          </w:p>
        </w:tc>
      </w:tr>
      <w:tr w14:paraId="5B8884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45B6BF0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951" w:type="pct"/>
            <w:vAlign w:val="center"/>
          </w:tcPr>
          <w:p w14:paraId="0ECC71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其他管理费用</w:t>
            </w:r>
          </w:p>
        </w:tc>
        <w:tc>
          <w:tcPr>
            <w:tcW w:w="574" w:type="pct"/>
            <w:vAlign w:val="center"/>
          </w:tcPr>
          <w:p w14:paraId="541F87B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719.24</w:t>
            </w:r>
          </w:p>
        </w:tc>
        <w:tc>
          <w:tcPr>
            <w:tcW w:w="517" w:type="pct"/>
            <w:vAlign w:val="center"/>
          </w:tcPr>
          <w:p w14:paraId="58A58D2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47.50</w:t>
            </w:r>
          </w:p>
        </w:tc>
        <w:tc>
          <w:tcPr>
            <w:tcW w:w="517" w:type="pct"/>
            <w:vAlign w:val="center"/>
          </w:tcPr>
          <w:p w14:paraId="62251B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48.69</w:t>
            </w:r>
          </w:p>
        </w:tc>
        <w:tc>
          <w:tcPr>
            <w:tcW w:w="517" w:type="pct"/>
            <w:vAlign w:val="center"/>
          </w:tcPr>
          <w:p w14:paraId="448B0A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49.91</w:t>
            </w:r>
          </w:p>
        </w:tc>
        <w:tc>
          <w:tcPr>
            <w:tcW w:w="517" w:type="pct"/>
            <w:vAlign w:val="center"/>
          </w:tcPr>
          <w:p w14:paraId="251EAF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51.16</w:t>
            </w:r>
          </w:p>
        </w:tc>
        <w:tc>
          <w:tcPr>
            <w:tcW w:w="517" w:type="pct"/>
            <w:vAlign w:val="center"/>
          </w:tcPr>
          <w:p w14:paraId="253A349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52.44</w:t>
            </w:r>
          </w:p>
        </w:tc>
        <w:tc>
          <w:tcPr>
            <w:tcW w:w="517" w:type="pct"/>
            <w:vAlign w:val="center"/>
          </w:tcPr>
          <w:p w14:paraId="45013C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53.75</w:t>
            </w:r>
          </w:p>
        </w:tc>
      </w:tr>
      <w:tr w14:paraId="4F9CA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1F5EBE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951" w:type="pct"/>
            <w:vAlign w:val="center"/>
          </w:tcPr>
          <w:p w14:paraId="10BD0E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经营成本</w:t>
            </w:r>
          </w:p>
        </w:tc>
        <w:tc>
          <w:tcPr>
            <w:tcW w:w="574" w:type="pct"/>
            <w:vAlign w:val="center"/>
          </w:tcPr>
          <w:p w14:paraId="3FD9A51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3743.86</w:t>
            </w:r>
          </w:p>
        </w:tc>
        <w:tc>
          <w:tcPr>
            <w:tcW w:w="517" w:type="pct"/>
            <w:vAlign w:val="center"/>
          </w:tcPr>
          <w:p w14:paraId="1B9F416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247.25</w:t>
            </w:r>
          </w:p>
        </w:tc>
        <w:tc>
          <w:tcPr>
            <w:tcW w:w="517" w:type="pct"/>
            <w:vAlign w:val="center"/>
          </w:tcPr>
          <w:p w14:paraId="479C71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253.45</w:t>
            </w:r>
          </w:p>
        </w:tc>
        <w:tc>
          <w:tcPr>
            <w:tcW w:w="517" w:type="pct"/>
            <w:vAlign w:val="center"/>
          </w:tcPr>
          <w:p w14:paraId="57BEAD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259.79</w:t>
            </w:r>
          </w:p>
        </w:tc>
        <w:tc>
          <w:tcPr>
            <w:tcW w:w="517" w:type="pct"/>
            <w:vAlign w:val="center"/>
          </w:tcPr>
          <w:p w14:paraId="490008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266.29</w:t>
            </w:r>
          </w:p>
        </w:tc>
        <w:tc>
          <w:tcPr>
            <w:tcW w:w="517" w:type="pct"/>
            <w:vAlign w:val="center"/>
          </w:tcPr>
          <w:p w14:paraId="21637F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272.95</w:t>
            </w:r>
          </w:p>
        </w:tc>
        <w:tc>
          <w:tcPr>
            <w:tcW w:w="517" w:type="pct"/>
            <w:vAlign w:val="center"/>
          </w:tcPr>
          <w:p w14:paraId="0112F70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279.78</w:t>
            </w:r>
          </w:p>
        </w:tc>
      </w:tr>
      <w:tr w14:paraId="0DCF54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485074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w:t>
            </w:r>
          </w:p>
        </w:tc>
        <w:tc>
          <w:tcPr>
            <w:tcW w:w="951" w:type="pct"/>
            <w:vAlign w:val="center"/>
          </w:tcPr>
          <w:p w14:paraId="5186C1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折旧摊销费</w:t>
            </w:r>
          </w:p>
        </w:tc>
        <w:tc>
          <w:tcPr>
            <w:tcW w:w="574" w:type="pct"/>
            <w:vAlign w:val="center"/>
          </w:tcPr>
          <w:p w14:paraId="39A76C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35099.22</w:t>
            </w:r>
          </w:p>
        </w:tc>
        <w:tc>
          <w:tcPr>
            <w:tcW w:w="517" w:type="pct"/>
            <w:vAlign w:val="center"/>
          </w:tcPr>
          <w:p w14:paraId="670A9BF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517" w:type="pct"/>
            <w:vAlign w:val="center"/>
          </w:tcPr>
          <w:p w14:paraId="1D0DFA5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517" w:type="pct"/>
            <w:vAlign w:val="center"/>
          </w:tcPr>
          <w:p w14:paraId="3C4AC5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517" w:type="pct"/>
            <w:vAlign w:val="center"/>
          </w:tcPr>
          <w:p w14:paraId="1B8232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517" w:type="pct"/>
            <w:vAlign w:val="center"/>
          </w:tcPr>
          <w:p w14:paraId="6CE242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517" w:type="pct"/>
            <w:vAlign w:val="center"/>
          </w:tcPr>
          <w:p w14:paraId="3F21C6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r>
      <w:tr w14:paraId="720DF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65F9FAE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w:t>
            </w:r>
          </w:p>
        </w:tc>
        <w:tc>
          <w:tcPr>
            <w:tcW w:w="951" w:type="pct"/>
            <w:vAlign w:val="center"/>
          </w:tcPr>
          <w:p w14:paraId="421ABA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财务费用</w:t>
            </w:r>
          </w:p>
        </w:tc>
        <w:tc>
          <w:tcPr>
            <w:tcW w:w="574" w:type="pct"/>
            <w:vAlign w:val="center"/>
          </w:tcPr>
          <w:p w14:paraId="167CDF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23401.50</w:t>
            </w:r>
          </w:p>
        </w:tc>
        <w:tc>
          <w:tcPr>
            <w:tcW w:w="517" w:type="pct"/>
            <w:vAlign w:val="center"/>
          </w:tcPr>
          <w:p w14:paraId="4FA678C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517" w:type="pct"/>
            <w:vAlign w:val="center"/>
          </w:tcPr>
          <w:p w14:paraId="4075798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517" w:type="pct"/>
            <w:vAlign w:val="center"/>
          </w:tcPr>
          <w:p w14:paraId="75C368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517" w:type="pct"/>
            <w:vAlign w:val="center"/>
          </w:tcPr>
          <w:p w14:paraId="647B0C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517" w:type="pct"/>
            <w:vAlign w:val="center"/>
          </w:tcPr>
          <w:p w14:paraId="5F8CB5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517" w:type="pct"/>
            <w:vAlign w:val="center"/>
          </w:tcPr>
          <w:p w14:paraId="342106C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6E61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3" w:type="pct"/>
            <w:vAlign w:val="center"/>
          </w:tcPr>
          <w:p w14:paraId="1C7B2DB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w:t>
            </w:r>
          </w:p>
        </w:tc>
        <w:tc>
          <w:tcPr>
            <w:tcW w:w="951" w:type="pct"/>
            <w:vAlign w:val="center"/>
          </w:tcPr>
          <w:p w14:paraId="3C9600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总成本费用</w:t>
            </w:r>
          </w:p>
        </w:tc>
        <w:tc>
          <w:tcPr>
            <w:tcW w:w="574" w:type="pct"/>
            <w:vAlign w:val="center"/>
          </w:tcPr>
          <w:p w14:paraId="619B36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62244.58</w:t>
            </w:r>
          </w:p>
        </w:tc>
        <w:tc>
          <w:tcPr>
            <w:tcW w:w="517" w:type="pct"/>
            <w:vAlign w:val="center"/>
          </w:tcPr>
          <w:p w14:paraId="1A94408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5180.69</w:t>
            </w:r>
          </w:p>
        </w:tc>
        <w:tc>
          <w:tcPr>
            <w:tcW w:w="517" w:type="pct"/>
            <w:vAlign w:val="center"/>
          </w:tcPr>
          <w:p w14:paraId="447D6E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5186.89</w:t>
            </w:r>
          </w:p>
        </w:tc>
        <w:tc>
          <w:tcPr>
            <w:tcW w:w="517" w:type="pct"/>
            <w:vAlign w:val="center"/>
          </w:tcPr>
          <w:p w14:paraId="1B17ACD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5193.23</w:t>
            </w:r>
          </w:p>
        </w:tc>
        <w:tc>
          <w:tcPr>
            <w:tcW w:w="517" w:type="pct"/>
            <w:vAlign w:val="center"/>
          </w:tcPr>
          <w:p w14:paraId="764F62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5199.73</w:t>
            </w:r>
          </w:p>
        </w:tc>
        <w:tc>
          <w:tcPr>
            <w:tcW w:w="517" w:type="pct"/>
            <w:vAlign w:val="center"/>
          </w:tcPr>
          <w:p w14:paraId="5E88FF6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5206.39</w:t>
            </w:r>
          </w:p>
        </w:tc>
        <w:tc>
          <w:tcPr>
            <w:tcW w:w="517" w:type="pct"/>
            <w:vAlign w:val="center"/>
          </w:tcPr>
          <w:p w14:paraId="48BBF9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5213.22</w:t>
            </w:r>
          </w:p>
        </w:tc>
      </w:tr>
    </w:tbl>
    <w:p w14:paraId="08AC0AC9">
      <w:pPr>
        <w:pStyle w:val="7"/>
        <w:spacing w:after="0" w:line="56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7"/>
        <w:gridCol w:w="2568"/>
        <w:gridCol w:w="1552"/>
        <w:gridCol w:w="1397"/>
        <w:gridCol w:w="1397"/>
        <w:gridCol w:w="1397"/>
        <w:gridCol w:w="1397"/>
        <w:gridCol w:w="1397"/>
        <w:gridCol w:w="1397"/>
        <w:gridCol w:w="1385"/>
      </w:tblGrid>
      <w:tr w14:paraId="44D64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38" w:type="pct"/>
            <w:vAlign w:val="center"/>
          </w:tcPr>
          <w:p w14:paraId="46A6B807">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862" w:type="pct"/>
            <w:vAlign w:val="center"/>
          </w:tcPr>
          <w:p w14:paraId="04EEBC9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521" w:type="pct"/>
            <w:vAlign w:val="center"/>
          </w:tcPr>
          <w:p w14:paraId="55C58A6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69" w:type="pct"/>
            <w:vAlign w:val="center"/>
          </w:tcPr>
          <w:p w14:paraId="165A747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2033年</w:t>
            </w:r>
          </w:p>
        </w:tc>
        <w:tc>
          <w:tcPr>
            <w:tcW w:w="469" w:type="pct"/>
            <w:vAlign w:val="center"/>
          </w:tcPr>
          <w:p w14:paraId="2731FEA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2034年</w:t>
            </w:r>
          </w:p>
        </w:tc>
        <w:tc>
          <w:tcPr>
            <w:tcW w:w="469" w:type="pct"/>
            <w:vAlign w:val="center"/>
          </w:tcPr>
          <w:p w14:paraId="4402F9D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2035年</w:t>
            </w:r>
          </w:p>
        </w:tc>
        <w:tc>
          <w:tcPr>
            <w:tcW w:w="469" w:type="pct"/>
            <w:vAlign w:val="center"/>
          </w:tcPr>
          <w:p w14:paraId="4137E7F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2036年</w:t>
            </w:r>
          </w:p>
        </w:tc>
        <w:tc>
          <w:tcPr>
            <w:tcW w:w="469" w:type="pct"/>
            <w:vAlign w:val="center"/>
          </w:tcPr>
          <w:p w14:paraId="18CB3C1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2037年</w:t>
            </w:r>
          </w:p>
        </w:tc>
        <w:tc>
          <w:tcPr>
            <w:tcW w:w="469" w:type="pct"/>
            <w:vAlign w:val="center"/>
          </w:tcPr>
          <w:p w14:paraId="47CDD34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2038年</w:t>
            </w:r>
          </w:p>
        </w:tc>
        <w:tc>
          <w:tcPr>
            <w:tcW w:w="469" w:type="pct"/>
            <w:vAlign w:val="center"/>
          </w:tcPr>
          <w:p w14:paraId="3E2FA4E9">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2039年</w:t>
            </w:r>
          </w:p>
        </w:tc>
      </w:tr>
      <w:tr w14:paraId="0B89F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6CA60E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862" w:type="pct"/>
            <w:vAlign w:val="center"/>
          </w:tcPr>
          <w:p w14:paraId="3995DDE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外购燃料动力费</w:t>
            </w:r>
          </w:p>
        </w:tc>
        <w:tc>
          <w:tcPr>
            <w:tcW w:w="521" w:type="pct"/>
            <w:vAlign w:val="center"/>
          </w:tcPr>
          <w:p w14:paraId="456EAC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359.66</w:t>
            </w:r>
          </w:p>
        </w:tc>
        <w:tc>
          <w:tcPr>
            <w:tcW w:w="469" w:type="pct"/>
            <w:vAlign w:val="center"/>
          </w:tcPr>
          <w:p w14:paraId="41E346C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27.55</w:t>
            </w:r>
          </w:p>
        </w:tc>
        <w:tc>
          <w:tcPr>
            <w:tcW w:w="469" w:type="pct"/>
            <w:vAlign w:val="center"/>
          </w:tcPr>
          <w:p w14:paraId="4720447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28.24</w:t>
            </w:r>
          </w:p>
        </w:tc>
        <w:tc>
          <w:tcPr>
            <w:tcW w:w="469" w:type="pct"/>
            <w:vAlign w:val="center"/>
          </w:tcPr>
          <w:p w14:paraId="3BF0990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28.94</w:t>
            </w:r>
          </w:p>
        </w:tc>
        <w:tc>
          <w:tcPr>
            <w:tcW w:w="469" w:type="pct"/>
            <w:vAlign w:val="center"/>
          </w:tcPr>
          <w:p w14:paraId="182C443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29.66</w:t>
            </w:r>
          </w:p>
        </w:tc>
        <w:tc>
          <w:tcPr>
            <w:tcW w:w="469" w:type="pct"/>
            <w:vAlign w:val="center"/>
          </w:tcPr>
          <w:p w14:paraId="7540D5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30.41</w:t>
            </w:r>
          </w:p>
        </w:tc>
        <w:tc>
          <w:tcPr>
            <w:tcW w:w="469" w:type="pct"/>
            <w:vAlign w:val="center"/>
          </w:tcPr>
          <w:p w14:paraId="535251C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31.17</w:t>
            </w:r>
          </w:p>
        </w:tc>
        <w:tc>
          <w:tcPr>
            <w:tcW w:w="469" w:type="pct"/>
            <w:vAlign w:val="center"/>
          </w:tcPr>
          <w:p w14:paraId="1818D4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31.95</w:t>
            </w:r>
          </w:p>
        </w:tc>
      </w:tr>
      <w:tr w14:paraId="0F7C93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47A7FD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862" w:type="pct"/>
            <w:vAlign w:val="center"/>
          </w:tcPr>
          <w:p w14:paraId="12C3A2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工资和福利费</w:t>
            </w:r>
          </w:p>
        </w:tc>
        <w:tc>
          <w:tcPr>
            <w:tcW w:w="521" w:type="pct"/>
            <w:vAlign w:val="center"/>
          </w:tcPr>
          <w:p w14:paraId="764FABB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1438.39</w:t>
            </w:r>
          </w:p>
        </w:tc>
        <w:tc>
          <w:tcPr>
            <w:tcW w:w="469" w:type="pct"/>
            <w:vAlign w:val="center"/>
          </w:tcPr>
          <w:p w14:paraId="697C02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110.18</w:t>
            </w:r>
          </w:p>
        </w:tc>
        <w:tc>
          <w:tcPr>
            <w:tcW w:w="469" w:type="pct"/>
            <w:vAlign w:val="center"/>
          </w:tcPr>
          <w:p w14:paraId="556B1DC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112.93</w:t>
            </w:r>
          </w:p>
        </w:tc>
        <w:tc>
          <w:tcPr>
            <w:tcW w:w="469" w:type="pct"/>
            <w:vAlign w:val="center"/>
          </w:tcPr>
          <w:p w14:paraId="0962616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115.75</w:t>
            </w:r>
          </w:p>
        </w:tc>
        <w:tc>
          <w:tcPr>
            <w:tcW w:w="469" w:type="pct"/>
            <w:vAlign w:val="center"/>
          </w:tcPr>
          <w:p w14:paraId="1E3FFE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118.64</w:t>
            </w:r>
          </w:p>
        </w:tc>
        <w:tc>
          <w:tcPr>
            <w:tcW w:w="469" w:type="pct"/>
            <w:vAlign w:val="center"/>
          </w:tcPr>
          <w:p w14:paraId="1816D3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121.61</w:t>
            </w:r>
          </w:p>
        </w:tc>
        <w:tc>
          <w:tcPr>
            <w:tcW w:w="469" w:type="pct"/>
            <w:vAlign w:val="center"/>
          </w:tcPr>
          <w:p w14:paraId="3ECDFD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124.65</w:t>
            </w:r>
          </w:p>
        </w:tc>
        <w:tc>
          <w:tcPr>
            <w:tcW w:w="469" w:type="pct"/>
            <w:vAlign w:val="center"/>
          </w:tcPr>
          <w:p w14:paraId="7F7390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127.77</w:t>
            </w:r>
          </w:p>
        </w:tc>
      </w:tr>
      <w:tr w14:paraId="2F05B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392773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862" w:type="pct"/>
            <w:vAlign w:val="center"/>
          </w:tcPr>
          <w:p w14:paraId="39971C9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修理费</w:t>
            </w:r>
          </w:p>
        </w:tc>
        <w:tc>
          <w:tcPr>
            <w:tcW w:w="521" w:type="pct"/>
            <w:vAlign w:val="center"/>
          </w:tcPr>
          <w:p w14:paraId="7531CB3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1226.57</w:t>
            </w:r>
          </w:p>
        </w:tc>
        <w:tc>
          <w:tcPr>
            <w:tcW w:w="469" w:type="pct"/>
            <w:vAlign w:val="center"/>
          </w:tcPr>
          <w:p w14:paraId="124DD3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93.95</w:t>
            </w:r>
          </w:p>
        </w:tc>
        <w:tc>
          <w:tcPr>
            <w:tcW w:w="469" w:type="pct"/>
            <w:vAlign w:val="center"/>
          </w:tcPr>
          <w:p w14:paraId="4EB5AD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96.30</w:t>
            </w:r>
          </w:p>
        </w:tc>
        <w:tc>
          <w:tcPr>
            <w:tcW w:w="469" w:type="pct"/>
            <w:vAlign w:val="center"/>
          </w:tcPr>
          <w:p w14:paraId="2ADE646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98.71</w:t>
            </w:r>
          </w:p>
        </w:tc>
        <w:tc>
          <w:tcPr>
            <w:tcW w:w="469" w:type="pct"/>
            <w:vAlign w:val="center"/>
          </w:tcPr>
          <w:p w14:paraId="30BF38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101.18</w:t>
            </w:r>
          </w:p>
        </w:tc>
        <w:tc>
          <w:tcPr>
            <w:tcW w:w="469" w:type="pct"/>
            <w:vAlign w:val="center"/>
          </w:tcPr>
          <w:p w14:paraId="32E1F2F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103.71</w:t>
            </w:r>
          </w:p>
        </w:tc>
        <w:tc>
          <w:tcPr>
            <w:tcW w:w="469" w:type="pct"/>
            <w:vAlign w:val="center"/>
          </w:tcPr>
          <w:p w14:paraId="2131F95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106.30</w:t>
            </w:r>
          </w:p>
        </w:tc>
        <w:tc>
          <w:tcPr>
            <w:tcW w:w="469" w:type="pct"/>
            <w:vAlign w:val="center"/>
          </w:tcPr>
          <w:p w14:paraId="153861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108.96</w:t>
            </w:r>
          </w:p>
        </w:tc>
      </w:tr>
      <w:tr w14:paraId="42447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090D03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862" w:type="pct"/>
            <w:vAlign w:val="center"/>
          </w:tcPr>
          <w:p w14:paraId="5349C36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其他管理费用</w:t>
            </w:r>
          </w:p>
        </w:tc>
        <w:tc>
          <w:tcPr>
            <w:tcW w:w="521" w:type="pct"/>
            <w:vAlign w:val="center"/>
          </w:tcPr>
          <w:p w14:paraId="4FDAB0A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719.24</w:t>
            </w:r>
          </w:p>
        </w:tc>
        <w:tc>
          <w:tcPr>
            <w:tcW w:w="469" w:type="pct"/>
            <w:vAlign w:val="center"/>
          </w:tcPr>
          <w:p w14:paraId="13B77C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55.09</w:t>
            </w:r>
          </w:p>
        </w:tc>
        <w:tc>
          <w:tcPr>
            <w:tcW w:w="469" w:type="pct"/>
            <w:vAlign w:val="center"/>
          </w:tcPr>
          <w:p w14:paraId="012DAE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56.47</w:t>
            </w:r>
          </w:p>
        </w:tc>
        <w:tc>
          <w:tcPr>
            <w:tcW w:w="469" w:type="pct"/>
            <w:vAlign w:val="center"/>
          </w:tcPr>
          <w:p w14:paraId="5079239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57.88</w:t>
            </w:r>
          </w:p>
        </w:tc>
        <w:tc>
          <w:tcPr>
            <w:tcW w:w="469" w:type="pct"/>
            <w:vAlign w:val="center"/>
          </w:tcPr>
          <w:p w14:paraId="52585A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59.32</w:t>
            </w:r>
          </w:p>
        </w:tc>
        <w:tc>
          <w:tcPr>
            <w:tcW w:w="469" w:type="pct"/>
            <w:vAlign w:val="center"/>
          </w:tcPr>
          <w:p w14:paraId="2299F6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60.81</w:t>
            </w:r>
          </w:p>
        </w:tc>
        <w:tc>
          <w:tcPr>
            <w:tcW w:w="469" w:type="pct"/>
            <w:vAlign w:val="center"/>
          </w:tcPr>
          <w:p w14:paraId="078A04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62.33</w:t>
            </w:r>
          </w:p>
        </w:tc>
        <w:tc>
          <w:tcPr>
            <w:tcW w:w="469" w:type="pct"/>
            <w:vAlign w:val="center"/>
          </w:tcPr>
          <w:p w14:paraId="54DD20E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63.89</w:t>
            </w:r>
          </w:p>
        </w:tc>
      </w:tr>
      <w:tr w14:paraId="79E6D9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56BE24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862" w:type="pct"/>
            <w:vAlign w:val="center"/>
          </w:tcPr>
          <w:p w14:paraId="578A23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经营成本</w:t>
            </w:r>
          </w:p>
        </w:tc>
        <w:tc>
          <w:tcPr>
            <w:tcW w:w="521" w:type="pct"/>
            <w:vAlign w:val="center"/>
          </w:tcPr>
          <w:p w14:paraId="697DF4E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3743.86</w:t>
            </w:r>
          </w:p>
        </w:tc>
        <w:tc>
          <w:tcPr>
            <w:tcW w:w="469" w:type="pct"/>
            <w:vAlign w:val="center"/>
          </w:tcPr>
          <w:p w14:paraId="2028EF6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286.77</w:t>
            </w:r>
          </w:p>
        </w:tc>
        <w:tc>
          <w:tcPr>
            <w:tcW w:w="469" w:type="pct"/>
            <w:vAlign w:val="center"/>
          </w:tcPr>
          <w:p w14:paraId="5D74FFB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293.94</w:t>
            </w:r>
          </w:p>
        </w:tc>
        <w:tc>
          <w:tcPr>
            <w:tcW w:w="469" w:type="pct"/>
            <w:vAlign w:val="center"/>
          </w:tcPr>
          <w:p w14:paraId="6C82B2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301.28</w:t>
            </w:r>
          </w:p>
        </w:tc>
        <w:tc>
          <w:tcPr>
            <w:tcW w:w="469" w:type="pct"/>
            <w:vAlign w:val="center"/>
          </w:tcPr>
          <w:p w14:paraId="6D16DE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308.80</w:t>
            </w:r>
          </w:p>
        </w:tc>
        <w:tc>
          <w:tcPr>
            <w:tcW w:w="469" w:type="pct"/>
            <w:vAlign w:val="center"/>
          </w:tcPr>
          <w:p w14:paraId="215CFB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316.54</w:t>
            </w:r>
          </w:p>
        </w:tc>
        <w:tc>
          <w:tcPr>
            <w:tcW w:w="469" w:type="pct"/>
            <w:vAlign w:val="center"/>
          </w:tcPr>
          <w:p w14:paraId="072E67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324.45</w:t>
            </w:r>
          </w:p>
        </w:tc>
        <w:tc>
          <w:tcPr>
            <w:tcW w:w="469" w:type="pct"/>
            <w:vAlign w:val="center"/>
          </w:tcPr>
          <w:p w14:paraId="1A34E2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332.57</w:t>
            </w:r>
          </w:p>
        </w:tc>
      </w:tr>
      <w:tr w14:paraId="2EFA4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283BD1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w:t>
            </w:r>
          </w:p>
        </w:tc>
        <w:tc>
          <w:tcPr>
            <w:tcW w:w="862" w:type="pct"/>
            <w:vAlign w:val="center"/>
          </w:tcPr>
          <w:p w14:paraId="19DA105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折旧摊销费</w:t>
            </w:r>
          </w:p>
        </w:tc>
        <w:tc>
          <w:tcPr>
            <w:tcW w:w="521" w:type="pct"/>
            <w:vAlign w:val="center"/>
          </w:tcPr>
          <w:p w14:paraId="5DB142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35099.22</w:t>
            </w:r>
          </w:p>
        </w:tc>
        <w:tc>
          <w:tcPr>
            <w:tcW w:w="469" w:type="pct"/>
            <w:vAlign w:val="center"/>
          </w:tcPr>
          <w:p w14:paraId="7457D0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67EF15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5A294B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7D488A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62F377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313685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c>
          <w:tcPr>
            <w:tcW w:w="469" w:type="pct"/>
            <w:vAlign w:val="center"/>
          </w:tcPr>
          <w:p w14:paraId="13BF5A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2699.94</w:t>
            </w:r>
          </w:p>
        </w:tc>
      </w:tr>
      <w:tr w14:paraId="11CD1C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51F3DC0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w:t>
            </w:r>
          </w:p>
        </w:tc>
        <w:tc>
          <w:tcPr>
            <w:tcW w:w="862" w:type="pct"/>
            <w:vAlign w:val="center"/>
          </w:tcPr>
          <w:p w14:paraId="134DAF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财务费用</w:t>
            </w:r>
          </w:p>
        </w:tc>
        <w:tc>
          <w:tcPr>
            <w:tcW w:w="521" w:type="pct"/>
            <w:vAlign w:val="center"/>
          </w:tcPr>
          <w:p w14:paraId="265B0D3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23401.50</w:t>
            </w:r>
          </w:p>
        </w:tc>
        <w:tc>
          <w:tcPr>
            <w:tcW w:w="469" w:type="pct"/>
            <w:vAlign w:val="center"/>
          </w:tcPr>
          <w:p w14:paraId="0E17F6D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69" w:type="pct"/>
            <w:vAlign w:val="center"/>
          </w:tcPr>
          <w:p w14:paraId="48655E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69" w:type="pct"/>
            <w:vAlign w:val="center"/>
          </w:tcPr>
          <w:p w14:paraId="73E6A6B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1873.50</w:t>
            </w:r>
          </w:p>
        </w:tc>
        <w:tc>
          <w:tcPr>
            <w:tcW w:w="469" w:type="pct"/>
            <w:vAlign w:val="center"/>
          </w:tcPr>
          <w:p w14:paraId="7296BB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1171.50</w:t>
            </w:r>
          </w:p>
        </w:tc>
        <w:tc>
          <w:tcPr>
            <w:tcW w:w="469" w:type="pct"/>
            <w:vAlign w:val="center"/>
          </w:tcPr>
          <w:p w14:paraId="1B9E7C1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69" w:type="pct"/>
            <w:vAlign w:val="center"/>
          </w:tcPr>
          <w:p w14:paraId="2A0B0C5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69" w:type="pct"/>
            <w:vAlign w:val="center"/>
          </w:tcPr>
          <w:p w14:paraId="04E64A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r>
      <w:tr w14:paraId="515532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8" w:type="pct"/>
            <w:vAlign w:val="center"/>
          </w:tcPr>
          <w:p w14:paraId="04D5F7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w:t>
            </w:r>
          </w:p>
        </w:tc>
        <w:tc>
          <w:tcPr>
            <w:tcW w:w="862" w:type="pct"/>
            <w:vAlign w:val="center"/>
          </w:tcPr>
          <w:p w14:paraId="1F800C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总成本费用</w:t>
            </w:r>
          </w:p>
        </w:tc>
        <w:tc>
          <w:tcPr>
            <w:tcW w:w="521" w:type="pct"/>
            <w:vAlign w:val="center"/>
          </w:tcPr>
          <w:p w14:paraId="0E5CD5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62244.58</w:t>
            </w:r>
          </w:p>
        </w:tc>
        <w:tc>
          <w:tcPr>
            <w:tcW w:w="469" w:type="pct"/>
            <w:vAlign w:val="center"/>
          </w:tcPr>
          <w:p w14:paraId="1A89A8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5220.21</w:t>
            </w:r>
          </w:p>
        </w:tc>
        <w:tc>
          <w:tcPr>
            <w:tcW w:w="469" w:type="pct"/>
            <w:vAlign w:val="center"/>
          </w:tcPr>
          <w:p w14:paraId="2E1E415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5227.38</w:t>
            </w:r>
          </w:p>
        </w:tc>
        <w:tc>
          <w:tcPr>
            <w:tcW w:w="469" w:type="pct"/>
            <w:vAlign w:val="center"/>
          </w:tcPr>
          <w:p w14:paraId="59BD007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4874.72</w:t>
            </w:r>
          </w:p>
        </w:tc>
        <w:tc>
          <w:tcPr>
            <w:tcW w:w="469" w:type="pct"/>
            <w:vAlign w:val="center"/>
          </w:tcPr>
          <w:p w14:paraId="42C7C3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4180.24</w:t>
            </w:r>
          </w:p>
        </w:tc>
        <w:tc>
          <w:tcPr>
            <w:tcW w:w="469" w:type="pct"/>
            <w:vAlign w:val="center"/>
          </w:tcPr>
          <w:p w14:paraId="04B6132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3845.98</w:t>
            </w:r>
          </w:p>
        </w:tc>
        <w:tc>
          <w:tcPr>
            <w:tcW w:w="469" w:type="pct"/>
            <w:vAlign w:val="center"/>
          </w:tcPr>
          <w:p w14:paraId="5808B3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3853.89</w:t>
            </w:r>
          </w:p>
        </w:tc>
        <w:tc>
          <w:tcPr>
            <w:tcW w:w="469" w:type="pct"/>
            <w:vAlign w:val="center"/>
          </w:tcPr>
          <w:p w14:paraId="60DB1F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3862.01</w:t>
            </w:r>
          </w:p>
        </w:tc>
      </w:tr>
    </w:tbl>
    <w:p w14:paraId="6D8C0D58">
      <w:pPr>
        <w:pStyle w:val="7"/>
        <w:spacing w:after="0" w:line="560" w:lineRule="exact"/>
        <w:ind w:firstLine="640"/>
        <w:rPr>
          <w:rFonts w:hint="eastAsia" w:ascii="仿宋_GB2312" w:eastAsia="仿宋_GB2312"/>
          <w:bCs/>
          <w:color w:val="auto"/>
          <w:sz w:val="32"/>
          <w:szCs w:val="32"/>
        </w:rPr>
      </w:pPr>
    </w:p>
    <w:p w14:paraId="4B267F36">
      <w:pPr>
        <w:pStyle w:val="7"/>
        <w:tabs>
          <w:tab w:val="center" w:pos="7659"/>
        </w:tabs>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（2）相关税费</w:t>
      </w:r>
      <w:r>
        <w:rPr>
          <w:rFonts w:ascii="仿宋_GB2312" w:eastAsia="仿宋_GB2312"/>
          <w:bCs/>
          <w:color w:val="auto"/>
          <w:sz w:val="32"/>
          <w:szCs w:val="32"/>
        </w:rPr>
        <w:tab/>
      </w:r>
    </w:p>
    <w:p w14:paraId="1EEB0B51">
      <w:pPr>
        <w:pStyle w:val="7"/>
        <w:spacing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——增值税：本项目充电桩充电服务费增值税销项税率按6%，其他增值税销项税率按</w:t>
      </w:r>
      <w:r>
        <w:rPr>
          <w:rFonts w:ascii="仿宋_GB2312" w:eastAsia="仿宋_GB2312"/>
          <w:color w:val="auto"/>
          <w:sz w:val="32"/>
          <w:szCs w:val="32"/>
        </w:rPr>
        <w:t>9</w:t>
      </w:r>
      <w:r>
        <w:rPr>
          <w:rFonts w:hint="eastAsia" w:ascii="仿宋_GB2312" w:eastAsia="仿宋_GB2312"/>
          <w:color w:val="auto"/>
          <w:sz w:val="32"/>
          <w:szCs w:val="32"/>
        </w:rPr>
        <w:t>%，增值税进项税率按</w:t>
      </w:r>
      <w:r>
        <w:rPr>
          <w:rFonts w:ascii="仿宋_GB2312" w:eastAsia="仿宋_GB2312"/>
          <w:color w:val="auto"/>
          <w:sz w:val="32"/>
          <w:szCs w:val="32"/>
        </w:rPr>
        <w:t>9</w:t>
      </w:r>
      <w:r>
        <w:rPr>
          <w:rFonts w:hint="eastAsia" w:ascii="仿宋_GB2312" w:eastAsia="仿宋_GB2312"/>
          <w:color w:val="auto"/>
          <w:sz w:val="32"/>
          <w:szCs w:val="32"/>
        </w:rPr>
        <w:t>%。保守测算，本项目建设期的增值税进项税额不进行抵扣测算。</w:t>
      </w:r>
    </w:p>
    <w:p w14:paraId="3A1DEDF4">
      <w:pPr>
        <w:pStyle w:val="7"/>
        <w:spacing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——城市维护建设税为增值税款的</w:t>
      </w:r>
      <w:r>
        <w:rPr>
          <w:rFonts w:ascii="仿宋_GB2312" w:eastAsia="仿宋_GB2312"/>
          <w:color w:val="auto"/>
          <w:sz w:val="32"/>
          <w:szCs w:val="32"/>
        </w:rPr>
        <w:t>7</w:t>
      </w:r>
      <w:r>
        <w:rPr>
          <w:rFonts w:hint="eastAsia" w:ascii="仿宋_GB2312" w:eastAsia="仿宋_GB2312"/>
          <w:color w:val="auto"/>
          <w:sz w:val="32"/>
          <w:szCs w:val="32"/>
        </w:rPr>
        <w:t>%。</w:t>
      </w:r>
    </w:p>
    <w:p w14:paraId="293E8714">
      <w:pPr>
        <w:pStyle w:val="7"/>
        <w:spacing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——教育费附加为增值税款的3%。</w:t>
      </w:r>
    </w:p>
    <w:p w14:paraId="5ED0D125">
      <w:pPr>
        <w:pStyle w:val="7"/>
        <w:spacing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——地方教育附加费为增值税款的 2％。</w:t>
      </w:r>
    </w:p>
    <w:p w14:paraId="0BF47234">
      <w:pPr>
        <w:pStyle w:val="7"/>
        <w:spacing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——房产税按租金收入12％。</w:t>
      </w:r>
    </w:p>
    <w:p w14:paraId="3BCDEEBC">
      <w:pPr>
        <w:pStyle w:val="7"/>
        <w:spacing w:after="0"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——所得税率：应纳税额的25%。</w:t>
      </w:r>
    </w:p>
    <w:p w14:paraId="664C84D3">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13</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项目相关税费估算表（单位：万元）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22"/>
        <w:gridCol w:w="2869"/>
        <w:gridCol w:w="1555"/>
        <w:gridCol w:w="1558"/>
        <w:gridCol w:w="1558"/>
        <w:gridCol w:w="1558"/>
        <w:gridCol w:w="1558"/>
        <w:gridCol w:w="1558"/>
        <w:gridCol w:w="1558"/>
      </w:tblGrid>
      <w:tr w14:paraId="7C13A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77" w:type="pct"/>
            <w:vAlign w:val="center"/>
          </w:tcPr>
          <w:p w14:paraId="5E95E225">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963" w:type="pct"/>
            <w:vAlign w:val="center"/>
          </w:tcPr>
          <w:p w14:paraId="37119DD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522" w:type="pct"/>
            <w:vAlign w:val="center"/>
          </w:tcPr>
          <w:p w14:paraId="39E18A1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523" w:type="pct"/>
            <w:vAlign w:val="center"/>
          </w:tcPr>
          <w:p w14:paraId="1C7A67CC">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2027年</w:t>
            </w:r>
          </w:p>
        </w:tc>
        <w:tc>
          <w:tcPr>
            <w:tcW w:w="523" w:type="pct"/>
            <w:vAlign w:val="center"/>
          </w:tcPr>
          <w:p w14:paraId="1EECCAB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2028年</w:t>
            </w:r>
          </w:p>
        </w:tc>
        <w:tc>
          <w:tcPr>
            <w:tcW w:w="523" w:type="pct"/>
            <w:vAlign w:val="center"/>
          </w:tcPr>
          <w:p w14:paraId="7D2A6F07">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2029年</w:t>
            </w:r>
          </w:p>
        </w:tc>
        <w:tc>
          <w:tcPr>
            <w:tcW w:w="523" w:type="pct"/>
            <w:vAlign w:val="center"/>
          </w:tcPr>
          <w:p w14:paraId="5FF24C7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2030年</w:t>
            </w:r>
          </w:p>
        </w:tc>
        <w:tc>
          <w:tcPr>
            <w:tcW w:w="523" w:type="pct"/>
            <w:vAlign w:val="center"/>
          </w:tcPr>
          <w:p w14:paraId="6D6D357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2031年</w:t>
            </w:r>
          </w:p>
        </w:tc>
        <w:tc>
          <w:tcPr>
            <w:tcW w:w="523" w:type="pct"/>
            <w:vAlign w:val="center"/>
          </w:tcPr>
          <w:p w14:paraId="11A82EA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2032年</w:t>
            </w:r>
          </w:p>
        </w:tc>
      </w:tr>
      <w:tr w14:paraId="5E975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18407CF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963" w:type="pct"/>
            <w:vAlign w:val="center"/>
          </w:tcPr>
          <w:p w14:paraId="7D0634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税金及附加</w:t>
            </w:r>
          </w:p>
        </w:tc>
        <w:tc>
          <w:tcPr>
            <w:tcW w:w="522" w:type="pct"/>
            <w:vAlign w:val="center"/>
          </w:tcPr>
          <w:p w14:paraId="721A90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2086.01</w:t>
            </w:r>
          </w:p>
        </w:tc>
        <w:tc>
          <w:tcPr>
            <w:tcW w:w="523" w:type="pct"/>
            <w:vAlign w:val="center"/>
          </w:tcPr>
          <w:p w14:paraId="001962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99.95</w:t>
            </w:r>
          </w:p>
        </w:tc>
        <w:tc>
          <w:tcPr>
            <w:tcW w:w="523" w:type="pct"/>
            <w:vAlign w:val="center"/>
          </w:tcPr>
          <w:p w14:paraId="68F0B1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115.66</w:t>
            </w:r>
          </w:p>
        </w:tc>
        <w:tc>
          <w:tcPr>
            <w:tcW w:w="523" w:type="pct"/>
            <w:vAlign w:val="center"/>
          </w:tcPr>
          <w:p w14:paraId="74D1E50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131.35</w:t>
            </w:r>
          </w:p>
        </w:tc>
        <w:tc>
          <w:tcPr>
            <w:tcW w:w="523" w:type="pct"/>
            <w:vAlign w:val="center"/>
          </w:tcPr>
          <w:p w14:paraId="334D13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161.04</w:t>
            </w:r>
          </w:p>
        </w:tc>
        <w:tc>
          <w:tcPr>
            <w:tcW w:w="523" w:type="pct"/>
            <w:vAlign w:val="center"/>
          </w:tcPr>
          <w:p w14:paraId="2EE429D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161.01</w:t>
            </w:r>
          </w:p>
        </w:tc>
        <w:tc>
          <w:tcPr>
            <w:tcW w:w="523" w:type="pct"/>
            <w:vAlign w:val="center"/>
          </w:tcPr>
          <w:p w14:paraId="0224F3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160.96</w:t>
            </w:r>
          </w:p>
        </w:tc>
      </w:tr>
      <w:tr w14:paraId="3AC93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6E72DBB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w:t>
            </w:r>
          </w:p>
        </w:tc>
        <w:tc>
          <w:tcPr>
            <w:tcW w:w="963" w:type="pct"/>
            <w:vAlign w:val="center"/>
          </w:tcPr>
          <w:p w14:paraId="4764A6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城市维护建设税</w:t>
            </w:r>
          </w:p>
        </w:tc>
        <w:tc>
          <w:tcPr>
            <w:tcW w:w="522" w:type="pct"/>
            <w:vAlign w:val="center"/>
          </w:tcPr>
          <w:p w14:paraId="7B5DB3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448.17</w:t>
            </w:r>
          </w:p>
        </w:tc>
        <w:tc>
          <w:tcPr>
            <w:tcW w:w="523" w:type="pct"/>
            <w:vAlign w:val="center"/>
          </w:tcPr>
          <w:p w14:paraId="54AE706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21.45</w:t>
            </w:r>
          </w:p>
        </w:tc>
        <w:tc>
          <w:tcPr>
            <w:tcW w:w="523" w:type="pct"/>
            <w:vAlign w:val="center"/>
          </w:tcPr>
          <w:p w14:paraId="431AF0D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24.94</w:t>
            </w:r>
          </w:p>
        </w:tc>
        <w:tc>
          <w:tcPr>
            <w:tcW w:w="523" w:type="pct"/>
            <w:vAlign w:val="center"/>
          </w:tcPr>
          <w:p w14:paraId="7B97392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28.43</w:t>
            </w:r>
          </w:p>
        </w:tc>
        <w:tc>
          <w:tcPr>
            <w:tcW w:w="523" w:type="pct"/>
            <w:vAlign w:val="center"/>
          </w:tcPr>
          <w:p w14:paraId="7377A7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34.69</w:t>
            </w:r>
          </w:p>
        </w:tc>
        <w:tc>
          <w:tcPr>
            <w:tcW w:w="523" w:type="pct"/>
            <w:vAlign w:val="center"/>
          </w:tcPr>
          <w:p w14:paraId="5072934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34.67</w:t>
            </w:r>
          </w:p>
        </w:tc>
        <w:tc>
          <w:tcPr>
            <w:tcW w:w="523" w:type="pct"/>
            <w:vAlign w:val="center"/>
          </w:tcPr>
          <w:p w14:paraId="5688023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34.64</w:t>
            </w:r>
          </w:p>
        </w:tc>
      </w:tr>
      <w:tr w14:paraId="610C5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53C3A8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w:t>
            </w:r>
          </w:p>
        </w:tc>
        <w:tc>
          <w:tcPr>
            <w:tcW w:w="963" w:type="pct"/>
            <w:vAlign w:val="center"/>
          </w:tcPr>
          <w:p w14:paraId="14237E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教育费附加</w:t>
            </w:r>
          </w:p>
        </w:tc>
        <w:tc>
          <w:tcPr>
            <w:tcW w:w="522" w:type="pct"/>
            <w:vAlign w:val="center"/>
          </w:tcPr>
          <w:p w14:paraId="30A5C7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192.08</w:t>
            </w:r>
          </w:p>
        </w:tc>
        <w:tc>
          <w:tcPr>
            <w:tcW w:w="523" w:type="pct"/>
            <w:vAlign w:val="center"/>
          </w:tcPr>
          <w:p w14:paraId="62F0C7B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9.19</w:t>
            </w:r>
          </w:p>
        </w:tc>
        <w:tc>
          <w:tcPr>
            <w:tcW w:w="523" w:type="pct"/>
            <w:vAlign w:val="center"/>
          </w:tcPr>
          <w:p w14:paraId="4A2AA9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10.69</w:t>
            </w:r>
          </w:p>
        </w:tc>
        <w:tc>
          <w:tcPr>
            <w:tcW w:w="523" w:type="pct"/>
            <w:vAlign w:val="center"/>
          </w:tcPr>
          <w:p w14:paraId="61AD9F1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12.18</w:t>
            </w:r>
          </w:p>
        </w:tc>
        <w:tc>
          <w:tcPr>
            <w:tcW w:w="523" w:type="pct"/>
            <w:vAlign w:val="center"/>
          </w:tcPr>
          <w:p w14:paraId="5CBC8D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14.87</w:t>
            </w:r>
          </w:p>
        </w:tc>
        <w:tc>
          <w:tcPr>
            <w:tcW w:w="523" w:type="pct"/>
            <w:vAlign w:val="center"/>
          </w:tcPr>
          <w:p w14:paraId="4884631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14.86</w:t>
            </w:r>
          </w:p>
        </w:tc>
        <w:tc>
          <w:tcPr>
            <w:tcW w:w="523" w:type="pct"/>
            <w:vAlign w:val="center"/>
          </w:tcPr>
          <w:p w14:paraId="19DA26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14.85</w:t>
            </w:r>
          </w:p>
        </w:tc>
      </w:tr>
      <w:tr w14:paraId="20C3B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31980AA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w:t>
            </w:r>
          </w:p>
        </w:tc>
        <w:tc>
          <w:tcPr>
            <w:tcW w:w="963" w:type="pct"/>
            <w:vAlign w:val="center"/>
          </w:tcPr>
          <w:p w14:paraId="30DE8E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地方教育附加费</w:t>
            </w:r>
          </w:p>
        </w:tc>
        <w:tc>
          <w:tcPr>
            <w:tcW w:w="522" w:type="pct"/>
            <w:vAlign w:val="center"/>
          </w:tcPr>
          <w:p w14:paraId="650E98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128.06</w:t>
            </w:r>
          </w:p>
        </w:tc>
        <w:tc>
          <w:tcPr>
            <w:tcW w:w="523" w:type="pct"/>
            <w:vAlign w:val="center"/>
          </w:tcPr>
          <w:p w14:paraId="7BF591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6.13</w:t>
            </w:r>
          </w:p>
        </w:tc>
        <w:tc>
          <w:tcPr>
            <w:tcW w:w="523" w:type="pct"/>
            <w:vAlign w:val="center"/>
          </w:tcPr>
          <w:p w14:paraId="16E8FD7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7.13</w:t>
            </w:r>
          </w:p>
        </w:tc>
        <w:tc>
          <w:tcPr>
            <w:tcW w:w="523" w:type="pct"/>
            <w:vAlign w:val="center"/>
          </w:tcPr>
          <w:p w14:paraId="034F6FC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8.12</w:t>
            </w:r>
          </w:p>
        </w:tc>
        <w:tc>
          <w:tcPr>
            <w:tcW w:w="523" w:type="pct"/>
            <w:vAlign w:val="center"/>
          </w:tcPr>
          <w:p w14:paraId="1980FB9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9.91</w:t>
            </w:r>
          </w:p>
        </w:tc>
        <w:tc>
          <w:tcPr>
            <w:tcW w:w="523" w:type="pct"/>
            <w:vAlign w:val="center"/>
          </w:tcPr>
          <w:p w14:paraId="043FB95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9.91</w:t>
            </w:r>
          </w:p>
        </w:tc>
        <w:tc>
          <w:tcPr>
            <w:tcW w:w="523" w:type="pct"/>
            <w:vAlign w:val="center"/>
          </w:tcPr>
          <w:p w14:paraId="1BB599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9.90</w:t>
            </w:r>
          </w:p>
        </w:tc>
      </w:tr>
      <w:tr w14:paraId="6D118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0FDD8E0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w:t>
            </w:r>
          </w:p>
        </w:tc>
        <w:tc>
          <w:tcPr>
            <w:tcW w:w="963" w:type="pct"/>
            <w:vAlign w:val="center"/>
          </w:tcPr>
          <w:p w14:paraId="419ECD8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房产税</w:t>
            </w:r>
          </w:p>
        </w:tc>
        <w:tc>
          <w:tcPr>
            <w:tcW w:w="522" w:type="pct"/>
            <w:vAlign w:val="center"/>
          </w:tcPr>
          <w:p w14:paraId="043FA1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1317.70</w:t>
            </w:r>
          </w:p>
        </w:tc>
        <w:tc>
          <w:tcPr>
            <w:tcW w:w="523" w:type="pct"/>
            <w:vAlign w:val="center"/>
          </w:tcPr>
          <w:p w14:paraId="181887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63.18</w:t>
            </w:r>
          </w:p>
        </w:tc>
        <w:tc>
          <w:tcPr>
            <w:tcW w:w="523" w:type="pct"/>
            <w:vAlign w:val="center"/>
          </w:tcPr>
          <w:p w14:paraId="000F85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72.90</w:t>
            </w:r>
          </w:p>
        </w:tc>
        <w:tc>
          <w:tcPr>
            <w:tcW w:w="523" w:type="pct"/>
            <w:vAlign w:val="center"/>
          </w:tcPr>
          <w:p w14:paraId="6E7265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82.62</w:t>
            </w:r>
          </w:p>
        </w:tc>
        <w:tc>
          <w:tcPr>
            <w:tcW w:w="523" w:type="pct"/>
            <w:vAlign w:val="center"/>
          </w:tcPr>
          <w:p w14:paraId="35A61F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101.57</w:t>
            </w:r>
          </w:p>
        </w:tc>
        <w:tc>
          <w:tcPr>
            <w:tcW w:w="523" w:type="pct"/>
            <w:vAlign w:val="center"/>
          </w:tcPr>
          <w:p w14:paraId="410FC2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101.57</w:t>
            </w:r>
          </w:p>
        </w:tc>
        <w:tc>
          <w:tcPr>
            <w:tcW w:w="523" w:type="pct"/>
            <w:vAlign w:val="center"/>
          </w:tcPr>
          <w:p w14:paraId="14B133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101.57</w:t>
            </w:r>
          </w:p>
        </w:tc>
      </w:tr>
      <w:tr w14:paraId="030C95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54789C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963" w:type="pct"/>
            <w:vAlign w:val="center"/>
          </w:tcPr>
          <w:p w14:paraId="3218D33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w:t>
            </w:r>
          </w:p>
        </w:tc>
        <w:tc>
          <w:tcPr>
            <w:tcW w:w="522" w:type="pct"/>
            <w:vAlign w:val="center"/>
          </w:tcPr>
          <w:p w14:paraId="7D6B89F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6402.37</w:t>
            </w:r>
          </w:p>
        </w:tc>
        <w:tc>
          <w:tcPr>
            <w:tcW w:w="523" w:type="pct"/>
            <w:vAlign w:val="center"/>
          </w:tcPr>
          <w:p w14:paraId="2199CB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306.44</w:t>
            </w:r>
          </w:p>
        </w:tc>
        <w:tc>
          <w:tcPr>
            <w:tcW w:w="523" w:type="pct"/>
            <w:vAlign w:val="center"/>
          </w:tcPr>
          <w:p w14:paraId="2412CC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356.30</w:t>
            </w:r>
          </w:p>
        </w:tc>
        <w:tc>
          <w:tcPr>
            <w:tcW w:w="523" w:type="pct"/>
            <w:vAlign w:val="center"/>
          </w:tcPr>
          <w:p w14:paraId="004C06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406.15</w:t>
            </w:r>
          </w:p>
        </w:tc>
        <w:tc>
          <w:tcPr>
            <w:tcW w:w="523" w:type="pct"/>
            <w:vAlign w:val="center"/>
          </w:tcPr>
          <w:p w14:paraId="7FA6E4E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495.64</w:t>
            </w:r>
          </w:p>
        </w:tc>
        <w:tc>
          <w:tcPr>
            <w:tcW w:w="523" w:type="pct"/>
            <w:vAlign w:val="center"/>
          </w:tcPr>
          <w:p w14:paraId="40A7E49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495.27</w:t>
            </w:r>
          </w:p>
        </w:tc>
        <w:tc>
          <w:tcPr>
            <w:tcW w:w="523" w:type="pct"/>
            <w:vAlign w:val="center"/>
          </w:tcPr>
          <w:p w14:paraId="03F9039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494.89</w:t>
            </w:r>
          </w:p>
        </w:tc>
      </w:tr>
      <w:tr w14:paraId="3806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14E04A3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w:t>
            </w:r>
          </w:p>
        </w:tc>
        <w:tc>
          <w:tcPr>
            <w:tcW w:w="963" w:type="pct"/>
            <w:vAlign w:val="center"/>
          </w:tcPr>
          <w:p w14:paraId="7B8AE9E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增值税销项税</w:t>
            </w:r>
          </w:p>
        </w:tc>
        <w:tc>
          <w:tcPr>
            <w:tcW w:w="522" w:type="pct"/>
            <w:vAlign w:val="center"/>
          </w:tcPr>
          <w:p w14:paraId="1B3C4B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6609.86</w:t>
            </w:r>
          </w:p>
        </w:tc>
        <w:tc>
          <w:tcPr>
            <w:tcW w:w="523" w:type="pct"/>
            <w:vAlign w:val="center"/>
          </w:tcPr>
          <w:p w14:paraId="73211FD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320.14</w:t>
            </w:r>
          </w:p>
        </w:tc>
        <w:tc>
          <w:tcPr>
            <w:tcW w:w="523" w:type="pct"/>
            <w:vAlign w:val="center"/>
          </w:tcPr>
          <w:p w14:paraId="58CF39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370.35</w:t>
            </w:r>
          </w:p>
        </w:tc>
        <w:tc>
          <w:tcPr>
            <w:tcW w:w="523" w:type="pct"/>
            <w:vAlign w:val="center"/>
          </w:tcPr>
          <w:p w14:paraId="20D5E97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420.55</w:t>
            </w:r>
          </w:p>
        </w:tc>
        <w:tc>
          <w:tcPr>
            <w:tcW w:w="523" w:type="pct"/>
            <w:vAlign w:val="center"/>
          </w:tcPr>
          <w:p w14:paraId="496A06F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510.40</w:t>
            </w:r>
          </w:p>
        </w:tc>
        <w:tc>
          <w:tcPr>
            <w:tcW w:w="523" w:type="pct"/>
            <w:vAlign w:val="center"/>
          </w:tcPr>
          <w:p w14:paraId="039A2D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510.40</w:t>
            </w:r>
          </w:p>
        </w:tc>
        <w:tc>
          <w:tcPr>
            <w:tcW w:w="523" w:type="pct"/>
            <w:vAlign w:val="center"/>
          </w:tcPr>
          <w:p w14:paraId="4CC837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510.40</w:t>
            </w:r>
          </w:p>
        </w:tc>
      </w:tr>
      <w:tr w14:paraId="0EAB6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6EB480B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w:t>
            </w:r>
          </w:p>
        </w:tc>
        <w:tc>
          <w:tcPr>
            <w:tcW w:w="963" w:type="pct"/>
            <w:vAlign w:val="center"/>
          </w:tcPr>
          <w:p w14:paraId="1DBA12F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增值税进项税</w:t>
            </w:r>
          </w:p>
        </w:tc>
        <w:tc>
          <w:tcPr>
            <w:tcW w:w="522" w:type="pct"/>
            <w:vAlign w:val="center"/>
          </w:tcPr>
          <w:p w14:paraId="06757F2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207.49</w:t>
            </w:r>
          </w:p>
        </w:tc>
        <w:tc>
          <w:tcPr>
            <w:tcW w:w="523" w:type="pct"/>
            <w:vAlign w:val="center"/>
          </w:tcPr>
          <w:p w14:paraId="649B6EE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13.70</w:t>
            </w:r>
          </w:p>
        </w:tc>
        <w:tc>
          <w:tcPr>
            <w:tcW w:w="523" w:type="pct"/>
            <w:vAlign w:val="center"/>
          </w:tcPr>
          <w:p w14:paraId="39F98F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14.05</w:t>
            </w:r>
          </w:p>
        </w:tc>
        <w:tc>
          <w:tcPr>
            <w:tcW w:w="523" w:type="pct"/>
            <w:vAlign w:val="center"/>
          </w:tcPr>
          <w:p w14:paraId="36097C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14.40</w:t>
            </w:r>
          </w:p>
        </w:tc>
        <w:tc>
          <w:tcPr>
            <w:tcW w:w="523" w:type="pct"/>
            <w:vAlign w:val="center"/>
          </w:tcPr>
          <w:p w14:paraId="24F8F04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14.76</w:t>
            </w:r>
          </w:p>
        </w:tc>
        <w:tc>
          <w:tcPr>
            <w:tcW w:w="523" w:type="pct"/>
            <w:vAlign w:val="center"/>
          </w:tcPr>
          <w:p w14:paraId="7D26576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15.13</w:t>
            </w:r>
          </w:p>
        </w:tc>
        <w:tc>
          <w:tcPr>
            <w:tcW w:w="523" w:type="pct"/>
            <w:vAlign w:val="center"/>
          </w:tcPr>
          <w:p w14:paraId="42F366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15.51</w:t>
            </w:r>
          </w:p>
        </w:tc>
      </w:tr>
      <w:tr w14:paraId="43754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7" w:type="pct"/>
            <w:vAlign w:val="center"/>
          </w:tcPr>
          <w:p w14:paraId="6001764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963" w:type="pct"/>
            <w:vAlign w:val="center"/>
          </w:tcPr>
          <w:p w14:paraId="3322562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所得税</w:t>
            </w:r>
          </w:p>
        </w:tc>
        <w:tc>
          <w:tcPr>
            <w:tcW w:w="522" w:type="pct"/>
            <w:vAlign w:val="center"/>
          </w:tcPr>
          <w:p w14:paraId="474F2A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2986.75</w:t>
            </w:r>
          </w:p>
        </w:tc>
        <w:tc>
          <w:tcPr>
            <w:tcW w:w="523" w:type="pct"/>
            <w:vAlign w:val="center"/>
          </w:tcPr>
          <w:p w14:paraId="432C82A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23" w:type="pct"/>
            <w:vAlign w:val="center"/>
          </w:tcPr>
          <w:p w14:paraId="1D9D32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23" w:type="pct"/>
            <w:vAlign w:val="center"/>
          </w:tcPr>
          <w:p w14:paraId="329836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23" w:type="pct"/>
            <w:vAlign w:val="center"/>
          </w:tcPr>
          <w:p w14:paraId="1462A28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23" w:type="pct"/>
            <w:vAlign w:val="center"/>
          </w:tcPr>
          <w:p w14:paraId="270100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23" w:type="pct"/>
            <w:vAlign w:val="center"/>
          </w:tcPr>
          <w:p w14:paraId="6C6A421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bl>
    <w:p w14:paraId="20908D63">
      <w:pPr>
        <w:pStyle w:val="7"/>
        <w:spacing w:after="0" w:line="56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7"/>
        <w:gridCol w:w="2597"/>
        <w:gridCol w:w="1410"/>
        <w:gridCol w:w="1410"/>
        <w:gridCol w:w="1410"/>
        <w:gridCol w:w="1410"/>
        <w:gridCol w:w="1410"/>
        <w:gridCol w:w="1410"/>
        <w:gridCol w:w="1410"/>
        <w:gridCol w:w="1410"/>
      </w:tblGrid>
      <w:tr w14:paraId="66066D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41" w:type="pct"/>
            <w:vAlign w:val="center"/>
          </w:tcPr>
          <w:p w14:paraId="1C260F6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871" w:type="pct"/>
            <w:vAlign w:val="center"/>
          </w:tcPr>
          <w:p w14:paraId="7B2A9AA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473" w:type="pct"/>
            <w:vAlign w:val="center"/>
          </w:tcPr>
          <w:p w14:paraId="2C7B81D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73" w:type="pct"/>
            <w:vAlign w:val="center"/>
          </w:tcPr>
          <w:p w14:paraId="192FC25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2033年</w:t>
            </w:r>
          </w:p>
        </w:tc>
        <w:tc>
          <w:tcPr>
            <w:tcW w:w="473" w:type="pct"/>
            <w:vAlign w:val="center"/>
          </w:tcPr>
          <w:p w14:paraId="583F127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2034年</w:t>
            </w:r>
          </w:p>
        </w:tc>
        <w:tc>
          <w:tcPr>
            <w:tcW w:w="473" w:type="pct"/>
            <w:vAlign w:val="center"/>
          </w:tcPr>
          <w:p w14:paraId="06B3518B">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2035年</w:t>
            </w:r>
          </w:p>
        </w:tc>
        <w:tc>
          <w:tcPr>
            <w:tcW w:w="473" w:type="pct"/>
            <w:vAlign w:val="center"/>
          </w:tcPr>
          <w:p w14:paraId="284C08D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2036年</w:t>
            </w:r>
          </w:p>
        </w:tc>
        <w:tc>
          <w:tcPr>
            <w:tcW w:w="473" w:type="pct"/>
            <w:vAlign w:val="center"/>
          </w:tcPr>
          <w:p w14:paraId="07FB83DC">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2037年</w:t>
            </w:r>
          </w:p>
        </w:tc>
        <w:tc>
          <w:tcPr>
            <w:tcW w:w="473" w:type="pct"/>
            <w:vAlign w:val="center"/>
          </w:tcPr>
          <w:p w14:paraId="56FE5667">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2038年</w:t>
            </w:r>
          </w:p>
        </w:tc>
        <w:tc>
          <w:tcPr>
            <w:tcW w:w="473" w:type="pct"/>
            <w:vAlign w:val="center"/>
          </w:tcPr>
          <w:p w14:paraId="7645923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2039年</w:t>
            </w:r>
          </w:p>
        </w:tc>
      </w:tr>
      <w:tr w14:paraId="21C96C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1FADDDB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871" w:type="pct"/>
            <w:vAlign w:val="center"/>
          </w:tcPr>
          <w:p w14:paraId="6C202D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税金及附加</w:t>
            </w:r>
          </w:p>
        </w:tc>
        <w:tc>
          <w:tcPr>
            <w:tcW w:w="473" w:type="pct"/>
            <w:vAlign w:val="center"/>
          </w:tcPr>
          <w:p w14:paraId="297E1D7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2086.01</w:t>
            </w:r>
          </w:p>
        </w:tc>
        <w:tc>
          <w:tcPr>
            <w:tcW w:w="473" w:type="pct"/>
            <w:vAlign w:val="center"/>
          </w:tcPr>
          <w:p w14:paraId="663CCD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160.92</w:t>
            </w:r>
          </w:p>
        </w:tc>
        <w:tc>
          <w:tcPr>
            <w:tcW w:w="473" w:type="pct"/>
            <w:vAlign w:val="center"/>
          </w:tcPr>
          <w:p w14:paraId="45A554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176.81</w:t>
            </w:r>
          </w:p>
        </w:tc>
        <w:tc>
          <w:tcPr>
            <w:tcW w:w="473" w:type="pct"/>
            <w:vAlign w:val="center"/>
          </w:tcPr>
          <w:p w14:paraId="7298AC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176.76</w:t>
            </w:r>
          </w:p>
        </w:tc>
        <w:tc>
          <w:tcPr>
            <w:tcW w:w="473" w:type="pct"/>
            <w:vAlign w:val="center"/>
          </w:tcPr>
          <w:p w14:paraId="661DE3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176.70</w:t>
            </w:r>
          </w:p>
        </w:tc>
        <w:tc>
          <w:tcPr>
            <w:tcW w:w="473" w:type="pct"/>
            <w:vAlign w:val="center"/>
          </w:tcPr>
          <w:p w14:paraId="23B204D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176.65</w:t>
            </w:r>
          </w:p>
        </w:tc>
        <w:tc>
          <w:tcPr>
            <w:tcW w:w="473" w:type="pct"/>
            <w:vAlign w:val="center"/>
          </w:tcPr>
          <w:p w14:paraId="7F7030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194.13</w:t>
            </w:r>
          </w:p>
        </w:tc>
        <w:tc>
          <w:tcPr>
            <w:tcW w:w="473" w:type="pct"/>
            <w:vAlign w:val="center"/>
          </w:tcPr>
          <w:p w14:paraId="0DFF9A2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194.07</w:t>
            </w:r>
          </w:p>
        </w:tc>
      </w:tr>
      <w:tr w14:paraId="63D37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475C51D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w:t>
            </w:r>
          </w:p>
        </w:tc>
        <w:tc>
          <w:tcPr>
            <w:tcW w:w="871" w:type="pct"/>
            <w:vAlign w:val="center"/>
          </w:tcPr>
          <w:p w14:paraId="3BBC89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城市维护建设税</w:t>
            </w:r>
          </w:p>
        </w:tc>
        <w:tc>
          <w:tcPr>
            <w:tcW w:w="473" w:type="pct"/>
            <w:vAlign w:val="center"/>
          </w:tcPr>
          <w:p w14:paraId="4AE5C9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448.17</w:t>
            </w:r>
          </w:p>
        </w:tc>
        <w:tc>
          <w:tcPr>
            <w:tcW w:w="473" w:type="pct"/>
            <w:vAlign w:val="center"/>
          </w:tcPr>
          <w:p w14:paraId="6C8324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34.62</w:t>
            </w:r>
          </w:p>
        </w:tc>
        <w:tc>
          <w:tcPr>
            <w:tcW w:w="473" w:type="pct"/>
            <w:vAlign w:val="center"/>
          </w:tcPr>
          <w:p w14:paraId="7E0961E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37.96</w:t>
            </w:r>
          </w:p>
        </w:tc>
        <w:tc>
          <w:tcPr>
            <w:tcW w:w="473" w:type="pct"/>
            <w:vAlign w:val="center"/>
          </w:tcPr>
          <w:p w14:paraId="48FDBA7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37.93</w:t>
            </w:r>
          </w:p>
        </w:tc>
        <w:tc>
          <w:tcPr>
            <w:tcW w:w="473" w:type="pct"/>
            <w:vAlign w:val="center"/>
          </w:tcPr>
          <w:p w14:paraId="48E6BE6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37.90</w:t>
            </w:r>
          </w:p>
        </w:tc>
        <w:tc>
          <w:tcPr>
            <w:tcW w:w="473" w:type="pct"/>
            <w:vAlign w:val="center"/>
          </w:tcPr>
          <w:p w14:paraId="572302C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37.87</w:t>
            </w:r>
          </w:p>
        </w:tc>
        <w:tc>
          <w:tcPr>
            <w:tcW w:w="473" w:type="pct"/>
            <w:vAlign w:val="center"/>
          </w:tcPr>
          <w:p w14:paraId="752D8C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41.55</w:t>
            </w:r>
          </w:p>
        </w:tc>
        <w:tc>
          <w:tcPr>
            <w:tcW w:w="473" w:type="pct"/>
            <w:vAlign w:val="center"/>
          </w:tcPr>
          <w:p w14:paraId="6F7B2F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41.52</w:t>
            </w:r>
          </w:p>
        </w:tc>
      </w:tr>
      <w:tr w14:paraId="40822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42D09DE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w:t>
            </w:r>
          </w:p>
        </w:tc>
        <w:tc>
          <w:tcPr>
            <w:tcW w:w="871" w:type="pct"/>
            <w:vAlign w:val="center"/>
          </w:tcPr>
          <w:p w14:paraId="5846D5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教育费附加</w:t>
            </w:r>
          </w:p>
        </w:tc>
        <w:tc>
          <w:tcPr>
            <w:tcW w:w="473" w:type="pct"/>
            <w:vAlign w:val="center"/>
          </w:tcPr>
          <w:p w14:paraId="307971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192.08</w:t>
            </w:r>
          </w:p>
        </w:tc>
        <w:tc>
          <w:tcPr>
            <w:tcW w:w="473" w:type="pct"/>
            <w:vAlign w:val="center"/>
          </w:tcPr>
          <w:p w14:paraId="3E12B1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14.84</w:t>
            </w:r>
          </w:p>
        </w:tc>
        <w:tc>
          <w:tcPr>
            <w:tcW w:w="473" w:type="pct"/>
            <w:vAlign w:val="center"/>
          </w:tcPr>
          <w:p w14:paraId="6E31A4B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16.27</w:t>
            </w:r>
          </w:p>
        </w:tc>
        <w:tc>
          <w:tcPr>
            <w:tcW w:w="473" w:type="pct"/>
            <w:vAlign w:val="center"/>
          </w:tcPr>
          <w:p w14:paraId="0188F96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16.26</w:t>
            </w:r>
          </w:p>
        </w:tc>
        <w:tc>
          <w:tcPr>
            <w:tcW w:w="473" w:type="pct"/>
            <w:vAlign w:val="center"/>
          </w:tcPr>
          <w:p w14:paraId="7ED537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16.24</w:t>
            </w:r>
          </w:p>
        </w:tc>
        <w:tc>
          <w:tcPr>
            <w:tcW w:w="473" w:type="pct"/>
            <w:vAlign w:val="center"/>
          </w:tcPr>
          <w:p w14:paraId="54CFE9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16.23</w:t>
            </w:r>
          </w:p>
        </w:tc>
        <w:tc>
          <w:tcPr>
            <w:tcW w:w="473" w:type="pct"/>
            <w:vAlign w:val="center"/>
          </w:tcPr>
          <w:p w14:paraId="474272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17.81</w:t>
            </w:r>
          </w:p>
        </w:tc>
        <w:tc>
          <w:tcPr>
            <w:tcW w:w="473" w:type="pct"/>
            <w:vAlign w:val="center"/>
          </w:tcPr>
          <w:p w14:paraId="5B35F8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17.79</w:t>
            </w:r>
          </w:p>
        </w:tc>
      </w:tr>
      <w:tr w14:paraId="6C88D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5B853F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w:t>
            </w:r>
          </w:p>
        </w:tc>
        <w:tc>
          <w:tcPr>
            <w:tcW w:w="871" w:type="pct"/>
            <w:vAlign w:val="center"/>
          </w:tcPr>
          <w:p w14:paraId="21DDC6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地方教育附加费</w:t>
            </w:r>
          </w:p>
        </w:tc>
        <w:tc>
          <w:tcPr>
            <w:tcW w:w="473" w:type="pct"/>
            <w:vAlign w:val="center"/>
          </w:tcPr>
          <w:p w14:paraId="540F618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128.06</w:t>
            </w:r>
          </w:p>
        </w:tc>
        <w:tc>
          <w:tcPr>
            <w:tcW w:w="473" w:type="pct"/>
            <w:vAlign w:val="center"/>
          </w:tcPr>
          <w:p w14:paraId="6D1D7B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9.89</w:t>
            </w:r>
          </w:p>
        </w:tc>
        <w:tc>
          <w:tcPr>
            <w:tcW w:w="473" w:type="pct"/>
            <w:vAlign w:val="center"/>
          </w:tcPr>
          <w:p w14:paraId="1F13952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10.85</w:t>
            </w:r>
          </w:p>
        </w:tc>
        <w:tc>
          <w:tcPr>
            <w:tcW w:w="473" w:type="pct"/>
            <w:vAlign w:val="center"/>
          </w:tcPr>
          <w:p w14:paraId="4D4CD8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10.84</w:t>
            </w:r>
          </w:p>
        </w:tc>
        <w:tc>
          <w:tcPr>
            <w:tcW w:w="473" w:type="pct"/>
            <w:vAlign w:val="center"/>
          </w:tcPr>
          <w:p w14:paraId="1823F5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10.83</w:t>
            </w:r>
          </w:p>
        </w:tc>
        <w:tc>
          <w:tcPr>
            <w:tcW w:w="473" w:type="pct"/>
            <w:vAlign w:val="center"/>
          </w:tcPr>
          <w:p w14:paraId="368828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10.82</w:t>
            </w:r>
          </w:p>
        </w:tc>
        <w:tc>
          <w:tcPr>
            <w:tcW w:w="473" w:type="pct"/>
            <w:vAlign w:val="center"/>
          </w:tcPr>
          <w:p w14:paraId="208B856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11.87</w:t>
            </w:r>
          </w:p>
        </w:tc>
        <w:tc>
          <w:tcPr>
            <w:tcW w:w="473" w:type="pct"/>
            <w:vAlign w:val="center"/>
          </w:tcPr>
          <w:p w14:paraId="23897CE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11.86</w:t>
            </w:r>
          </w:p>
        </w:tc>
      </w:tr>
      <w:tr w14:paraId="6B3C8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592D3F8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w:t>
            </w:r>
          </w:p>
        </w:tc>
        <w:tc>
          <w:tcPr>
            <w:tcW w:w="871" w:type="pct"/>
            <w:vAlign w:val="center"/>
          </w:tcPr>
          <w:p w14:paraId="37EBFF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房产税</w:t>
            </w:r>
          </w:p>
        </w:tc>
        <w:tc>
          <w:tcPr>
            <w:tcW w:w="473" w:type="pct"/>
            <w:vAlign w:val="center"/>
          </w:tcPr>
          <w:p w14:paraId="73B4E3C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1317.70</w:t>
            </w:r>
          </w:p>
        </w:tc>
        <w:tc>
          <w:tcPr>
            <w:tcW w:w="473" w:type="pct"/>
            <w:vAlign w:val="center"/>
          </w:tcPr>
          <w:p w14:paraId="7D9432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101.57</w:t>
            </w:r>
          </w:p>
        </w:tc>
        <w:tc>
          <w:tcPr>
            <w:tcW w:w="473" w:type="pct"/>
            <w:vAlign w:val="center"/>
          </w:tcPr>
          <w:p w14:paraId="3968CC6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111.73</w:t>
            </w:r>
          </w:p>
        </w:tc>
        <w:tc>
          <w:tcPr>
            <w:tcW w:w="473" w:type="pct"/>
            <w:vAlign w:val="center"/>
          </w:tcPr>
          <w:p w14:paraId="047720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111.73</w:t>
            </w:r>
          </w:p>
        </w:tc>
        <w:tc>
          <w:tcPr>
            <w:tcW w:w="473" w:type="pct"/>
            <w:vAlign w:val="center"/>
          </w:tcPr>
          <w:p w14:paraId="691E23D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111.73</w:t>
            </w:r>
          </w:p>
        </w:tc>
        <w:tc>
          <w:tcPr>
            <w:tcW w:w="473" w:type="pct"/>
            <w:vAlign w:val="center"/>
          </w:tcPr>
          <w:p w14:paraId="445236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111.73</w:t>
            </w:r>
          </w:p>
        </w:tc>
        <w:tc>
          <w:tcPr>
            <w:tcW w:w="473" w:type="pct"/>
            <w:vAlign w:val="center"/>
          </w:tcPr>
          <w:p w14:paraId="210CBF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122.90</w:t>
            </w:r>
          </w:p>
        </w:tc>
        <w:tc>
          <w:tcPr>
            <w:tcW w:w="473" w:type="pct"/>
            <w:vAlign w:val="center"/>
          </w:tcPr>
          <w:p w14:paraId="012E60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122.90</w:t>
            </w:r>
          </w:p>
        </w:tc>
      </w:tr>
      <w:tr w14:paraId="2B4E6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0B440D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871" w:type="pct"/>
            <w:vAlign w:val="center"/>
          </w:tcPr>
          <w:p w14:paraId="4CBBE5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w:t>
            </w:r>
          </w:p>
        </w:tc>
        <w:tc>
          <w:tcPr>
            <w:tcW w:w="473" w:type="pct"/>
            <w:vAlign w:val="center"/>
          </w:tcPr>
          <w:p w14:paraId="5F6036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6402.37</w:t>
            </w:r>
          </w:p>
        </w:tc>
        <w:tc>
          <w:tcPr>
            <w:tcW w:w="473" w:type="pct"/>
            <w:vAlign w:val="center"/>
          </w:tcPr>
          <w:p w14:paraId="090EB59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494.51</w:t>
            </w:r>
          </w:p>
        </w:tc>
        <w:tc>
          <w:tcPr>
            <w:tcW w:w="473" w:type="pct"/>
            <w:vAlign w:val="center"/>
          </w:tcPr>
          <w:p w14:paraId="1458D7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542.26</w:t>
            </w:r>
          </w:p>
        </w:tc>
        <w:tc>
          <w:tcPr>
            <w:tcW w:w="473" w:type="pct"/>
            <w:vAlign w:val="center"/>
          </w:tcPr>
          <w:p w14:paraId="2F5679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541.85</w:t>
            </w:r>
          </w:p>
        </w:tc>
        <w:tc>
          <w:tcPr>
            <w:tcW w:w="473" w:type="pct"/>
            <w:vAlign w:val="center"/>
          </w:tcPr>
          <w:p w14:paraId="2392A1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541.44</w:t>
            </w:r>
          </w:p>
        </w:tc>
        <w:tc>
          <w:tcPr>
            <w:tcW w:w="473" w:type="pct"/>
            <w:vAlign w:val="center"/>
          </w:tcPr>
          <w:p w14:paraId="4B4E37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541.01</w:t>
            </w:r>
          </w:p>
        </w:tc>
        <w:tc>
          <w:tcPr>
            <w:tcW w:w="473" w:type="pct"/>
            <w:vAlign w:val="center"/>
          </w:tcPr>
          <w:p w14:paraId="12AF8B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593.53</w:t>
            </w:r>
          </w:p>
        </w:tc>
        <w:tc>
          <w:tcPr>
            <w:tcW w:w="473" w:type="pct"/>
            <w:vAlign w:val="center"/>
          </w:tcPr>
          <w:p w14:paraId="738408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593.08</w:t>
            </w:r>
          </w:p>
        </w:tc>
      </w:tr>
      <w:tr w14:paraId="04870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7AEF3CD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w:t>
            </w:r>
          </w:p>
        </w:tc>
        <w:tc>
          <w:tcPr>
            <w:tcW w:w="871" w:type="pct"/>
            <w:vAlign w:val="center"/>
          </w:tcPr>
          <w:p w14:paraId="46FCE3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增值税销项税</w:t>
            </w:r>
          </w:p>
        </w:tc>
        <w:tc>
          <w:tcPr>
            <w:tcW w:w="473" w:type="pct"/>
            <w:vAlign w:val="center"/>
          </w:tcPr>
          <w:p w14:paraId="6E9DAF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6609.86</w:t>
            </w:r>
          </w:p>
        </w:tc>
        <w:tc>
          <w:tcPr>
            <w:tcW w:w="473" w:type="pct"/>
            <w:vAlign w:val="center"/>
          </w:tcPr>
          <w:p w14:paraId="326FF5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510.40</w:t>
            </w:r>
          </w:p>
        </w:tc>
        <w:tc>
          <w:tcPr>
            <w:tcW w:w="473" w:type="pct"/>
            <w:vAlign w:val="center"/>
          </w:tcPr>
          <w:p w14:paraId="0C353E3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558.55</w:t>
            </w:r>
          </w:p>
        </w:tc>
        <w:tc>
          <w:tcPr>
            <w:tcW w:w="473" w:type="pct"/>
            <w:vAlign w:val="center"/>
          </w:tcPr>
          <w:p w14:paraId="719FC8A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558.55</w:t>
            </w:r>
          </w:p>
        </w:tc>
        <w:tc>
          <w:tcPr>
            <w:tcW w:w="473" w:type="pct"/>
            <w:vAlign w:val="center"/>
          </w:tcPr>
          <w:p w14:paraId="19E162E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558.55</w:t>
            </w:r>
          </w:p>
        </w:tc>
        <w:tc>
          <w:tcPr>
            <w:tcW w:w="473" w:type="pct"/>
            <w:vAlign w:val="center"/>
          </w:tcPr>
          <w:p w14:paraId="769BB5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558.55</w:t>
            </w:r>
          </w:p>
        </w:tc>
        <w:tc>
          <w:tcPr>
            <w:tcW w:w="473" w:type="pct"/>
            <w:vAlign w:val="center"/>
          </w:tcPr>
          <w:p w14:paraId="4E9DEF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611.51</w:t>
            </w:r>
          </w:p>
        </w:tc>
        <w:tc>
          <w:tcPr>
            <w:tcW w:w="473" w:type="pct"/>
            <w:vAlign w:val="center"/>
          </w:tcPr>
          <w:p w14:paraId="1C019A3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611.51</w:t>
            </w:r>
          </w:p>
        </w:tc>
      </w:tr>
      <w:tr w14:paraId="28C6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4BDC71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w:t>
            </w:r>
          </w:p>
        </w:tc>
        <w:tc>
          <w:tcPr>
            <w:tcW w:w="871" w:type="pct"/>
            <w:vAlign w:val="center"/>
          </w:tcPr>
          <w:p w14:paraId="630272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增值税进项税</w:t>
            </w:r>
          </w:p>
        </w:tc>
        <w:tc>
          <w:tcPr>
            <w:tcW w:w="473" w:type="pct"/>
            <w:vAlign w:val="center"/>
          </w:tcPr>
          <w:p w14:paraId="6FE826D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207.49</w:t>
            </w:r>
          </w:p>
        </w:tc>
        <w:tc>
          <w:tcPr>
            <w:tcW w:w="473" w:type="pct"/>
            <w:vAlign w:val="center"/>
          </w:tcPr>
          <w:p w14:paraId="38265C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15.89</w:t>
            </w:r>
          </w:p>
        </w:tc>
        <w:tc>
          <w:tcPr>
            <w:tcW w:w="473" w:type="pct"/>
            <w:vAlign w:val="center"/>
          </w:tcPr>
          <w:p w14:paraId="32BB1B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16.29</w:t>
            </w:r>
          </w:p>
        </w:tc>
        <w:tc>
          <w:tcPr>
            <w:tcW w:w="473" w:type="pct"/>
            <w:vAlign w:val="center"/>
          </w:tcPr>
          <w:p w14:paraId="4F18B1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16.70</w:t>
            </w:r>
          </w:p>
        </w:tc>
        <w:tc>
          <w:tcPr>
            <w:tcW w:w="473" w:type="pct"/>
            <w:vAlign w:val="center"/>
          </w:tcPr>
          <w:p w14:paraId="01564B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17.11</w:t>
            </w:r>
          </w:p>
        </w:tc>
        <w:tc>
          <w:tcPr>
            <w:tcW w:w="473" w:type="pct"/>
            <w:vAlign w:val="center"/>
          </w:tcPr>
          <w:p w14:paraId="66A15B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17.54</w:t>
            </w:r>
          </w:p>
        </w:tc>
        <w:tc>
          <w:tcPr>
            <w:tcW w:w="473" w:type="pct"/>
            <w:vAlign w:val="center"/>
          </w:tcPr>
          <w:p w14:paraId="574C87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17.98</w:t>
            </w:r>
          </w:p>
        </w:tc>
        <w:tc>
          <w:tcPr>
            <w:tcW w:w="473" w:type="pct"/>
            <w:vAlign w:val="center"/>
          </w:tcPr>
          <w:p w14:paraId="2E02496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18.43</w:t>
            </w:r>
          </w:p>
        </w:tc>
      </w:tr>
      <w:tr w14:paraId="6A7B19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1" w:type="pct"/>
            <w:vAlign w:val="center"/>
          </w:tcPr>
          <w:p w14:paraId="5EA6DB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871" w:type="pct"/>
            <w:vAlign w:val="center"/>
          </w:tcPr>
          <w:p w14:paraId="4231EB1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所得税</w:t>
            </w:r>
          </w:p>
        </w:tc>
        <w:tc>
          <w:tcPr>
            <w:tcW w:w="473" w:type="pct"/>
            <w:vAlign w:val="center"/>
          </w:tcPr>
          <w:p w14:paraId="1013AF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2986.75</w:t>
            </w:r>
          </w:p>
        </w:tc>
        <w:tc>
          <w:tcPr>
            <w:tcW w:w="473" w:type="pct"/>
            <w:vAlign w:val="center"/>
          </w:tcPr>
          <w:p w14:paraId="5E49A0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73" w:type="pct"/>
            <w:vAlign w:val="center"/>
          </w:tcPr>
          <w:p w14:paraId="49ACB81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117.86</w:t>
            </w:r>
          </w:p>
        </w:tc>
        <w:tc>
          <w:tcPr>
            <w:tcW w:w="473" w:type="pct"/>
            <w:vAlign w:val="center"/>
          </w:tcPr>
          <w:p w14:paraId="021E3B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328.82</w:t>
            </w:r>
          </w:p>
        </w:tc>
        <w:tc>
          <w:tcPr>
            <w:tcW w:w="473" w:type="pct"/>
            <w:vAlign w:val="center"/>
          </w:tcPr>
          <w:p w14:paraId="5CCDD62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502.45</w:t>
            </w:r>
          </w:p>
        </w:tc>
        <w:tc>
          <w:tcPr>
            <w:tcW w:w="473" w:type="pct"/>
            <w:vAlign w:val="center"/>
          </w:tcPr>
          <w:p w14:paraId="5F9E10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586.03</w:t>
            </w:r>
          </w:p>
        </w:tc>
        <w:tc>
          <w:tcPr>
            <w:tcW w:w="473" w:type="pct"/>
            <w:vAlign w:val="center"/>
          </w:tcPr>
          <w:p w14:paraId="4DE370C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726.80</w:t>
            </w:r>
          </w:p>
        </w:tc>
        <w:tc>
          <w:tcPr>
            <w:tcW w:w="473" w:type="pct"/>
            <w:vAlign w:val="center"/>
          </w:tcPr>
          <w:p w14:paraId="296A34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724.79</w:t>
            </w:r>
          </w:p>
        </w:tc>
      </w:tr>
    </w:tbl>
    <w:p w14:paraId="777B8FCA">
      <w:pPr>
        <w:pStyle w:val="7"/>
        <w:spacing w:after="0" w:line="560" w:lineRule="exact"/>
        <w:ind w:firstLine="640"/>
        <w:rPr>
          <w:rFonts w:hint="eastAsia" w:ascii="仿宋_GB2312" w:eastAsia="仿宋_GB2312"/>
          <w:bCs/>
          <w:color w:val="auto"/>
          <w:sz w:val="32"/>
          <w:szCs w:val="32"/>
        </w:rPr>
      </w:pPr>
    </w:p>
    <w:p w14:paraId="648CD6AB">
      <w:pPr>
        <w:adjustRightInd w:val="0"/>
        <w:snapToGrid w:val="0"/>
        <w:spacing w:before="156" w:beforeLines="50" w:line="360" w:lineRule="auto"/>
        <w:ind w:firstLine="643"/>
        <w:outlineLvl w:val="2"/>
        <w:rPr>
          <w:rFonts w:hint="eastAsia" w:ascii="仿宋_GB2312" w:hAnsi="仿宋_GB2312" w:eastAsia="仿宋_GB2312" w:cs="仿宋_GB2312"/>
          <w:b/>
          <w:bCs/>
          <w:color w:val="auto"/>
          <w:sz w:val="32"/>
          <w:szCs w:val="32"/>
        </w:rPr>
      </w:pPr>
      <w:bookmarkStart w:id="84" w:name="_Toc174657290"/>
      <w:r>
        <w:rPr>
          <w:rFonts w:hint="eastAsia" w:ascii="仿宋_GB2312" w:hAnsi="仿宋_GB2312" w:eastAsia="仿宋_GB2312" w:cs="仿宋_GB2312"/>
          <w:b/>
          <w:bCs/>
          <w:color w:val="auto"/>
          <w:sz w:val="32"/>
          <w:szCs w:val="32"/>
        </w:rPr>
        <w:t>3.项目损益情况</w:t>
      </w:r>
      <w:bookmarkEnd w:id="84"/>
    </w:p>
    <w:p w14:paraId="0A1457CF">
      <w:pPr>
        <w:pStyle w:val="7"/>
        <w:spacing w:after="0"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（1）项目损益情况</w:t>
      </w:r>
    </w:p>
    <w:p w14:paraId="49795313">
      <w:pPr>
        <w:pStyle w:val="7"/>
        <w:spacing w:after="0"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本项目预计可实现净</w:t>
      </w:r>
      <w:r>
        <w:rPr>
          <w:rFonts w:ascii="仿宋_GB2312" w:eastAsia="仿宋_GB2312"/>
          <w:color w:val="auto"/>
          <w:sz w:val="32"/>
          <w:szCs w:val="32"/>
        </w:rPr>
        <w:t>利润80830.88万元</w:t>
      </w:r>
      <w:r>
        <w:rPr>
          <w:rFonts w:hint="eastAsia" w:ascii="仿宋_GB2312" w:eastAsia="仿宋_GB2312"/>
          <w:color w:val="auto"/>
          <w:sz w:val="32"/>
          <w:szCs w:val="32"/>
        </w:rPr>
        <w:t>。</w:t>
      </w:r>
    </w:p>
    <w:p w14:paraId="4E74E68E">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14</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项目损益情况预测（单位：万元）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3"/>
        <w:gridCol w:w="3285"/>
        <w:gridCol w:w="1755"/>
        <w:gridCol w:w="1540"/>
        <w:gridCol w:w="1540"/>
        <w:gridCol w:w="1436"/>
        <w:gridCol w:w="1436"/>
        <w:gridCol w:w="1436"/>
        <w:gridCol w:w="1433"/>
      </w:tblGrid>
      <w:tr w14:paraId="2A966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47" w:type="pct"/>
            <w:vAlign w:val="center"/>
          </w:tcPr>
          <w:p w14:paraId="5EF3B46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1103" w:type="pct"/>
            <w:vAlign w:val="center"/>
          </w:tcPr>
          <w:p w14:paraId="465BEC0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 xml:space="preserve"> 项 目</w:t>
            </w:r>
          </w:p>
        </w:tc>
        <w:tc>
          <w:tcPr>
            <w:tcW w:w="589" w:type="pct"/>
            <w:vAlign w:val="center"/>
          </w:tcPr>
          <w:p w14:paraId="4F7A3C2E">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517" w:type="pct"/>
            <w:vAlign w:val="center"/>
          </w:tcPr>
          <w:p w14:paraId="1F638BA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2027年</w:t>
            </w:r>
          </w:p>
        </w:tc>
        <w:tc>
          <w:tcPr>
            <w:tcW w:w="517" w:type="pct"/>
            <w:vAlign w:val="center"/>
          </w:tcPr>
          <w:p w14:paraId="48F232F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2028年</w:t>
            </w:r>
          </w:p>
        </w:tc>
        <w:tc>
          <w:tcPr>
            <w:tcW w:w="482" w:type="pct"/>
            <w:vAlign w:val="center"/>
          </w:tcPr>
          <w:p w14:paraId="0E99A2F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2029年</w:t>
            </w:r>
          </w:p>
        </w:tc>
        <w:tc>
          <w:tcPr>
            <w:tcW w:w="482" w:type="pct"/>
            <w:vAlign w:val="center"/>
          </w:tcPr>
          <w:p w14:paraId="370CCB65">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2030年</w:t>
            </w:r>
          </w:p>
        </w:tc>
        <w:tc>
          <w:tcPr>
            <w:tcW w:w="482" w:type="pct"/>
            <w:vAlign w:val="center"/>
          </w:tcPr>
          <w:p w14:paraId="00E3C55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2031年</w:t>
            </w:r>
          </w:p>
        </w:tc>
        <w:tc>
          <w:tcPr>
            <w:tcW w:w="482" w:type="pct"/>
            <w:vAlign w:val="center"/>
          </w:tcPr>
          <w:p w14:paraId="3D16B123">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2032年</w:t>
            </w:r>
          </w:p>
        </w:tc>
      </w:tr>
      <w:tr w14:paraId="3DC5F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66473B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103" w:type="pct"/>
            <w:vAlign w:val="center"/>
          </w:tcPr>
          <w:p w14:paraId="55BA22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营业收入</w:t>
            </w:r>
          </w:p>
        </w:tc>
        <w:tc>
          <w:tcPr>
            <w:tcW w:w="589" w:type="pct"/>
            <w:vAlign w:val="center"/>
          </w:tcPr>
          <w:p w14:paraId="60C1F7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148148.22</w:t>
            </w:r>
          </w:p>
        </w:tc>
        <w:tc>
          <w:tcPr>
            <w:tcW w:w="517" w:type="pct"/>
            <w:vAlign w:val="center"/>
          </w:tcPr>
          <w:p w14:paraId="0C511B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3671.89</w:t>
            </w:r>
          </w:p>
        </w:tc>
        <w:tc>
          <w:tcPr>
            <w:tcW w:w="517" w:type="pct"/>
            <w:vAlign w:val="center"/>
          </w:tcPr>
          <w:p w14:paraId="1EA3BBF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4252.68</w:t>
            </w:r>
          </w:p>
        </w:tc>
        <w:tc>
          <w:tcPr>
            <w:tcW w:w="482" w:type="pct"/>
            <w:vAlign w:val="center"/>
          </w:tcPr>
          <w:p w14:paraId="0A6E09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4833.47</w:t>
            </w:r>
          </w:p>
        </w:tc>
        <w:tc>
          <w:tcPr>
            <w:tcW w:w="482" w:type="pct"/>
            <w:vAlign w:val="center"/>
          </w:tcPr>
          <w:p w14:paraId="3A621FF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482" w:type="pct"/>
            <w:vAlign w:val="center"/>
          </w:tcPr>
          <w:p w14:paraId="617232A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482" w:type="pct"/>
            <w:vAlign w:val="center"/>
          </w:tcPr>
          <w:p w14:paraId="750E39A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r>
      <w:tr w14:paraId="107BD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6F9CF43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103" w:type="pct"/>
            <w:vAlign w:val="center"/>
          </w:tcPr>
          <w:p w14:paraId="7352EF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税金及附加</w:t>
            </w:r>
          </w:p>
        </w:tc>
        <w:tc>
          <w:tcPr>
            <w:tcW w:w="589" w:type="pct"/>
            <w:vAlign w:val="center"/>
          </w:tcPr>
          <w:p w14:paraId="4FBCC5F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2086.01</w:t>
            </w:r>
          </w:p>
        </w:tc>
        <w:tc>
          <w:tcPr>
            <w:tcW w:w="517" w:type="pct"/>
            <w:vAlign w:val="center"/>
          </w:tcPr>
          <w:p w14:paraId="18039B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99.95</w:t>
            </w:r>
          </w:p>
        </w:tc>
        <w:tc>
          <w:tcPr>
            <w:tcW w:w="517" w:type="pct"/>
            <w:vAlign w:val="center"/>
          </w:tcPr>
          <w:p w14:paraId="5D725B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115.66</w:t>
            </w:r>
          </w:p>
        </w:tc>
        <w:tc>
          <w:tcPr>
            <w:tcW w:w="482" w:type="pct"/>
            <w:vAlign w:val="center"/>
          </w:tcPr>
          <w:p w14:paraId="071E55E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131.35</w:t>
            </w:r>
          </w:p>
        </w:tc>
        <w:tc>
          <w:tcPr>
            <w:tcW w:w="482" w:type="pct"/>
            <w:vAlign w:val="center"/>
          </w:tcPr>
          <w:p w14:paraId="31D26E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161.04</w:t>
            </w:r>
          </w:p>
        </w:tc>
        <w:tc>
          <w:tcPr>
            <w:tcW w:w="482" w:type="pct"/>
            <w:vAlign w:val="center"/>
          </w:tcPr>
          <w:p w14:paraId="70D717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161.01</w:t>
            </w:r>
          </w:p>
        </w:tc>
        <w:tc>
          <w:tcPr>
            <w:tcW w:w="482" w:type="pct"/>
            <w:vAlign w:val="center"/>
          </w:tcPr>
          <w:p w14:paraId="06A55A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160.96</w:t>
            </w:r>
          </w:p>
        </w:tc>
      </w:tr>
      <w:tr w14:paraId="774BF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791A56F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103" w:type="pct"/>
            <w:vAlign w:val="center"/>
          </w:tcPr>
          <w:p w14:paraId="0287E8B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总成本费用</w:t>
            </w:r>
          </w:p>
        </w:tc>
        <w:tc>
          <w:tcPr>
            <w:tcW w:w="589" w:type="pct"/>
            <w:vAlign w:val="center"/>
          </w:tcPr>
          <w:p w14:paraId="32F7DF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62244.58</w:t>
            </w:r>
          </w:p>
        </w:tc>
        <w:tc>
          <w:tcPr>
            <w:tcW w:w="517" w:type="pct"/>
            <w:vAlign w:val="center"/>
          </w:tcPr>
          <w:p w14:paraId="6A4D65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5180.69</w:t>
            </w:r>
          </w:p>
        </w:tc>
        <w:tc>
          <w:tcPr>
            <w:tcW w:w="517" w:type="pct"/>
            <w:vAlign w:val="center"/>
          </w:tcPr>
          <w:p w14:paraId="362921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5186.89</w:t>
            </w:r>
          </w:p>
        </w:tc>
        <w:tc>
          <w:tcPr>
            <w:tcW w:w="482" w:type="pct"/>
            <w:vAlign w:val="center"/>
          </w:tcPr>
          <w:p w14:paraId="62F7C7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5193.23</w:t>
            </w:r>
          </w:p>
        </w:tc>
        <w:tc>
          <w:tcPr>
            <w:tcW w:w="482" w:type="pct"/>
            <w:vAlign w:val="center"/>
          </w:tcPr>
          <w:p w14:paraId="56B51C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5199.73</w:t>
            </w:r>
          </w:p>
        </w:tc>
        <w:tc>
          <w:tcPr>
            <w:tcW w:w="482" w:type="pct"/>
            <w:vAlign w:val="center"/>
          </w:tcPr>
          <w:p w14:paraId="7D1EF18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5206.39</w:t>
            </w:r>
          </w:p>
        </w:tc>
        <w:tc>
          <w:tcPr>
            <w:tcW w:w="482" w:type="pct"/>
            <w:vAlign w:val="center"/>
          </w:tcPr>
          <w:p w14:paraId="2725FC4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5213.22</w:t>
            </w:r>
          </w:p>
        </w:tc>
      </w:tr>
      <w:tr w14:paraId="35239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38517D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103" w:type="pct"/>
            <w:vAlign w:val="center"/>
          </w:tcPr>
          <w:p w14:paraId="294C22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补贴收入</w:t>
            </w:r>
          </w:p>
        </w:tc>
        <w:tc>
          <w:tcPr>
            <w:tcW w:w="589" w:type="pct"/>
            <w:vAlign w:val="center"/>
          </w:tcPr>
          <w:p w14:paraId="68CE09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517" w:type="pct"/>
            <w:vAlign w:val="center"/>
          </w:tcPr>
          <w:p w14:paraId="43448A3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517" w:type="pct"/>
            <w:vAlign w:val="center"/>
          </w:tcPr>
          <w:p w14:paraId="3777A7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046521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36C2F6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707A65C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229E7C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8139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314BF0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1103" w:type="pct"/>
            <w:vAlign w:val="center"/>
          </w:tcPr>
          <w:p w14:paraId="49444D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利润总额</w:t>
            </w:r>
          </w:p>
        </w:tc>
        <w:tc>
          <w:tcPr>
            <w:tcW w:w="589" w:type="pct"/>
            <w:vAlign w:val="center"/>
          </w:tcPr>
          <w:p w14:paraId="5C705F5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83817.63</w:t>
            </w:r>
          </w:p>
        </w:tc>
        <w:tc>
          <w:tcPr>
            <w:tcW w:w="517" w:type="pct"/>
            <w:vAlign w:val="center"/>
          </w:tcPr>
          <w:p w14:paraId="5E0564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-1608.75</w:t>
            </w:r>
          </w:p>
        </w:tc>
        <w:tc>
          <w:tcPr>
            <w:tcW w:w="517" w:type="pct"/>
            <w:vAlign w:val="center"/>
          </w:tcPr>
          <w:p w14:paraId="0FF4B1F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-1049.87</w:t>
            </w:r>
          </w:p>
        </w:tc>
        <w:tc>
          <w:tcPr>
            <w:tcW w:w="482" w:type="pct"/>
            <w:vAlign w:val="center"/>
          </w:tcPr>
          <w:p w14:paraId="395C3E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-491.11</w:t>
            </w:r>
          </w:p>
        </w:tc>
        <w:tc>
          <w:tcPr>
            <w:tcW w:w="482" w:type="pct"/>
            <w:vAlign w:val="center"/>
          </w:tcPr>
          <w:p w14:paraId="22D6925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470.99</w:t>
            </w:r>
          </w:p>
        </w:tc>
        <w:tc>
          <w:tcPr>
            <w:tcW w:w="482" w:type="pct"/>
            <w:vAlign w:val="center"/>
          </w:tcPr>
          <w:p w14:paraId="1CB7CA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464.36</w:t>
            </w:r>
          </w:p>
        </w:tc>
        <w:tc>
          <w:tcPr>
            <w:tcW w:w="482" w:type="pct"/>
            <w:vAlign w:val="center"/>
          </w:tcPr>
          <w:p w14:paraId="51DD766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457.58</w:t>
            </w:r>
          </w:p>
        </w:tc>
      </w:tr>
      <w:tr w14:paraId="11DE19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62701B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w:t>
            </w:r>
          </w:p>
        </w:tc>
        <w:tc>
          <w:tcPr>
            <w:tcW w:w="1103" w:type="pct"/>
            <w:vAlign w:val="center"/>
          </w:tcPr>
          <w:p w14:paraId="01D379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弥补以前年度亏损</w:t>
            </w:r>
          </w:p>
        </w:tc>
        <w:tc>
          <w:tcPr>
            <w:tcW w:w="589" w:type="pct"/>
            <w:vAlign w:val="center"/>
          </w:tcPr>
          <w:p w14:paraId="28EC66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2334.67</w:t>
            </w:r>
          </w:p>
        </w:tc>
        <w:tc>
          <w:tcPr>
            <w:tcW w:w="517" w:type="pct"/>
            <w:vAlign w:val="center"/>
          </w:tcPr>
          <w:p w14:paraId="103580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517" w:type="pct"/>
            <w:vAlign w:val="center"/>
          </w:tcPr>
          <w:p w14:paraId="6F8E5B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43564AA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607AAB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470.99</w:t>
            </w:r>
          </w:p>
        </w:tc>
        <w:tc>
          <w:tcPr>
            <w:tcW w:w="482" w:type="pct"/>
            <w:vAlign w:val="center"/>
          </w:tcPr>
          <w:p w14:paraId="5D0F6E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464.36</w:t>
            </w:r>
          </w:p>
        </w:tc>
        <w:tc>
          <w:tcPr>
            <w:tcW w:w="482" w:type="pct"/>
            <w:vAlign w:val="center"/>
          </w:tcPr>
          <w:p w14:paraId="3417D89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457.58</w:t>
            </w:r>
          </w:p>
        </w:tc>
      </w:tr>
      <w:tr w14:paraId="1A125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108C4B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w:t>
            </w:r>
          </w:p>
        </w:tc>
        <w:tc>
          <w:tcPr>
            <w:tcW w:w="1103" w:type="pct"/>
            <w:vAlign w:val="center"/>
          </w:tcPr>
          <w:p w14:paraId="712D002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应纳税所得额</w:t>
            </w:r>
          </w:p>
        </w:tc>
        <w:tc>
          <w:tcPr>
            <w:tcW w:w="589" w:type="pct"/>
            <w:vAlign w:val="center"/>
          </w:tcPr>
          <w:p w14:paraId="666C775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8797.26</w:t>
            </w:r>
          </w:p>
        </w:tc>
        <w:tc>
          <w:tcPr>
            <w:tcW w:w="517" w:type="pct"/>
            <w:vAlign w:val="center"/>
          </w:tcPr>
          <w:p w14:paraId="6A2C33D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-1608.75</w:t>
            </w:r>
          </w:p>
        </w:tc>
        <w:tc>
          <w:tcPr>
            <w:tcW w:w="517" w:type="pct"/>
            <w:vAlign w:val="center"/>
          </w:tcPr>
          <w:p w14:paraId="3CCD2E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-1049.87</w:t>
            </w:r>
          </w:p>
        </w:tc>
        <w:tc>
          <w:tcPr>
            <w:tcW w:w="482" w:type="pct"/>
            <w:vAlign w:val="center"/>
          </w:tcPr>
          <w:p w14:paraId="2676E5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-491.11</w:t>
            </w:r>
          </w:p>
        </w:tc>
        <w:tc>
          <w:tcPr>
            <w:tcW w:w="482" w:type="pct"/>
            <w:vAlign w:val="center"/>
          </w:tcPr>
          <w:p w14:paraId="3A53B27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82" w:type="pct"/>
            <w:vAlign w:val="center"/>
          </w:tcPr>
          <w:p w14:paraId="37F277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82" w:type="pct"/>
            <w:vAlign w:val="center"/>
          </w:tcPr>
          <w:p w14:paraId="6BEA64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r w14:paraId="2C02D4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4D8D7C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w:t>
            </w:r>
          </w:p>
        </w:tc>
        <w:tc>
          <w:tcPr>
            <w:tcW w:w="1103" w:type="pct"/>
            <w:vAlign w:val="center"/>
          </w:tcPr>
          <w:p w14:paraId="47E111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所得税</w:t>
            </w:r>
          </w:p>
        </w:tc>
        <w:tc>
          <w:tcPr>
            <w:tcW w:w="589" w:type="pct"/>
            <w:vAlign w:val="center"/>
          </w:tcPr>
          <w:p w14:paraId="206B34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2986.75</w:t>
            </w:r>
          </w:p>
        </w:tc>
        <w:tc>
          <w:tcPr>
            <w:tcW w:w="517" w:type="pct"/>
            <w:vAlign w:val="center"/>
          </w:tcPr>
          <w:p w14:paraId="4BBE6A8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517" w:type="pct"/>
            <w:vAlign w:val="center"/>
          </w:tcPr>
          <w:p w14:paraId="6309D3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0B0C44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70B6BD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2D9222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82" w:type="pct"/>
            <w:vAlign w:val="center"/>
          </w:tcPr>
          <w:p w14:paraId="5A488AD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57029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0395E1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w:t>
            </w:r>
          </w:p>
        </w:tc>
        <w:tc>
          <w:tcPr>
            <w:tcW w:w="1103" w:type="pct"/>
            <w:vAlign w:val="center"/>
          </w:tcPr>
          <w:p w14:paraId="2801C98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净利润</w:t>
            </w:r>
          </w:p>
        </w:tc>
        <w:tc>
          <w:tcPr>
            <w:tcW w:w="589" w:type="pct"/>
            <w:vAlign w:val="center"/>
          </w:tcPr>
          <w:p w14:paraId="679C3C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80830.88</w:t>
            </w:r>
          </w:p>
        </w:tc>
        <w:tc>
          <w:tcPr>
            <w:tcW w:w="517" w:type="pct"/>
            <w:vAlign w:val="center"/>
          </w:tcPr>
          <w:p w14:paraId="6FC5C30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-1608.75</w:t>
            </w:r>
          </w:p>
        </w:tc>
        <w:tc>
          <w:tcPr>
            <w:tcW w:w="517" w:type="pct"/>
            <w:vAlign w:val="center"/>
          </w:tcPr>
          <w:p w14:paraId="10D904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-1049.87</w:t>
            </w:r>
          </w:p>
        </w:tc>
        <w:tc>
          <w:tcPr>
            <w:tcW w:w="482" w:type="pct"/>
            <w:vAlign w:val="center"/>
          </w:tcPr>
          <w:p w14:paraId="708F35B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-491.11</w:t>
            </w:r>
          </w:p>
        </w:tc>
        <w:tc>
          <w:tcPr>
            <w:tcW w:w="482" w:type="pct"/>
            <w:vAlign w:val="center"/>
          </w:tcPr>
          <w:p w14:paraId="410C67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470.99</w:t>
            </w:r>
          </w:p>
        </w:tc>
        <w:tc>
          <w:tcPr>
            <w:tcW w:w="482" w:type="pct"/>
            <w:vAlign w:val="center"/>
          </w:tcPr>
          <w:p w14:paraId="13E4BD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464.36</w:t>
            </w:r>
          </w:p>
        </w:tc>
        <w:tc>
          <w:tcPr>
            <w:tcW w:w="482" w:type="pct"/>
            <w:vAlign w:val="center"/>
          </w:tcPr>
          <w:p w14:paraId="494DB6F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457.58</w:t>
            </w:r>
          </w:p>
        </w:tc>
      </w:tr>
      <w:tr w14:paraId="0E818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7" w:type="pct"/>
            <w:vAlign w:val="center"/>
          </w:tcPr>
          <w:p w14:paraId="7AF98C1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w:t>
            </w:r>
          </w:p>
        </w:tc>
        <w:tc>
          <w:tcPr>
            <w:tcW w:w="1103" w:type="pct"/>
            <w:vAlign w:val="center"/>
          </w:tcPr>
          <w:p w14:paraId="527FDA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息税折旧摊销前利润</w:t>
            </w:r>
          </w:p>
        </w:tc>
        <w:tc>
          <w:tcPr>
            <w:tcW w:w="589" w:type="pct"/>
            <w:vAlign w:val="center"/>
          </w:tcPr>
          <w:p w14:paraId="0DFC5D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142318.35</w:t>
            </w:r>
          </w:p>
        </w:tc>
        <w:tc>
          <w:tcPr>
            <w:tcW w:w="517" w:type="pct"/>
            <w:vAlign w:val="center"/>
          </w:tcPr>
          <w:p w14:paraId="259706D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3324.69</w:t>
            </w:r>
          </w:p>
        </w:tc>
        <w:tc>
          <w:tcPr>
            <w:tcW w:w="517" w:type="pct"/>
            <w:vAlign w:val="center"/>
          </w:tcPr>
          <w:p w14:paraId="2DEE2D3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3883.57</w:t>
            </w:r>
          </w:p>
        </w:tc>
        <w:tc>
          <w:tcPr>
            <w:tcW w:w="482" w:type="pct"/>
            <w:vAlign w:val="center"/>
          </w:tcPr>
          <w:p w14:paraId="254958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4442.33</w:t>
            </w:r>
          </w:p>
        </w:tc>
        <w:tc>
          <w:tcPr>
            <w:tcW w:w="482" w:type="pct"/>
            <w:vAlign w:val="center"/>
          </w:tcPr>
          <w:p w14:paraId="09E503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5404.43</w:t>
            </w:r>
          </w:p>
        </w:tc>
        <w:tc>
          <w:tcPr>
            <w:tcW w:w="482" w:type="pct"/>
            <w:vAlign w:val="center"/>
          </w:tcPr>
          <w:p w14:paraId="31B938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5397.80</w:t>
            </w:r>
          </w:p>
        </w:tc>
        <w:tc>
          <w:tcPr>
            <w:tcW w:w="482" w:type="pct"/>
            <w:vAlign w:val="center"/>
          </w:tcPr>
          <w:p w14:paraId="29BE8F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5391.02</w:t>
            </w:r>
          </w:p>
        </w:tc>
      </w:tr>
    </w:tbl>
    <w:p w14:paraId="75BDA994">
      <w:pPr>
        <w:pStyle w:val="7"/>
        <w:spacing w:after="0" w:line="56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6"/>
        <w:gridCol w:w="3005"/>
        <w:gridCol w:w="1605"/>
        <w:gridCol w:w="1460"/>
        <w:gridCol w:w="1314"/>
        <w:gridCol w:w="1314"/>
        <w:gridCol w:w="1314"/>
        <w:gridCol w:w="1314"/>
        <w:gridCol w:w="1314"/>
        <w:gridCol w:w="1308"/>
      </w:tblGrid>
      <w:tr w14:paraId="074B29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trPr>
        <w:tc>
          <w:tcPr>
            <w:tcW w:w="318" w:type="pct"/>
            <w:vAlign w:val="center"/>
          </w:tcPr>
          <w:p w14:paraId="3A4410C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1009" w:type="pct"/>
            <w:vAlign w:val="center"/>
          </w:tcPr>
          <w:p w14:paraId="6043571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 xml:space="preserve"> 项 目</w:t>
            </w:r>
          </w:p>
        </w:tc>
        <w:tc>
          <w:tcPr>
            <w:tcW w:w="539" w:type="pct"/>
            <w:vAlign w:val="center"/>
          </w:tcPr>
          <w:p w14:paraId="1270CFD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90" w:type="pct"/>
            <w:vAlign w:val="center"/>
          </w:tcPr>
          <w:p w14:paraId="0CE1633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2033年</w:t>
            </w:r>
          </w:p>
        </w:tc>
        <w:tc>
          <w:tcPr>
            <w:tcW w:w="441" w:type="pct"/>
            <w:vAlign w:val="center"/>
          </w:tcPr>
          <w:p w14:paraId="3DA6EF3F">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2034年</w:t>
            </w:r>
          </w:p>
        </w:tc>
        <w:tc>
          <w:tcPr>
            <w:tcW w:w="441" w:type="pct"/>
            <w:vAlign w:val="center"/>
          </w:tcPr>
          <w:p w14:paraId="4835105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2035年</w:t>
            </w:r>
          </w:p>
        </w:tc>
        <w:tc>
          <w:tcPr>
            <w:tcW w:w="441" w:type="pct"/>
            <w:vAlign w:val="center"/>
          </w:tcPr>
          <w:p w14:paraId="36BFB16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2036年</w:t>
            </w:r>
          </w:p>
        </w:tc>
        <w:tc>
          <w:tcPr>
            <w:tcW w:w="441" w:type="pct"/>
            <w:vAlign w:val="center"/>
          </w:tcPr>
          <w:p w14:paraId="73052B7B">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2037年</w:t>
            </w:r>
          </w:p>
        </w:tc>
        <w:tc>
          <w:tcPr>
            <w:tcW w:w="441" w:type="pct"/>
            <w:vAlign w:val="center"/>
          </w:tcPr>
          <w:p w14:paraId="28620BF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2038年</w:t>
            </w:r>
          </w:p>
        </w:tc>
        <w:tc>
          <w:tcPr>
            <w:tcW w:w="441" w:type="pct"/>
            <w:vAlign w:val="center"/>
          </w:tcPr>
          <w:p w14:paraId="5470D293">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2039年</w:t>
            </w:r>
          </w:p>
        </w:tc>
      </w:tr>
      <w:tr w14:paraId="222C00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69901DA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009" w:type="pct"/>
            <w:vAlign w:val="center"/>
          </w:tcPr>
          <w:p w14:paraId="58CE6A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营业收入</w:t>
            </w:r>
          </w:p>
        </w:tc>
        <w:tc>
          <w:tcPr>
            <w:tcW w:w="539" w:type="pct"/>
            <w:vAlign w:val="center"/>
          </w:tcPr>
          <w:p w14:paraId="01DD8FF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148148.22</w:t>
            </w:r>
          </w:p>
        </w:tc>
        <w:tc>
          <w:tcPr>
            <w:tcW w:w="490" w:type="pct"/>
            <w:vAlign w:val="center"/>
          </w:tcPr>
          <w:p w14:paraId="2BE8924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78517.46</w:t>
            </w:r>
          </w:p>
        </w:tc>
        <w:tc>
          <w:tcPr>
            <w:tcW w:w="441" w:type="pct"/>
            <w:vAlign w:val="center"/>
          </w:tcPr>
          <w:p w14:paraId="14418E3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41" w:type="pct"/>
            <w:vAlign w:val="center"/>
          </w:tcPr>
          <w:p w14:paraId="31F8755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41" w:type="pct"/>
            <w:vAlign w:val="center"/>
          </w:tcPr>
          <w:p w14:paraId="23BB7E4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41" w:type="pct"/>
            <w:vAlign w:val="center"/>
          </w:tcPr>
          <w:p w14:paraId="6AE734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41" w:type="pct"/>
            <w:vAlign w:val="center"/>
          </w:tcPr>
          <w:p w14:paraId="42DD432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c>
          <w:tcPr>
            <w:tcW w:w="441" w:type="pct"/>
            <w:vAlign w:val="center"/>
          </w:tcPr>
          <w:p w14:paraId="3D668C9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r>
      <w:tr w14:paraId="66BFF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0D14717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009" w:type="pct"/>
            <w:vAlign w:val="center"/>
          </w:tcPr>
          <w:p w14:paraId="64511CB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税金及附加</w:t>
            </w:r>
          </w:p>
        </w:tc>
        <w:tc>
          <w:tcPr>
            <w:tcW w:w="539" w:type="pct"/>
            <w:vAlign w:val="center"/>
          </w:tcPr>
          <w:p w14:paraId="16C6C3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2086.01</w:t>
            </w:r>
          </w:p>
        </w:tc>
        <w:tc>
          <w:tcPr>
            <w:tcW w:w="490" w:type="pct"/>
            <w:vAlign w:val="center"/>
          </w:tcPr>
          <w:p w14:paraId="623EB39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160.92</w:t>
            </w:r>
          </w:p>
        </w:tc>
        <w:tc>
          <w:tcPr>
            <w:tcW w:w="441" w:type="pct"/>
            <w:vAlign w:val="center"/>
          </w:tcPr>
          <w:p w14:paraId="1A7B98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176.81</w:t>
            </w:r>
          </w:p>
        </w:tc>
        <w:tc>
          <w:tcPr>
            <w:tcW w:w="441" w:type="pct"/>
            <w:vAlign w:val="center"/>
          </w:tcPr>
          <w:p w14:paraId="129CAD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176.76</w:t>
            </w:r>
          </w:p>
        </w:tc>
        <w:tc>
          <w:tcPr>
            <w:tcW w:w="441" w:type="pct"/>
            <w:vAlign w:val="center"/>
          </w:tcPr>
          <w:p w14:paraId="1FBA63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176.70</w:t>
            </w:r>
          </w:p>
        </w:tc>
        <w:tc>
          <w:tcPr>
            <w:tcW w:w="441" w:type="pct"/>
            <w:vAlign w:val="center"/>
          </w:tcPr>
          <w:p w14:paraId="4C8E7D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176.65</w:t>
            </w:r>
          </w:p>
        </w:tc>
        <w:tc>
          <w:tcPr>
            <w:tcW w:w="441" w:type="pct"/>
            <w:vAlign w:val="center"/>
          </w:tcPr>
          <w:p w14:paraId="117069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194.13</w:t>
            </w:r>
          </w:p>
        </w:tc>
        <w:tc>
          <w:tcPr>
            <w:tcW w:w="441" w:type="pct"/>
            <w:vAlign w:val="center"/>
          </w:tcPr>
          <w:p w14:paraId="2089EF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194.07</w:t>
            </w:r>
          </w:p>
        </w:tc>
      </w:tr>
      <w:tr w14:paraId="6054F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6CBE002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009" w:type="pct"/>
            <w:vAlign w:val="center"/>
          </w:tcPr>
          <w:p w14:paraId="5018D61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总成本费用</w:t>
            </w:r>
          </w:p>
        </w:tc>
        <w:tc>
          <w:tcPr>
            <w:tcW w:w="539" w:type="pct"/>
            <w:vAlign w:val="center"/>
          </w:tcPr>
          <w:p w14:paraId="63DB4A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62244.58</w:t>
            </w:r>
          </w:p>
        </w:tc>
        <w:tc>
          <w:tcPr>
            <w:tcW w:w="490" w:type="pct"/>
            <w:vAlign w:val="center"/>
          </w:tcPr>
          <w:p w14:paraId="6EB8099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5220.21</w:t>
            </w:r>
          </w:p>
        </w:tc>
        <w:tc>
          <w:tcPr>
            <w:tcW w:w="441" w:type="pct"/>
            <w:vAlign w:val="center"/>
          </w:tcPr>
          <w:p w14:paraId="2555B1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5227.38</w:t>
            </w:r>
          </w:p>
        </w:tc>
        <w:tc>
          <w:tcPr>
            <w:tcW w:w="441" w:type="pct"/>
            <w:vAlign w:val="center"/>
          </w:tcPr>
          <w:p w14:paraId="637E407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4874.72</w:t>
            </w:r>
          </w:p>
        </w:tc>
        <w:tc>
          <w:tcPr>
            <w:tcW w:w="441" w:type="pct"/>
            <w:vAlign w:val="center"/>
          </w:tcPr>
          <w:p w14:paraId="7D7BE8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4180.24</w:t>
            </w:r>
          </w:p>
        </w:tc>
        <w:tc>
          <w:tcPr>
            <w:tcW w:w="441" w:type="pct"/>
            <w:vAlign w:val="center"/>
          </w:tcPr>
          <w:p w14:paraId="15A681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3845.98</w:t>
            </w:r>
          </w:p>
        </w:tc>
        <w:tc>
          <w:tcPr>
            <w:tcW w:w="441" w:type="pct"/>
            <w:vAlign w:val="center"/>
          </w:tcPr>
          <w:p w14:paraId="2FCA0A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3853.89</w:t>
            </w:r>
          </w:p>
        </w:tc>
        <w:tc>
          <w:tcPr>
            <w:tcW w:w="441" w:type="pct"/>
            <w:vAlign w:val="center"/>
          </w:tcPr>
          <w:p w14:paraId="7512766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3862.01</w:t>
            </w:r>
          </w:p>
        </w:tc>
      </w:tr>
      <w:tr w14:paraId="764AE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37D6A5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009" w:type="pct"/>
            <w:vAlign w:val="center"/>
          </w:tcPr>
          <w:p w14:paraId="4098EB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补贴收入</w:t>
            </w:r>
          </w:p>
        </w:tc>
        <w:tc>
          <w:tcPr>
            <w:tcW w:w="539" w:type="pct"/>
            <w:vAlign w:val="center"/>
          </w:tcPr>
          <w:p w14:paraId="45984D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90" w:type="pct"/>
            <w:vAlign w:val="center"/>
          </w:tcPr>
          <w:p w14:paraId="7EF1A9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17FF924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429A6E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398E08C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18F2AF4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313BF8F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64CBB7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1A7C3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3240A3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w:t>
            </w:r>
          </w:p>
        </w:tc>
        <w:tc>
          <w:tcPr>
            <w:tcW w:w="1009" w:type="pct"/>
            <w:vAlign w:val="center"/>
          </w:tcPr>
          <w:p w14:paraId="74CEE4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利润总额</w:t>
            </w:r>
          </w:p>
        </w:tc>
        <w:tc>
          <w:tcPr>
            <w:tcW w:w="539" w:type="pct"/>
            <w:vAlign w:val="center"/>
          </w:tcPr>
          <w:p w14:paraId="4018A7B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83817.63</w:t>
            </w:r>
          </w:p>
        </w:tc>
        <w:tc>
          <w:tcPr>
            <w:tcW w:w="490" w:type="pct"/>
            <w:vAlign w:val="center"/>
          </w:tcPr>
          <w:p w14:paraId="0CE750E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73136.33</w:t>
            </w:r>
          </w:p>
        </w:tc>
        <w:tc>
          <w:tcPr>
            <w:tcW w:w="441" w:type="pct"/>
            <w:vAlign w:val="center"/>
          </w:tcPr>
          <w:p w14:paraId="211883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962.56</w:t>
            </w:r>
          </w:p>
        </w:tc>
        <w:tc>
          <w:tcPr>
            <w:tcW w:w="441" w:type="pct"/>
            <w:vAlign w:val="center"/>
          </w:tcPr>
          <w:p w14:paraId="44775C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1315.27</w:t>
            </w:r>
          </w:p>
        </w:tc>
        <w:tc>
          <w:tcPr>
            <w:tcW w:w="441" w:type="pct"/>
            <w:vAlign w:val="center"/>
          </w:tcPr>
          <w:p w14:paraId="322DC4E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2009.81</w:t>
            </w:r>
          </w:p>
        </w:tc>
        <w:tc>
          <w:tcPr>
            <w:tcW w:w="441" w:type="pct"/>
            <w:vAlign w:val="center"/>
          </w:tcPr>
          <w:p w14:paraId="20E8CB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2344.12</w:t>
            </w:r>
          </w:p>
        </w:tc>
        <w:tc>
          <w:tcPr>
            <w:tcW w:w="441" w:type="pct"/>
            <w:vAlign w:val="center"/>
          </w:tcPr>
          <w:p w14:paraId="1DD312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2907.20</w:t>
            </w:r>
          </w:p>
        </w:tc>
        <w:tc>
          <w:tcPr>
            <w:tcW w:w="441" w:type="pct"/>
            <w:vAlign w:val="center"/>
          </w:tcPr>
          <w:p w14:paraId="457AFE5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2899.14</w:t>
            </w:r>
          </w:p>
        </w:tc>
      </w:tr>
      <w:tr w14:paraId="38494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29711F0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w:t>
            </w:r>
          </w:p>
        </w:tc>
        <w:tc>
          <w:tcPr>
            <w:tcW w:w="1009" w:type="pct"/>
            <w:vAlign w:val="center"/>
          </w:tcPr>
          <w:p w14:paraId="73C008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弥补以前年度亏损</w:t>
            </w:r>
          </w:p>
        </w:tc>
        <w:tc>
          <w:tcPr>
            <w:tcW w:w="539" w:type="pct"/>
            <w:vAlign w:val="center"/>
          </w:tcPr>
          <w:p w14:paraId="290CBF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2334.67</w:t>
            </w:r>
          </w:p>
        </w:tc>
        <w:tc>
          <w:tcPr>
            <w:tcW w:w="490" w:type="pct"/>
            <w:vAlign w:val="center"/>
          </w:tcPr>
          <w:p w14:paraId="6913FB1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450.63</w:t>
            </w:r>
          </w:p>
        </w:tc>
        <w:tc>
          <w:tcPr>
            <w:tcW w:w="441" w:type="pct"/>
            <w:vAlign w:val="center"/>
          </w:tcPr>
          <w:p w14:paraId="3E9550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491.11</w:t>
            </w:r>
          </w:p>
        </w:tc>
        <w:tc>
          <w:tcPr>
            <w:tcW w:w="441" w:type="pct"/>
            <w:vAlign w:val="center"/>
          </w:tcPr>
          <w:p w14:paraId="014FEDE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72654B3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330286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02DE3BE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22ABEA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6588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318" w:type="pct"/>
            <w:vAlign w:val="center"/>
          </w:tcPr>
          <w:p w14:paraId="6E0982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w:t>
            </w:r>
          </w:p>
        </w:tc>
        <w:tc>
          <w:tcPr>
            <w:tcW w:w="1009" w:type="pct"/>
            <w:vAlign w:val="center"/>
          </w:tcPr>
          <w:p w14:paraId="7DE24A9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应纳税所得额</w:t>
            </w:r>
          </w:p>
        </w:tc>
        <w:tc>
          <w:tcPr>
            <w:tcW w:w="539" w:type="pct"/>
            <w:vAlign w:val="center"/>
          </w:tcPr>
          <w:p w14:paraId="6D5373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8797.26</w:t>
            </w:r>
          </w:p>
        </w:tc>
        <w:tc>
          <w:tcPr>
            <w:tcW w:w="490" w:type="pct"/>
            <w:vAlign w:val="center"/>
          </w:tcPr>
          <w:p w14:paraId="35837CE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41" w:type="pct"/>
            <w:vAlign w:val="center"/>
          </w:tcPr>
          <w:p w14:paraId="105A62D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471.45</w:t>
            </w:r>
          </w:p>
        </w:tc>
        <w:tc>
          <w:tcPr>
            <w:tcW w:w="441" w:type="pct"/>
            <w:vAlign w:val="center"/>
          </w:tcPr>
          <w:p w14:paraId="768E6DD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1315.27</w:t>
            </w:r>
          </w:p>
        </w:tc>
        <w:tc>
          <w:tcPr>
            <w:tcW w:w="441" w:type="pct"/>
            <w:vAlign w:val="center"/>
          </w:tcPr>
          <w:p w14:paraId="51183FC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2009.81</w:t>
            </w:r>
          </w:p>
        </w:tc>
        <w:tc>
          <w:tcPr>
            <w:tcW w:w="441" w:type="pct"/>
            <w:vAlign w:val="center"/>
          </w:tcPr>
          <w:p w14:paraId="2A5450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2344.12</w:t>
            </w:r>
          </w:p>
        </w:tc>
        <w:tc>
          <w:tcPr>
            <w:tcW w:w="441" w:type="pct"/>
            <w:vAlign w:val="center"/>
          </w:tcPr>
          <w:p w14:paraId="7FA4CF1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2907.20</w:t>
            </w:r>
          </w:p>
        </w:tc>
        <w:tc>
          <w:tcPr>
            <w:tcW w:w="441" w:type="pct"/>
            <w:vAlign w:val="center"/>
          </w:tcPr>
          <w:p w14:paraId="70AA0A4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2899.14</w:t>
            </w:r>
          </w:p>
        </w:tc>
      </w:tr>
      <w:tr w14:paraId="27A462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4CA1EA2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w:t>
            </w:r>
          </w:p>
        </w:tc>
        <w:tc>
          <w:tcPr>
            <w:tcW w:w="1009" w:type="pct"/>
            <w:vAlign w:val="center"/>
          </w:tcPr>
          <w:p w14:paraId="7AA089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所得税</w:t>
            </w:r>
          </w:p>
        </w:tc>
        <w:tc>
          <w:tcPr>
            <w:tcW w:w="539" w:type="pct"/>
            <w:vAlign w:val="center"/>
          </w:tcPr>
          <w:p w14:paraId="7BCE6B7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2986.75</w:t>
            </w:r>
          </w:p>
        </w:tc>
        <w:tc>
          <w:tcPr>
            <w:tcW w:w="490" w:type="pct"/>
            <w:vAlign w:val="center"/>
          </w:tcPr>
          <w:p w14:paraId="38FDA8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41" w:type="pct"/>
            <w:vAlign w:val="center"/>
          </w:tcPr>
          <w:p w14:paraId="762E2D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117.86</w:t>
            </w:r>
          </w:p>
        </w:tc>
        <w:tc>
          <w:tcPr>
            <w:tcW w:w="441" w:type="pct"/>
            <w:vAlign w:val="center"/>
          </w:tcPr>
          <w:p w14:paraId="6482089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328.82</w:t>
            </w:r>
          </w:p>
        </w:tc>
        <w:tc>
          <w:tcPr>
            <w:tcW w:w="441" w:type="pct"/>
            <w:vAlign w:val="center"/>
          </w:tcPr>
          <w:p w14:paraId="6B9122C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502.45</w:t>
            </w:r>
          </w:p>
        </w:tc>
        <w:tc>
          <w:tcPr>
            <w:tcW w:w="441" w:type="pct"/>
            <w:vAlign w:val="center"/>
          </w:tcPr>
          <w:p w14:paraId="39F14C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586.03</w:t>
            </w:r>
          </w:p>
        </w:tc>
        <w:tc>
          <w:tcPr>
            <w:tcW w:w="441" w:type="pct"/>
            <w:vAlign w:val="center"/>
          </w:tcPr>
          <w:p w14:paraId="791A047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726.80</w:t>
            </w:r>
          </w:p>
        </w:tc>
        <w:tc>
          <w:tcPr>
            <w:tcW w:w="441" w:type="pct"/>
            <w:vAlign w:val="center"/>
          </w:tcPr>
          <w:p w14:paraId="762940B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724.79</w:t>
            </w:r>
          </w:p>
        </w:tc>
      </w:tr>
      <w:tr w14:paraId="50721E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6852882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w:t>
            </w:r>
          </w:p>
        </w:tc>
        <w:tc>
          <w:tcPr>
            <w:tcW w:w="1009" w:type="pct"/>
            <w:vAlign w:val="center"/>
          </w:tcPr>
          <w:p w14:paraId="413D3A0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净利润</w:t>
            </w:r>
          </w:p>
        </w:tc>
        <w:tc>
          <w:tcPr>
            <w:tcW w:w="539" w:type="pct"/>
            <w:vAlign w:val="center"/>
          </w:tcPr>
          <w:p w14:paraId="64E8B2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80830.88</w:t>
            </w:r>
          </w:p>
        </w:tc>
        <w:tc>
          <w:tcPr>
            <w:tcW w:w="490" w:type="pct"/>
            <w:vAlign w:val="center"/>
          </w:tcPr>
          <w:p w14:paraId="4E26174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73136.33</w:t>
            </w:r>
          </w:p>
        </w:tc>
        <w:tc>
          <w:tcPr>
            <w:tcW w:w="441" w:type="pct"/>
            <w:vAlign w:val="center"/>
          </w:tcPr>
          <w:p w14:paraId="2656DF9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844.70</w:t>
            </w:r>
          </w:p>
        </w:tc>
        <w:tc>
          <w:tcPr>
            <w:tcW w:w="441" w:type="pct"/>
            <w:vAlign w:val="center"/>
          </w:tcPr>
          <w:p w14:paraId="6DCBBE6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986.45</w:t>
            </w:r>
          </w:p>
        </w:tc>
        <w:tc>
          <w:tcPr>
            <w:tcW w:w="441" w:type="pct"/>
            <w:vAlign w:val="center"/>
          </w:tcPr>
          <w:p w14:paraId="3C5451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1507.36</w:t>
            </w:r>
          </w:p>
        </w:tc>
        <w:tc>
          <w:tcPr>
            <w:tcW w:w="441" w:type="pct"/>
            <w:vAlign w:val="center"/>
          </w:tcPr>
          <w:p w14:paraId="09C7A4D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1758.09</w:t>
            </w:r>
          </w:p>
        </w:tc>
        <w:tc>
          <w:tcPr>
            <w:tcW w:w="441" w:type="pct"/>
            <w:vAlign w:val="center"/>
          </w:tcPr>
          <w:p w14:paraId="4B0BCA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2180.40</w:t>
            </w:r>
          </w:p>
        </w:tc>
        <w:tc>
          <w:tcPr>
            <w:tcW w:w="441" w:type="pct"/>
            <w:vAlign w:val="center"/>
          </w:tcPr>
          <w:p w14:paraId="1E5C27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2174.35</w:t>
            </w:r>
          </w:p>
        </w:tc>
      </w:tr>
      <w:tr w14:paraId="7550C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8" w:type="pct"/>
            <w:vAlign w:val="center"/>
          </w:tcPr>
          <w:p w14:paraId="45167B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w:t>
            </w:r>
          </w:p>
        </w:tc>
        <w:tc>
          <w:tcPr>
            <w:tcW w:w="1009" w:type="pct"/>
            <w:vAlign w:val="center"/>
          </w:tcPr>
          <w:p w14:paraId="0A932D3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息税折旧摊销前利润</w:t>
            </w:r>
          </w:p>
        </w:tc>
        <w:tc>
          <w:tcPr>
            <w:tcW w:w="539" w:type="pct"/>
            <w:vAlign w:val="center"/>
          </w:tcPr>
          <w:p w14:paraId="4B3B0F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142318.35</w:t>
            </w:r>
          </w:p>
        </w:tc>
        <w:tc>
          <w:tcPr>
            <w:tcW w:w="490" w:type="pct"/>
            <w:vAlign w:val="center"/>
          </w:tcPr>
          <w:p w14:paraId="33D4E7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78069.77</w:t>
            </w:r>
          </w:p>
        </w:tc>
        <w:tc>
          <w:tcPr>
            <w:tcW w:w="441" w:type="pct"/>
            <w:vAlign w:val="center"/>
          </w:tcPr>
          <w:p w14:paraId="09CD13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5896.00</w:t>
            </w:r>
          </w:p>
        </w:tc>
        <w:tc>
          <w:tcPr>
            <w:tcW w:w="441" w:type="pct"/>
            <w:vAlign w:val="center"/>
          </w:tcPr>
          <w:p w14:paraId="1B83AD9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5888.71</w:t>
            </w:r>
          </w:p>
        </w:tc>
        <w:tc>
          <w:tcPr>
            <w:tcW w:w="441" w:type="pct"/>
            <w:vAlign w:val="center"/>
          </w:tcPr>
          <w:p w14:paraId="25A66E6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5881.25</w:t>
            </w:r>
          </w:p>
        </w:tc>
        <w:tc>
          <w:tcPr>
            <w:tcW w:w="441" w:type="pct"/>
            <w:vAlign w:val="center"/>
          </w:tcPr>
          <w:p w14:paraId="7CE6B1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5873.56</w:t>
            </w:r>
          </w:p>
        </w:tc>
        <w:tc>
          <w:tcPr>
            <w:tcW w:w="441" w:type="pct"/>
            <w:vAlign w:val="center"/>
          </w:tcPr>
          <w:p w14:paraId="3923F4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6436.64</w:t>
            </w:r>
          </w:p>
        </w:tc>
        <w:tc>
          <w:tcPr>
            <w:tcW w:w="441" w:type="pct"/>
            <w:vAlign w:val="center"/>
          </w:tcPr>
          <w:p w14:paraId="335C41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6428.58</w:t>
            </w:r>
          </w:p>
        </w:tc>
      </w:tr>
    </w:tbl>
    <w:p w14:paraId="081F845C">
      <w:pPr>
        <w:pStyle w:val="7"/>
        <w:spacing w:after="0" w:line="520" w:lineRule="exact"/>
        <w:ind w:firstLine="640"/>
        <w:rPr>
          <w:rFonts w:hint="eastAsia" w:ascii="仿宋_GB2312" w:eastAsia="仿宋_GB2312"/>
          <w:color w:val="auto"/>
          <w:sz w:val="32"/>
          <w:szCs w:val="32"/>
        </w:rPr>
      </w:pPr>
      <w:r>
        <w:rPr>
          <w:rFonts w:hint="eastAsia" w:ascii="仿宋_GB2312" w:eastAsia="仿宋_GB2312"/>
          <w:color w:val="auto"/>
          <w:sz w:val="32"/>
          <w:szCs w:val="32"/>
        </w:rPr>
        <w:t>（</w:t>
      </w:r>
      <w:r>
        <w:rPr>
          <w:rFonts w:ascii="仿宋_GB2312" w:eastAsia="仿宋_GB2312"/>
          <w:color w:val="auto"/>
          <w:sz w:val="32"/>
          <w:szCs w:val="32"/>
        </w:rPr>
        <w:t>2</w:t>
      </w:r>
      <w:r>
        <w:rPr>
          <w:rFonts w:hint="eastAsia" w:ascii="仿宋_GB2312" w:eastAsia="仿宋_GB2312"/>
          <w:color w:val="auto"/>
          <w:sz w:val="32"/>
          <w:szCs w:val="32"/>
        </w:rPr>
        <w:t>）债券资金概况</w:t>
      </w:r>
    </w:p>
    <w:p w14:paraId="3C257EFC">
      <w:pPr>
        <w:pStyle w:val="7"/>
        <w:spacing w:before="0" w:after="0" w:line="360" w:lineRule="auto"/>
        <w:ind w:firstLine="640"/>
        <w:rPr>
          <w:rFonts w:hint="eastAsia" w:ascii="仿宋_GB2312" w:eastAsia="仿宋_GB2312"/>
          <w:color w:val="auto"/>
          <w:sz w:val="32"/>
          <w:szCs w:val="32"/>
        </w:rPr>
      </w:pPr>
      <w:r>
        <w:rPr>
          <w:rFonts w:ascii="仿宋_GB2312" w:eastAsia="仿宋_GB2312"/>
          <w:color w:val="auto"/>
          <w:sz w:val="32"/>
          <w:szCs w:val="32"/>
        </w:rPr>
        <w:t>1</w:t>
      </w:r>
      <w:r>
        <w:rPr>
          <w:rFonts w:hint="eastAsia" w:ascii="仿宋_GB2312" w:eastAsia="仿宋_GB2312"/>
          <w:color w:val="auto"/>
          <w:sz w:val="32"/>
          <w:szCs w:val="32"/>
        </w:rPr>
        <w:t>）</w:t>
      </w:r>
      <w:r>
        <w:rPr>
          <w:rFonts w:ascii="仿宋_GB2312" w:eastAsia="仿宋_GB2312"/>
          <w:color w:val="auto"/>
          <w:sz w:val="32"/>
          <w:szCs w:val="32"/>
        </w:rPr>
        <w:t>2024</w:t>
      </w:r>
      <w:r>
        <w:rPr>
          <w:rFonts w:hint="eastAsia" w:ascii="仿宋_GB2312" w:eastAsia="仿宋_GB2312"/>
          <w:color w:val="auto"/>
          <w:sz w:val="32"/>
          <w:szCs w:val="32"/>
        </w:rPr>
        <w:t>年度拟发行债券应付本息情况</w:t>
      </w:r>
    </w:p>
    <w:p w14:paraId="058560EB">
      <w:pPr>
        <w:pStyle w:val="7"/>
        <w:spacing w:before="0" w:after="0" w:line="360" w:lineRule="auto"/>
        <w:ind w:firstLine="640"/>
        <w:jc w:val="both"/>
        <w:rPr>
          <w:rFonts w:hint="eastAsia" w:ascii="仿宋_GB2312" w:eastAsia="仿宋_GB2312"/>
          <w:color w:val="auto"/>
          <w:sz w:val="32"/>
          <w:szCs w:val="32"/>
        </w:rPr>
      </w:pPr>
      <w:r>
        <w:rPr>
          <w:rFonts w:hint="eastAsia" w:ascii="仿宋_GB2312" w:eastAsia="仿宋_GB2312"/>
          <w:color w:val="auto"/>
          <w:sz w:val="32"/>
          <w:szCs w:val="32"/>
        </w:rPr>
        <w:t>发行人拟发行债券募集资金用于花都区智能装备科创产业园配套基础设施建设项目，</w:t>
      </w:r>
      <w:r>
        <w:rPr>
          <w:rFonts w:ascii="仿宋_GB2312" w:eastAsia="仿宋_GB2312"/>
          <w:color w:val="auto"/>
          <w:sz w:val="32"/>
          <w:szCs w:val="32"/>
        </w:rPr>
        <w:t>2024</w:t>
      </w:r>
      <w:r>
        <w:rPr>
          <w:rFonts w:hint="eastAsia" w:ascii="仿宋_GB2312" w:eastAsia="仿宋_GB2312"/>
          <w:color w:val="auto"/>
          <w:sz w:val="32"/>
          <w:szCs w:val="32"/>
        </w:rPr>
        <w:t>年发行债券</w:t>
      </w:r>
      <w:r>
        <w:rPr>
          <w:rFonts w:ascii="仿宋_GB2312" w:eastAsia="仿宋_GB2312"/>
          <w:color w:val="auto"/>
          <w:sz w:val="32"/>
          <w:szCs w:val="32"/>
        </w:rPr>
        <w:t>21000.00</w:t>
      </w:r>
      <w:r>
        <w:rPr>
          <w:rFonts w:hint="eastAsia" w:ascii="仿宋_GB2312" w:eastAsia="仿宋_GB2312"/>
          <w:color w:val="auto"/>
          <w:sz w:val="32"/>
          <w:szCs w:val="32"/>
        </w:rPr>
        <w:t>万元，假定票面利率3.95%，期限15年，在债券存续期每半年支付债券利息，自发行之日起15年债券存续期应付本息合计</w:t>
      </w:r>
      <w:r>
        <w:rPr>
          <w:rFonts w:ascii="仿宋_GB2312" w:eastAsia="仿宋_GB2312"/>
          <w:color w:val="auto"/>
          <w:sz w:val="32"/>
          <w:szCs w:val="32"/>
        </w:rPr>
        <w:t>33442.50</w:t>
      </w:r>
      <w:r>
        <w:rPr>
          <w:rFonts w:hint="eastAsia" w:ascii="仿宋_GB2312" w:eastAsia="仿宋_GB2312"/>
          <w:color w:val="auto"/>
          <w:sz w:val="32"/>
          <w:szCs w:val="32"/>
        </w:rPr>
        <w:t>万元，详情如下表:</w:t>
      </w:r>
    </w:p>
    <w:p w14:paraId="68E3C2E7">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15</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2024</w:t>
      </w:r>
      <w:r>
        <w:rPr>
          <w:rFonts w:hint="eastAsia" w:ascii="仿宋_GB2312" w:hAnsi="Times New Roman" w:eastAsia="仿宋_GB2312" w:cs="Times New Roman"/>
          <w:color w:val="auto"/>
          <w:kern w:val="2"/>
          <w:sz w:val="32"/>
          <w:szCs w:val="32"/>
        </w:rPr>
        <w:t>年度拟发行债券应付本息估算表（单位：万元）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12"/>
        <w:gridCol w:w="2458"/>
        <w:gridCol w:w="2458"/>
        <w:gridCol w:w="2458"/>
        <w:gridCol w:w="1775"/>
        <w:gridCol w:w="1775"/>
        <w:gridCol w:w="2458"/>
      </w:tblGrid>
      <w:tr w14:paraId="4AB43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508" w:type="pct"/>
            <w:vAlign w:val="center"/>
          </w:tcPr>
          <w:p w14:paraId="0381CA6F">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年度</w:t>
            </w:r>
          </w:p>
        </w:tc>
        <w:tc>
          <w:tcPr>
            <w:tcW w:w="825" w:type="pct"/>
            <w:vAlign w:val="center"/>
          </w:tcPr>
          <w:p w14:paraId="253FAAB1">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期初本金余额</w:t>
            </w:r>
          </w:p>
        </w:tc>
        <w:tc>
          <w:tcPr>
            <w:tcW w:w="825" w:type="pct"/>
            <w:vAlign w:val="center"/>
          </w:tcPr>
          <w:p w14:paraId="1683FBC8">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本期偿还本金</w:t>
            </w:r>
          </w:p>
        </w:tc>
        <w:tc>
          <w:tcPr>
            <w:tcW w:w="825" w:type="pct"/>
            <w:vAlign w:val="center"/>
          </w:tcPr>
          <w:p w14:paraId="605ED2F7">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期末本金余额</w:t>
            </w:r>
          </w:p>
        </w:tc>
        <w:tc>
          <w:tcPr>
            <w:tcW w:w="596" w:type="pct"/>
            <w:vAlign w:val="center"/>
          </w:tcPr>
          <w:p w14:paraId="30D0271F">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融资利率</w:t>
            </w:r>
          </w:p>
        </w:tc>
        <w:tc>
          <w:tcPr>
            <w:tcW w:w="596" w:type="pct"/>
            <w:vAlign w:val="center"/>
          </w:tcPr>
          <w:p w14:paraId="3C799E7D">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应付利息</w:t>
            </w:r>
          </w:p>
        </w:tc>
        <w:tc>
          <w:tcPr>
            <w:tcW w:w="825" w:type="pct"/>
            <w:vAlign w:val="center"/>
          </w:tcPr>
          <w:p w14:paraId="20C1ED2A">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还本付息合计</w:t>
            </w:r>
          </w:p>
        </w:tc>
      </w:tr>
      <w:tr w14:paraId="6EA043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7DAB4EA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2024年</w:t>
            </w:r>
          </w:p>
        </w:tc>
        <w:tc>
          <w:tcPr>
            <w:tcW w:w="825" w:type="pct"/>
            <w:vAlign w:val="center"/>
          </w:tcPr>
          <w:p w14:paraId="2FF63DB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25" w:type="pct"/>
            <w:vAlign w:val="center"/>
          </w:tcPr>
          <w:p w14:paraId="14AB049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7FDB6CD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1FEB747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26DF8C30">
            <w:pPr>
              <w:pStyle w:val="7"/>
              <w:widowControl w:val="0"/>
              <w:adjustRightInd/>
              <w:snapToGrid/>
              <w:spacing w:before="0" w:after="0" w:line="240" w:lineRule="auto"/>
              <w:ind w:firstLine="0" w:firstLineChars="0"/>
              <w:jc w:val="center"/>
              <w:rPr>
                <w:rFonts w:hint="default" w:ascii="Times New Roman" w:hAnsi="Times New Roman" w:eastAsia="宋体" w:cs="Times New Roman"/>
                <w:color w:val="auto"/>
                <w:sz w:val="18"/>
                <w:szCs w:val="32"/>
                <w:lang w:val="en-US" w:eastAsia="zh-CN"/>
              </w:rPr>
            </w:pPr>
            <w:r>
              <w:rPr>
                <w:rFonts w:hint="eastAsia" w:ascii="Times New Roman" w:hAnsi="Times New Roman" w:eastAsia="宋体" w:cs="Times New Roman"/>
                <w:color w:val="auto"/>
                <w:sz w:val="18"/>
                <w:szCs w:val="32"/>
                <w:lang w:val="en-US" w:eastAsia="zh-CN"/>
              </w:rPr>
              <w:t>0.00</w:t>
            </w:r>
          </w:p>
        </w:tc>
        <w:tc>
          <w:tcPr>
            <w:tcW w:w="825" w:type="pct"/>
            <w:vAlign w:val="center"/>
          </w:tcPr>
          <w:p w14:paraId="6911E58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r>
      <w:tr w14:paraId="0EE58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5480B2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2025年</w:t>
            </w:r>
          </w:p>
        </w:tc>
        <w:tc>
          <w:tcPr>
            <w:tcW w:w="825" w:type="pct"/>
            <w:vAlign w:val="center"/>
          </w:tcPr>
          <w:p w14:paraId="07E0037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37F216E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5D6606A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2E1AAB0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502034B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7E94008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70E4E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72DE6B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2026年</w:t>
            </w:r>
          </w:p>
        </w:tc>
        <w:tc>
          <w:tcPr>
            <w:tcW w:w="825" w:type="pct"/>
            <w:vAlign w:val="center"/>
          </w:tcPr>
          <w:p w14:paraId="56F9B2C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44C7F7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45C3E0A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068D9B3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01886A3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695EB22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586D4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9AB724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2027年</w:t>
            </w:r>
          </w:p>
        </w:tc>
        <w:tc>
          <w:tcPr>
            <w:tcW w:w="825" w:type="pct"/>
            <w:vAlign w:val="center"/>
          </w:tcPr>
          <w:p w14:paraId="614C661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AF6293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60983C8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4B56280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434AAED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2321880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37F402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740161E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2028年</w:t>
            </w:r>
          </w:p>
        </w:tc>
        <w:tc>
          <w:tcPr>
            <w:tcW w:w="825" w:type="pct"/>
            <w:vAlign w:val="center"/>
          </w:tcPr>
          <w:p w14:paraId="74155C0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7278E15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2269D49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510DAD2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14B8742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034CE4D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652C9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271BF4C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2029年</w:t>
            </w:r>
          </w:p>
        </w:tc>
        <w:tc>
          <w:tcPr>
            <w:tcW w:w="825" w:type="pct"/>
            <w:vAlign w:val="center"/>
          </w:tcPr>
          <w:p w14:paraId="768B18C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5142DFB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0D8C48C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59D05B4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294A5EA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251D03E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21238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7AFE2E4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2030年</w:t>
            </w:r>
          </w:p>
        </w:tc>
        <w:tc>
          <w:tcPr>
            <w:tcW w:w="825" w:type="pct"/>
            <w:vAlign w:val="center"/>
          </w:tcPr>
          <w:p w14:paraId="0441C06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697EA6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3AC6651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68215FC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63650EA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36EF9B3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626A4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6B35441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2031年</w:t>
            </w:r>
          </w:p>
        </w:tc>
        <w:tc>
          <w:tcPr>
            <w:tcW w:w="825" w:type="pct"/>
            <w:vAlign w:val="center"/>
          </w:tcPr>
          <w:p w14:paraId="7583052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3E6A2D8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0A620F2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6EEB327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4FFBD20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0AB5257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39B24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21C57FC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2032年</w:t>
            </w:r>
          </w:p>
        </w:tc>
        <w:tc>
          <w:tcPr>
            <w:tcW w:w="825" w:type="pct"/>
            <w:vAlign w:val="center"/>
          </w:tcPr>
          <w:p w14:paraId="30C3FFE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6A3D68D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50EB8F6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77E8CB4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38CAC4A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55E7D3B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06F5B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075539E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2033年</w:t>
            </w:r>
          </w:p>
        </w:tc>
        <w:tc>
          <w:tcPr>
            <w:tcW w:w="825" w:type="pct"/>
            <w:vAlign w:val="center"/>
          </w:tcPr>
          <w:p w14:paraId="6B9BB79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FDF508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452062A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067612F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7AC337B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2E3D767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7E9336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C57A4B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2034年</w:t>
            </w:r>
          </w:p>
        </w:tc>
        <w:tc>
          <w:tcPr>
            <w:tcW w:w="825" w:type="pct"/>
            <w:vAlign w:val="center"/>
          </w:tcPr>
          <w:p w14:paraId="6957B1F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6453194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62FCF29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1CF336C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3988C19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4E7877A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589D4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70A96CD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2035年</w:t>
            </w:r>
          </w:p>
        </w:tc>
        <w:tc>
          <w:tcPr>
            <w:tcW w:w="825" w:type="pct"/>
            <w:vAlign w:val="center"/>
          </w:tcPr>
          <w:p w14:paraId="2EC0B04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31381EC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5100FFC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2E62109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03238F1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0635CA4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2816F4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2418E13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2036年</w:t>
            </w:r>
          </w:p>
        </w:tc>
        <w:tc>
          <w:tcPr>
            <w:tcW w:w="825" w:type="pct"/>
            <w:vAlign w:val="center"/>
          </w:tcPr>
          <w:p w14:paraId="69841C3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0C3A8CA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3D317D2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2E9B801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1E8D9EF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3A1739F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7F75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3A20E1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2037年</w:t>
            </w:r>
          </w:p>
        </w:tc>
        <w:tc>
          <w:tcPr>
            <w:tcW w:w="825" w:type="pct"/>
            <w:vAlign w:val="center"/>
          </w:tcPr>
          <w:p w14:paraId="4B03FEA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734CDBC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66993BD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1F995E0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59B911D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2BEEB3D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613386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65FFE85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2038年</w:t>
            </w:r>
          </w:p>
        </w:tc>
        <w:tc>
          <w:tcPr>
            <w:tcW w:w="825" w:type="pct"/>
            <w:vAlign w:val="center"/>
          </w:tcPr>
          <w:p w14:paraId="258042B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48C57C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571012F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596" w:type="pct"/>
            <w:vAlign w:val="center"/>
          </w:tcPr>
          <w:p w14:paraId="1EB50F0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230E9CA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029D222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1F274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10C0E09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2039年</w:t>
            </w:r>
          </w:p>
        </w:tc>
        <w:tc>
          <w:tcPr>
            <w:tcW w:w="825" w:type="pct"/>
            <w:vAlign w:val="center"/>
          </w:tcPr>
          <w:p w14:paraId="5275461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780DD70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5FE69F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596" w:type="pct"/>
            <w:vAlign w:val="center"/>
          </w:tcPr>
          <w:p w14:paraId="4C3383C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96" w:type="pct"/>
            <w:vAlign w:val="center"/>
          </w:tcPr>
          <w:p w14:paraId="6F53C78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25" w:type="pct"/>
            <w:vAlign w:val="center"/>
          </w:tcPr>
          <w:p w14:paraId="7C1A7C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21829.50</w:t>
            </w:r>
          </w:p>
        </w:tc>
      </w:tr>
      <w:tr w14:paraId="17A04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8" w:type="pct"/>
            <w:vAlign w:val="center"/>
          </w:tcPr>
          <w:p w14:paraId="400691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合计</w:t>
            </w:r>
          </w:p>
        </w:tc>
        <w:tc>
          <w:tcPr>
            <w:tcW w:w="825" w:type="pct"/>
            <w:vAlign w:val="center"/>
          </w:tcPr>
          <w:p w14:paraId="5708A23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25" w:type="pct"/>
            <w:vAlign w:val="center"/>
          </w:tcPr>
          <w:p w14:paraId="01449D4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25" w:type="pct"/>
            <w:vAlign w:val="center"/>
          </w:tcPr>
          <w:p w14:paraId="4051AF1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596" w:type="pct"/>
            <w:vAlign w:val="center"/>
          </w:tcPr>
          <w:p w14:paraId="18B5DA9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596" w:type="pct"/>
            <w:vAlign w:val="center"/>
          </w:tcPr>
          <w:p w14:paraId="138FE01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12442.50</w:t>
            </w:r>
          </w:p>
        </w:tc>
        <w:tc>
          <w:tcPr>
            <w:tcW w:w="825" w:type="pct"/>
            <w:vAlign w:val="center"/>
          </w:tcPr>
          <w:p w14:paraId="1194E19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33442.50</w:t>
            </w:r>
          </w:p>
        </w:tc>
      </w:tr>
    </w:tbl>
    <w:p w14:paraId="04B90637">
      <w:pPr>
        <w:pStyle w:val="7"/>
        <w:spacing w:before="0" w:after="0" w:line="360" w:lineRule="auto"/>
        <w:ind w:firstLine="0" w:firstLineChars="0"/>
        <w:rPr>
          <w:rFonts w:hint="eastAsia" w:ascii="仿宋_GB2312" w:eastAsia="仿宋_GB2312"/>
          <w:color w:val="auto"/>
          <w:sz w:val="32"/>
          <w:szCs w:val="32"/>
        </w:rPr>
      </w:pPr>
    </w:p>
    <w:p w14:paraId="49302DD8">
      <w:pPr>
        <w:pStyle w:val="7"/>
        <w:spacing w:before="0" w:after="0" w:line="360" w:lineRule="auto"/>
        <w:ind w:firstLine="640"/>
        <w:rPr>
          <w:rFonts w:ascii="仿宋_GB2312" w:hAnsi="Times New Roman" w:eastAsia="仿宋_GB2312" w:cs="Times New Roman"/>
          <w:color w:val="auto"/>
          <w:kern w:val="2"/>
          <w:sz w:val="32"/>
          <w:szCs w:val="32"/>
        </w:rPr>
      </w:pPr>
      <w:r>
        <w:rPr>
          <w:rFonts w:hint="eastAsia" w:ascii="仿宋_GB2312" w:eastAsia="仿宋_GB2312"/>
          <w:color w:val="auto"/>
          <w:sz w:val="32"/>
          <w:szCs w:val="32"/>
        </w:rPr>
        <w:t>2）整体</w:t>
      </w:r>
      <w:r>
        <w:rPr>
          <w:rFonts w:hint="eastAsia" w:ascii="仿宋_GB2312" w:hAnsi="Times New Roman" w:eastAsia="仿宋_GB2312" w:cs="Times New Roman"/>
          <w:color w:val="auto"/>
          <w:kern w:val="2"/>
          <w:sz w:val="32"/>
          <w:szCs w:val="32"/>
        </w:rPr>
        <w:t>还本付息情况</w:t>
      </w:r>
    </w:p>
    <w:p w14:paraId="585B8458">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16</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募投项目还本付息情况表（单位：万元）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2407"/>
        <w:gridCol w:w="2407"/>
        <w:gridCol w:w="2407"/>
        <w:gridCol w:w="2046"/>
        <w:gridCol w:w="1737"/>
        <w:gridCol w:w="2407"/>
      </w:tblGrid>
      <w:tr w14:paraId="23DF2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498" w:type="pct"/>
            <w:vAlign w:val="center"/>
          </w:tcPr>
          <w:p w14:paraId="550B2E45">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年度</w:t>
            </w:r>
          </w:p>
        </w:tc>
        <w:tc>
          <w:tcPr>
            <w:tcW w:w="808" w:type="pct"/>
            <w:vAlign w:val="center"/>
          </w:tcPr>
          <w:p w14:paraId="28FAEF99">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期初本金余额</w:t>
            </w:r>
          </w:p>
        </w:tc>
        <w:tc>
          <w:tcPr>
            <w:tcW w:w="808" w:type="pct"/>
            <w:vAlign w:val="center"/>
          </w:tcPr>
          <w:p w14:paraId="3DC694F4">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本期偿还本金</w:t>
            </w:r>
          </w:p>
        </w:tc>
        <w:tc>
          <w:tcPr>
            <w:tcW w:w="808" w:type="pct"/>
            <w:vAlign w:val="center"/>
          </w:tcPr>
          <w:p w14:paraId="064D1C5A">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期末本金余额</w:t>
            </w:r>
          </w:p>
        </w:tc>
        <w:tc>
          <w:tcPr>
            <w:tcW w:w="687" w:type="pct"/>
            <w:vAlign w:val="center"/>
          </w:tcPr>
          <w:p w14:paraId="574555A7">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融资利率</w:t>
            </w:r>
          </w:p>
        </w:tc>
        <w:tc>
          <w:tcPr>
            <w:tcW w:w="583" w:type="pct"/>
            <w:vAlign w:val="center"/>
          </w:tcPr>
          <w:p w14:paraId="19F3C0E9">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应付利息</w:t>
            </w:r>
          </w:p>
        </w:tc>
        <w:tc>
          <w:tcPr>
            <w:tcW w:w="808" w:type="pct"/>
            <w:vAlign w:val="center"/>
          </w:tcPr>
          <w:p w14:paraId="373C6AEF">
            <w:pPr>
              <w:pStyle w:val="7"/>
              <w:widowControl w:val="0"/>
              <w:adjustRightInd/>
              <w:snapToGrid/>
              <w:spacing w:before="0" w:after="0" w:line="240" w:lineRule="auto"/>
              <w:ind w:firstLine="0" w:firstLineChars="0"/>
              <w:jc w:val="center"/>
              <w:rPr>
                <w:rFonts w:hint="eastAsia" w:ascii="Times New Roman" w:hAnsi="Times New Roman" w:eastAsia="宋体" w:cs="Times New Roman"/>
                <w:b/>
                <w:color w:val="auto"/>
                <w:sz w:val="18"/>
                <w:szCs w:val="32"/>
              </w:rPr>
            </w:pPr>
            <w:r>
              <w:rPr>
                <w:rFonts w:hint="eastAsia" w:ascii="Times New Roman" w:hAnsi="Times New Roman" w:eastAsia="宋体" w:cs="Times New Roman"/>
                <w:b/>
                <w:color w:val="auto"/>
                <w:sz w:val="18"/>
                <w:szCs w:val="32"/>
              </w:rPr>
              <w:t>还本付息合计</w:t>
            </w:r>
          </w:p>
        </w:tc>
      </w:tr>
      <w:tr w14:paraId="7BE42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42E1118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2024年</w:t>
            </w:r>
          </w:p>
        </w:tc>
        <w:tc>
          <w:tcPr>
            <w:tcW w:w="808" w:type="pct"/>
            <w:vAlign w:val="center"/>
          </w:tcPr>
          <w:p w14:paraId="4F69DCE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2B4B7B1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09BE8CB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687" w:type="pct"/>
            <w:vAlign w:val="center"/>
          </w:tcPr>
          <w:p w14:paraId="6E28C3A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83" w:type="pct"/>
            <w:vAlign w:val="center"/>
          </w:tcPr>
          <w:p w14:paraId="2CE7F8C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5A409D6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r>
      <w:tr w14:paraId="2E0EB6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7AB8307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2025年</w:t>
            </w:r>
          </w:p>
        </w:tc>
        <w:tc>
          <w:tcPr>
            <w:tcW w:w="808" w:type="pct"/>
            <w:vAlign w:val="center"/>
          </w:tcPr>
          <w:p w14:paraId="07292C5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08" w:type="pct"/>
            <w:vAlign w:val="center"/>
          </w:tcPr>
          <w:p w14:paraId="5197B67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4440B6E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41000.00</w:t>
            </w:r>
          </w:p>
        </w:tc>
        <w:tc>
          <w:tcPr>
            <w:tcW w:w="687" w:type="pct"/>
            <w:vAlign w:val="center"/>
          </w:tcPr>
          <w:p w14:paraId="01B6499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4931CEC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1189.50</w:t>
            </w:r>
          </w:p>
        </w:tc>
        <w:tc>
          <w:tcPr>
            <w:tcW w:w="808" w:type="pct"/>
            <w:vAlign w:val="center"/>
          </w:tcPr>
          <w:p w14:paraId="16D615C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1189.50</w:t>
            </w:r>
          </w:p>
        </w:tc>
      </w:tr>
      <w:tr w14:paraId="20FB8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056A2DF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2026年</w:t>
            </w:r>
          </w:p>
        </w:tc>
        <w:tc>
          <w:tcPr>
            <w:tcW w:w="808" w:type="pct"/>
            <w:vAlign w:val="center"/>
          </w:tcPr>
          <w:p w14:paraId="55724D7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41000.00</w:t>
            </w:r>
          </w:p>
        </w:tc>
        <w:tc>
          <w:tcPr>
            <w:tcW w:w="808" w:type="pct"/>
            <w:vAlign w:val="center"/>
          </w:tcPr>
          <w:p w14:paraId="1D13E92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1FE3C20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7F983A7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0E0908C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1891.50</w:t>
            </w:r>
          </w:p>
        </w:tc>
        <w:tc>
          <w:tcPr>
            <w:tcW w:w="808" w:type="pct"/>
            <w:vAlign w:val="center"/>
          </w:tcPr>
          <w:p w14:paraId="0BA3AB9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1891.50</w:t>
            </w:r>
          </w:p>
        </w:tc>
      </w:tr>
      <w:tr w14:paraId="76C0A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6D28D1B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2027年</w:t>
            </w:r>
          </w:p>
        </w:tc>
        <w:tc>
          <w:tcPr>
            <w:tcW w:w="808" w:type="pct"/>
            <w:vAlign w:val="center"/>
          </w:tcPr>
          <w:p w14:paraId="5203449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626AEAF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3AC4A93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259DB37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2DFAFDC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10E6867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320389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576EAC0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2028年</w:t>
            </w:r>
          </w:p>
        </w:tc>
        <w:tc>
          <w:tcPr>
            <w:tcW w:w="808" w:type="pct"/>
            <w:vAlign w:val="center"/>
          </w:tcPr>
          <w:p w14:paraId="4BC94D9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04B2B90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57702DB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05966A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768059A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34FB915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46F49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4CB543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2029年</w:t>
            </w:r>
          </w:p>
        </w:tc>
        <w:tc>
          <w:tcPr>
            <w:tcW w:w="808" w:type="pct"/>
            <w:vAlign w:val="center"/>
          </w:tcPr>
          <w:p w14:paraId="60EB6AE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42700A5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5F4A565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41DF4F8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2EFAB48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62ED5C2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67AB1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3198DEB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2030年</w:t>
            </w:r>
          </w:p>
        </w:tc>
        <w:tc>
          <w:tcPr>
            <w:tcW w:w="808" w:type="pct"/>
            <w:vAlign w:val="center"/>
          </w:tcPr>
          <w:p w14:paraId="50A45F0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4CDD8B5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6A38857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15650AC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605B91B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33F20B5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61AE48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29E8E92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2031年</w:t>
            </w:r>
          </w:p>
        </w:tc>
        <w:tc>
          <w:tcPr>
            <w:tcW w:w="808" w:type="pct"/>
            <w:vAlign w:val="center"/>
          </w:tcPr>
          <w:p w14:paraId="67459D4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74B0001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1F0054E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6AC55CE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308A255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3EC68A2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5C6C84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7617339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2032年</w:t>
            </w:r>
          </w:p>
        </w:tc>
        <w:tc>
          <w:tcPr>
            <w:tcW w:w="808" w:type="pct"/>
            <w:vAlign w:val="center"/>
          </w:tcPr>
          <w:p w14:paraId="73230E5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22EAA57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1EDB333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5A492637">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434BE64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51CDBA2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7FCEFA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4A14A9E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2033年</w:t>
            </w:r>
          </w:p>
        </w:tc>
        <w:tc>
          <w:tcPr>
            <w:tcW w:w="808" w:type="pct"/>
            <w:vAlign w:val="center"/>
          </w:tcPr>
          <w:p w14:paraId="15C7795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208781D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098D9AA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1873E32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30DEE04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714F071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62A2BC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4259E8A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2034年</w:t>
            </w:r>
          </w:p>
        </w:tc>
        <w:tc>
          <w:tcPr>
            <w:tcW w:w="808" w:type="pct"/>
            <w:vAlign w:val="center"/>
          </w:tcPr>
          <w:p w14:paraId="0E403FD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51DDF2C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4AB75D5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687" w:type="pct"/>
            <w:vAlign w:val="center"/>
          </w:tcPr>
          <w:p w14:paraId="77848A0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32B0FE7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c>
          <w:tcPr>
            <w:tcW w:w="808" w:type="pct"/>
            <w:vAlign w:val="center"/>
          </w:tcPr>
          <w:p w14:paraId="4B1E40A4">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2233.50</w:t>
            </w:r>
          </w:p>
        </w:tc>
      </w:tr>
      <w:tr w14:paraId="5021F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182B394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2035年</w:t>
            </w:r>
          </w:p>
        </w:tc>
        <w:tc>
          <w:tcPr>
            <w:tcW w:w="808" w:type="pct"/>
            <w:vAlign w:val="center"/>
          </w:tcPr>
          <w:p w14:paraId="4D41ACB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6B8ACFD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20000.00</w:t>
            </w:r>
          </w:p>
        </w:tc>
        <w:tc>
          <w:tcPr>
            <w:tcW w:w="808" w:type="pct"/>
            <w:vAlign w:val="center"/>
          </w:tcPr>
          <w:p w14:paraId="4754B7F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40000.00</w:t>
            </w:r>
          </w:p>
        </w:tc>
        <w:tc>
          <w:tcPr>
            <w:tcW w:w="687" w:type="pct"/>
            <w:vAlign w:val="center"/>
          </w:tcPr>
          <w:p w14:paraId="1822233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70AE06C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1873.50</w:t>
            </w:r>
          </w:p>
        </w:tc>
        <w:tc>
          <w:tcPr>
            <w:tcW w:w="808" w:type="pct"/>
            <w:vAlign w:val="center"/>
          </w:tcPr>
          <w:p w14:paraId="5F475F5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21873.50</w:t>
            </w:r>
          </w:p>
        </w:tc>
      </w:tr>
      <w:tr w14:paraId="786C6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41ED3D0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2036年</w:t>
            </w:r>
          </w:p>
        </w:tc>
        <w:tc>
          <w:tcPr>
            <w:tcW w:w="808" w:type="pct"/>
            <w:vAlign w:val="center"/>
          </w:tcPr>
          <w:p w14:paraId="454B80A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40000.00</w:t>
            </w:r>
          </w:p>
        </w:tc>
        <w:tc>
          <w:tcPr>
            <w:tcW w:w="808" w:type="pct"/>
            <w:vAlign w:val="center"/>
          </w:tcPr>
          <w:p w14:paraId="7C9430B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19000.00</w:t>
            </w:r>
          </w:p>
        </w:tc>
        <w:tc>
          <w:tcPr>
            <w:tcW w:w="808" w:type="pct"/>
            <w:vAlign w:val="center"/>
          </w:tcPr>
          <w:p w14:paraId="5C1E658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687" w:type="pct"/>
            <w:vAlign w:val="center"/>
          </w:tcPr>
          <w:p w14:paraId="1528CB2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3.95%/3.6%</w:t>
            </w:r>
          </w:p>
        </w:tc>
        <w:tc>
          <w:tcPr>
            <w:tcW w:w="583" w:type="pct"/>
            <w:vAlign w:val="center"/>
          </w:tcPr>
          <w:p w14:paraId="5907317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1171.50</w:t>
            </w:r>
          </w:p>
        </w:tc>
        <w:tc>
          <w:tcPr>
            <w:tcW w:w="808" w:type="pct"/>
            <w:vAlign w:val="center"/>
          </w:tcPr>
          <w:p w14:paraId="0402BF2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20171.50</w:t>
            </w:r>
          </w:p>
        </w:tc>
      </w:tr>
      <w:tr w14:paraId="18C628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710DD98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2037年</w:t>
            </w:r>
          </w:p>
        </w:tc>
        <w:tc>
          <w:tcPr>
            <w:tcW w:w="808" w:type="pct"/>
            <w:vAlign w:val="center"/>
          </w:tcPr>
          <w:p w14:paraId="3B5FA25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08" w:type="pct"/>
            <w:vAlign w:val="center"/>
          </w:tcPr>
          <w:p w14:paraId="5EE4567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78D54800">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687" w:type="pct"/>
            <w:vAlign w:val="center"/>
          </w:tcPr>
          <w:p w14:paraId="29381A1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83" w:type="pct"/>
            <w:vAlign w:val="center"/>
          </w:tcPr>
          <w:p w14:paraId="684EBCF3">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08" w:type="pct"/>
            <w:vAlign w:val="center"/>
          </w:tcPr>
          <w:p w14:paraId="2FB39E21">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3DB5E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050833F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2038年</w:t>
            </w:r>
          </w:p>
        </w:tc>
        <w:tc>
          <w:tcPr>
            <w:tcW w:w="808" w:type="pct"/>
            <w:vAlign w:val="center"/>
          </w:tcPr>
          <w:p w14:paraId="26BF121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08" w:type="pct"/>
            <w:vAlign w:val="center"/>
          </w:tcPr>
          <w:p w14:paraId="0B265B3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808" w:type="pct"/>
            <w:vAlign w:val="center"/>
          </w:tcPr>
          <w:p w14:paraId="5985484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687" w:type="pct"/>
            <w:vAlign w:val="center"/>
          </w:tcPr>
          <w:p w14:paraId="6932D80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83" w:type="pct"/>
            <w:vAlign w:val="center"/>
          </w:tcPr>
          <w:p w14:paraId="5E97927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08" w:type="pct"/>
            <w:vAlign w:val="center"/>
          </w:tcPr>
          <w:p w14:paraId="77DB937B">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r>
      <w:tr w14:paraId="768D34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0567E55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2039年</w:t>
            </w:r>
          </w:p>
        </w:tc>
        <w:tc>
          <w:tcPr>
            <w:tcW w:w="808" w:type="pct"/>
            <w:vAlign w:val="center"/>
          </w:tcPr>
          <w:p w14:paraId="7DD707E2">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08" w:type="pct"/>
            <w:vAlign w:val="center"/>
          </w:tcPr>
          <w:p w14:paraId="3D5666E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21000.00</w:t>
            </w:r>
          </w:p>
        </w:tc>
        <w:tc>
          <w:tcPr>
            <w:tcW w:w="808" w:type="pct"/>
            <w:vAlign w:val="center"/>
          </w:tcPr>
          <w:p w14:paraId="36B6AB39">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0.00</w:t>
            </w:r>
          </w:p>
        </w:tc>
        <w:tc>
          <w:tcPr>
            <w:tcW w:w="687" w:type="pct"/>
            <w:vAlign w:val="center"/>
          </w:tcPr>
          <w:p w14:paraId="18D3747D">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3.95%</w:t>
            </w:r>
          </w:p>
        </w:tc>
        <w:tc>
          <w:tcPr>
            <w:tcW w:w="583" w:type="pct"/>
            <w:vAlign w:val="center"/>
          </w:tcPr>
          <w:p w14:paraId="03289D88">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829.50</w:t>
            </w:r>
          </w:p>
        </w:tc>
        <w:tc>
          <w:tcPr>
            <w:tcW w:w="808" w:type="pct"/>
            <w:vAlign w:val="center"/>
          </w:tcPr>
          <w:p w14:paraId="48300DC6">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21829.50</w:t>
            </w:r>
          </w:p>
        </w:tc>
      </w:tr>
      <w:tr w14:paraId="6825D1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pct"/>
            <w:vAlign w:val="center"/>
          </w:tcPr>
          <w:p w14:paraId="222705D5">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合计</w:t>
            </w:r>
          </w:p>
        </w:tc>
        <w:tc>
          <w:tcPr>
            <w:tcW w:w="808" w:type="pct"/>
            <w:vAlign w:val="center"/>
          </w:tcPr>
          <w:p w14:paraId="4E177DCA">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808" w:type="pct"/>
            <w:vAlign w:val="center"/>
          </w:tcPr>
          <w:p w14:paraId="76419E2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60000.00</w:t>
            </w:r>
          </w:p>
        </w:tc>
        <w:tc>
          <w:tcPr>
            <w:tcW w:w="808" w:type="pct"/>
            <w:vAlign w:val="center"/>
          </w:tcPr>
          <w:p w14:paraId="4E5DFE7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687" w:type="pct"/>
            <w:vAlign w:val="center"/>
          </w:tcPr>
          <w:p w14:paraId="06F8C8AC">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p>
        </w:tc>
        <w:tc>
          <w:tcPr>
            <w:tcW w:w="583" w:type="pct"/>
            <w:vAlign w:val="center"/>
          </w:tcPr>
          <w:p w14:paraId="113717FF">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26482.50</w:t>
            </w:r>
          </w:p>
        </w:tc>
        <w:tc>
          <w:tcPr>
            <w:tcW w:w="808" w:type="pct"/>
            <w:vAlign w:val="center"/>
          </w:tcPr>
          <w:p w14:paraId="09A05D3E">
            <w:pPr>
              <w:pStyle w:val="7"/>
              <w:widowControl w:val="0"/>
              <w:adjustRightInd/>
              <w:snapToGrid/>
              <w:spacing w:before="0" w:after="0" w:line="240" w:lineRule="auto"/>
              <w:ind w:firstLine="0" w:firstLineChars="0"/>
              <w:jc w:val="center"/>
              <w:rPr>
                <w:rFonts w:hint="eastAsia" w:ascii="Times New Roman" w:hAnsi="Times New Roman" w:eastAsia="宋体" w:cs="Times New Roman"/>
                <w:color w:val="auto"/>
                <w:sz w:val="18"/>
                <w:szCs w:val="32"/>
              </w:rPr>
            </w:pPr>
            <w:r>
              <w:rPr>
                <w:rFonts w:hint="eastAsia" w:ascii="Times New Roman" w:hAnsi="Times New Roman" w:eastAsia="宋体" w:cs="Times New Roman"/>
                <w:color w:val="auto"/>
                <w:sz w:val="18"/>
                <w:szCs w:val="32"/>
              </w:rPr>
              <w:t>86482.50</w:t>
            </w:r>
          </w:p>
        </w:tc>
      </w:tr>
    </w:tbl>
    <w:p w14:paraId="49F10BBF">
      <w:pPr>
        <w:pStyle w:val="7"/>
        <w:spacing w:before="0" w:after="0" w:line="360" w:lineRule="auto"/>
        <w:ind w:firstLine="0" w:firstLineChars="0"/>
        <w:rPr>
          <w:rFonts w:hint="eastAsia" w:ascii="仿宋_GB2312" w:eastAsia="仿宋_GB2312"/>
          <w:color w:val="auto"/>
          <w:sz w:val="32"/>
          <w:szCs w:val="32"/>
        </w:rPr>
      </w:pPr>
    </w:p>
    <w:p w14:paraId="3F5C67D1">
      <w:pPr>
        <w:pStyle w:val="7"/>
        <w:spacing w:before="0" w:after="0" w:line="360" w:lineRule="auto"/>
        <w:ind w:firstLine="640"/>
        <w:rPr>
          <w:rFonts w:hint="eastAsia" w:ascii="仿宋_GB2312" w:eastAsia="仿宋_GB2312"/>
          <w:color w:val="auto"/>
          <w:sz w:val="32"/>
          <w:szCs w:val="32"/>
        </w:rPr>
      </w:pPr>
      <w:r>
        <w:rPr>
          <w:rFonts w:hint="eastAsia" w:ascii="仿宋_GB2312" w:eastAsia="仿宋_GB2312"/>
          <w:color w:val="auto"/>
          <w:sz w:val="32"/>
          <w:szCs w:val="32"/>
        </w:rPr>
        <w:t>经测算，融资本金</w:t>
      </w:r>
      <w:r>
        <w:rPr>
          <w:rFonts w:ascii="仿宋_GB2312" w:hAnsi="Calibri" w:eastAsia="仿宋_GB2312"/>
          <w:color w:val="auto"/>
          <w:sz w:val="32"/>
          <w:szCs w:val="32"/>
          <w:lang w:val="en-US"/>
        </w:rPr>
        <w:t>60000.00</w:t>
      </w:r>
      <w:r>
        <w:rPr>
          <w:rFonts w:hint="eastAsia" w:ascii="仿宋_GB2312" w:eastAsia="仿宋_GB2312"/>
          <w:color w:val="auto"/>
          <w:sz w:val="32"/>
          <w:szCs w:val="32"/>
        </w:rPr>
        <w:t>万元加上融资利息</w:t>
      </w:r>
      <w:r>
        <w:rPr>
          <w:rFonts w:ascii="仿宋_GB2312" w:eastAsia="仿宋_GB2312"/>
          <w:color w:val="auto"/>
          <w:sz w:val="32"/>
          <w:szCs w:val="32"/>
        </w:rPr>
        <w:t>26482.50</w:t>
      </w:r>
      <w:r>
        <w:rPr>
          <w:rFonts w:hint="eastAsia" w:ascii="仿宋_GB2312" w:eastAsia="仿宋_GB2312"/>
          <w:color w:val="auto"/>
          <w:sz w:val="32"/>
          <w:szCs w:val="32"/>
        </w:rPr>
        <w:t>万元后，融资本息合计</w:t>
      </w:r>
      <w:r>
        <w:rPr>
          <w:rFonts w:ascii="仿宋_GB2312" w:hAnsi="Calibri" w:eastAsia="仿宋_GB2312"/>
          <w:color w:val="auto"/>
          <w:sz w:val="32"/>
          <w:szCs w:val="32"/>
          <w:lang w:val="en-US"/>
        </w:rPr>
        <w:t>86482.50</w:t>
      </w:r>
      <w:r>
        <w:rPr>
          <w:rFonts w:hint="eastAsia" w:ascii="仿宋_GB2312" w:eastAsia="仿宋_GB2312"/>
          <w:color w:val="auto"/>
          <w:sz w:val="32"/>
          <w:szCs w:val="32"/>
        </w:rPr>
        <w:t>万元。</w:t>
      </w:r>
    </w:p>
    <w:p w14:paraId="57079710">
      <w:pPr>
        <w:pStyle w:val="7"/>
        <w:spacing w:before="0" w:after="0" w:line="360" w:lineRule="auto"/>
        <w:ind w:firstLine="640"/>
        <w:rPr>
          <w:rFonts w:eastAsia="仿宋_GB2312" w:asciiTheme="minorHAnsi" w:hAnsiTheme="minorHAnsi"/>
          <w:color w:val="auto"/>
          <w:sz w:val="32"/>
          <w:szCs w:val="32"/>
          <w:lang w:val="en-US"/>
        </w:rPr>
      </w:pPr>
      <w:r>
        <w:rPr>
          <w:rFonts w:hint="eastAsia" w:ascii="仿宋_GB2312" w:eastAsia="仿宋_GB2312"/>
          <w:color w:val="auto"/>
          <w:sz w:val="32"/>
          <w:szCs w:val="32"/>
        </w:rPr>
        <w:t>（</w:t>
      </w:r>
      <w:r>
        <w:rPr>
          <w:rFonts w:ascii="仿宋_GB2312" w:eastAsia="仿宋_GB2312"/>
          <w:color w:val="auto"/>
          <w:sz w:val="32"/>
          <w:szCs w:val="32"/>
        </w:rPr>
        <w:t>3</w:t>
      </w:r>
      <w:r>
        <w:rPr>
          <w:rFonts w:hint="eastAsia" w:ascii="仿宋_GB2312" w:eastAsia="仿宋_GB2312"/>
          <w:color w:val="auto"/>
          <w:sz w:val="32"/>
          <w:szCs w:val="32"/>
        </w:rPr>
        <w:t>）运营结余测算</w:t>
      </w:r>
    </w:p>
    <w:p w14:paraId="593B2E5B">
      <w:pPr>
        <w:pStyle w:val="7"/>
        <w:spacing w:before="0" w:after="0" w:line="360" w:lineRule="auto"/>
        <w:ind w:firstLine="640"/>
        <w:rPr>
          <w:rFonts w:ascii="仿宋_GB2312" w:hAnsi="Times New Roman" w:eastAsia="仿宋_GB2312" w:cs="Times New Roman"/>
          <w:color w:val="auto"/>
          <w:kern w:val="2"/>
          <w:sz w:val="32"/>
          <w:szCs w:val="32"/>
        </w:rPr>
      </w:pPr>
      <w:r>
        <w:rPr>
          <w:rFonts w:hint="eastAsia" w:ascii="仿宋_GB2312" w:eastAsia="仿宋_GB2312"/>
          <w:color w:val="auto"/>
          <w:sz w:val="32"/>
          <w:szCs w:val="32"/>
        </w:rPr>
        <w:t>按计划本项目</w:t>
      </w:r>
      <w:r>
        <w:rPr>
          <w:rFonts w:ascii="仿宋_GB2312" w:eastAsia="仿宋_GB2312"/>
          <w:color w:val="auto"/>
          <w:sz w:val="32"/>
          <w:szCs w:val="32"/>
        </w:rPr>
        <w:t>2027</w:t>
      </w:r>
      <w:r>
        <w:rPr>
          <w:rFonts w:hint="eastAsia" w:ascii="仿宋_GB2312" w:eastAsia="仿宋_GB2312"/>
          <w:color w:val="auto"/>
          <w:sz w:val="32"/>
          <w:szCs w:val="32"/>
        </w:rPr>
        <w:t>年投入使用，经测算，在债券存续期间预计累计运营结余为</w:t>
      </w:r>
      <w:r>
        <w:rPr>
          <w:rFonts w:ascii="仿宋_GB2312" w:hAnsi="Calibri" w:eastAsia="仿宋_GB2312"/>
          <w:color w:val="auto"/>
          <w:sz w:val="32"/>
          <w:szCs w:val="32"/>
          <w:lang w:val="en-US"/>
        </w:rPr>
        <w:t>139331.60</w:t>
      </w:r>
      <w:r>
        <w:rPr>
          <w:rFonts w:hint="eastAsia" w:ascii="仿宋_GB2312" w:eastAsia="仿宋_GB2312"/>
          <w:color w:val="auto"/>
          <w:sz w:val="32"/>
          <w:szCs w:val="32"/>
        </w:rPr>
        <w:t>万元。具体测算情况如下表:</w:t>
      </w:r>
    </w:p>
    <w:p w14:paraId="4E6E4854">
      <w:pPr>
        <w:adjustRightInd w:val="0"/>
        <w:snapToGrid w:val="0"/>
        <w:spacing w:before="156" w:beforeLines="50" w:after="156" w:line="240" w:lineRule="auto"/>
        <w:ind w:firstLine="0" w:firstLineChars="0"/>
        <w:jc w:val="center"/>
        <w:rPr>
          <w:rFonts w:ascii="仿宋_GB2312" w:hAnsi="Times New Roman" w:eastAsia="仿宋_GB2312" w:cs="Times New Roman"/>
          <w:color w:val="auto"/>
          <w:kern w:val="2"/>
          <w:sz w:val="32"/>
          <w:szCs w:val="32"/>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17</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运营结余测算情况表（单位：万元）</w:t>
      </w:r>
    </w:p>
    <w:tbl>
      <w:tblPr>
        <w:tblStyle w:val="20"/>
        <w:tblW w:w="0" w:type="auto"/>
        <w:tblCaption w:val="运营结余测算情况表"/>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0"/>
        <w:gridCol w:w="1899"/>
        <w:gridCol w:w="2137"/>
        <w:gridCol w:w="2138"/>
        <w:gridCol w:w="2137"/>
        <w:gridCol w:w="2138"/>
        <w:gridCol w:w="2551"/>
      </w:tblGrid>
      <w:tr w14:paraId="359E0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50" w:type="dxa"/>
            <w:vMerge w:val="restart"/>
            <w:vAlign w:val="center"/>
          </w:tcPr>
          <w:p w14:paraId="77D98E3C">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hint="eastAsia" w:ascii="Times New Roman" w:hAnsi="Times New Roman" w:eastAsia="宋体" w:cs="Times New Roman"/>
                <w:b/>
                <w:bCs/>
                <w:color w:val="auto"/>
                <w:sz w:val="18"/>
                <w:szCs w:val="18"/>
              </w:rPr>
              <w:t>年份</w:t>
            </w:r>
          </w:p>
        </w:tc>
        <w:tc>
          <w:tcPr>
            <w:tcW w:w="1899" w:type="dxa"/>
            <w:vMerge w:val="restart"/>
            <w:vAlign w:val="center"/>
          </w:tcPr>
          <w:p w14:paraId="70329E30">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hint="eastAsia" w:ascii="Times New Roman" w:hAnsi="Times New Roman" w:eastAsia="宋体" w:cs="Times New Roman"/>
                <w:b/>
                <w:bCs/>
                <w:color w:val="auto"/>
                <w:sz w:val="18"/>
                <w:szCs w:val="18"/>
              </w:rPr>
              <w:t>收入合计（A）</w:t>
            </w:r>
          </w:p>
        </w:tc>
        <w:tc>
          <w:tcPr>
            <w:tcW w:w="8550" w:type="dxa"/>
            <w:gridSpan w:val="4"/>
            <w:vAlign w:val="center"/>
          </w:tcPr>
          <w:p w14:paraId="60EB842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hint="eastAsia" w:ascii="Times New Roman" w:hAnsi="Times New Roman" w:eastAsia="宋体" w:cs="Times New Roman"/>
                <w:b/>
                <w:bCs/>
                <w:color w:val="auto"/>
                <w:sz w:val="18"/>
                <w:szCs w:val="18"/>
              </w:rPr>
              <w:t>运行支出合计（B）</w:t>
            </w:r>
          </w:p>
        </w:tc>
        <w:tc>
          <w:tcPr>
            <w:tcW w:w="2551" w:type="dxa"/>
            <w:vMerge w:val="restart"/>
            <w:vAlign w:val="center"/>
          </w:tcPr>
          <w:p w14:paraId="4639E1F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hint="eastAsia" w:ascii="Times New Roman" w:hAnsi="Times New Roman" w:eastAsia="宋体" w:cs="Times New Roman"/>
                <w:b/>
                <w:bCs/>
                <w:color w:val="auto"/>
                <w:sz w:val="18"/>
                <w:szCs w:val="18"/>
              </w:rPr>
              <w:t>结余（A-B）</w:t>
            </w:r>
          </w:p>
        </w:tc>
      </w:tr>
      <w:tr w14:paraId="5DEB6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Merge w:val="continue"/>
            <w:vAlign w:val="center"/>
          </w:tcPr>
          <w:p w14:paraId="0A3046FA">
            <w:pPr>
              <w:spacing w:line="240" w:lineRule="auto"/>
              <w:ind w:firstLine="0" w:firstLineChars="0"/>
              <w:jc w:val="center"/>
              <w:textAlignment w:val="center"/>
              <w:rPr>
                <w:rFonts w:ascii="Times New Roman" w:hAnsi="Times New Roman" w:eastAsia="宋体" w:cs="Times New Roman"/>
                <w:color w:val="auto"/>
                <w:sz w:val="18"/>
                <w:szCs w:val="18"/>
                <w:lang w:bidi="ar"/>
              </w:rPr>
            </w:pPr>
          </w:p>
        </w:tc>
        <w:tc>
          <w:tcPr>
            <w:tcW w:w="1899" w:type="dxa"/>
            <w:vMerge w:val="continue"/>
            <w:vAlign w:val="center"/>
          </w:tcPr>
          <w:p w14:paraId="791FABD9">
            <w:pPr>
              <w:spacing w:line="240" w:lineRule="auto"/>
              <w:ind w:firstLine="0" w:firstLineChars="0"/>
              <w:jc w:val="center"/>
              <w:textAlignment w:val="center"/>
              <w:rPr>
                <w:rFonts w:ascii="Times New Roman" w:hAnsi="Times New Roman" w:eastAsia="宋体" w:cs="Times New Roman"/>
                <w:color w:val="auto"/>
                <w:sz w:val="18"/>
                <w:szCs w:val="18"/>
                <w:lang w:bidi="ar"/>
              </w:rPr>
            </w:pPr>
          </w:p>
        </w:tc>
        <w:tc>
          <w:tcPr>
            <w:tcW w:w="2137" w:type="dxa"/>
            <w:vAlign w:val="center"/>
          </w:tcPr>
          <w:p w14:paraId="4F10AB8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b/>
                <w:bCs/>
                <w:color w:val="auto"/>
                <w:sz w:val="18"/>
                <w:szCs w:val="18"/>
              </w:rPr>
              <w:t>经营成本</w:t>
            </w:r>
          </w:p>
        </w:tc>
        <w:tc>
          <w:tcPr>
            <w:tcW w:w="2138" w:type="dxa"/>
            <w:vAlign w:val="center"/>
          </w:tcPr>
          <w:p w14:paraId="4D91321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b/>
                <w:bCs/>
                <w:color w:val="auto"/>
                <w:sz w:val="18"/>
                <w:szCs w:val="18"/>
              </w:rPr>
              <w:t>税金及附加</w:t>
            </w:r>
          </w:p>
        </w:tc>
        <w:tc>
          <w:tcPr>
            <w:tcW w:w="2137" w:type="dxa"/>
            <w:vAlign w:val="center"/>
          </w:tcPr>
          <w:p w14:paraId="563B39E0">
            <w:pPr>
              <w:spacing w:line="240" w:lineRule="auto"/>
              <w:ind w:firstLine="0" w:firstLineChars="0"/>
              <w:jc w:val="center"/>
              <w:textAlignment w:val="center"/>
              <w:rPr>
                <w:rFonts w:ascii="Times New Roman" w:hAnsi="Times New Roman" w:eastAsia="宋体" w:cs="Times New Roman"/>
                <w:b/>
                <w:bCs/>
                <w:color w:val="auto"/>
                <w:sz w:val="18"/>
                <w:szCs w:val="18"/>
              </w:rPr>
            </w:pPr>
            <w:r>
              <w:rPr>
                <w:rFonts w:ascii="Times New Roman" w:hAnsi="Times New Roman" w:eastAsia="宋体" w:cs="Times New Roman"/>
                <w:b/>
                <w:bCs/>
                <w:color w:val="auto"/>
                <w:sz w:val="18"/>
                <w:szCs w:val="18"/>
              </w:rPr>
              <w:t>所得税</w:t>
            </w:r>
          </w:p>
        </w:tc>
        <w:tc>
          <w:tcPr>
            <w:tcW w:w="2138" w:type="dxa"/>
            <w:vAlign w:val="center"/>
          </w:tcPr>
          <w:p w14:paraId="392835F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b/>
                <w:bCs/>
                <w:color w:val="auto"/>
                <w:sz w:val="18"/>
                <w:szCs w:val="18"/>
              </w:rPr>
              <w:t>小计</w:t>
            </w:r>
          </w:p>
        </w:tc>
        <w:tc>
          <w:tcPr>
            <w:tcW w:w="2551" w:type="dxa"/>
            <w:vMerge w:val="continue"/>
            <w:vAlign w:val="center"/>
          </w:tcPr>
          <w:p w14:paraId="56AA4A26">
            <w:pPr>
              <w:spacing w:line="240" w:lineRule="auto"/>
              <w:ind w:firstLine="0" w:firstLineChars="0"/>
              <w:jc w:val="center"/>
              <w:textAlignment w:val="center"/>
              <w:rPr>
                <w:rFonts w:ascii="Times New Roman" w:hAnsi="Times New Roman" w:eastAsia="宋体" w:cs="Times New Roman"/>
                <w:color w:val="auto"/>
                <w:sz w:val="18"/>
                <w:szCs w:val="18"/>
                <w:lang w:bidi="ar"/>
              </w:rPr>
            </w:pPr>
          </w:p>
        </w:tc>
      </w:tr>
      <w:tr w14:paraId="3E7F8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2AE8AF7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2027年</w:t>
            </w:r>
          </w:p>
        </w:tc>
        <w:tc>
          <w:tcPr>
            <w:tcW w:w="1899" w:type="dxa"/>
            <w:vAlign w:val="center"/>
          </w:tcPr>
          <w:p w14:paraId="3BA0B59C">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3671.89</w:t>
            </w:r>
          </w:p>
        </w:tc>
        <w:tc>
          <w:tcPr>
            <w:tcW w:w="2137" w:type="dxa"/>
            <w:vAlign w:val="center"/>
          </w:tcPr>
          <w:p w14:paraId="1F63F6C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247.25</w:t>
            </w:r>
          </w:p>
        </w:tc>
        <w:tc>
          <w:tcPr>
            <w:tcW w:w="2138" w:type="dxa"/>
            <w:vAlign w:val="center"/>
          </w:tcPr>
          <w:p w14:paraId="58FF8A6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99.95</w:t>
            </w:r>
          </w:p>
        </w:tc>
        <w:tc>
          <w:tcPr>
            <w:tcW w:w="2137" w:type="dxa"/>
          </w:tcPr>
          <w:p w14:paraId="5E6DAE9E">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30D0C06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347.20</w:t>
            </w:r>
          </w:p>
        </w:tc>
        <w:tc>
          <w:tcPr>
            <w:tcW w:w="2551" w:type="dxa"/>
            <w:vAlign w:val="center"/>
          </w:tcPr>
          <w:p w14:paraId="5371596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3324.69</w:t>
            </w:r>
          </w:p>
        </w:tc>
      </w:tr>
      <w:tr w14:paraId="456531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3985F7F4">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2028年</w:t>
            </w:r>
          </w:p>
        </w:tc>
        <w:tc>
          <w:tcPr>
            <w:tcW w:w="1899" w:type="dxa"/>
            <w:vAlign w:val="center"/>
          </w:tcPr>
          <w:p w14:paraId="63860E7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4252.68</w:t>
            </w:r>
          </w:p>
        </w:tc>
        <w:tc>
          <w:tcPr>
            <w:tcW w:w="2137" w:type="dxa"/>
            <w:vAlign w:val="center"/>
          </w:tcPr>
          <w:p w14:paraId="28E6390F">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253.45</w:t>
            </w:r>
          </w:p>
        </w:tc>
        <w:tc>
          <w:tcPr>
            <w:tcW w:w="2138" w:type="dxa"/>
            <w:vAlign w:val="center"/>
          </w:tcPr>
          <w:p w14:paraId="2327CD04">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115.66</w:t>
            </w:r>
          </w:p>
        </w:tc>
        <w:tc>
          <w:tcPr>
            <w:tcW w:w="2137" w:type="dxa"/>
          </w:tcPr>
          <w:p w14:paraId="48F0E0C1">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5BEB1ED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369.11</w:t>
            </w:r>
          </w:p>
        </w:tc>
        <w:tc>
          <w:tcPr>
            <w:tcW w:w="2551" w:type="dxa"/>
            <w:vAlign w:val="center"/>
          </w:tcPr>
          <w:p w14:paraId="660ABF99">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3883.57</w:t>
            </w:r>
          </w:p>
        </w:tc>
      </w:tr>
      <w:tr w14:paraId="07AD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F94DF38">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2029年</w:t>
            </w:r>
          </w:p>
        </w:tc>
        <w:tc>
          <w:tcPr>
            <w:tcW w:w="1899" w:type="dxa"/>
            <w:vAlign w:val="center"/>
          </w:tcPr>
          <w:p w14:paraId="0D4474F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4833.47</w:t>
            </w:r>
          </w:p>
        </w:tc>
        <w:tc>
          <w:tcPr>
            <w:tcW w:w="2137" w:type="dxa"/>
            <w:vAlign w:val="center"/>
          </w:tcPr>
          <w:p w14:paraId="1647C089">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259.79</w:t>
            </w:r>
          </w:p>
        </w:tc>
        <w:tc>
          <w:tcPr>
            <w:tcW w:w="2138" w:type="dxa"/>
            <w:vAlign w:val="center"/>
          </w:tcPr>
          <w:p w14:paraId="59B1FFF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131.35</w:t>
            </w:r>
          </w:p>
        </w:tc>
        <w:tc>
          <w:tcPr>
            <w:tcW w:w="2137" w:type="dxa"/>
          </w:tcPr>
          <w:p w14:paraId="1CB5896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7B65637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391.14</w:t>
            </w:r>
          </w:p>
        </w:tc>
        <w:tc>
          <w:tcPr>
            <w:tcW w:w="2551" w:type="dxa"/>
            <w:vAlign w:val="center"/>
          </w:tcPr>
          <w:p w14:paraId="7BA5189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4442.33</w:t>
            </w:r>
          </w:p>
        </w:tc>
      </w:tr>
      <w:tr w14:paraId="0138D9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3297BA2B">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2030年</w:t>
            </w:r>
          </w:p>
        </w:tc>
        <w:tc>
          <w:tcPr>
            <w:tcW w:w="1899" w:type="dxa"/>
            <w:vAlign w:val="center"/>
          </w:tcPr>
          <w:p w14:paraId="01CDCA4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5831.76</w:t>
            </w:r>
          </w:p>
        </w:tc>
        <w:tc>
          <w:tcPr>
            <w:tcW w:w="2137" w:type="dxa"/>
            <w:vAlign w:val="center"/>
          </w:tcPr>
          <w:p w14:paraId="4ED5EAA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266.29</w:t>
            </w:r>
          </w:p>
        </w:tc>
        <w:tc>
          <w:tcPr>
            <w:tcW w:w="2138" w:type="dxa"/>
            <w:vAlign w:val="center"/>
          </w:tcPr>
          <w:p w14:paraId="7F97A88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161.04</w:t>
            </w:r>
          </w:p>
        </w:tc>
        <w:tc>
          <w:tcPr>
            <w:tcW w:w="2137" w:type="dxa"/>
          </w:tcPr>
          <w:p w14:paraId="7828A1FF">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49DBAFF1">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427.33</w:t>
            </w:r>
          </w:p>
        </w:tc>
        <w:tc>
          <w:tcPr>
            <w:tcW w:w="2551" w:type="dxa"/>
            <w:vAlign w:val="center"/>
          </w:tcPr>
          <w:p w14:paraId="0BF9979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5404.43</w:t>
            </w:r>
          </w:p>
        </w:tc>
      </w:tr>
      <w:tr w14:paraId="5C96DA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31D369C2">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2031年</w:t>
            </w:r>
          </w:p>
        </w:tc>
        <w:tc>
          <w:tcPr>
            <w:tcW w:w="1899" w:type="dxa"/>
            <w:vAlign w:val="center"/>
          </w:tcPr>
          <w:p w14:paraId="168D13F1">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5831.76</w:t>
            </w:r>
          </w:p>
        </w:tc>
        <w:tc>
          <w:tcPr>
            <w:tcW w:w="2137" w:type="dxa"/>
            <w:vAlign w:val="center"/>
          </w:tcPr>
          <w:p w14:paraId="3D42BD9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272.95</w:t>
            </w:r>
          </w:p>
        </w:tc>
        <w:tc>
          <w:tcPr>
            <w:tcW w:w="2138" w:type="dxa"/>
            <w:vAlign w:val="center"/>
          </w:tcPr>
          <w:p w14:paraId="446F6CA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161.01</w:t>
            </w:r>
          </w:p>
        </w:tc>
        <w:tc>
          <w:tcPr>
            <w:tcW w:w="2137" w:type="dxa"/>
          </w:tcPr>
          <w:p w14:paraId="01A7D14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1E147ABE">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433.96</w:t>
            </w:r>
          </w:p>
        </w:tc>
        <w:tc>
          <w:tcPr>
            <w:tcW w:w="2551" w:type="dxa"/>
            <w:vAlign w:val="center"/>
          </w:tcPr>
          <w:p w14:paraId="12B59EB9">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5397.80</w:t>
            </w:r>
          </w:p>
        </w:tc>
      </w:tr>
      <w:tr w14:paraId="475F69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D581D16">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2032年</w:t>
            </w:r>
          </w:p>
        </w:tc>
        <w:tc>
          <w:tcPr>
            <w:tcW w:w="1899" w:type="dxa"/>
            <w:vAlign w:val="center"/>
          </w:tcPr>
          <w:p w14:paraId="1860BA2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5831.76</w:t>
            </w:r>
          </w:p>
        </w:tc>
        <w:tc>
          <w:tcPr>
            <w:tcW w:w="2137" w:type="dxa"/>
            <w:vAlign w:val="center"/>
          </w:tcPr>
          <w:p w14:paraId="51D1FF8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279.78</w:t>
            </w:r>
          </w:p>
        </w:tc>
        <w:tc>
          <w:tcPr>
            <w:tcW w:w="2138" w:type="dxa"/>
            <w:vAlign w:val="center"/>
          </w:tcPr>
          <w:p w14:paraId="0044889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160.96</w:t>
            </w:r>
          </w:p>
        </w:tc>
        <w:tc>
          <w:tcPr>
            <w:tcW w:w="2137" w:type="dxa"/>
          </w:tcPr>
          <w:p w14:paraId="60395C60">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1399C651">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440.74</w:t>
            </w:r>
          </w:p>
        </w:tc>
        <w:tc>
          <w:tcPr>
            <w:tcW w:w="2551" w:type="dxa"/>
            <w:vAlign w:val="center"/>
          </w:tcPr>
          <w:p w14:paraId="0D59C17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5391.02</w:t>
            </w:r>
          </w:p>
        </w:tc>
      </w:tr>
      <w:tr w14:paraId="19D08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A920DE4">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2033年</w:t>
            </w:r>
          </w:p>
        </w:tc>
        <w:tc>
          <w:tcPr>
            <w:tcW w:w="1899" w:type="dxa"/>
            <w:vAlign w:val="center"/>
          </w:tcPr>
          <w:p w14:paraId="502BDDD0">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78517.46</w:t>
            </w:r>
          </w:p>
        </w:tc>
        <w:tc>
          <w:tcPr>
            <w:tcW w:w="2137" w:type="dxa"/>
            <w:vAlign w:val="center"/>
          </w:tcPr>
          <w:p w14:paraId="3DE94350">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286.77</w:t>
            </w:r>
          </w:p>
        </w:tc>
        <w:tc>
          <w:tcPr>
            <w:tcW w:w="2138" w:type="dxa"/>
            <w:vAlign w:val="center"/>
          </w:tcPr>
          <w:p w14:paraId="38C82A3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160.92</w:t>
            </w:r>
          </w:p>
        </w:tc>
        <w:tc>
          <w:tcPr>
            <w:tcW w:w="2137" w:type="dxa"/>
          </w:tcPr>
          <w:p w14:paraId="7208EEE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0.00</w:t>
            </w:r>
          </w:p>
        </w:tc>
        <w:tc>
          <w:tcPr>
            <w:tcW w:w="2138" w:type="dxa"/>
            <w:vAlign w:val="center"/>
          </w:tcPr>
          <w:p w14:paraId="5BC2DD9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447.69</w:t>
            </w:r>
          </w:p>
        </w:tc>
        <w:tc>
          <w:tcPr>
            <w:tcW w:w="2551" w:type="dxa"/>
            <w:vAlign w:val="center"/>
          </w:tcPr>
          <w:p w14:paraId="5DBC3F2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78069.77</w:t>
            </w:r>
          </w:p>
        </w:tc>
      </w:tr>
      <w:tr w14:paraId="3DC03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45F14679">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2034年</w:t>
            </w:r>
          </w:p>
        </w:tc>
        <w:tc>
          <w:tcPr>
            <w:tcW w:w="1899" w:type="dxa"/>
            <w:vAlign w:val="center"/>
          </w:tcPr>
          <w:p w14:paraId="542974CF">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6366.75</w:t>
            </w:r>
          </w:p>
        </w:tc>
        <w:tc>
          <w:tcPr>
            <w:tcW w:w="2137" w:type="dxa"/>
            <w:vAlign w:val="center"/>
          </w:tcPr>
          <w:p w14:paraId="557315C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293.94</w:t>
            </w:r>
          </w:p>
        </w:tc>
        <w:tc>
          <w:tcPr>
            <w:tcW w:w="2138" w:type="dxa"/>
            <w:vAlign w:val="center"/>
          </w:tcPr>
          <w:p w14:paraId="3B1707F9">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176.81</w:t>
            </w:r>
          </w:p>
        </w:tc>
        <w:tc>
          <w:tcPr>
            <w:tcW w:w="2137" w:type="dxa"/>
          </w:tcPr>
          <w:p w14:paraId="7D99BA6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117.86</w:t>
            </w:r>
          </w:p>
        </w:tc>
        <w:tc>
          <w:tcPr>
            <w:tcW w:w="2138" w:type="dxa"/>
            <w:vAlign w:val="center"/>
          </w:tcPr>
          <w:p w14:paraId="0D906D7E">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588.61</w:t>
            </w:r>
          </w:p>
        </w:tc>
        <w:tc>
          <w:tcPr>
            <w:tcW w:w="2551" w:type="dxa"/>
            <w:vAlign w:val="center"/>
          </w:tcPr>
          <w:p w14:paraId="78C5224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5778.14</w:t>
            </w:r>
          </w:p>
        </w:tc>
      </w:tr>
      <w:tr w14:paraId="5FED7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18C22099">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2035年</w:t>
            </w:r>
          </w:p>
        </w:tc>
        <w:tc>
          <w:tcPr>
            <w:tcW w:w="1899" w:type="dxa"/>
            <w:vAlign w:val="center"/>
          </w:tcPr>
          <w:p w14:paraId="6A6946C0">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6366.75</w:t>
            </w:r>
          </w:p>
        </w:tc>
        <w:tc>
          <w:tcPr>
            <w:tcW w:w="2137" w:type="dxa"/>
            <w:vAlign w:val="center"/>
          </w:tcPr>
          <w:p w14:paraId="63CC244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301.28</w:t>
            </w:r>
          </w:p>
        </w:tc>
        <w:tc>
          <w:tcPr>
            <w:tcW w:w="2138" w:type="dxa"/>
            <w:vAlign w:val="center"/>
          </w:tcPr>
          <w:p w14:paraId="2999245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176.76</w:t>
            </w:r>
          </w:p>
        </w:tc>
        <w:tc>
          <w:tcPr>
            <w:tcW w:w="2137" w:type="dxa"/>
          </w:tcPr>
          <w:p w14:paraId="7314084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328.82</w:t>
            </w:r>
          </w:p>
        </w:tc>
        <w:tc>
          <w:tcPr>
            <w:tcW w:w="2138" w:type="dxa"/>
            <w:vAlign w:val="center"/>
          </w:tcPr>
          <w:p w14:paraId="628F64FC">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806.86</w:t>
            </w:r>
          </w:p>
        </w:tc>
        <w:tc>
          <w:tcPr>
            <w:tcW w:w="2551" w:type="dxa"/>
            <w:vAlign w:val="center"/>
          </w:tcPr>
          <w:p w14:paraId="322210D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5559.89</w:t>
            </w:r>
          </w:p>
        </w:tc>
      </w:tr>
      <w:tr w14:paraId="18D1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7A5AACCC">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2036年</w:t>
            </w:r>
          </w:p>
        </w:tc>
        <w:tc>
          <w:tcPr>
            <w:tcW w:w="1899" w:type="dxa"/>
            <w:vAlign w:val="center"/>
          </w:tcPr>
          <w:p w14:paraId="03A4074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6366.75</w:t>
            </w:r>
          </w:p>
        </w:tc>
        <w:tc>
          <w:tcPr>
            <w:tcW w:w="2137" w:type="dxa"/>
            <w:vAlign w:val="center"/>
          </w:tcPr>
          <w:p w14:paraId="46B7B0F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308.80</w:t>
            </w:r>
          </w:p>
        </w:tc>
        <w:tc>
          <w:tcPr>
            <w:tcW w:w="2138" w:type="dxa"/>
            <w:vAlign w:val="center"/>
          </w:tcPr>
          <w:p w14:paraId="100CD7D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176.70</w:t>
            </w:r>
          </w:p>
        </w:tc>
        <w:tc>
          <w:tcPr>
            <w:tcW w:w="2137" w:type="dxa"/>
          </w:tcPr>
          <w:p w14:paraId="57C0F9FE">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502.45</w:t>
            </w:r>
          </w:p>
        </w:tc>
        <w:tc>
          <w:tcPr>
            <w:tcW w:w="2138" w:type="dxa"/>
            <w:vAlign w:val="center"/>
          </w:tcPr>
          <w:p w14:paraId="2143698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987.95</w:t>
            </w:r>
          </w:p>
        </w:tc>
        <w:tc>
          <w:tcPr>
            <w:tcW w:w="2551" w:type="dxa"/>
            <w:vAlign w:val="center"/>
          </w:tcPr>
          <w:p w14:paraId="32343B3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5378.80</w:t>
            </w:r>
          </w:p>
        </w:tc>
      </w:tr>
      <w:tr w14:paraId="140DB4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18C2933A">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2037年</w:t>
            </w:r>
          </w:p>
        </w:tc>
        <w:tc>
          <w:tcPr>
            <w:tcW w:w="1899" w:type="dxa"/>
            <w:vAlign w:val="center"/>
          </w:tcPr>
          <w:p w14:paraId="7B96C5C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6366.75</w:t>
            </w:r>
          </w:p>
        </w:tc>
        <w:tc>
          <w:tcPr>
            <w:tcW w:w="2137" w:type="dxa"/>
            <w:vAlign w:val="center"/>
          </w:tcPr>
          <w:p w14:paraId="622E357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316.54</w:t>
            </w:r>
          </w:p>
        </w:tc>
        <w:tc>
          <w:tcPr>
            <w:tcW w:w="2138" w:type="dxa"/>
            <w:vAlign w:val="center"/>
          </w:tcPr>
          <w:p w14:paraId="21C6E04B">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176.65</w:t>
            </w:r>
          </w:p>
        </w:tc>
        <w:tc>
          <w:tcPr>
            <w:tcW w:w="2137" w:type="dxa"/>
          </w:tcPr>
          <w:p w14:paraId="6597559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586.03</w:t>
            </w:r>
          </w:p>
        </w:tc>
        <w:tc>
          <w:tcPr>
            <w:tcW w:w="2138" w:type="dxa"/>
            <w:vAlign w:val="center"/>
          </w:tcPr>
          <w:p w14:paraId="79BB727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1079.22</w:t>
            </w:r>
          </w:p>
        </w:tc>
        <w:tc>
          <w:tcPr>
            <w:tcW w:w="2551" w:type="dxa"/>
            <w:vAlign w:val="center"/>
          </w:tcPr>
          <w:p w14:paraId="27236606">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5287.53</w:t>
            </w:r>
          </w:p>
        </w:tc>
      </w:tr>
      <w:tr w14:paraId="17A398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01E98E20">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2038年</w:t>
            </w:r>
          </w:p>
        </w:tc>
        <w:tc>
          <w:tcPr>
            <w:tcW w:w="1899" w:type="dxa"/>
            <w:vAlign w:val="center"/>
          </w:tcPr>
          <w:p w14:paraId="77FE030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6955.22</w:t>
            </w:r>
          </w:p>
        </w:tc>
        <w:tc>
          <w:tcPr>
            <w:tcW w:w="2137" w:type="dxa"/>
            <w:vAlign w:val="center"/>
          </w:tcPr>
          <w:p w14:paraId="66C79749">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324.45</w:t>
            </w:r>
          </w:p>
        </w:tc>
        <w:tc>
          <w:tcPr>
            <w:tcW w:w="2138" w:type="dxa"/>
            <w:vAlign w:val="center"/>
          </w:tcPr>
          <w:p w14:paraId="1203B7A5">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194.13</w:t>
            </w:r>
          </w:p>
        </w:tc>
        <w:tc>
          <w:tcPr>
            <w:tcW w:w="2137" w:type="dxa"/>
          </w:tcPr>
          <w:p w14:paraId="33A8EC8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726.80</w:t>
            </w:r>
          </w:p>
        </w:tc>
        <w:tc>
          <w:tcPr>
            <w:tcW w:w="2138" w:type="dxa"/>
            <w:vAlign w:val="center"/>
          </w:tcPr>
          <w:p w14:paraId="72873B6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1245.38</w:t>
            </w:r>
          </w:p>
        </w:tc>
        <w:tc>
          <w:tcPr>
            <w:tcW w:w="2551" w:type="dxa"/>
            <w:vAlign w:val="center"/>
          </w:tcPr>
          <w:p w14:paraId="48FFC7DF">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5709.84</w:t>
            </w:r>
          </w:p>
        </w:tc>
      </w:tr>
      <w:tr w14:paraId="31684D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445E36BD">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2039年</w:t>
            </w:r>
          </w:p>
        </w:tc>
        <w:tc>
          <w:tcPr>
            <w:tcW w:w="1899" w:type="dxa"/>
            <w:vAlign w:val="center"/>
          </w:tcPr>
          <w:p w14:paraId="6D66CA0C">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6955.22</w:t>
            </w:r>
          </w:p>
        </w:tc>
        <w:tc>
          <w:tcPr>
            <w:tcW w:w="2137" w:type="dxa"/>
            <w:vAlign w:val="center"/>
          </w:tcPr>
          <w:p w14:paraId="1B6222F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332.57</w:t>
            </w:r>
          </w:p>
        </w:tc>
        <w:tc>
          <w:tcPr>
            <w:tcW w:w="2138" w:type="dxa"/>
            <w:vAlign w:val="center"/>
          </w:tcPr>
          <w:p w14:paraId="1EE3900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194.07</w:t>
            </w:r>
          </w:p>
        </w:tc>
        <w:tc>
          <w:tcPr>
            <w:tcW w:w="2137" w:type="dxa"/>
          </w:tcPr>
          <w:p w14:paraId="1B194EE3">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724.79</w:t>
            </w:r>
          </w:p>
        </w:tc>
        <w:tc>
          <w:tcPr>
            <w:tcW w:w="2138" w:type="dxa"/>
            <w:vAlign w:val="center"/>
          </w:tcPr>
          <w:p w14:paraId="34F414FC">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1251.43</w:t>
            </w:r>
          </w:p>
        </w:tc>
        <w:tc>
          <w:tcPr>
            <w:tcW w:w="2551" w:type="dxa"/>
            <w:vAlign w:val="center"/>
          </w:tcPr>
          <w:p w14:paraId="12D5DC1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5703.79</w:t>
            </w:r>
          </w:p>
        </w:tc>
      </w:tr>
      <w:tr w14:paraId="28F69F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0" w:type="dxa"/>
            <w:vAlign w:val="center"/>
          </w:tcPr>
          <w:p w14:paraId="591D7042">
            <w:pPr>
              <w:spacing w:line="240" w:lineRule="auto"/>
              <w:ind w:firstLine="0" w:firstLineChars="0"/>
              <w:jc w:val="center"/>
              <w:textAlignment w:val="center"/>
              <w:rPr>
                <w:rFonts w:hint="eastAsia" w:ascii="Times New Roman" w:hAnsi="Times New Roman" w:eastAsia="宋体" w:cs="Times New Roman"/>
                <w:color w:val="auto"/>
                <w:sz w:val="18"/>
                <w:szCs w:val="18"/>
                <w:lang w:bidi="ar"/>
              </w:rPr>
            </w:pPr>
            <w:r>
              <w:rPr>
                <w:rFonts w:hint="eastAsia" w:ascii="Times New Roman" w:hAnsi="Times New Roman" w:eastAsia="宋体" w:cs="Times New Roman"/>
                <w:color w:val="auto"/>
                <w:sz w:val="18"/>
                <w:szCs w:val="18"/>
                <w:lang w:bidi="ar"/>
              </w:rPr>
              <w:t>合计</w:t>
            </w:r>
          </w:p>
        </w:tc>
        <w:tc>
          <w:tcPr>
            <w:tcW w:w="1899" w:type="dxa"/>
            <w:vAlign w:val="center"/>
          </w:tcPr>
          <w:p w14:paraId="5968746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148148.22</w:t>
            </w:r>
          </w:p>
        </w:tc>
        <w:tc>
          <w:tcPr>
            <w:tcW w:w="2137" w:type="dxa"/>
            <w:vAlign w:val="center"/>
          </w:tcPr>
          <w:p w14:paraId="1746B138">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3743.86</w:t>
            </w:r>
          </w:p>
        </w:tc>
        <w:tc>
          <w:tcPr>
            <w:tcW w:w="2138" w:type="dxa"/>
            <w:vAlign w:val="center"/>
          </w:tcPr>
          <w:p w14:paraId="0E09795A">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2086.01</w:t>
            </w:r>
          </w:p>
        </w:tc>
        <w:tc>
          <w:tcPr>
            <w:tcW w:w="2137" w:type="dxa"/>
          </w:tcPr>
          <w:p w14:paraId="1C813A87">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2986.75</w:t>
            </w:r>
          </w:p>
        </w:tc>
        <w:tc>
          <w:tcPr>
            <w:tcW w:w="2138" w:type="dxa"/>
            <w:vAlign w:val="center"/>
          </w:tcPr>
          <w:p w14:paraId="24AF15CD">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8816.62</w:t>
            </w:r>
          </w:p>
        </w:tc>
        <w:tc>
          <w:tcPr>
            <w:tcW w:w="2551" w:type="dxa"/>
            <w:vAlign w:val="center"/>
          </w:tcPr>
          <w:p w14:paraId="6BE41B42">
            <w:pPr>
              <w:spacing w:line="240" w:lineRule="auto"/>
              <w:ind w:firstLine="0" w:firstLineChars="0"/>
              <w:jc w:val="center"/>
              <w:textAlignment w:val="center"/>
              <w:rPr>
                <w:rFonts w:ascii="Times New Roman" w:hAnsi="Times New Roman" w:eastAsia="宋体" w:cs="Times New Roman"/>
                <w:color w:val="auto"/>
                <w:sz w:val="18"/>
                <w:szCs w:val="18"/>
                <w:lang w:bidi="ar"/>
              </w:rPr>
            </w:pPr>
            <w:r>
              <w:rPr>
                <w:rFonts w:ascii="Times New Roman" w:hAnsi="Times New Roman" w:eastAsia="宋体" w:cs="Times New Roman"/>
                <w:color w:val="auto"/>
                <w:sz w:val="18"/>
                <w:szCs w:val="18"/>
                <w:lang w:bidi="ar"/>
              </w:rPr>
              <w:t>139331.60</w:t>
            </w:r>
          </w:p>
        </w:tc>
      </w:tr>
    </w:tbl>
    <w:p w14:paraId="3DE4BE4F">
      <w:pPr>
        <w:pStyle w:val="2"/>
        <w:ind w:firstLine="480"/>
        <w:rPr>
          <w:color w:val="auto"/>
        </w:rPr>
      </w:pPr>
    </w:p>
    <w:p w14:paraId="0B65AE00">
      <w:pPr>
        <w:pStyle w:val="5"/>
        <w:spacing w:before="156" w:beforeLines="50" w:after="156" w:afterLines="50"/>
        <w:ind w:firstLine="643"/>
        <w:rPr>
          <w:rFonts w:eastAsia="仿宋_GB2312" w:cs="仿宋_GB2312" w:asciiTheme="minorHAnsi" w:hAnsiTheme="minorHAnsi"/>
          <w:color w:val="auto"/>
          <w:sz w:val="32"/>
        </w:rPr>
      </w:pPr>
      <w:bookmarkStart w:id="85" w:name="_Toc174657291"/>
      <w:r>
        <w:rPr>
          <w:rFonts w:hint="eastAsia" w:ascii="仿宋_GB2312" w:hAnsi="仿宋_GB2312" w:eastAsia="仿宋_GB2312" w:cs="仿宋_GB2312"/>
          <w:color w:val="auto"/>
          <w:sz w:val="32"/>
        </w:rPr>
        <w:t>（二）融资收益平衡情况</w:t>
      </w:r>
      <w:bookmarkEnd w:id="85"/>
    </w:p>
    <w:p w14:paraId="56D0EC8C">
      <w:pPr>
        <w:widowControl w:val="0"/>
        <w:adjustRightInd w:val="0"/>
        <w:snapToGrid w:val="0"/>
        <w:spacing w:line="360" w:lineRule="auto"/>
        <w:ind w:firstLine="64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本息偿付保障倍数</w:t>
      </w:r>
    </w:p>
    <w:p w14:paraId="280F99B1">
      <w:pPr>
        <w:widowControl w:val="0"/>
        <w:spacing w:line="360" w:lineRule="auto"/>
        <w:ind w:firstLine="640"/>
        <w:rPr>
          <w:rFonts w:eastAsia="仿宋_GB2312" w:cs="仿宋_GB2312" w:asciiTheme="minorHAnsi" w:hAnsiTheme="minorHAnsi"/>
          <w:color w:val="auto"/>
          <w:sz w:val="32"/>
          <w:szCs w:val="32"/>
        </w:rPr>
      </w:pPr>
      <w:r>
        <w:rPr>
          <w:rFonts w:hint="eastAsia" w:ascii="仿宋_GB2312" w:hAnsi="仿宋_GB2312" w:eastAsia="仿宋_GB2312" w:cs="仿宋_GB2312"/>
          <w:color w:val="auto"/>
          <w:sz w:val="32"/>
          <w:szCs w:val="32"/>
        </w:rPr>
        <w:t>本次融资项目收益为项目完成后运营产生的现金流入，收益覆盖债券本息倍数为</w:t>
      </w:r>
      <w:r>
        <w:rPr>
          <w:rFonts w:ascii="仿宋_GB2312" w:eastAsia="仿宋_GB2312"/>
          <w:color w:val="auto"/>
          <w:sz w:val="32"/>
          <w:szCs w:val="32"/>
        </w:rPr>
        <w:t>1.61</w:t>
      </w:r>
      <w:r>
        <w:rPr>
          <w:rFonts w:hint="eastAsia" w:ascii="仿宋_GB2312" w:hAnsi="仿宋_GB2312" w:eastAsia="仿宋_GB2312" w:cs="仿宋_GB2312"/>
          <w:color w:val="auto"/>
          <w:sz w:val="32"/>
          <w:szCs w:val="32"/>
        </w:rPr>
        <w:t>倍（详见下表）:</w:t>
      </w:r>
    </w:p>
    <w:p w14:paraId="7987E52D">
      <w:pPr>
        <w:ind w:firstLine="0" w:firstLineChars="0"/>
        <w:jc w:val="center"/>
        <w:rPr>
          <w:rFonts w:ascii="仿宋_GB2312" w:hAnsi="Times New Roman" w:eastAsia="仿宋_GB2312" w:cs="Times New Roman"/>
          <w:color w:val="auto"/>
          <w:kern w:val="2"/>
          <w:sz w:val="32"/>
          <w:szCs w:val="32"/>
        </w:rPr>
      </w:pPr>
    </w:p>
    <w:p w14:paraId="6D6FF34B">
      <w:pPr>
        <w:ind w:firstLine="0" w:firstLineChars="0"/>
        <w:jc w:val="center"/>
        <w:rPr>
          <w:color w:val="auto"/>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18</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收益覆盖倍数</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86"/>
        <w:gridCol w:w="2836"/>
        <w:gridCol w:w="1672"/>
      </w:tblGrid>
      <w:tr w14:paraId="68895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3486" w:type="pct"/>
            <w:vAlign w:val="center"/>
          </w:tcPr>
          <w:p w14:paraId="4AD55C03">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项目</w:t>
            </w:r>
          </w:p>
        </w:tc>
        <w:tc>
          <w:tcPr>
            <w:tcW w:w="952" w:type="pct"/>
            <w:vAlign w:val="center"/>
          </w:tcPr>
          <w:p w14:paraId="7637BFF8">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数额</w:t>
            </w:r>
          </w:p>
        </w:tc>
        <w:tc>
          <w:tcPr>
            <w:tcW w:w="561" w:type="pct"/>
            <w:vAlign w:val="center"/>
          </w:tcPr>
          <w:p w14:paraId="53CC87FA">
            <w:pPr>
              <w:pStyle w:val="2"/>
              <w:autoSpaceDE/>
              <w:autoSpaceDN/>
              <w:adjustRightInd/>
              <w:snapToGrid/>
              <w:spacing w:line="240" w:lineRule="auto"/>
              <w:ind w:firstLine="0" w:firstLineChars="0"/>
              <w:jc w:val="center"/>
              <w:textAlignment w:val="auto"/>
              <w:rPr>
                <w:rFonts w:hint="default" w:ascii="Times New Roman" w:hAnsi="Times New Roman" w:eastAsia="宋体"/>
                <w:b/>
                <w:color w:val="auto"/>
                <w:sz w:val="18"/>
              </w:rPr>
            </w:pPr>
            <w:r>
              <w:rPr>
                <w:rFonts w:ascii="Times New Roman" w:hAnsi="Times New Roman" w:eastAsia="宋体"/>
                <w:b/>
                <w:color w:val="auto"/>
                <w:sz w:val="18"/>
              </w:rPr>
              <w:t>备注</w:t>
            </w:r>
          </w:p>
        </w:tc>
      </w:tr>
      <w:tr w14:paraId="6ACCE5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77ED3B4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一、项目收益结余（万元）</w:t>
            </w:r>
          </w:p>
        </w:tc>
        <w:tc>
          <w:tcPr>
            <w:tcW w:w="952" w:type="pct"/>
            <w:vAlign w:val="center"/>
          </w:tcPr>
          <w:p w14:paraId="63091FB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139331.60</w:t>
            </w:r>
          </w:p>
        </w:tc>
        <w:tc>
          <w:tcPr>
            <w:tcW w:w="561" w:type="pct"/>
            <w:vAlign w:val="center"/>
          </w:tcPr>
          <w:p w14:paraId="7011829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48DF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519BB397">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二、项目总债务融资本息（万元）</w:t>
            </w:r>
          </w:p>
        </w:tc>
        <w:tc>
          <w:tcPr>
            <w:tcW w:w="952" w:type="pct"/>
            <w:vAlign w:val="center"/>
          </w:tcPr>
          <w:p w14:paraId="5D45936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86482.50</w:t>
            </w:r>
          </w:p>
        </w:tc>
        <w:tc>
          <w:tcPr>
            <w:tcW w:w="561" w:type="pct"/>
            <w:vAlign w:val="center"/>
          </w:tcPr>
          <w:p w14:paraId="5133BCD0">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71987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3DEBC3EE">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1.前期已发行债券本息合计（万元）</w:t>
            </w:r>
          </w:p>
        </w:tc>
        <w:tc>
          <w:tcPr>
            <w:tcW w:w="952" w:type="pct"/>
            <w:vAlign w:val="center"/>
          </w:tcPr>
          <w:p w14:paraId="18C85A1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0.00</w:t>
            </w:r>
          </w:p>
        </w:tc>
        <w:tc>
          <w:tcPr>
            <w:tcW w:w="561" w:type="pct"/>
            <w:vAlign w:val="center"/>
          </w:tcPr>
          <w:p w14:paraId="59356CB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7B478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011D28DD">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2.2024年度拟发行债券本息合计（万元）</w:t>
            </w:r>
          </w:p>
        </w:tc>
        <w:tc>
          <w:tcPr>
            <w:tcW w:w="952" w:type="pct"/>
            <w:vAlign w:val="center"/>
          </w:tcPr>
          <w:p w14:paraId="56B55DA8">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33442.50</w:t>
            </w:r>
          </w:p>
        </w:tc>
        <w:tc>
          <w:tcPr>
            <w:tcW w:w="561" w:type="pct"/>
            <w:vAlign w:val="center"/>
          </w:tcPr>
          <w:p w14:paraId="06D6D8C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67647C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02C96B2B">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3.以后年度计划发行债券本息合计（万元）</w:t>
            </w:r>
          </w:p>
        </w:tc>
        <w:tc>
          <w:tcPr>
            <w:tcW w:w="952" w:type="pct"/>
            <w:vAlign w:val="center"/>
          </w:tcPr>
          <w:p w14:paraId="0421146F">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53040.00</w:t>
            </w:r>
          </w:p>
        </w:tc>
        <w:tc>
          <w:tcPr>
            <w:tcW w:w="561" w:type="pct"/>
            <w:vAlign w:val="center"/>
          </w:tcPr>
          <w:p w14:paraId="0419A891">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r w14:paraId="62E0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86" w:type="pct"/>
            <w:vAlign w:val="center"/>
          </w:tcPr>
          <w:p w14:paraId="150F409C">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ascii="Times New Roman" w:hAnsi="Times New Roman" w:eastAsia="宋体"/>
                <w:color w:val="auto"/>
                <w:sz w:val="18"/>
              </w:rPr>
              <w:t>三、收益覆盖债券本息倍数（倍）</w:t>
            </w:r>
          </w:p>
        </w:tc>
        <w:tc>
          <w:tcPr>
            <w:tcW w:w="952" w:type="pct"/>
            <w:vAlign w:val="center"/>
          </w:tcPr>
          <w:p w14:paraId="052E4BC2">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r>
              <w:rPr>
                <w:rFonts w:hint="default" w:ascii="Times New Roman" w:hAnsi="Times New Roman" w:eastAsia="宋体"/>
                <w:color w:val="auto"/>
                <w:sz w:val="18"/>
              </w:rPr>
              <w:t>1.61</w:t>
            </w:r>
          </w:p>
        </w:tc>
        <w:tc>
          <w:tcPr>
            <w:tcW w:w="561" w:type="pct"/>
            <w:vAlign w:val="center"/>
          </w:tcPr>
          <w:p w14:paraId="5C1D15F6">
            <w:pPr>
              <w:pStyle w:val="2"/>
              <w:autoSpaceDE/>
              <w:autoSpaceDN/>
              <w:adjustRightInd/>
              <w:snapToGrid/>
              <w:spacing w:line="240" w:lineRule="auto"/>
              <w:ind w:firstLine="0" w:firstLineChars="0"/>
              <w:jc w:val="center"/>
              <w:textAlignment w:val="auto"/>
              <w:rPr>
                <w:rFonts w:hint="default" w:ascii="Times New Roman" w:hAnsi="Times New Roman" w:eastAsia="宋体"/>
                <w:color w:val="auto"/>
                <w:sz w:val="18"/>
              </w:rPr>
            </w:pPr>
          </w:p>
        </w:tc>
      </w:tr>
    </w:tbl>
    <w:p w14:paraId="7AD57F80">
      <w:pPr>
        <w:pStyle w:val="2"/>
        <w:ind w:firstLine="0" w:firstLineChars="0"/>
        <w:rPr>
          <w:rFonts w:hint="default" w:asciiTheme="minorHAnsi" w:hAnsiTheme="minorHAnsi"/>
          <w:color w:val="auto"/>
        </w:rPr>
      </w:pPr>
    </w:p>
    <w:p w14:paraId="6B894A0F">
      <w:pPr>
        <w:widowControl w:val="0"/>
        <w:adjustRightInd w:val="0"/>
        <w:spacing w:line="360" w:lineRule="auto"/>
        <w:ind w:firstLine="640"/>
        <w:jc w:val="both"/>
        <w:rPr>
          <w:color w:val="auto"/>
        </w:rPr>
      </w:pPr>
      <w:r>
        <w:rPr>
          <w:rFonts w:hint="eastAsia" w:ascii="仿宋_GB2312" w:hAnsi="仿宋_GB2312" w:eastAsia="仿宋_GB2312" w:cs="仿宋_GB2312"/>
          <w:color w:val="auto"/>
          <w:sz w:val="32"/>
          <w:szCs w:val="32"/>
        </w:rPr>
        <w:t>经过以上测算，在对项目收益预测及所依据的各项假设前提下，在债券存续期内运营累计项目收益结余</w:t>
      </w:r>
      <w:r>
        <w:rPr>
          <w:rFonts w:ascii="仿宋_GB2312" w:eastAsia="仿宋_GB2312"/>
          <w:color w:val="auto"/>
          <w:sz w:val="32"/>
          <w:szCs w:val="32"/>
        </w:rPr>
        <w:t>139331.60</w:t>
      </w:r>
      <w:r>
        <w:rPr>
          <w:rFonts w:hint="eastAsia" w:ascii="仿宋_GB2312" w:hAnsi="仿宋_GB2312" w:eastAsia="仿宋_GB2312" w:cs="仿宋_GB2312"/>
          <w:color w:val="auto"/>
          <w:sz w:val="32"/>
          <w:szCs w:val="32"/>
        </w:rPr>
        <w:t>万元，专项债券本息合计</w:t>
      </w:r>
      <w:r>
        <w:rPr>
          <w:rFonts w:ascii="仿宋_GB2312" w:eastAsia="仿宋_GB2312"/>
          <w:color w:val="auto"/>
          <w:sz w:val="32"/>
          <w:szCs w:val="32"/>
        </w:rPr>
        <w:t>86482.50</w:t>
      </w:r>
      <w:r>
        <w:rPr>
          <w:rFonts w:hint="eastAsia" w:ascii="仿宋_GB2312" w:hAnsi="仿宋_GB2312" w:eastAsia="仿宋_GB2312" w:cs="仿宋_GB2312"/>
          <w:color w:val="auto"/>
          <w:sz w:val="32"/>
          <w:szCs w:val="32"/>
        </w:rPr>
        <w:t>万元，运营结余对债券本息的覆盖倍数为</w:t>
      </w:r>
      <w:r>
        <w:rPr>
          <w:rFonts w:ascii="仿宋_GB2312" w:eastAsia="仿宋_GB2312"/>
          <w:color w:val="auto"/>
          <w:sz w:val="32"/>
          <w:szCs w:val="32"/>
        </w:rPr>
        <w:t>1.61</w:t>
      </w:r>
      <w:r>
        <w:rPr>
          <w:rFonts w:hint="eastAsia" w:ascii="仿宋_GB2312" w:hAnsi="仿宋_GB2312" w:eastAsia="仿宋_GB2312" w:cs="仿宋_GB2312"/>
          <w:color w:val="auto"/>
          <w:sz w:val="32"/>
          <w:szCs w:val="32"/>
        </w:rPr>
        <w:t>倍。本项目收益能够合理保障偿还融资本金和利息，实现项目收益和融资的平衡。</w:t>
      </w:r>
    </w:p>
    <w:p w14:paraId="0CEB0555">
      <w:pPr>
        <w:ind w:firstLine="0" w:firstLineChars="0"/>
        <w:jc w:val="center"/>
        <w:rPr>
          <w:color w:val="auto"/>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19</w:t>
      </w:r>
      <w:r>
        <w:rPr>
          <w:rFonts w:hint="eastAsia" w:ascii="仿宋_GB2312" w:hAnsi="Times New Roman" w:eastAsia="仿宋_GB2312" w:cs="Times New Roman"/>
          <w:color w:val="auto"/>
          <w:kern w:val="2"/>
          <w:sz w:val="32"/>
          <w:szCs w:val="32"/>
        </w:rPr>
        <w:fldChar w:fldCharType="end"/>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债券本息偿还能力评估表（压力测试）</w:t>
      </w:r>
    </w:p>
    <w:tbl>
      <w:tblPr>
        <w:tblStyle w:val="20"/>
        <w:tblW w:w="5000" w:type="pct"/>
        <w:tblCaption w:val="债券本息偿还能力评估表"/>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298"/>
        <w:gridCol w:w="2326"/>
        <w:gridCol w:w="2326"/>
        <w:gridCol w:w="1752"/>
        <w:gridCol w:w="2097"/>
        <w:gridCol w:w="2095"/>
      </w:tblGrid>
      <w:tr w14:paraId="694C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pct"/>
            <w:vMerge w:val="restart"/>
            <w:vAlign w:val="center"/>
          </w:tcPr>
          <w:p w14:paraId="2F38464D">
            <w:pPr>
              <w:spacing w:line="240" w:lineRule="auto"/>
              <w:ind w:firstLine="0" w:firstLineChars="0"/>
              <w:jc w:val="center"/>
              <w:rPr>
                <w:rFonts w:ascii="Times New Roman" w:hAnsi="Times New Roman" w:eastAsia="宋体" w:cs="Times New Roman"/>
                <w:b/>
                <w:color w:val="auto"/>
                <w:sz w:val="18"/>
                <w:szCs w:val="18"/>
              </w:rPr>
            </w:pPr>
            <w:r>
              <w:rPr>
                <w:rFonts w:ascii="Times New Roman" w:hAnsi="Times New Roman" w:eastAsia="宋体" w:cs="Times New Roman"/>
                <w:b/>
                <w:color w:val="auto"/>
                <w:sz w:val="18"/>
                <w:szCs w:val="18"/>
              </w:rPr>
              <w:t>敏感性分析</w:t>
            </w:r>
          </w:p>
        </w:tc>
        <w:tc>
          <w:tcPr>
            <w:tcW w:w="3557" w:type="pct"/>
            <w:gridSpan w:val="5"/>
            <w:vAlign w:val="center"/>
          </w:tcPr>
          <w:p w14:paraId="1CEDC933">
            <w:pPr>
              <w:spacing w:line="240" w:lineRule="auto"/>
              <w:ind w:firstLine="0" w:firstLineChars="0"/>
              <w:jc w:val="center"/>
              <w:rPr>
                <w:rFonts w:ascii="Times New Roman" w:hAnsi="Times New Roman" w:eastAsia="宋体" w:cs="Times New Roman"/>
                <w:b/>
                <w:color w:val="auto"/>
                <w:sz w:val="18"/>
                <w:szCs w:val="18"/>
              </w:rPr>
            </w:pPr>
            <w:r>
              <w:rPr>
                <w:rFonts w:ascii="Times New Roman" w:hAnsi="Times New Roman" w:eastAsia="宋体" w:cs="Times New Roman"/>
                <w:b/>
                <w:color w:val="auto"/>
                <w:sz w:val="18"/>
                <w:szCs w:val="18"/>
              </w:rPr>
              <w:t>敏感性变化比率</w:t>
            </w:r>
          </w:p>
        </w:tc>
      </w:tr>
      <w:tr w14:paraId="7837F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pct"/>
            <w:vMerge w:val="continue"/>
            <w:vAlign w:val="center"/>
          </w:tcPr>
          <w:p w14:paraId="310347C3">
            <w:pPr>
              <w:spacing w:line="240" w:lineRule="auto"/>
              <w:ind w:firstLine="0" w:firstLineChars="0"/>
              <w:jc w:val="center"/>
              <w:rPr>
                <w:rFonts w:ascii="Times New Roman" w:hAnsi="Times New Roman" w:eastAsia="宋体" w:cs="Times New Roman"/>
                <w:color w:val="auto"/>
                <w:sz w:val="18"/>
                <w:szCs w:val="18"/>
              </w:rPr>
            </w:pPr>
          </w:p>
        </w:tc>
        <w:tc>
          <w:tcPr>
            <w:tcW w:w="781" w:type="pct"/>
            <w:vAlign w:val="center"/>
          </w:tcPr>
          <w:p w14:paraId="65E4CD5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w:t>
            </w:r>
          </w:p>
        </w:tc>
        <w:tc>
          <w:tcPr>
            <w:tcW w:w="781" w:type="pct"/>
            <w:vAlign w:val="center"/>
          </w:tcPr>
          <w:p w14:paraId="15A68A14">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-10%</w:t>
            </w:r>
          </w:p>
        </w:tc>
        <w:tc>
          <w:tcPr>
            <w:tcW w:w="588" w:type="pct"/>
            <w:vAlign w:val="center"/>
          </w:tcPr>
          <w:p w14:paraId="310BE454">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0%</w:t>
            </w:r>
          </w:p>
        </w:tc>
        <w:tc>
          <w:tcPr>
            <w:tcW w:w="704" w:type="pct"/>
            <w:vAlign w:val="center"/>
          </w:tcPr>
          <w:p w14:paraId="304333CC">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10%</w:t>
            </w:r>
          </w:p>
        </w:tc>
        <w:tc>
          <w:tcPr>
            <w:tcW w:w="704" w:type="pct"/>
            <w:vAlign w:val="center"/>
          </w:tcPr>
          <w:p w14:paraId="1D26E55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20%</w:t>
            </w:r>
          </w:p>
        </w:tc>
      </w:tr>
      <w:tr w14:paraId="7DCEF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pct"/>
            <w:vAlign w:val="center"/>
          </w:tcPr>
          <w:p w14:paraId="17046C92">
            <w:pPr>
              <w:spacing w:line="240" w:lineRule="auto"/>
              <w:ind w:firstLine="0" w:firstLineChars="0"/>
              <w:jc w:val="center"/>
              <w:rPr>
                <w:rFonts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经营活动净现金流量（万元）</w:t>
            </w:r>
          </w:p>
        </w:tc>
        <w:tc>
          <w:tcPr>
            <w:tcW w:w="781" w:type="pct"/>
            <w:vAlign w:val="center"/>
          </w:tcPr>
          <w:p w14:paraId="1FC5CD8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111465.28</w:t>
            </w:r>
          </w:p>
        </w:tc>
        <w:tc>
          <w:tcPr>
            <w:tcW w:w="781" w:type="pct"/>
            <w:vAlign w:val="center"/>
          </w:tcPr>
          <w:p w14:paraId="026A2ECD">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125398.44</w:t>
            </w:r>
          </w:p>
        </w:tc>
        <w:tc>
          <w:tcPr>
            <w:tcW w:w="588" w:type="pct"/>
            <w:vAlign w:val="center"/>
          </w:tcPr>
          <w:p w14:paraId="3E922CE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139331.60</w:t>
            </w:r>
          </w:p>
        </w:tc>
        <w:tc>
          <w:tcPr>
            <w:tcW w:w="704" w:type="pct"/>
            <w:vAlign w:val="center"/>
          </w:tcPr>
          <w:p w14:paraId="08D0E613">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153264.76</w:t>
            </w:r>
          </w:p>
        </w:tc>
        <w:tc>
          <w:tcPr>
            <w:tcW w:w="704" w:type="pct"/>
            <w:vAlign w:val="center"/>
          </w:tcPr>
          <w:p w14:paraId="511716B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167197.92</w:t>
            </w:r>
          </w:p>
        </w:tc>
      </w:tr>
      <w:tr w14:paraId="3445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pct"/>
            <w:vAlign w:val="center"/>
          </w:tcPr>
          <w:p w14:paraId="57A02C1E">
            <w:pPr>
              <w:spacing w:line="240" w:lineRule="auto"/>
              <w:ind w:firstLine="0" w:firstLineChars="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债券还本付息额（万元）</w:t>
            </w:r>
          </w:p>
        </w:tc>
        <w:tc>
          <w:tcPr>
            <w:tcW w:w="781" w:type="pct"/>
            <w:vAlign w:val="center"/>
          </w:tcPr>
          <w:p w14:paraId="36C9500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86482.50</w:t>
            </w:r>
          </w:p>
        </w:tc>
        <w:tc>
          <w:tcPr>
            <w:tcW w:w="781" w:type="pct"/>
            <w:vAlign w:val="center"/>
          </w:tcPr>
          <w:p w14:paraId="640F907A">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86482.50</w:t>
            </w:r>
          </w:p>
        </w:tc>
        <w:tc>
          <w:tcPr>
            <w:tcW w:w="588" w:type="pct"/>
            <w:vAlign w:val="center"/>
          </w:tcPr>
          <w:p w14:paraId="44268F2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86482.50</w:t>
            </w:r>
          </w:p>
        </w:tc>
        <w:tc>
          <w:tcPr>
            <w:tcW w:w="704" w:type="pct"/>
            <w:vAlign w:val="center"/>
          </w:tcPr>
          <w:p w14:paraId="164ECE85">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86482.50</w:t>
            </w:r>
          </w:p>
        </w:tc>
        <w:tc>
          <w:tcPr>
            <w:tcW w:w="704" w:type="pct"/>
            <w:vAlign w:val="center"/>
          </w:tcPr>
          <w:p w14:paraId="685587C0">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86482.50</w:t>
            </w:r>
          </w:p>
        </w:tc>
      </w:tr>
      <w:tr w14:paraId="20D5A7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43" w:type="pct"/>
            <w:vAlign w:val="center"/>
          </w:tcPr>
          <w:p w14:paraId="09CE7819">
            <w:pPr>
              <w:spacing w:line="240" w:lineRule="auto"/>
              <w:ind w:firstLine="0" w:firstLineChars="0"/>
              <w:jc w:val="center"/>
              <w:rPr>
                <w:rFonts w:hint="eastAsia" w:ascii="Times New Roman" w:hAnsi="Times New Roman" w:eastAsia="宋体" w:cs="Times New Roman"/>
                <w:color w:val="auto"/>
                <w:sz w:val="18"/>
                <w:szCs w:val="18"/>
              </w:rPr>
            </w:pPr>
            <w:r>
              <w:rPr>
                <w:rFonts w:hint="eastAsia" w:ascii="Times New Roman" w:hAnsi="Times New Roman" w:eastAsia="宋体" w:cs="Times New Roman"/>
                <w:color w:val="auto"/>
                <w:sz w:val="18"/>
                <w:szCs w:val="18"/>
              </w:rPr>
              <w:t>债券本息覆盖倍数（倍）</w:t>
            </w:r>
          </w:p>
        </w:tc>
        <w:tc>
          <w:tcPr>
            <w:tcW w:w="781" w:type="pct"/>
            <w:vAlign w:val="center"/>
          </w:tcPr>
          <w:p w14:paraId="50E21DBD">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1.29</w:t>
            </w:r>
          </w:p>
        </w:tc>
        <w:tc>
          <w:tcPr>
            <w:tcW w:w="781" w:type="pct"/>
            <w:vAlign w:val="center"/>
          </w:tcPr>
          <w:p w14:paraId="0D9BC084">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1.45</w:t>
            </w:r>
          </w:p>
        </w:tc>
        <w:tc>
          <w:tcPr>
            <w:tcW w:w="588" w:type="pct"/>
            <w:vAlign w:val="center"/>
          </w:tcPr>
          <w:p w14:paraId="2B354E2A">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1.61</w:t>
            </w:r>
          </w:p>
        </w:tc>
        <w:tc>
          <w:tcPr>
            <w:tcW w:w="704" w:type="pct"/>
            <w:vAlign w:val="center"/>
          </w:tcPr>
          <w:p w14:paraId="37045C4D">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1.77</w:t>
            </w:r>
          </w:p>
        </w:tc>
        <w:tc>
          <w:tcPr>
            <w:tcW w:w="704" w:type="pct"/>
            <w:vAlign w:val="center"/>
          </w:tcPr>
          <w:p w14:paraId="3D55D4E8">
            <w:pPr>
              <w:spacing w:line="240" w:lineRule="auto"/>
              <w:ind w:firstLine="0" w:firstLineChars="0"/>
              <w:jc w:val="center"/>
              <w:rPr>
                <w:rFonts w:ascii="Times New Roman" w:hAnsi="Times New Roman" w:eastAsia="宋体" w:cs="Times New Roman"/>
                <w:color w:val="auto"/>
                <w:sz w:val="18"/>
                <w:szCs w:val="18"/>
              </w:rPr>
            </w:pPr>
            <w:r>
              <w:rPr>
                <w:rFonts w:ascii="Times New Roman" w:hAnsi="Times New Roman" w:eastAsia="宋体" w:cs="Times New Roman"/>
                <w:color w:val="auto"/>
                <w:sz w:val="18"/>
                <w:szCs w:val="18"/>
              </w:rPr>
              <w:t>1.93</w:t>
            </w:r>
          </w:p>
        </w:tc>
      </w:tr>
    </w:tbl>
    <w:p w14:paraId="07569B65">
      <w:pPr>
        <w:ind w:firstLine="560"/>
        <w:rPr>
          <w:color w:val="auto"/>
        </w:rPr>
      </w:pPr>
    </w:p>
    <w:p w14:paraId="20942D90">
      <w:pPr>
        <w:spacing w:line="360" w:lineRule="auto"/>
        <w:ind w:firstLine="640"/>
        <w:rPr>
          <w:rFonts w:ascii="仿宋_GB2312" w:eastAsia="仿宋_GB2312"/>
          <w:color w:val="auto"/>
          <w:sz w:val="32"/>
          <w:szCs w:val="32"/>
        </w:rPr>
      </w:pPr>
      <w:r>
        <w:rPr>
          <w:rFonts w:hint="eastAsia" w:ascii="仿宋_GB2312" w:hAnsi="仿宋_GB2312" w:eastAsia="仿宋_GB2312" w:cs="仿宋_GB2312"/>
          <w:color w:val="auto"/>
          <w:sz w:val="32"/>
          <w:szCs w:val="32"/>
        </w:rPr>
        <w:t>经过以上测算，在对项目收益预测及所依据的各项假设前提下，</w:t>
      </w:r>
      <w:r>
        <w:rPr>
          <w:rFonts w:ascii="仿宋_GB2312" w:eastAsia="仿宋_GB2312"/>
          <w:color w:val="auto"/>
          <w:sz w:val="32"/>
          <w:szCs w:val="32"/>
        </w:rPr>
        <w:t>当项目收益下降10%时，本息覆盖倍数为1.45倍；当经营活动净现金流量下降20%时，本息覆盖倍数为1.29倍</w:t>
      </w:r>
      <w:r>
        <w:rPr>
          <w:rFonts w:hint="eastAsia" w:ascii="仿宋_GB2312" w:eastAsia="仿宋_GB2312"/>
          <w:color w:val="auto"/>
          <w:sz w:val="32"/>
          <w:szCs w:val="32"/>
        </w:rPr>
        <w:t>，由此可见本项目具有较强抗风险能力。</w:t>
      </w:r>
    </w:p>
    <w:p w14:paraId="6FA4A5CE">
      <w:pPr>
        <w:widowControl w:val="0"/>
        <w:adjustRightInd w:val="0"/>
        <w:snapToGrid w:val="0"/>
        <w:spacing w:line="360" w:lineRule="auto"/>
        <w:ind w:firstLine="640"/>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项目现金流测算表</w:t>
      </w:r>
    </w:p>
    <w:p w14:paraId="1A79CE64">
      <w:pPr>
        <w:widowControl w:val="0"/>
        <w:adjustRightInd w:val="0"/>
        <w:snapToGrid w:val="0"/>
        <w:spacing w:line="360" w:lineRule="auto"/>
        <w:ind w:firstLine="640"/>
        <w:jc w:val="both"/>
        <w:rPr>
          <w:color w:val="auto"/>
        </w:rPr>
      </w:pPr>
      <w:r>
        <w:rPr>
          <w:rFonts w:hint="eastAsia" w:ascii="仿宋_GB2312" w:hAnsi="仿宋_GB2312" w:eastAsia="仿宋_GB2312" w:cs="仿宋_GB2312"/>
          <w:color w:val="auto"/>
          <w:sz w:val="32"/>
          <w:szCs w:val="32"/>
        </w:rPr>
        <w:t>本项目累计现金流入</w:t>
      </w:r>
      <w:r>
        <w:rPr>
          <w:rFonts w:ascii="仿宋_GB2312" w:hAnsi="仿宋_GB2312" w:eastAsia="仿宋_GB2312" w:cs="仿宋_GB2312"/>
          <w:color w:val="auto"/>
          <w:sz w:val="32"/>
          <w:szCs w:val="32"/>
        </w:rPr>
        <w:t>232227.38</w:t>
      </w:r>
      <w:r>
        <w:rPr>
          <w:rFonts w:hint="eastAsia" w:ascii="仿宋_GB2312" w:hAnsi="仿宋_GB2312" w:eastAsia="仿宋_GB2312" w:cs="仿宋_GB2312"/>
          <w:color w:val="auto"/>
          <w:sz w:val="32"/>
          <w:szCs w:val="32"/>
        </w:rPr>
        <w:t>万元，累计现金流出</w:t>
      </w:r>
      <w:r>
        <w:rPr>
          <w:rFonts w:ascii="仿宋_GB2312" w:hAnsi="仿宋_GB2312" w:eastAsia="仿宋_GB2312" w:cs="仿宋_GB2312"/>
          <w:color w:val="auto"/>
          <w:sz w:val="32"/>
          <w:szCs w:val="32"/>
        </w:rPr>
        <w:t>176297.28</w:t>
      </w:r>
      <w:r>
        <w:rPr>
          <w:rFonts w:hint="eastAsia" w:ascii="仿宋_GB2312" w:hAnsi="仿宋_GB2312" w:eastAsia="仿宋_GB2312" w:cs="仿宋_GB2312"/>
          <w:color w:val="auto"/>
          <w:sz w:val="32"/>
          <w:szCs w:val="32"/>
        </w:rPr>
        <w:t>万元，累计现金盈余</w:t>
      </w:r>
      <w:r>
        <w:rPr>
          <w:rFonts w:ascii="仿宋_GB2312" w:hAnsi="仿宋_GB2312" w:eastAsia="仿宋_GB2312" w:cs="仿宋_GB2312"/>
          <w:color w:val="auto"/>
          <w:sz w:val="32"/>
          <w:szCs w:val="32"/>
        </w:rPr>
        <w:t>55930.10</w:t>
      </w:r>
      <w:r>
        <w:rPr>
          <w:rFonts w:hint="eastAsia" w:ascii="仿宋_GB2312" w:hAnsi="仿宋_GB2312" w:eastAsia="仿宋_GB2312" w:cs="仿宋_GB2312"/>
          <w:color w:val="auto"/>
          <w:sz w:val="32"/>
          <w:szCs w:val="32"/>
        </w:rPr>
        <w:t>万元。本项目全部</w:t>
      </w:r>
      <w:r>
        <w:rPr>
          <w:rFonts w:ascii="仿宋_GB2312" w:eastAsia="仿宋_GB2312"/>
          <w:color w:val="auto"/>
          <w:sz w:val="32"/>
          <w:szCs w:val="32"/>
        </w:rPr>
        <w:t>60000.00</w:t>
      </w:r>
      <w:r>
        <w:rPr>
          <w:rFonts w:hint="eastAsia" w:ascii="仿宋_GB2312" w:hAnsi="仿宋_GB2312" w:eastAsia="仿宋_GB2312" w:cs="仿宋_GB2312"/>
          <w:color w:val="auto"/>
          <w:sz w:val="32"/>
          <w:szCs w:val="32"/>
        </w:rPr>
        <w:t>万元专项债到期时，在偿还当年到期的债券本息后，现金盈余</w:t>
      </w:r>
      <w:r>
        <w:rPr>
          <w:rFonts w:ascii="仿宋_GB2312" w:hAnsi="仿宋_GB2312" w:eastAsia="仿宋_GB2312" w:cs="仿宋_GB2312"/>
          <w:color w:val="auto"/>
          <w:sz w:val="32"/>
          <w:szCs w:val="32"/>
        </w:rPr>
        <w:t>55930.10</w:t>
      </w:r>
      <w:r>
        <w:rPr>
          <w:rFonts w:hint="eastAsia" w:ascii="仿宋_GB2312" w:hAnsi="仿宋_GB2312" w:eastAsia="仿宋_GB2312" w:cs="仿宋_GB2312"/>
          <w:color w:val="auto"/>
          <w:sz w:val="32"/>
          <w:szCs w:val="32"/>
        </w:rPr>
        <w:t>万元。期间不存在任何资金缺口。</w:t>
      </w:r>
    </w:p>
    <w:p w14:paraId="4DEFA439">
      <w:pPr>
        <w:adjustRightInd w:val="0"/>
        <w:snapToGrid w:val="0"/>
        <w:spacing w:before="156" w:beforeLines="50" w:after="156" w:line="240" w:lineRule="auto"/>
        <w:ind w:firstLine="0" w:firstLineChars="0"/>
        <w:jc w:val="center"/>
        <w:rPr>
          <w:rFonts w:ascii="Times New Roman" w:hAnsi="Times New Roman" w:eastAsia="宋体" w:cs="Times New Roman"/>
          <w:color w:val="auto"/>
          <w:kern w:val="2"/>
          <w:sz w:val="21"/>
          <w:szCs w:val="20"/>
        </w:rPr>
      </w:pPr>
      <w:r>
        <w:rPr>
          <w:rFonts w:hint="eastAsia" w:ascii="仿宋_GB2312" w:hAnsi="Times New Roman" w:eastAsia="仿宋_GB2312" w:cs="Times New Roman"/>
          <w:color w:val="auto"/>
          <w:kern w:val="2"/>
          <w:sz w:val="32"/>
          <w:szCs w:val="32"/>
        </w:rPr>
        <w:t>表</w:t>
      </w:r>
      <w:r>
        <w:rPr>
          <w:rFonts w:hint="eastAsia" w:ascii="仿宋_GB2312" w:hAnsi="Times New Roman" w:eastAsia="仿宋_GB2312" w:cs="Times New Roman"/>
          <w:color w:val="auto"/>
          <w:kern w:val="2"/>
          <w:sz w:val="32"/>
          <w:szCs w:val="32"/>
        </w:rPr>
        <w:fldChar w:fldCharType="begin"/>
      </w:r>
      <w:r>
        <w:rPr>
          <w:rFonts w:hint="eastAsia" w:ascii="仿宋_GB2312" w:hAnsi="Times New Roman" w:eastAsia="仿宋_GB2312" w:cs="Times New Roman"/>
          <w:color w:val="auto"/>
          <w:kern w:val="2"/>
          <w:sz w:val="32"/>
          <w:szCs w:val="32"/>
        </w:rPr>
        <w:instrText xml:space="preserve"> SEQ 表格 \* ARABIC </w:instrText>
      </w:r>
      <w:r>
        <w:rPr>
          <w:rFonts w:hint="eastAsia" w:ascii="仿宋_GB2312" w:hAnsi="Times New Roman" w:eastAsia="仿宋_GB2312" w:cs="Times New Roman"/>
          <w:color w:val="auto"/>
          <w:kern w:val="2"/>
          <w:sz w:val="32"/>
          <w:szCs w:val="32"/>
        </w:rPr>
        <w:fldChar w:fldCharType="separate"/>
      </w:r>
      <w:r>
        <w:rPr>
          <w:rFonts w:ascii="仿宋_GB2312" w:hAnsi="Times New Roman" w:eastAsia="仿宋_GB2312" w:cs="Times New Roman"/>
          <w:color w:val="auto"/>
          <w:kern w:val="2"/>
          <w:sz w:val="32"/>
          <w:szCs w:val="32"/>
        </w:rPr>
        <w:t>20</w:t>
      </w:r>
      <w:r>
        <w:rPr>
          <w:rFonts w:hint="eastAsia" w:ascii="仿宋_GB2312" w:hAnsi="Times New Roman" w:eastAsia="仿宋_GB2312" w:cs="Times New Roman"/>
          <w:color w:val="auto"/>
          <w:kern w:val="2"/>
          <w:sz w:val="32"/>
          <w:szCs w:val="32"/>
        </w:rPr>
        <w:fldChar w:fldCharType="end"/>
      </w:r>
      <w:r>
        <w:rPr>
          <w:rFonts w:hint="eastAsia" w:ascii="仿宋_GB2312" w:hAnsi="Times New Roman" w:eastAsia="仿宋_GB2312" w:cs="Times New Roman"/>
          <w:color w:val="auto"/>
          <w:kern w:val="2"/>
          <w:sz w:val="32"/>
          <w:szCs w:val="32"/>
        </w:rPr>
        <w:t xml:space="preserve"> </w:t>
      </w:r>
      <w:r>
        <w:rPr>
          <w:rFonts w:ascii="仿宋_GB2312" w:hAnsi="Times New Roman" w:eastAsia="仿宋_GB2312" w:cs="Times New Roman"/>
          <w:color w:val="auto"/>
          <w:kern w:val="2"/>
          <w:sz w:val="32"/>
          <w:szCs w:val="32"/>
        </w:rPr>
        <w:t xml:space="preserve"> </w:t>
      </w:r>
      <w:r>
        <w:rPr>
          <w:rFonts w:hint="eastAsia" w:ascii="仿宋_GB2312" w:hAnsi="Times New Roman" w:eastAsia="仿宋_GB2312" w:cs="Times New Roman"/>
          <w:color w:val="auto"/>
          <w:kern w:val="2"/>
          <w:sz w:val="32"/>
          <w:szCs w:val="32"/>
        </w:rPr>
        <w:t>现金流量表（单位：万元）</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04"/>
        <w:gridCol w:w="3306"/>
        <w:gridCol w:w="1364"/>
        <w:gridCol w:w="1239"/>
        <w:gridCol w:w="1239"/>
        <w:gridCol w:w="1239"/>
        <w:gridCol w:w="1117"/>
        <w:gridCol w:w="1117"/>
        <w:gridCol w:w="1117"/>
        <w:gridCol w:w="1118"/>
        <w:gridCol w:w="1234"/>
      </w:tblGrid>
      <w:tr w14:paraId="326E7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70" w:type="pct"/>
            <w:vAlign w:val="center"/>
          </w:tcPr>
          <w:p w14:paraId="405BD91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1110" w:type="pct"/>
            <w:vAlign w:val="center"/>
          </w:tcPr>
          <w:p w14:paraId="1EA34B9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458" w:type="pct"/>
            <w:vAlign w:val="center"/>
          </w:tcPr>
          <w:p w14:paraId="79971D8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416" w:type="pct"/>
            <w:vAlign w:val="center"/>
          </w:tcPr>
          <w:p w14:paraId="355540D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2024年</w:t>
            </w:r>
          </w:p>
        </w:tc>
        <w:tc>
          <w:tcPr>
            <w:tcW w:w="416" w:type="pct"/>
            <w:vAlign w:val="center"/>
          </w:tcPr>
          <w:p w14:paraId="22A5BFA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2025年</w:t>
            </w:r>
          </w:p>
        </w:tc>
        <w:tc>
          <w:tcPr>
            <w:tcW w:w="416" w:type="pct"/>
            <w:vAlign w:val="center"/>
          </w:tcPr>
          <w:p w14:paraId="4BB5C54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2026年</w:t>
            </w:r>
          </w:p>
        </w:tc>
        <w:tc>
          <w:tcPr>
            <w:tcW w:w="375" w:type="pct"/>
            <w:vAlign w:val="center"/>
          </w:tcPr>
          <w:p w14:paraId="175D1DD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2027年</w:t>
            </w:r>
          </w:p>
        </w:tc>
        <w:tc>
          <w:tcPr>
            <w:tcW w:w="375" w:type="pct"/>
            <w:vAlign w:val="center"/>
          </w:tcPr>
          <w:p w14:paraId="6A4D8E2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2028年</w:t>
            </w:r>
          </w:p>
        </w:tc>
        <w:tc>
          <w:tcPr>
            <w:tcW w:w="375" w:type="pct"/>
            <w:vAlign w:val="center"/>
          </w:tcPr>
          <w:p w14:paraId="3C54377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2029年</w:t>
            </w:r>
          </w:p>
        </w:tc>
        <w:tc>
          <w:tcPr>
            <w:tcW w:w="375" w:type="pct"/>
            <w:vAlign w:val="center"/>
          </w:tcPr>
          <w:p w14:paraId="05E1291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2030年</w:t>
            </w:r>
          </w:p>
        </w:tc>
        <w:tc>
          <w:tcPr>
            <w:tcW w:w="416" w:type="pct"/>
            <w:vAlign w:val="center"/>
          </w:tcPr>
          <w:p w14:paraId="29F18B01">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2031年</w:t>
            </w:r>
          </w:p>
        </w:tc>
      </w:tr>
      <w:tr w14:paraId="41959A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538BA5A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一</w:t>
            </w:r>
          </w:p>
        </w:tc>
        <w:tc>
          <w:tcPr>
            <w:tcW w:w="1110" w:type="pct"/>
            <w:vAlign w:val="center"/>
          </w:tcPr>
          <w:p w14:paraId="2F5E5F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现金流入</w:t>
            </w:r>
          </w:p>
        </w:tc>
        <w:tc>
          <w:tcPr>
            <w:tcW w:w="458" w:type="pct"/>
            <w:vAlign w:val="center"/>
          </w:tcPr>
          <w:p w14:paraId="528F9E1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6AB089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1A39F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D2C6D1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C60E9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CE273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67AC6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F267BF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26E03D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16AE7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0" w:type="pct"/>
            <w:vAlign w:val="center"/>
          </w:tcPr>
          <w:p w14:paraId="236392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110" w:type="pct"/>
            <w:vAlign w:val="center"/>
          </w:tcPr>
          <w:p w14:paraId="3E031C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资本金流入</w:t>
            </w:r>
          </w:p>
        </w:tc>
        <w:tc>
          <w:tcPr>
            <w:tcW w:w="458" w:type="pct"/>
            <w:vAlign w:val="center"/>
          </w:tcPr>
          <w:p w14:paraId="185D17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20998.16</w:t>
            </w:r>
          </w:p>
        </w:tc>
        <w:tc>
          <w:tcPr>
            <w:tcW w:w="416" w:type="pct"/>
            <w:vAlign w:val="center"/>
          </w:tcPr>
          <w:p w14:paraId="466A06A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7000.00</w:t>
            </w:r>
          </w:p>
        </w:tc>
        <w:tc>
          <w:tcPr>
            <w:tcW w:w="416" w:type="pct"/>
            <w:vAlign w:val="center"/>
          </w:tcPr>
          <w:p w14:paraId="6C8E0E6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7000.00</w:t>
            </w:r>
          </w:p>
        </w:tc>
        <w:tc>
          <w:tcPr>
            <w:tcW w:w="416" w:type="pct"/>
            <w:vAlign w:val="center"/>
          </w:tcPr>
          <w:p w14:paraId="20CC830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6998.16</w:t>
            </w:r>
          </w:p>
        </w:tc>
        <w:tc>
          <w:tcPr>
            <w:tcW w:w="375" w:type="pct"/>
            <w:vAlign w:val="center"/>
          </w:tcPr>
          <w:p w14:paraId="60CB812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A25A3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10A07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8C8E8B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E950A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A44F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3ED5BE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w:t>
            </w:r>
          </w:p>
        </w:tc>
        <w:tc>
          <w:tcPr>
            <w:tcW w:w="1110" w:type="pct"/>
            <w:vAlign w:val="center"/>
          </w:tcPr>
          <w:p w14:paraId="290351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财政预算资金流入</w:t>
            </w:r>
          </w:p>
        </w:tc>
        <w:tc>
          <w:tcPr>
            <w:tcW w:w="458" w:type="pct"/>
            <w:vAlign w:val="center"/>
          </w:tcPr>
          <w:p w14:paraId="7F6C73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20998.16</w:t>
            </w:r>
          </w:p>
        </w:tc>
        <w:tc>
          <w:tcPr>
            <w:tcW w:w="416" w:type="pct"/>
            <w:vAlign w:val="center"/>
          </w:tcPr>
          <w:p w14:paraId="7EA56D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7000.00</w:t>
            </w:r>
          </w:p>
        </w:tc>
        <w:tc>
          <w:tcPr>
            <w:tcW w:w="416" w:type="pct"/>
            <w:vAlign w:val="center"/>
          </w:tcPr>
          <w:p w14:paraId="2B64CD5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7000.00</w:t>
            </w:r>
          </w:p>
        </w:tc>
        <w:tc>
          <w:tcPr>
            <w:tcW w:w="416" w:type="pct"/>
            <w:vAlign w:val="center"/>
          </w:tcPr>
          <w:p w14:paraId="5526401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6998.16</w:t>
            </w:r>
          </w:p>
        </w:tc>
        <w:tc>
          <w:tcPr>
            <w:tcW w:w="375" w:type="pct"/>
            <w:vAlign w:val="center"/>
          </w:tcPr>
          <w:p w14:paraId="3776C3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248F1B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236DAD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199A4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E4077E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11F9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52779BD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w:t>
            </w:r>
          </w:p>
        </w:tc>
        <w:tc>
          <w:tcPr>
            <w:tcW w:w="1110" w:type="pct"/>
            <w:vAlign w:val="center"/>
          </w:tcPr>
          <w:p w14:paraId="51A1C8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单位自有资金</w:t>
            </w:r>
          </w:p>
        </w:tc>
        <w:tc>
          <w:tcPr>
            <w:tcW w:w="458" w:type="pct"/>
            <w:vAlign w:val="center"/>
          </w:tcPr>
          <w:p w14:paraId="46973CA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32FDFF4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536F3E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837A5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9DDD55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E4E65B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0A0E1A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6FE1BD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D7EBB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1FB0F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30A4E1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w:t>
            </w:r>
          </w:p>
        </w:tc>
        <w:tc>
          <w:tcPr>
            <w:tcW w:w="1110" w:type="pct"/>
            <w:vAlign w:val="center"/>
          </w:tcPr>
          <w:p w14:paraId="4060E53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用于资本金的专项债券资金</w:t>
            </w:r>
          </w:p>
        </w:tc>
        <w:tc>
          <w:tcPr>
            <w:tcW w:w="458" w:type="pct"/>
            <w:vAlign w:val="center"/>
          </w:tcPr>
          <w:p w14:paraId="6046D1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17E545D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1B410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03DAC9F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B826F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60CD2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4F75E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0FC62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D50DB5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7343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70" w:type="pct"/>
            <w:vAlign w:val="center"/>
          </w:tcPr>
          <w:p w14:paraId="07875C3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110" w:type="pct"/>
            <w:vAlign w:val="center"/>
          </w:tcPr>
          <w:p w14:paraId="6EE8550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债务资金流入</w:t>
            </w:r>
          </w:p>
        </w:tc>
        <w:tc>
          <w:tcPr>
            <w:tcW w:w="458" w:type="pct"/>
            <w:vAlign w:val="center"/>
          </w:tcPr>
          <w:p w14:paraId="62130B9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16" w:type="pct"/>
            <w:vAlign w:val="center"/>
          </w:tcPr>
          <w:p w14:paraId="0FAF96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16" w:type="pct"/>
            <w:vAlign w:val="center"/>
          </w:tcPr>
          <w:p w14:paraId="5E33BB3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20000.00</w:t>
            </w:r>
          </w:p>
        </w:tc>
        <w:tc>
          <w:tcPr>
            <w:tcW w:w="416" w:type="pct"/>
            <w:vAlign w:val="center"/>
          </w:tcPr>
          <w:p w14:paraId="01A132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19000.00</w:t>
            </w:r>
          </w:p>
        </w:tc>
        <w:tc>
          <w:tcPr>
            <w:tcW w:w="375" w:type="pct"/>
            <w:vAlign w:val="center"/>
          </w:tcPr>
          <w:p w14:paraId="202B65B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BE92E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BBB7BC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28872B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27A6707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1A0034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6A8316E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w:t>
            </w:r>
          </w:p>
        </w:tc>
        <w:tc>
          <w:tcPr>
            <w:tcW w:w="1110" w:type="pct"/>
            <w:vAlign w:val="center"/>
          </w:tcPr>
          <w:p w14:paraId="4213051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专项债券资金流入</w:t>
            </w:r>
          </w:p>
        </w:tc>
        <w:tc>
          <w:tcPr>
            <w:tcW w:w="458" w:type="pct"/>
            <w:vAlign w:val="center"/>
          </w:tcPr>
          <w:p w14:paraId="6EB74D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16" w:type="pct"/>
            <w:vAlign w:val="center"/>
          </w:tcPr>
          <w:p w14:paraId="092E85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c>
          <w:tcPr>
            <w:tcW w:w="416" w:type="pct"/>
            <w:vAlign w:val="center"/>
          </w:tcPr>
          <w:p w14:paraId="58B26C6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20000.00</w:t>
            </w:r>
          </w:p>
        </w:tc>
        <w:tc>
          <w:tcPr>
            <w:tcW w:w="416" w:type="pct"/>
            <w:vAlign w:val="center"/>
          </w:tcPr>
          <w:p w14:paraId="4FF6A0B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19000.00</w:t>
            </w:r>
          </w:p>
        </w:tc>
        <w:tc>
          <w:tcPr>
            <w:tcW w:w="375" w:type="pct"/>
            <w:vAlign w:val="center"/>
          </w:tcPr>
          <w:p w14:paraId="43803D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29C0B01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02F94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C723C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65877E2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5FD9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14D7D1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w:t>
            </w:r>
          </w:p>
        </w:tc>
        <w:tc>
          <w:tcPr>
            <w:tcW w:w="1110" w:type="pct"/>
            <w:vAlign w:val="center"/>
          </w:tcPr>
          <w:p w14:paraId="369D10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市场化融资流入</w:t>
            </w:r>
          </w:p>
        </w:tc>
        <w:tc>
          <w:tcPr>
            <w:tcW w:w="458" w:type="pct"/>
            <w:vAlign w:val="center"/>
          </w:tcPr>
          <w:p w14:paraId="428030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4ACCDF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09943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02B0A3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D8F6B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22120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BE6397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A3736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632D67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0E16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266F24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110" w:type="pct"/>
            <w:vAlign w:val="center"/>
          </w:tcPr>
          <w:p w14:paraId="10CF10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项目收入流入</w:t>
            </w:r>
          </w:p>
        </w:tc>
        <w:tc>
          <w:tcPr>
            <w:tcW w:w="458" w:type="pct"/>
            <w:vAlign w:val="center"/>
          </w:tcPr>
          <w:p w14:paraId="72B164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148148.22</w:t>
            </w:r>
          </w:p>
        </w:tc>
        <w:tc>
          <w:tcPr>
            <w:tcW w:w="416" w:type="pct"/>
            <w:vAlign w:val="center"/>
          </w:tcPr>
          <w:p w14:paraId="1A728F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802E5D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623932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76411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3671.89</w:t>
            </w:r>
          </w:p>
        </w:tc>
        <w:tc>
          <w:tcPr>
            <w:tcW w:w="375" w:type="pct"/>
            <w:vAlign w:val="center"/>
          </w:tcPr>
          <w:p w14:paraId="64FAA6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4252.68</w:t>
            </w:r>
          </w:p>
        </w:tc>
        <w:tc>
          <w:tcPr>
            <w:tcW w:w="375" w:type="pct"/>
            <w:vAlign w:val="center"/>
          </w:tcPr>
          <w:p w14:paraId="7ED913C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4833.47</w:t>
            </w:r>
          </w:p>
        </w:tc>
        <w:tc>
          <w:tcPr>
            <w:tcW w:w="375" w:type="pct"/>
            <w:vAlign w:val="center"/>
          </w:tcPr>
          <w:p w14:paraId="68D8F7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416" w:type="pct"/>
            <w:vAlign w:val="center"/>
          </w:tcPr>
          <w:p w14:paraId="668EC4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r>
      <w:tr w14:paraId="31F13D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1E3BD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w:t>
            </w:r>
          </w:p>
        </w:tc>
        <w:tc>
          <w:tcPr>
            <w:tcW w:w="1110" w:type="pct"/>
            <w:vAlign w:val="center"/>
          </w:tcPr>
          <w:p w14:paraId="18F2D9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政府性基金收入流入</w:t>
            </w:r>
          </w:p>
        </w:tc>
        <w:tc>
          <w:tcPr>
            <w:tcW w:w="458" w:type="pct"/>
            <w:vAlign w:val="center"/>
          </w:tcPr>
          <w:p w14:paraId="378DBA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72685.70</w:t>
            </w:r>
          </w:p>
        </w:tc>
        <w:tc>
          <w:tcPr>
            <w:tcW w:w="416" w:type="pct"/>
            <w:vAlign w:val="center"/>
          </w:tcPr>
          <w:p w14:paraId="5331B19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4767A2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038AF3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9A5A4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42AFF03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729F3A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61850C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484248D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r w14:paraId="495CD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ECFE48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w:t>
            </w:r>
          </w:p>
        </w:tc>
        <w:tc>
          <w:tcPr>
            <w:tcW w:w="1110" w:type="pct"/>
            <w:vAlign w:val="center"/>
          </w:tcPr>
          <w:p w14:paraId="587E26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专项收入流入</w:t>
            </w:r>
          </w:p>
        </w:tc>
        <w:tc>
          <w:tcPr>
            <w:tcW w:w="458" w:type="pct"/>
            <w:vAlign w:val="center"/>
          </w:tcPr>
          <w:p w14:paraId="7AA126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75462.52</w:t>
            </w:r>
          </w:p>
        </w:tc>
        <w:tc>
          <w:tcPr>
            <w:tcW w:w="416" w:type="pct"/>
            <w:vAlign w:val="center"/>
          </w:tcPr>
          <w:p w14:paraId="135C859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F7E9A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70557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3092F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3671.89</w:t>
            </w:r>
          </w:p>
        </w:tc>
        <w:tc>
          <w:tcPr>
            <w:tcW w:w="375" w:type="pct"/>
            <w:vAlign w:val="center"/>
          </w:tcPr>
          <w:p w14:paraId="526D36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4252.68</w:t>
            </w:r>
          </w:p>
        </w:tc>
        <w:tc>
          <w:tcPr>
            <w:tcW w:w="375" w:type="pct"/>
            <w:vAlign w:val="center"/>
          </w:tcPr>
          <w:p w14:paraId="42D188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4833.47</w:t>
            </w:r>
          </w:p>
        </w:tc>
        <w:tc>
          <w:tcPr>
            <w:tcW w:w="375" w:type="pct"/>
            <w:vAlign w:val="center"/>
          </w:tcPr>
          <w:p w14:paraId="7B7EA23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416" w:type="pct"/>
            <w:vAlign w:val="center"/>
          </w:tcPr>
          <w:p w14:paraId="442137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r>
      <w:tr w14:paraId="35E2C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9EC08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110" w:type="pct"/>
            <w:vAlign w:val="center"/>
          </w:tcPr>
          <w:p w14:paraId="3F0C96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其他流入</w:t>
            </w:r>
          </w:p>
        </w:tc>
        <w:tc>
          <w:tcPr>
            <w:tcW w:w="458" w:type="pct"/>
            <w:vAlign w:val="center"/>
          </w:tcPr>
          <w:p w14:paraId="60F71A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3081.00</w:t>
            </w:r>
          </w:p>
        </w:tc>
        <w:tc>
          <w:tcPr>
            <w:tcW w:w="416" w:type="pct"/>
            <w:vAlign w:val="center"/>
          </w:tcPr>
          <w:p w14:paraId="02AE2A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6E9C88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16" w:type="pct"/>
            <w:vAlign w:val="center"/>
          </w:tcPr>
          <w:p w14:paraId="063452F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375" w:type="pct"/>
            <w:vAlign w:val="center"/>
          </w:tcPr>
          <w:p w14:paraId="205F40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127D0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F74439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A52993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2DCD3E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E063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588163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小计</w:t>
            </w:r>
          </w:p>
        </w:tc>
        <w:tc>
          <w:tcPr>
            <w:tcW w:w="1110" w:type="pct"/>
            <w:vAlign w:val="center"/>
          </w:tcPr>
          <w:p w14:paraId="76C7B5E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现金流入总额</w:t>
            </w:r>
          </w:p>
        </w:tc>
        <w:tc>
          <w:tcPr>
            <w:tcW w:w="458" w:type="pct"/>
            <w:vAlign w:val="center"/>
          </w:tcPr>
          <w:p w14:paraId="6699597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232227.38</w:t>
            </w:r>
          </w:p>
        </w:tc>
        <w:tc>
          <w:tcPr>
            <w:tcW w:w="416" w:type="pct"/>
            <w:vAlign w:val="center"/>
          </w:tcPr>
          <w:p w14:paraId="240A3D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28000.00</w:t>
            </w:r>
          </w:p>
        </w:tc>
        <w:tc>
          <w:tcPr>
            <w:tcW w:w="416" w:type="pct"/>
            <w:vAlign w:val="center"/>
          </w:tcPr>
          <w:p w14:paraId="37EA94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28189.50</w:t>
            </w:r>
          </w:p>
        </w:tc>
        <w:tc>
          <w:tcPr>
            <w:tcW w:w="416" w:type="pct"/>
            <w:vAlign w:val="center"/>
          </w:tcPr>
          <w:p w14:paraId="3D5EB5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27889.66</w:t>
            </w:r>
          </w:p>
        </w:tc>
        <w:tc>
          <w:tcPr>
            <w:tcW w:w="375" w:type="pct"/>
            <w:vAlign w:val="center"/>
          </w:tcPr>
          <w:p w14:paraId="7553FB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3671.89</w:t>
            </w:r>
          </w:p>
        </w:tc>
        <w:tc>
          <w:tcPr>
            <w:tcW w:w="375" w:type="pct"/>
            <w:vAlign w:val="center"/>
          </w:tcPr>
          <w:p w14:paraId="31EAFAC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4252.68</w:t>
            </w:r>
          </w:p>
        </w:tc>
        <w:tc>
          <w:tcPr>
            <w:tcW w:w="375" w:type="pct"/>
            <w:vAlign w:val="center"/>
          </w:tcPr>
          <w:p w14:paraId="1EA3A9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4833.47</w:t>
            </w:r>
          </w:p>
        </w:tc>
        <w:tc>
          <w:tcPr>
            <w:tcW w:w="375" w:type="pct"/>
            <w:vAlign w:val="center"/>
          </w:tcPr>
          <w:p w14:paraId="07B964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416" w:type="pct"/>
            <w:vAlign w:val="center"/>
          </w:tcPr>
          <w:p w14:paraId="6E513FB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r>
      <w:tr w14:paraId="6AC42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FB945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二</w:t>
            </w:r>
          </w:p>
        </w:tc>
        <w:tc>
          <w:tcPr>
            <w:tcW w:w="1110" w:type="pct"/>
            <w:vAlign w:val="center"/>
          </w:tcPr>
          <w:p w14:paraId="51BD53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现金流出</w:t>
            </w:r>
          </w:p>
        </w:tc>
        <w:tc>
          <w:tcPr>
            <w:tcW w:w="458" w:type="pct"/>
            <w:vAlign w:val="center"/>
          </w:tcPr>
          <w:p w14:paraId="674653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0087F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10801B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B3790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DBF585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0ADF5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CB1EF2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13159C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D4F001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3D49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34924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110" w:type="pct"/>
            <w:vAlign w:val="center"/>
          </w:tcPr>
          <w:p w14:paraId="2809F3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建设期静态投资流出</w:t>
            </w:r>
          </w:p>
        </w:tc>
        <w:tc>
          <w:tcPr>
            <w:tcW w:w="458" w:type="pct"/>
            <w:vAlign w:val="center"/>
          </w:tcPr>
          <w:p w14:paraId="20C6CE2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80998.16</w:t>
            </w:r>
          </w:p>
        </w:tc>
        <w:tc>
          <w:tcPr>
            <w:tcW w:w="416" w:type="pct"/>
            <w:vAlign w:val="center"/>
          </w:tcPr>
          <w:p w14:paraId="05DF73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28000.00</w:t>
            </w:r>
          </w:p>
        </w:tc>
        <w:tc>
          <w:tcPr>
            <w:tcW w:w="416" w:type="pct"/>
            <w:vAlign w:val="center"/>
          </w:tcPr>
          <w:p w14:paraId="684F8A7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27000.00</w:t>
            </w:r>
          </w:p>
        </w:tc>
        <w:tc>
          <w:tcPr>
            <w:tcW w:w="416" w:type="pct"/>
            <w:vAlign w:val="center"/>
          </w:tcPr>
          <w:p w14:paraId="4E8068F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25998.16</w:t>
            </w:r>
          </w:p>
        </w:tc>
        <w:tc>
          <w:tcPr>
            <w:tcW w:w="375" w:type="pct"/>
            <w:vAlign w:val="center"/>
          </w:tcPr>
          <w:p w14:paraId="2F470B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3806E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1176B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A95855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5297E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13B4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7DCCA0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110" w:type="pct"/>
            <w:vAlign w:val="center"/>
          </w:tcPr>
          <w:p w14:paraId="2E4815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运营成本支出</w:t>
            </w:r>
          </w:p>
        </w:tc>
        <w:tc>
          <w:tcPr>
            <w:tcW w:w="458" w:type="pct"/>
            <w:vAlign w:val="center"/>
          </w:tcPr>
          <w:p w14:paraId="1E80B1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3743.86</w:t>
            </w:r>
          </w:p>
        </w:tc>
        <w:tc>
          <w:tcPr>
            <w:tcW w:w="416" w:type="pct"/>
            <w:vAlign w:val="center"/>
          </w:tcPr>
          <w:p w14:paraId="4A2B26B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7479CB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7F7EA36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384EF83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247.25</w:t>
            </w:r>
          </w:p>
        </w:tc>
        <w:tc>
          <w:tcPr>
            <w:tcW w:w="375" w:type="pct"/>
            <w:vAlign w:val="center"/>
          </w:tcPr>
          <w:p w14:paraId="489420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253.45</w:t>
            </w:r>
          </w:p>
        </w:tc>
        <w:tc>
          <w:tcPr>
            <w:tcW w:w="375" w:type="pct"/>
            <w:vAlign w:val="center"/>
          </w:tcPr>
          <w:p w14:paraId="75B2B1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259.79</w:t>
            </w:r>
          </w:p>
        </w:tc>
        <w:tc>
          <w:tcPr>
            <w:tcW w:w="375" w:type="pct"/>
            <w:vAlign w:val="center"/>
          </w:tcPr>
          <w:p w14:paraId="6341C68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266.29</w:t>
            </w:r>
          </w:p>
        </w:tc>
        <w:tc>
          <w:tcPr>
            <w:tcW w:w="416" w:type="pct"/>
            <w:vAlign w:val="center"/>
          </w:tcPr>
          <w:p w14:paraId="6D6B1CC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272.95</w:t>
            </w:r>
          </w:p>
        </w:tc>
      </w:tr>
      <w:tr w14:paraId="7FBE6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198FC2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110" w:type="pct"/>
            <w:vAlign w:val="center"/>
          </w:tcPr>
          <w:p w14:paraId="3B3874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相关税费</w:t>
            </w:r>
          </w:p>
        </w:tc>
        <w:tc>
          <w:tcPr>
            <w:tcW w:w="458" w:type="pct"/>
            <w:vAlign w:val="center"/>
          </w:tcPr>
          <w:p w14:paraId="7FE6815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5072.76</w:t>
            </w:r>
          </w:p>
        </w:tc>
        <w:tc>
          <w:tcPr>
            <w:tcW w:w="416" w:type="pct"/>
            <w:vAlign w:val="center"/>
          </w:tcPr>
          <w:p w14:paraId="48FDCE4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BDEB5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9E150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3E037F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99.95</w:t>
            </w:r>
          </w:p>
        </w:tc>
        <w:tc>
          <w:tcPr>
            <w:tcW w:w="375" w:type="pct"/>
            <w:vAlign w:val="center"/>
          </w:tcPr>
          <w:p w14:paraId="1BD0C1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115.66</w:t>
            </w:r>
          </w:p>
        </w:tc>
        <w:tc>
          <w:tcPr>
            <w:tcW w:w="375" w:type="pct"/>
            <w:vAlign w:val="center"/>
          </w:tcPr>
          <w:p w14:paraId="329CF8A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131.35</w:t>
            </w:r>
          </w:p>
        </w:tc>
        <w:tc>
          <w:tcPr>
            <w:tcW w:w="375" w:type="pct"/>
            <w:vAlign w:val="center"/>
          </w:tcPr>
          <w:p w14:paraId="4AFB5F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161.04</w:t>
            </w:r>
          </w:p>
        </w:tc>
        <w:tc>
          <w:tcPr>
            <w:tcW w:w="416" w:type="pct"/>
            <w:vAlign w:val="center"/>
          </w:tcPr>
          <w:p w14:paraId="288E8C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161.01</w:t>
            </w:r>
          </w:p>
        </w:tc>
      </w:tr>
      <w:tr w14:paraId="475E5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46F938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110" w:type="pct"/>
            <w:vAlign w:val="center"/>
          </w:tcPr>
          <w:p w14:paraId="61F16EC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债务还本付息</w:t>
            </w:r>
          </w:p>
        </w:tc>
        <w:tc>
          <w:tcPr>
            <w:tcW w:w="458" w:type="pct"/>
            <w:vAlign w:val="center"/>
          </w:tcPr>
          <w:p w14:paraId="0633F1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416" w:type="pct"/>
            <w:vAlign w:val="center"/>
          </w:tcPr>
          <w:p w14:paraId="11B85B9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689E563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16" w:type="pct"/>
            <w:vAlign w:val="center"/>
          </w:tcPr>
          <w:p w14:paraId="1D5E7C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375" w:type="pct"/>
            <w:vAlign w:val="center"/>
          </w:tcPr>
          <w:p w14:paraId="4CCEE8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38C3C0C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48C7608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23CE9A1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16" w:type="pct"/>
            <w:vAlign w:val="center"/>
          </w:tcPr>
          <w:p w14:paraId="47F970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3180B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982DE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w:t>
            </w:r>
          </w:p>
        </w:tc>
        <w:tc>
          <w:tcPr>
            <w:tcW w:w="1110" w:type="pct"/>
            <w:vAlign w:val="center"/>
          </w:tcPr>
          <w:p w14:paraId="7C9585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专项债券还本付息</w:t>
            </w:r>
          </w:p>
        </w:tc>
        <w:tc>
          <w:tcPr>
            <w:tcW w:w="458" w:type="pct"/>
            <w:vAlign w:val="center"/>
          </w:tcPr>
          <w:p w14:paraId="0F41DF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416" w:type="pct"/>
            <w:vAlign w:val="center"/>
          </w:tcPr>
          <w:p w14:paraId="6D2CD74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6C4B12E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16" w:type="pct"/>
            <w:vAlign w:val="center"/>
          </w:tcPr>
          <w:p w14:paraId="172057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375" w:type="pct"/>
            <w:vAlign w:val="center"/>
          </w:tcPr>
          <w:p w14:paraId="4ECA670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45E0407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471671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4310B5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16" w:type="pct"/>
            <w:vAlign w:val="center"/>
          </w:tcPr>
          <w:p w14:paraId="732019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1B2D3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32263F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4.1.1</w:t>
            </w:r>
          </w:p>
        </w:tc>
        <w:tc>
          <w:tcPr>
            <w:tcW w:w="1110" w:type="pct"/>
            <w:vAlign w:val="center"/>
          </w:tcPr>
          <w:p w14:paraId="0058876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专项债券还本</w:t>
            </w:r>
          </w:p>
        </w:tc>
        <w:tc>
          <w:tcPr>
            <w:tcW w:w="458" w:type="pct"/>
            <w:vAlign w:val="center"/>
          </w:tcPr>
          <w:p w14:paraId="5F5061D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416" w:type="pct"/>
            <w:vAlign w:val="center"/>
          </w:tcPr>
          <w:p w14:paraId="29C6A8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4534BF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13AA91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11A103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6905EE6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2398154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1C7504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502E4C2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r w14:paraId="5B7C8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2FB0CD3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4.1.2</w:t>
            </w:r>
          </w:p>
        </w:tc>
        <w:tc>
          <w:tcPr>
            <w:tcW w:w="1110" w:type="pct"/>
            <w:vAlign w:val="center"/>
          </w:tcPr>
          <w:p w14:paraId="2CBC85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专项债券付息</w:t>
            </w:r>
          </w:p>
        </w:tc>
        <w:tc>
          <w:tcPr>
            <w:tcW w:w="458" w:type="pct"/>
            <w:vAlign w:val="center"/>
          </w:tcPr>
          <w:p w14:paraId="5762070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416" w:type="pct"/>
            <w:vAlign w:val="center"/>
          </w:tcPr>
          <w:p w14:paraId="66B3AF8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16623C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1189.50</w:t>
            </w:r>
          </w:p>
        </w:tc>
        <w:tc>
          <w:tcPr>
            <w:tcW w:w="416" w:type="pct"/>
            <w:vAlign w:val="center"/>
          </w:tcPr>
          <w:p w14:paraId="51C4D9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1891.50</w:t>
            </w:r>
          </w:p>
        </w:tc>
        <w:tc>
          <w:tcPr>
            <w:tcW w:w="375" w:type="pct"/>
            <w:vAlign w:val="center"/>
          </w:tcPr>
          <w:p w14:paraId="07DF85F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2522E6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46E2C5C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75" w:type="pct"/>
            <w:vAlign w:val="center"/>
          </w:tcPr>
          <w:p w14:paraId="04C9EB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16" w:type="pct"/>
            <w:vAlign w:val="center"/>
          </w:tcPr>
          <w:p w14:paraId="5152406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r>
      <w:tr w14:paraId="27FC0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54168FA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w:t>
            </w:r>
          </w:p>
        </w:tc>
        <w:tc>
          <w:tcPr>
            <w:tcW w:w="1110" w:type="pct"/>
            <w:vAlign w:val="center"/>
          </w:tcPr>
          <w:p w14:paraId="00915F2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市场化融资还本付息</w:t>
            </w:r>
          </w:p>
        </w:tc>
        <w:tc>
          <w:tcPr>
            <w:tcW w:w="458" w:type="pct"/>
            <w:vAlign w:val="center"/>
          </w:tcPr>
          <w:p w14:paraId="63FBDC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505037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0776DB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70B891F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3C5A3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02E8F3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153A16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0881D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0E04D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5D245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A7F9A2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4.2.1</w:t>
            </w:r>
          </w:p>
        </w:tc>
        <w:tc>
          <w:tcPr>
            <w:tcW w:w="1110" w:type="pct"/>
            <w:vAlign w:val="center"/>
          </w:tcPr>
          <w:p w14:paraId="5C4A78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市场化融资还本</w:t>
            </w:r>
          </w:p>
        </w:tc>
        <w:tc>
          <w:tcPr>
            <w:tcW w:w="458" w:type="pct"/>
            <w:vAlign w:val="center"/>
          </w:tcPr>
          <w:p w14:paraId="2FF2442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7C2D36C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6D9C3D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DFE875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89A69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6E041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4469F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64690D5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2D31736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5AF032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569BE0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4.2.2</w:t>
            </w:r>
          </w:p>
        </w:tc>
        <w:tc>
          <w:tcPr>
            <w:tcW w:w="1110" w:type="pct"/>
            <w:vAlign w:val="center"/>
          </w:tcPr>
          <w:p w14:paraId="34F8AAB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市场化融资付息</w:t>
            </w:r>
          </w:p>
        </w:tc>
        <w:tc>
          <w:tcPr>
            <w:tcW w:w="458" w:type="pct"/>
            <w:vAlign w:val="center"/>
          </w:tcPr>
          <w:p w14:paraId="42B9DF8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6FC249D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0B969AB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2BBB06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41074EC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0661D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88E746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C158B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318F20F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2EB69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4BBF7DF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小计</w:t>
            </w:r>
          </w:p>
        </w:tc>
        <w:tc>
          <w:tcPr>
            <w:tcW w:w="1110" w:type="pct"/>
            <w:vAlign w:val="center"/>
          </w:tcPr>
          <w:p w14:paraId="0C4F669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现金流出总额</w:t>
            </w:r>
          </w:p>
        </w:tc>
        <w:tc>
          <w:tcPr>
            <w:tcW w:w="458" w:type="pct"/>
            <w:vAlign w:val="center"/>
          </w:tcPr>
          <w:p w14:paraId="5D20434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176297.28</w:t>
            </w:r>
          </w:p>
        </w:tc>
        <w:tc>
          <w:tcPr>
            <w:tcW w:w="416" w:type="pct"/>
            <w:vAlign w:val="center"/>
          </w:tcPr>
          <w:p w14:paraId="39C1645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28000.00</w:t>
            </w:r>
          </w:p>
        </w:tc>
        <w:tc>
          <w:tcPr>
            <w:tcW w:w="416" w:type="pct"/>
            <w:vAlign w:val="center"/>
          </w:tcPr>
          <w:p w14:paraId="4B323E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28189.50</w:t>
            </w:r>
          </w:p>
        </w:tc>
        <w:tc>
          <w:tcPr>
            <w:tcW w:w="416" w:type="pct"/>
            <w:vAlign w:val="center"/>
          </w:tcPr>
          <w:p w14:paraId="61900F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27889.66</w:t>
            </w:r>
          </w:p>
        </w:tc>
        <w:tc>
          <w:tcPr>
            <w:tcW w:w="375" w:type="pct"/>
            <w:vAlign w:val="center"/>
          </w:tcPr>
          <w:p w14:paraId="6EC152D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2580.70</w:t>
            </w:r>
          </w:p>
        </w:tc>
        <w:tc>
          <w:tcPr>
            <w:tcW w:w="375" w:type="pct"/>
            <w:vAlign w:val="center"/>
          </w:tcPr>
          <w:p w14:paraId="0992FED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2602.61</w:t>
            </w:r>
          </w:p>
        </w:tc>
        <w:tc>
          <w:tcPr>
            <w:tcW w:w="375" w:type="pct"/>
            <w:vAlign w:val="center"/>
          </w:tcPr>
          <w:p w14:paraId="6747023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2624.64</w:t>
            </w:r>
          </w:p>
        </w:tc>
        <w:tc>
          <w:tcPr>
            <w:tcW w:w="375" w:type="pct"/>
            <w:vAlign w:val="center"/>
          </w:tcPr>
          <w:p w14:paraId="2A2D44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2660.83</w:t>
            </w:r>
          </w:p>
        </w:tc>
        <w:tc>
          <w:tcPr>
            <w:tcW w:w="416" w:type="pct"/>
            <w:vAlign w:val="center"/>
          </w:tcPr>
          <w:p w14:paraId="25AB10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2667.46</w:t>
            </w:r>
          </w:p>
        </w:tc>
      </w:tr>
      <w:tr w14:paraId="22DD1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2E730B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三</w:t>
            </w:r>
          </w:p>
        </w:tc>
        <w:tc>
          <w:tcPr>
            <w:tcW w:w="1110" w:type="pct"/>
            <w:vAlign w:val="center"/>
          </w:tcPr>
          <w:p w14:paraId="0E7F1B1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现金净流量</w:t>
            </w:r>
          </w:p>
        </w:tc>
        <w:tc>
          <w:tcPr>
            <w:tcW w:w="458" w:type="pct"/>
            <w:vAlign w:val="center"/>
          </w:tcPr>
          <w:p w14:paraId="3D3E8E2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23E1523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61C5A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58D835F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799B541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56F4FC5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0F82AD7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75" w:type="pct"/>
            <w:vAlign w:val="center"/>
          </w:tcPr>
          <w:p w14:paraId="2344953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191DAF5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2BD41E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168992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110" w:type="pct"/>
            <w:vAlign w:val="center"/>
          </w:tcPr>
          <w:p w14:paraId="36D108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当年现金净流入</w:t>
            </w:r>
          </w:p>
        </w:tc>
        <w:tc>
          <w:tcPr>
            <w:tcW w:w="458" w:type="pct"/>
            <w:vAlign w:val="center"/>
          </w:tcPr>
          <w:p w14:paraId="0C3F19E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55930.10</w:t>
            </w:r>
          </w:p>
        </w:tc>
        <w:tc>
          <w:tcPr>
            <w:tcW w:w="416" w:type="pct"/>
            <w:vAlign w:val="center"/>
          </w:tcPr>
          <w:p w14:paraId="6BD13D6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552DA9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53BD410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1E75A48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1091.19</w:t>
            </w:r>
          </w:p>
        </w:tc>
        <w:tc>
          <w:tcPr>
            <w:tcW w:w="375" w:type="pct"/>
            <w:vAlign w:val="center"/>
          </w:tcPr>
          <w:p w14:paraId="2235C53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1650.07</w:t>
            </w:r>
          </w:p>
        </w:tc>
        <w:tc>
          <w:tcPr>
            <w:tcW w:w="375" w:type="pct"/>
            <w:vAlign w:val="center"/>
          </w:tcPr>
          <w:p w14:paraId="03DB46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2208.83</w:t>
            </w:r>
          </w:p>
        </w:tc>
        <w:tc>
          <w:tcPr>
            <w:tcW w:w="375" w:type="pct"/>
            <w:vAlign w:val="center"/>
          </w:tcPr>
          <w:p w14:paraId="0E3B5AF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3170.93</w:t>
            </w:r>
          </w:p>
        </w:tc>
        <w:tc>
          <w:tcPr>
            <w:tcW w:w="416" w:type="pct"/>
            <w:vAlign w:val="center"/>
          </w:tcPr>
          <w:p w14:paraId="161E84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3164.30</w:t>
            </w:r>
          </w:p>
        </w:tc>
      </w:tr>
      <w:tr w14:paraId="7FF90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0" w:type="pct"/>
            <w:vAlign w:val="center"/>
          </w:tcPr>
          <w:p w14:paraId="03AA10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110" w:type="pct"/>
            <w:vAlign w:val="center"/>
          </w:tcPr>
          <w:p w14:paraId="2E55E0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期末累计现金结存额</w:t>
            </w:r>
          </w:p>
        </w:tc>
        <w:tc>
          <w:tcPr>
            <w:tcW w:w="458" w:type="pct"/>
            <w:vAlign w:val="center"/>
          </w:tcPr>
          <w:p w14:paraId="2F9A1AE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16" w:type="pct"/>
            <w:vAlign w:val="center"/>
          </w:tcPr>
          <w:p w14:paraId="4605FA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6E59E6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16" w:type="pct"/>
            <w:vAlign w:val="center"/>
          </w:tcPr>
          <w:p w14:paraId="09F581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75" w:type="pct"/>
            <w:vAlign w:val="center"/>
          </w:tcPr>
          <w:p w14:paraId="2A8374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1091.19</w:t>
            </w:r>
          </w:p>
        </w:tc>
        <w:tc>
          <w:tcPr>
            <w:tcW w:w="375" w:type="pct"/>
            <w:vAlign w:val="center"/>
          </w:tcPr>
          <w:p w14:paraId="1006A5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2741.26</w:t>
            </w:r>
          </w:p>
        </w:tc>
        <w:tc>
          <w:tcPr>
            <w:tcW w:w="375" w:type="pct"/>
            <w:vAlign w:val="center"/>
          </w:tcPr>
          <w:p w14:paraId="6A1770B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4950.09</w:t>
            </w:r>
          </w:p>
        </w:tc>
        <w:tc>
          <w:tcPr>
            <w:tcW w:w="375" w:type="pct"/>
            <w:vAlign w:val="center"/>
          </w:tcPr>
          <w:p w14:paraId="204B5E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8121.02</w:t>
            </w:r>
          </w:p>
        </w:tc>
        <w:tc>
          <w:tcPr>
            <w:tcW w:w="416" w:type="pct"/>
            <w:vAlign w:val="center"/>
          </w:tcPr>
          <w:p w14:paraId="0672DF9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11285.32</w:t>
            </w:r>
          </w:p>
        </w:tc>
      </w:tr>
    </w:tbl>
    <w:p w14:paraId="7D7C0D00">
      <w:pPr>
        <w:pStyle w:val="7"/>
        <w:spacing w:after="0" w:line="560" w:lineRule="exact"/>
        <w:ind w:firstLine="640"/>
        <w:rPr>
          <w:rFonts w:hint="eastAsia" w:ascii="仿宋_GB2312" w:eastAsia="仿宋_GB2312"/>
          <w:bCs/>
          <w:color w:val="auto"/>
          <w:sz w:val="32"/>
          <w:szCs w:val="32"/>
        </w:rPr>
      </w:pPr>
      <w:r>
        <w:rPr>
          <w:rFonts w:hint="eastAsia" w:ascii="仿宋_GB2312" w:eastAsia="仿宋_GB2312"/>
          <w:bCs/>
          <w:color w:val="auto"/>
          <w:sz w:val="32"/>
          <w:szCs w:val="32"/>
        </w:rPr>
        <w:t>续表：</w:t>
      </w:r>
    </w:p>
    <w:tbl>
      <w:tblPr>
        <w:tblStyle w:val="2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66"/>
        <w:gridCol w:w="3149"/>
        <w:gridCol w:w="1299"/>
        <w:gridCol w:w="1180"/>
        <w:gridCol w:w="1180"/>
        <w:gridCol w:w="1180"/>
        <w:gridCol w:w="1260"/>
        <w:gridCol w:w="1260"/>
        <w:gridCol w:w="1180"/>
        <w:gridCol w:w="1180"/>
        <w:gridCol w:w="1260"/>
      </w:tblGrid>
      <w:tr w14:paraId="5A7A9C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57" w:type="pct"/>
            <w:vAlign w:val="center"/>
          </w:tcPr>
          <w:p w14:paraId="77C8009B">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序号</w:t>
            </w:r>
          </w:p>
        </w:tc>
        <w:tc>
          <w:tcPr>
            <w:tcW w:w="1057" w:type="pct"/>
            <w:vAlign w:val="center"/>
          </w:tcPr>
          <w:p w14:paraId="4ECC4334">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项目</w:t>
            </w:r>
          </w:p>
        </w:tc>
        <w:tc>
          <w:tcPr>
            <w:tcW w:w="436" w:type="pct"/>
            <w:vAlign w:val="center"/>
          </w:tcPr>
          <w:p w14:paraId="0D3AF657">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合计</w:t>
            </w:r>
          </w:p>
        </w:tc>
        <w:tc>
          <w:tcPr>
            <w:tcW w:w="396" w:type="pct"/>
            <w:vAlign w:val="center"/>
          </w:tcPr>
          <w:p w14:paraId="2A090FEB">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2032年</w:t>
            </w:r>
          </w:p>
        </w:tc>
        <w:tc>
          <w:tcPr>
            <w:tcW w:w="396" w:type="pct"/>
            <w:vAlign w:val="center"/>
          </w:tcPr>
          <w:p w14:paraId="38B47992">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2033年</w:t>
            </w:r>
          </w:p>
        </w:tc>
        <w:tc>
          <w:tcPr>
            <w:tcW w:w="396" w:type="pct"/>
            <w:vAlign w:val="center"/>
          </w:tcPr>
          <w:p w14:paraId="7EA8AFA6">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2034年</w:t>
            </w:r>
          </w:p>
        </w:tc>
        <w:tc>
          <w:tcPr>
            <w:tcW w:w="423" w:type="pct"/>
            <w:vAlign w:val="center"/>
          </w:tcPr>
          <w:p w14:paraId="28677CCD">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2035年</w:t>
            </w:r>
          </w:p>
        </w:tc>
        <w:tc>
          <w:tcPr>
            <w:tcW w:w="423" w:type="pct"/>
            <w:vAlign w:val="center"/>
          </w:tcPr>
          <w:p w14:paraId="252B83F0">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2036年</w:t>
            </w:r>
          </w:p>
        </w:tc>
        <w:tc>
          <w:tcPr>
            <w:tcW w:w="396" w:type="pct"/>
            <w:vAlign w:val="center"/>
          </w:tcPr>
          <w:p w14:paraId="11716243">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2037年</w:t>
            </w:r>
          </w:p>
        </w:tc>
        <w:tc>
          <w:tcPr>
            <w:tcW w:w="396" w:type="pct"/>
            <w:vAlign w:val="center"/>
          </w:tcPr>
          <w:p w14:paraId="45D3502C">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2038年</w:t>
            </w:r>
          </w:p>
        </w:tc>
        <w:tc>
          <w:tcPr>
            <w:tcW w:w="423" w:type="pct"/>
            <w:vAlign w:val="center"/>
          </w:tcPr>
          <w:p w14:paraId="56B78BCA">
            <w:pPr>
              <w:pStyle w:val="7"/>
              <w:widowControl w:val="0"/>
              <w:adjustRightInd/>
              <w:snapToGrid/>
              <w:spacing w:before="0" w:after="0" w:line="240" w:lineRule="auto"/>
              <w:ind w:firstLine="0" w:firstLineChars="0"/>
              <w:jc w:val="center"/>
              <w:rPr>
                <w:rFonts w:hint="eastAsia" w:ascii="Times New Roman" w:hAnsi="Times New Roman" w:eastAsia="宋体" w:cs="Times New Roman"/>
                <w:b/>
                <w:bCs/>
                <w:color w:val="auto"/>
                <w:sz w:val="18"/>
                <w:szCs w:val="32"/>
              </w:rPr>
            </w:pPr>
            <w:r>
              <w:rPr>
                <w:rFonts w:hint="eastAsia" w:ascii="Times New Roman" w:hAnsi="Times New Roman" w:eastAsia="宋体" w:cs="Times New Roman"/>
                <w:b/>
                <w:bCs/>
                <w:color w:val="auto"/>
                <w:sz w:val="18"/>
                <w:szCs w:val="32"/>
              </w:rPr>
              <w:t>2039年</w:t>
            </w:r>
          </w:p>
        </w:tc>
      </w:tr>
      <w:tr w14:paraId="577CF4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CC4460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一</w:t>
            </w:r>
          </w:p>
        </w:tc>
        <w:tc>
          <w:tcPr>
            <w:tcW w:w="1057" w:type="pct"/>
            <w:vAlign w:val="center"/>
          </w:tcPr>
          <w:p w14:paraId="00BE47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现金流入</w:t>
            </w:r>
          </w:p>
        </w:tc>
        <w:tc>
          <w:tcPr>
            <w:tcW w:w="436" w:type="pct"/>
            <w:vAlign w:val="center"/>
          </w:tcPr>
          <w:p w14:paraId="1ED1150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620DBE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5A105E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D6C03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3D2E3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0C6F1E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DE30C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A5941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3D328DF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67B63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FC18B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057" w:type="pct"/>
            <w:vAlign w:val="center"/>
          </w:tcPr>
          <w:p w14:paraId="6F09AF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资本金流入</w:t>
            </w:r>
          </w:p>
        </w:tc>
        <w:tc>
          <w:tcPr>
            <w:tcW w:w="436" w:type="pct"/>
            <w:vAlign w:val="center"/>
          </w:tcPr>
          <w:p w14:paraId="618CD09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20998.16</w:t>
            </w:r>
          </w:p>
        </w:tc>
        <w:tc>
          <w:tcPr>
            <w:tcW w:w="396" w:type="pct"/>
            <w:vAlign w:val="center"/>
          </w:tcPr>
          <w:p w14:paraId="722B5FC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5078D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DC940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7CBF272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C4E2E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E6D19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A8AF1B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6F6744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602F1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57" w:type="pct"/>
            <w:vAlign w:val="center"/>
          </w:tcPr>
          <w:p w14:paraId="54BDCB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w:t>
            </w:r>
          </w:p>
        </w:tc>
        <w:tc>
          <w:tcPr>
            <w:tcW w:w="1057" w:type="pct"/>
            <w:vAlign w:val="center"/>
          </w:tcPr>
          <w:p w14:paraId="1022691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财政预算资金流入</w:t>
            </w:r>
          </w:p>
        </w:tc>
        <w:tc>
          <w:tcPr>
            <w:tcW w:w="436" w:type="pct"/>
            <w:vAlign w:val="center"/>
          </w:tcPr>
          <w:p w14:paraId="13257A6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20998.16</w:t>
            </w:r>
          </w:p>
        </w:tc>
        <w:tc>
          <w:tcPr>
            <w:tcW w:w="396" w:type="pct"/>
            <w:vAlign w:val="center"/>
          </w:tcPr>
          <w:p w14:paraId="1FD4C6D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0DCD34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2A285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FEEA50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613E92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889193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E9945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9139B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490EC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0A42EEC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1.2</w:t>
            </w:r>
          </w:p>
        </w:tc>
        <w:tc>
          <w:tcPr>
            <w:tcW w:w="1057" w:type="pct"/>
            <w:vAlign w:val="center"/>
          </w:tcPr>
          <w:p w14:paraId="44CE866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单位自有资金</w:t>
            </w:r>
          </w:p>
        </w:tc>
        <w:tc>
          <w:tcPr>
            <w:tcW w:w="436" w:type="pct"/>
            <w:vAlign w:val="center"/>
          </w:tcPr>
          <w:p w14:paraId="420810C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4A77EAC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57670E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BD6A9A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5386EF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71061C7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27F3BE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628EC3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AFA229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701D1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5654A7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1.3</w:t>
            </w:r>
          </w:p>
        </w:tc>
        <w:tc>
          <w:tcPr>
            <w:tcW w:w="1057" w:type="pct"/>
            <w:vAlign w:val="center"/>
          </w:tcPr>
          <w:p w14:paraId="08A47F2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用于资本金的专项债券资金</w:t>
            </w:r>
          </w:p>
        </w:tc>
        <w:tc>
          <w:tcPr>
            <w:tcW w:w="436" w:type="pct"/>
            <w:vAlign w:val="center"/>
          </w:tcPr>
          <w:p w14:paraId="29AF177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3D242C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FD32A7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310D8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84E3B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7C5271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1E73E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F536B5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E4AA15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06DB57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7156B6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057" w:type="pct"/>
            <w:vAlign w:val="center"/>
          </w:tcPr>
          <w:p w14:paraId="7BC61F9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债务资金流入</w:t>
            </w:r>
          </w:p>
        </w:tc>
        <w:tc>
          <w:tcPr>
            <w:tcW w:w="436" w:type="pct"/>
            <w:vAlign w:val="center"/>
          </w:tcPr>
          <w:p w14:paraId="7AB5CCA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396" w:type="pct"/>
            <w:vAlign w:val="center"/>
          </w:tcPr>
          <w:p w14:paraId="2B78E7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856FD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C3BD76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3EC46B4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05383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EF0DA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90B689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35B89F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63782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7B6E4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w:t>
            </w:r>
          </w:p>
        </w:tc>
        <w:tc>
          <w:tcPr>
            <w:tcW w:w="1057" w:type="pct"/>
            <w:vAlign w:val="center"/>
          </w:tcPr>
          <w:p w14:paraId="2E6D55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专项债券资金流入</w:t>
            </w:r>
          </w:p>
        </w:tc>
        <w:tc>
          <w:tcPr>
            <w:tcW w:w="436" w:type="pct"/>
            <w:vAlign w:val="center"/>
          </w:tcPr>
          <w:p w14:paraId="336EEF0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396" w:type="pct"/>
            <w:vAlign w:val="center"/>
          </w:tcPr>
          <w:p w14:paraId="41D58B6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851EBC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9CEE0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08192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5EC350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1BA1F7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C56B3C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253AFFE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8F68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1367C1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w:t>
            </w:r>
          </w:p>
        </w:tc>
        <w:tc>
          <w:tcPr>
            <w:tcW w:w="1057" w:type="pct"/>
            <w:vAlign w:val="center"/>
          </w:tcPr>
          <w:p w14:paraId="0E89502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市场化融资流入</w:t>
            </w:r>
          </w:p>
        </w:tc>
        <w:tc>
          <w:tcPr>
            <w:tcW w:w="436" w:type="pct"/>
            <w:vAlign w:val="center"/>
          </w:tcPr>
          <w:p w14:paraId="44D4310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1B6972A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75FF80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7BA5D4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3999D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773550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36D2F9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EC6A7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61544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08563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4B9A12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057" w:type="pct"/>
            <w:vAlign w:val="center"/>
          </w:tcPr>
          <w:p w14:paraId="40692D7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项目收入流入</w:t>
            </w:r>
          </w:p>
        </w:tc>
        <w:tc>
          <w:tcPr>
            <w:tcW w:w="436" w:type="pct"/>
            <w:vAlign w:val="center"/>
          </w:tcPr>
          <w:p w14:paraId="1E01FA3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148148.22</w:t>
            </w:r>
          </w:p>
        </w:tc>
        <w:tc>
          <w:tcPr>
            <w:tcW w:w="396" w:type="pct"/>
            <w:vAlign w:val="center"/>
          </w:tcPr>
          <w:p w14:paraId="4CE8A4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396" w:type="pct"/>
            <w:vAlign w:val="center"/>
          </w:tcPr>
          <w:p w14:paraId="13EDA73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78517.46</w:t>
            </w:r>
          </w:p>
        </w:tc>
        <w:tc>
          <w:tcPr>
            <w:tcW w:w="396" w:type="pct"/>
            <w:vAlign w:val="center"/>
          </w:tcPr>
          <w:p w14:paraId="1F357E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6240802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5F804B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57EF95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1D446E1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c>
          <w:tcPr>
            <w:tcW w:w="423" w:type="pct"/>
            <w:vAlign w:val="center"/>
          </w:tcPr>
          <w:p w14:paraId="6540F72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r>
      <w:tr w14:paraId="233A2E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DB65E1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w:t>
            </w:r>
          </w:p>
        </w:tc>
        <w:tc>
          <w:tcPr>
            <w:tcW w:w="1057" w:type="pct"/>
            <w:vAlign w:val="center"/>
          </w:tcPr>
          <w:p w14:paraId="0844304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政府性基金收入流入</w:t>
            </w:r>
          </w:p>
        </w:tc>
        <w:tc>
          <w:tcPr>
            <w:tcW w:w="436" w:type="pct"/>
            <w:vAlign w:val="center"/>
          </w:tcPr>
          <w:p w14:paraId="3AFC2B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72685.70</w:t>
            </w:r>
          </w:p>
        </w:tc>
        <w:tc>
          <w:tcPr>
            <w:tcW w:w="396" w:type="pct"/>
            <w:vAlign w:val="center"/>
          </w:tcPr>
          <w:p w14:paraId="7726003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07E33E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72685.70</w:t>
            </w:r>
          </w:p>
        </w:tc>
        <w:tc>
          <w:tcPr>
            <w:tcW w:w="396" w:type="pct"/>
            <w:vAlign w:val="center"/>
          </w:tcPr>
          <w:p w14:paraId="33CFA31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3" w:type="pct"/>
            <w:vAlign w:val="center"/>
          </w:tcPr>
          <w:p w14:paraId="3FB01E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3" w:type="pct"/>
            <w:vAlign w:val="center"/>
          </w:tcPr>
          <w:p w14:paraId="629CF40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3A499D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352D5C1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3" w:type="pct"/>
            <w:vAlign w:val="center"/>
          </w:tcPr>
          <w:p w14:paraId="28320D6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r>
      <w:tr w14:paraId="40827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0A19695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w:t>
            </w:r>
          </w:p>
        </w:tc>
        <w:tc>
          <w:tcPr>
            <w:tcW w:w="1057" w:type="pct"/>
            <w:vAlign w:val="center"/>
          </w:tcPr>
          <w:p w14:paraId="0BE9E67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专项收入流入</w:t>
            </w:r>
          </w:p>
        </w:tc>
        <w:tc>
          <w:tcPr>
            <w:tcW w:w="436" w:type="pct"/>
            <w:vAlign w:val="center"/>
          </w:tcPr>
          <w:p w14:paraId="273B839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75462.52</w:t>
            </w:r>
          </w:p>
        </w:tc>
        <w:tc>
          <w:tcPr>
            <w:tcW w:w="396" w:type="pct"/>
            <w:vAlign w:val="center"/>
          </w:tcPr>
          <w:p w14:paraId="3133938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396" w:type="pct"/>
            <w:vAlign w:val="center"/>
          </w:tcPr>
          <w:p w14:paraId="22AF051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396" w:type="pct"/>
            <w:vAlign w:val="center"/>
          </w:tcPr>
          <w:p w14:paraId="2F644BC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35BB0E9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642CA5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1FDAF05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2D435E8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c>
          <w:tcPr>
            <w:tcW w:w="423" w:type="pct"/>
            <w:vAlign w:val="center"/>
          </w:tcPr>
          <w:p w14:paraId="0C8E0C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r>
      <w:tr w14:paraId="0ECACD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75597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057" w:type="pct"/>
            <w:vAlign w:val="center"/>
          </w:tcPr>
          <w:p w14:paraId="59B504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其他流入</w:t>
            </w:r>
          </w:p>
        </w:tc>
        <w:tc>
          <w:tcPr>
            <w:tcW w:w="436" w:type="pct"/>
            <w:vAlign w:val="center"/>
          </w:tcPr>
          <w:p w14:paraId="107A8DC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3081.00</w:t>
            </w:r>
          </w:p>
        </w:tc>
        <w:tc>
          <w:tcPr>
            <w:tcW w:w="396" w:type="pct"/>
            <w:vAlign w:val="center"/>
          </w:tcPr>
          <w:p w14:paraId="489EA92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9CBC8B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9DFA0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31ED7B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145DAC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FE5C0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C1F9C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3C8860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59EB2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154AE1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小计</w:t>
            </w:r>
          </w:p>
        </w:tc>
        <w:tc>
          <w:tcPr>
            <w:tcW w:w="1057" w:type="pct"/>
            <w:vAlign w:val="center"/>
          </w:tcPr>
          <w:p w14:paraId="74CB13D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现金流入总额</w:t>
            </w:r>
          </w:p>
        </w:tc>
        <w:tc>
          <w:tcPr>
            <w:tcW w:w="436" w:type="pct"/>
            <w:vAlign w:val="center"/>
          </w:tcPr>
          <w:p w14:paraId="2DC54D3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232227.38</w:t>
            </w:r>
          </w:p>
        </w:tc>
        <w:tc>
          <w:tcPr>
            <w:tcW w:w="396" w:type="pct"/>
            <w:vAlign w:val="center"/>
          </w:tcPr>
          <w:p w14:paraId="0530FC1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5831.76</w:t>
            </w:r>
          </w:p>
        </w:tc>
        <w:tc>
          <w:tcPr>
            <w:tcW w:w="396" w:type="pct"/>
            <w:vAlign w:val="center"/>
          </w:tcPr>
          <w:p w14:paraId="434403E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78517.46</w:t>
            </w:r>
          </w:p>
        </w:tc>
        <w:tc>
          <w:tcPr>
            <w:tcW w:w="396" w:type="pct"/>
            <w:vAlign w:val="center"/>
          </w:tcPr>
          <w:p w14:paraId="23559C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265F5C6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423" w:type="pct"/>
            <w:vAlign w:val="center"/>
          </w:tcPr>
          <w:p w14:paraId="33682AC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3E3E65A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6366.75</w:t>
            </w:r>
          </w:p>
        </w:tc>
        <w:tc>
          <w:tcPr>
            <w:tcW w:w="396" w:type="pct"/>
            <w:vAlign w:val="center"/>
          </w:tcPr>
          <w:p w14:paraId="7ACE31B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c>
          <w:tcPr>
            <w:tcW w:w="423" w:type="pct"/>
            <w:vAlign w:val="center"/>
          </w:tcPr>
          <w:p w14:paraId="53575F2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6955.22</w:t>
            </w:r>
          </w:p>
        </w:tc>
      </w:tr>
      <w:tr w14:paraId="2F9DC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D11400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二</w:t>
            </w:r>
          </w:p>
        </w:tc>
        <w:tc>
          <w:tcPr>
            <w:tcW w:w="1057" w:type="pct"/>
            <w:vAlign w:val="center"/>
          </w:tcPr>
          <w:p w14:paraId="09D13E4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现金流出</w:t>
            </w:r>
          </w:p>
        </w:tc>
        <w:tc>
          <w:tcPr>
            <w:tcW w:w="436" w:type="pct"/>
            <w:vAlign w:val="center"/>
          </w:tcPr>
          <w:p w14:paraId="3B4E1F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F2B988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687F7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928C58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C2FC99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7055094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952ED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D74AE8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058897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793D2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52B995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057" w:type="pct"/>
            <w:vAlign w:val="center"/>
          </w:tcPr>
          <w:p w14:paraId="3496DB5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建设期静态投资流出</w:t>
            </w:r>
          </w:p>
        </w:tc>
        <w:tc>
          <w:tcPr>
            <w:tcW w:w="436" w:type="pct"/>
            <w:vAlign w:val="center"/>
          </w:tcPr>
          <w:p w14:paraId="1A68D85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80998.16</w:t>
            </w:r>
          </w:p>
        </w:tc>
        <w:tc>
          <w:tcPr>
            <w:tcW w:w="396" w:type="pct"/>
            <w:vAlign w:val="center"/>
          </w:tcPr>
          <w:p w14:paraId="433F7B1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7562B9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76B16B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25415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3ED5E5D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EE0418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C3F982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EBC4F5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56A82E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3AB6E3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057" w:type="pct"/>
            <w:vAlign w:val="center"/>
          </w:tcPr>
          <w:p w14:paraId="1555252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运营成本支出</w:t>
            </w:r>
          </w:p>
        </w:tc>
        <w:tc>
          <w:tcPr>
            <w:tcW w:w="436" w:type="pct"/>
            <w:vAlign w:val="center"/>
          </w:tcPr>
          <w:p w14:paraId="7E7FCE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3743.86</w:t>
            </w:r>
          </w:p>
        </w:tc>
        <w:tc>
          <w:tcPr>
            <w:tcW w:w="396" w:type="pct"/>
            <w:vAlign w:val="center"/>
          </w:tcPr>
          <w:p w14:paraId="08284D1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279.78</w:t>
            </w:r>
          </w:p>
        </w:tc>
        <w:tc>
          <w:tcPr>
            <w:tcW w:w="396" w:type="pct"/>
            <w:vAlign w:val="center"/>
          </w:tcPr>
          <w:p w14:paraId="0D23270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286.77</w:t>
            </w:r>
          </w:p>
        </w:tc>
        <w:tc>
          <w:tcPr>
            <w:tcW w:w="396" w:type="pct"/>
            <w:vAlign w:val="center"/>
          </w:tcPr>
          <w:p w14:paraId="189D1B0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293.94</w:t>
            </w:r>
          </w:p>
        </w:tc>
        <w:tc>
          <w:tcPr>
            <w:tcW w:w="423" w:type="pct"/>
            <w:vAlign w:val="center"/>
          </w:tcPr>
          <w:p w14:paraId="5E237D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301.28</w:t>
            </w:r>
          </w:p>
        </w:tc>
        <w:tc>
          <w:tcPr>
            <w:tcW w:w="423" w:type="pct"/>
            <w:vAlign w:val="center"/>
          </w:tcPr>
          <w:p w14:paraId="1295E8B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308.80</w:t>
            </w:r>
          </w:p>
        </w:tc>
        <w:tc>
          <w:tcPr>
            <w:tcW w:w="396" w:type="pct"/>
            <w:vAlign w:val="center"/>
          </w:tcPr>
          <w:p w14:paraId="1C0D8C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316.54</w:t>
            </w:r>
          </w:p>
        </w:tc>
        <w:tc>
          <w:tcPr>
            <w:tcW w:w="396" w:type="pct"/>
            <w:vAlign w:val="center"/>
          </w:tcPr>
          <w:p w14:paraId="4EDA744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324.45</w:t>
            </w:r>
          </w:p>
        </w:tc>
        <w:tc>
          <w:tcPr>
            <w:tcW w:w="423" w:type="pct"/>
            <w:vAlign w:val="center"/>
          </w:tcPr>
          <w:p w14:paraId="2DACBBA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332.57</w:t>
            </w:r>
          </w:p>
        </w:tc>
      </w:tr>
      <w:tr w14:paraId="554CCF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0D15FB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w:t>
            </w:r>
          </w:p>
        </w:tc>
        <w:tc>
          <w:tcPr>
            <w:tcW w:w="1057" w:type="pct"/>
            <w:vAlign w:val="center"/>
          </w:tcPr>
          <w:p w14:paraId="1F5F2E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相关税费</w:t>
            </w:r>
          </w:p>
        </w:tc>
        <w:tc>
          <w:tcPr>
            <w:tcW w:w="436" w:type="pct"/>
            <w:vAlign w:val="center"/>
          </w:tcPr>
          <w:p w14:paraId="219A0AD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5072.76</w:t>
            </w:r>
          </w:p>
        </w:tc>
        <w:tc>
          <w:tcPr>
            <w:tcW w:w="396" w:type="pct"/>
            <w:vAlign w:val="center"/>
          </w:tcPr>
          <w:p w14:paraId="2D9F4BD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160.96</w:t>
            </w:r>
          </w:p>
        </w:tc>
        <w:tc>
          <w:tcPr>
            <w:tcW w:w="396" w:type="pct"/>
            <w:vAlign w:val="center"/>
          </w:tcPr>
          <w:p w14:paraId="532CB6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160.92</w:t>
            </w:r>
          </w:p>
        </w:tc>
        <w:tc>
          <w:tcPr>
            <w:tcW w:w="396" w:type="pct"/>
            <w:vAlign w:val="center"/>
          </w:tcPr>
          <w:p w14:paraId="755FF04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294.67</w:t>
            </w:r>
          </w:p>
        </w:tc>
        <w:tc>
          <w:tcPr>
            <w:tcW w:w="423" w:type="pct"/>
            <w:vAlign w:val="center"/>
          </w:tcPr>
          <w:p w14:paraId="7C90DA5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505.58</w:t>
            </w:r>
          </w:p>
        </w:tc>
        <w:tc>
          <w:tcPr>
            <w:tcW w:w="423" w:type="pct"/>
            <w:vAlign w:val="center"/>
          </w:tcPr>
          <w:p w14:paraId="5C14DE4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679.15</w:t>
            </w:r>
          </w:p>
        </w:tc>
        <w:tc>
          <w:tcPr>
            <w:tcW w:w="396" w:type="pct"/>
            <w:vAlign w:val="center"/>
          </w:tcPr>
          <w:p w14:paraId="27A0E75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762.68</w:t>
            </w:r>
          </w:p>
        </w:tc>
        <w:tc>
          <w:tcPr>
            <w:tcW w:w="396" w:type="pct"/>
            <w:vAlign w:val="center"/>
          </w:tcPr>
          <w:p w14:paraId="62D7FD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920.93</w:t>
            </w:r>
          </w:p>
        </w:tc>
        <w:tc>
          <w:tcPr>
            <w:tcW w:w="423" w:type="pct"/>
            <w:vAlign w:val="center"/>
          </w:tcPr>
          <w:p w14:paraId="132D8B7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918.86</w:t>
            </w:r>
          </w:p>
        </w:tc>
      </w:tr>
      <w:tr w14:paraId="36A7D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7EBD03C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w:t>
            </w:r>
          </w:p>
        </w:tc>
        <w:tc>
          <w:tcPr>
            <w:tcW w:w="1057" w:type="pct"/>
            <w:vAlign w:val="center"/>
          </w:tcPr>
          <w:p w14:paraId="3446919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债务还本付息</w:t>
            </w:r>
          </w:p>
        </w:tc>
        <w:tc>
          <w:tcPr>
            <w:tcW w:w="436" w:type="pct"/>
            <w:vAlign w:val="center"/>
          </w:tcPr>
          <w:p w14:paraId="124CB6A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396" w:type="pct"/>
            <w:vAlign w:val="center"/>
          </w:tcPr>
          <w:p w14:paraId="2408329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6989590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5528D4F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3" w:type="pct"/>
            <w:vAlign w:val="center"/>
          </w:tcPr>
          <w:p w14:paraId="1A7E811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21873.50</w:t>
            </w:r>
          </w:p>
        </w:tc>
        <w:tc>
          <w:tcPr>
            <w:tcW w:w="423" w:type="pct"/>
            <w:vAlign w:val="center"/>
          </w:tcPr>
          <w:p w14:paraId="022A16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20171.50</w:t>
            </w:r>
          </w:p>
        </w:tc>
        <w:tc>
          <w:tcPr>
            <w:tcW w:w="396" w:type="pct"/>
            <w:vAlign w:val="center"/>
          </w:tcPr>
          <w:p w14:paraId="23A5AF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396" w:type="pct"/>
            <w:vAlign w:val="center"/>
          </w:tcPr>
          <w:p w14:paraId="26442E4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3" w:type="pct"/>
            <w:vAlign w:val="center"/>
          </w:tcPr>
          <w:p w14:paraId="20B0B8A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21829.50</w:t>
            </w:r>
          </w:p>
        </w:tc>
      </w:tr>
      <w:tr w14:paraId="0AB05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061E4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w:t>
            </w:r>
          </w:p>
        </w:tc>
        <w:tc>
          <w:tcPr>
            <w:tcW w:w="1057" w:type="pct"/>
            <w:vAlign w:val="center"/>
          </w:tcPr>
          <w:p w14:paraId="269AE5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专项债券还本付息</w:t>
            </w:r>
          </w:p>
        </w:tc>
        <w:tc>
          <w:tcPr>
            <w:tcW w:w="436" w:type="pct"/>
            <w:vAlign w:val="center"/>
          </w:tcPr>
          <w:p w14:paraId="1F69EBE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86482.50</w:t>
            </w:r>
          </w:p>
        </w:tc>
        <w:tc>
          <w:tcPr>
            <w:tcW w:w="396" w:type="pct"/>
            <w:vAlign w:val="center"/>
          </w:tcPr>
          <w:p w14:paraId="3D8CA0E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5706053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1D03623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3" w:type="pct"/>
            <w:vAlign w:val="center"/>
          </w:tcPr>
          <w:p w14:paraId="25DB407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21873.50</w:t>
            </w:r>
          </w:p>
        </w:tc>
        <w:tc>
          <w:tcPr>
            <w:tcW w:w="423" w:type="pct"/>
            <w:vAlign w:val="center"/>
          </w:tcPr>
          <w:p w14:paraId="67447AA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20171.50</w:t>
            </w:r>
          </w:p>
        </w:tc>
        <w:tc>
          <w:tcPr>
            <w:tcW w:w="396" w:type="pct"/>
            <w:vAlign w:val="center"/>
          </w:tcPr>
          <w:p w14:paraId="492160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396" w:type="pct"/>
            <w:vAlign w:val="center"/>
          </w:tcPr>
          <w:p w14:paraId="2073C1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3" w:type="pct"/>
            <w:vAlign w:val="center"/>
          </w:tcPr>
          <w:p w14:paraId="13E31B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21829.50</w:t>
            </w:r>
          </w:p>
        </w:tc>
      </w:tr>
      <w:tr w14:paraId="3533E2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B385C1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4.1.1</w:t>
            </w:r>
          </w:p>
        </w:tc>
        <w:tc>
          <w:tcPr>
            <w:tcW w:w="1057" w:type="pct"/>
            <w:vAlign w:val="center"/>
          </w:tcPr>
          <w:p w14:paraId="2C3090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专项债券还本</w:t>
            </w:r>
          </w:p>
        </w:tc>
        <w:tc>
          <w:tcPr>
            <w:tcW w:w="436" w:type="pct"/>
            <w:vAlign w:val="center"/>
          </w:tcPr>
          <w:p w14:paraId="5E36A5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60000.00</w:t>
            </w:r>
          </w:p>
        </w:tc>
        <w:tc>
          <w:tcPr>
            <w:tcW w:w="396" w:type="pct"/>
            <w:vAlign w:val="center"/>
          </w:tcPr>
          <w:p w14:paraId="71735C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71C085A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01D523A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3" w:type="pct"/>
            <w:vAlign w:val="center"/>
          </w:tcPr>
          <w:p w14:paraId="68C677F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20000.00</w:t>
            </w:r>
          </w:p>
        </w:tc>
        <w:tc>
          <w:tcPr>
            <w:tcW w:w="423" w:type="pct"/>
            <w:vAlign w:val="center"/>
          </w:tcPr>
          <w:p w14:paraId="20F6247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19000.00</w:t>
            </w:r>
          </w:p>
        </w:tc>
        <w:tc>
          <w:tcPr>
            <w:tcW w:w="396" w:type="pct"/>
            <w:vAlign w:val="center"/>
          </w:tcPr>
          <w:p w14:paraId="1DE0D36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5519D8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423" w:type="pct"/>
            <w:vAlign w:val="center"/>
          </w:tcPr>
          <w:p w14:paraId="5BA3C7C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21000.00</w:t>
            </w:r>
          </w:p>
        </w:tc>
      </w:tr>
      <w:tr w14:paraId="68EEB5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27D88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4.1.2</w:t>
            </w:r>
          </w:p>
        </w:tc>
        <w:tc>
          <w:tcPr>
            <w:tcW w:w="1057" w:type="pct"/>
            <w:vAlign w:val="center"/>
          </w:tcPr>
          <w:p w14:paraId="44FCB2F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专项债券付息</w:t>
            </w:r>
          </w:p>
        </w:tc>
        <w:tc>
          <w:tcPr>
            <w:tcW w:w="436" w:type="pct"/>
            <w:vAlign w:val="center"/>
          </w:tcPr>
          <w:p w14:paraId="2D6A86E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26482.50</w:t>
            </w:r>
          </w:p>
        </w:tc>
        <w:tc>
          <w:tcPr>
            <w:tcW w:w="396" w:type="pct"/>
            <w:vAlign w:val="center"/>
          </w:tcPr>
          <w:p w14:paraId="6AC5DE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44040F7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396" w:type="pct"/>
            <w:vAlign w:val="center"/>
          </w:tcPr>
          <w:p w14:paraId="6AD31F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2233.50</w:t>
            </w:r>
          </w:p>
        </w:tc>
        <w:tc>
          <w:tcPr>
            <w:tcW w:w="423" w:type="pct"/>
            <w:vAlign w:val="center"/>
          </w:tcPr>
          <w:p w14:paraId="4071289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1873.50</w:t>
            </w:r>
          </w:p>
        </w:tc>
        <w:tc>
          <w:tcPr>
            <w:tcW w:w="423" w:type="pct"/>
            <w:vAlign w:val="center"/>
          </w:tcPr>
          <w:p w14:paraId="502E55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1171.50</w:t>
            </w:r>
          </w:p>
        </w:tc>
        <w:tc>
          <w:tcPr>
            <w:tcW w:w="396" w:type="pct"/>
            <w:vAlign w:val="center"/>
          </w:tcPr>
          <w:p w14:paraId="1C85E3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396" w:type="pct"/>
            <w:vAlign w:val="center"/>
          </w:tcPr>
          <w:p w14:paraId="578319D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c>
          <w:tcPr>
            <w:tcW w:w="423" w:type="pct"/>
            <w:vAlign w:val="center"/>
          </w:tcPr>
          <w:p w14:paraId="5B83C37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829.50</w:t>
            </w:r>
          </w:p>
        </w:tc>
      </w:tr>
      <w:tr w14:paraId="03AEF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8B2E07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w:t>
            </w:r>
          </w:p>
        </w:tc>
        <w:tc>
          <w:tcPr>
            <w:tcW w:w="1057" w:type="pct"/>
            <w:vAlign w:val="center"/>
          </w:tcPr>
          <w:p w14:paraId="715A85E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市场化融资还本付息</w:t>
            </w:r>
          </w:p>
        </w:tc>
        <w:tc>
          <w:tcPr>
            <w:tcW w:w="436" w:type="pct"/>
            <w:vAlign w:val="center"/>
          </w:tcPr>
          <w:p w14:paraId="38CFEA1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1B54B29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B54788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2A121A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A93A2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CC595F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31747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F2F1A1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D092A7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31FF8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ADE80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4.2.1</w:t>
            </w:r>
          </w:p>
        </w:tc>
        <w:tc>
          <w:tcPr>
            <w:tcW w:w="1057" w:type="pct"/>
            <w:vAlign w:val="center"/>
          </w:tcPr>
          <w:p w14:paraId="74E6B79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市场化融资还本</w:t>
            </w:r>
          </w:p>
        </w:tc>
        <w:tc>
          <w:tcPr>
            <w:tcW w:w="436" w:type="pct"/>
            <w:vAlign w:val="center"/>
          </w:tcPr>
          <w:p w14:paraId="521D5BC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4B57490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E9A241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2A67017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CB0D3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36AA083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3409962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ED2E3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2B6738E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60FFDA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33CC50B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4.2.2</w:t>
            </w:r>
          </w:p>
        </w:tc>
        <w:tc>
          <w:tcPr>
            <w:tcW w:w="1057" w:type="pct"/>
            <w:vAlign w:val="center"/>
          </w:tcPr>
          <w:p w14:paraId="4041EA3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市场化融资付息</w:t>
            </w:r>
          </w:p>
        </w:tc>
        <w:tc>
          <w:tcPr>
            <w:tcW w:w="436" w:type="pct"/>
            <w:vAlign w:val="center"/>
          </w:tcPr>
          <w:p w14:paraId="3BC39A2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0.00</w:t>
            </w:r>
          </w:p>
        </w:tc>
        <w:tc>
          <w:tcPr>
            <w:tcW w:w="396" w:type="pct"/>
            <w:vAlign w:val="center"/>
          </w:tcPr>
          <w:p w14:paraId="59FE616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EEC6B7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1EE3780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1781003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AF2C72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ECEF6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4CD32E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0F26DD2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25724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5271CB7D">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小计</w:t>
            </w:r>
          </w:p>
        </w:tc>
        <w:tc>
          <w:tcPr>
            <w:tcW w:w="1057" w:type="pct"/>
            <w:vAlign w:val="center"/>
          </w:tcPr>
          <w:p w14:paraId="7298652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现金流出总额</w:t>
            </w:r>
          </w:p>
        </w:tc>
        <w:tc>
          <w:tcPr>
            <w:tcW w:w="436" w:type="pct"/>
            <w:vAlign w:val="center"/>
          </w:tcPr>
          <w:p w14:paraId="5B6E8FB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176297.28</w:t>
            </w:r>
          </w:p>
        </w:tc>
        <w:tc>
          <w:tcPr>
            <w:tcW w:w="396" w:type="pct"/>
            <w:vAlign w:val="center"/>
          </w:tcPr>
          <w:p w14:paraId="3B8B6E6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2674.24</w:t>
            </w:r>
          </w:p>
        </w:tc>
        <w:tc>
          <w:tcPr>
            <w:tcW w:w="396" w:type="pct"/>
            <w:vAlign w:val="center"/>
          </w:tcPr>
          <w:p w14:paraId="6F17AEAC">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2681.19</w:t>
            </w:r>
          </w:p>
        </w:tc>
        <w:tc>
          <w:tcPr>
            <w:tcW w:w="396" w:type="pct"/>
            <w:vAlign w:val="center"/>
          </w:tcPr>
          <w:p w14:paraId="7A94F85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2822.11</w:t>
            </w:r>
          </w:p>
        </w:tc>
        <w:tc>
          <w:tcPr>
            <w:tcW w:w="423" w:type="pct"/>
            <w:vAlign w:val="center"/>
          </w:tcPr>
          <w:p w14:paraId="4008052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22680.36</w:t>
            </w:r>
          </w:p>
        </w:tc>
        <w:tc>
          <w:tcPr>
            <w:tcW w:w="423" w:type="pct"/>
            <w:vAlign w:val="center"/>
          </w:tcPr>
          <w:p w14:paraId="0EBBC55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21159.45</w:t>
            </w:r>
          </w:p>
        </w:tc>
        <w:tc>
          <w:tcPr>
            <w:tcW w:w="396" w:type="pct"/>
            <w:vAlign w:val="center"/>
          </w:tcPr>
          <w:p w14:paraId="548EC90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1908.72</w:t>
            </w:r>
          </w:p>
        </w:tc>
        <w:tc>
          <w:tcPr>
            <w:tcW w:w="396" w:type="pct"/>
            <w:vAlign w:val="center"/>
          </w:tcPr>
          <w:p w14:paraId="04C35915">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2074.88</w:t>
            </w:r>
          </w:p>
        </w:tc>
        <w:tc>
          <w:tcPr>
            <w:tcW w:w="423" w:type="pct"/>
            <w:vAlign w:val="center"/>
          </w:tcPr>
          <w:p w14:paraId="553D22F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23080.93</w:t>
            </w:r>
          </w:p>
        </w:tc>
      </w:tr>
      <w:tr w14:paraId="177FDB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2C110D5E">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三</w:t>
            </w:r>
          </w:p>
        </w:tc>
        <w:tc>
          <w:tcPr>
            <w:tcW w:w="1057" w:type="pct"/>
            <w:vAlign w:val="center"/>
          </w:tcPr>
          <w:p w14:paraId="253A8BE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现金净流量</w:t>
            </w:r>
          </w:p>
        </w:tc>
        <w:tc>
          <w:tcPr>
            <w:tcW w:w="436" w:type="pct"/>
            <w:vAlign w:val="center"/>
          </w:tcPr>
          <w:p w14:paraId="521675C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2B086F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0935A1D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698FA51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46BCCB8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53D8DD06">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1A406F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4CAD39F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423" w:type="pct"/>
            <w:vAlign w:val="center"/>
          </w:tcPr>
          <w:p w14:paraId="2C9627C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r>
      <w:tr w14:paraId="66730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1F09F7D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w:t>
            </w:r>
          </w:p>
        </w:tc>
        <w:tc>
          <w:tcPr>
            <w:tcW w:w="1057" w:type="pct"/>
            <w:vAlign w:val="center"/>
          </w:tcPr>
          <w:p w14:paraId="5C74EC2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当年现金净流入</w:t>
            </w:r>
          </w:p>
        </w:tc>
        <w:tc>
          <w:tcPr>
            <w:tcW w:w="436" w:type="pct"/>
            <w:vAlign w:val="center"/>
          </w:tcPr>
          <w:p w14:paraId="0C94B59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55930.10</w:t>
            </w:r>
          </w:p>
        </w:tc>
        <w:tc>
          <w:tcPr>
            <w:tcW w:w="396" w:type="pct"/>
            <w:vAlign w:val="center"/>
          </w:tcPr>
          <w:p w14:paraId="400638E4">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3157.52</w:t>
            </w:r>
          </w:p>
        </w:tc>
        <w:tc>
          <w:tcPr>
            <w:tcW w:w="396" w:type="pct"/>
            <w:vAlign w:val="center"/>
          </w:tcPr>
          <w:p w14:paraId="49C16C0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75836.27</w:t>
            </w:r>
          </w:p>
        </w:tc>
        <w:tc>
          <w:tcPr>
            <w:tcW w:w="396" w:type="pct"/>
            <w:vAlign w:val="center"/>
          </w:tcPr>
          <w:p w14:paraId="1C5A234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3544.64</w:t>
            </w:r>
          </w:p>
        </w:tc>
        <w:tc>
          <w:tcPr>
            <w:tcW w:w="423" w:type="pct"/>
            <w:vAlign w:val="center"/>
          </w:tcPr>
          <w:p w14:paraId="490859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-16313.61</w:t>
            </w:r>
          </w:p>
        </w:tc>
        <w:tc>
          <w:tcPr>
            <w:tcW w:w="423" w:type="pct"/>
            <w:vAlign w:val="center"/>
          </w:tcPr>
          <w:p w14:paraId="6066DC8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-14792.70</w:t>
            </w:r>
          </w:p>
        </w:tc>
        <w:tc>
          <w:tcPr>
            <w:tcW w:w="396" w:type="pct"/>
            <w:vAlign w:val="center"/>
          </w:tcPr>
          <w:p w14:paraId="652639F2">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4458.03</w:t>
            </w:r>
          </w:p>
        </w:tc>
        <w:tc>
          <w:tcPr>
            <w:tcW w:w="396" w:type="pct"/>
            <w:vAlign w:val="center"/>
          </w:tcPr>
          <w:p w14:paraId="0689E723">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4880.34</w:t>
            </w:r>
          </w:p>
        </w:tc>
        <w:tc>
          <w:tcPr>
            <w:tcW w:w="423" w:type="pct"/>
            <w:vAlign w:val="center"/>
          </w:tcPr>
          <w:p w14:paraId="7374E49B">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-16125.71</w:t>
            </w:r>
          </w:p>
        </w:tc>
      </w:tr>
      <w:tr w14:paraId="61F8D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57" w:type="pct"/>
            <w:vAlign w:val="center"/>
          </w:tcPr>
          <w:p w14:paraId="65AD5898">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2</w:t>
            </w:r>
          </w:p>
        </w:tc>
        <w:tc>
          <w:tcPr>
            <w:tcW w:w="1057" w:type="pct"/>
            <w:vAlign w:val="center"/>
          </w:tcPr>
          <w:p w14:paraId="462CB98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期末累计现金结存额</w:t>
            </w:r>
          </w:p>
        </w:tc>
        <w:tc>
          <w:tcPr>
            <w:tcW w:w="436" w:type="pct"/>
            <w:vAlign w:val="center"/>
          </w:tcPr>
          <w:p w14:paraId="3CD54E2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p>
        </w:tc>
        <w:tc>
          <w:tcPr>
            <w:tcW w:w="396" w:type="pct"/>
            <w:vAlign w:val="center"/>
          </w:tcPr>
          <w:p w14:paraId="5E22E74F">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14442.84</w:t>
            </w:r>
          </w:p>
        </w:tc>
        <w:tc>
          <w:tcPr>
            <w:tcW w:w="396" w:type="pct"/>
            <w:vAlign w:val="center"/>
          </w:tcPr>
          <w:p w14:paraId="7C1098B0">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90279.11</w:t>
            </w:r>
          </w:p>
        </w:tc>
        <w:tc>
          <w:tcPr>
            <w:tcW w:w="396" w:type="pct"/>
            <w:vAlign w:val="center"/>
          </w:tcPr>
          <w:p w14:paraId="23BE93B9">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93823.75</w:t>
            </w:r>
          </w:p>
        </w:tc>
        <w:tc>
          <w:tcPr>
            <w:tcW w:w="423" w:type="pct"/>
            <w:vAlign w:val="center"/>
          </w:tcPr>
          <w:p w14:paraId="6135D66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77510.14</w:t>
            </w:r>
          </w:p>
        </w:tc>
        <w:tc>
          <w:tcPr>
            <w:tcW w:w="423" w:type="pct"/>
            <w:vAlign w:val="center"/>
          </w:tcPr>
          <w:p w14:paraId="696E2D9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62717.44</w:t>
            </w:r>
          </w:p>
        </w:tc>
        <w:tc>
          <w:tcPr>
            <w:tcW w:w="396" w:type="pct"/>
            <w:vAlign w:val="center"/>
          </w:tcPr>
          <w:p w14:paraId="42D7D857">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67175.47</w:t>
            </w:r>
          </w:p>
        </w:tc>
        <w:tc>
          <w:tcPr>
            <w:tcW w:w="396" w:type="pct"/>
            <w:vAlign w:val="center"/>
          </w:tcPr>
          <w:p w14:paraId="6D935D51">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72055.81</w:t>
            </w:r>
          </w:p>
        </w:tc>
        <w:tc>
          <w:tcPr>
            <w:tcW w:w="423" w:type="pct"/>
            <w:vAlign w:val="center"/>
          </w:tcPr>
          <w:p w14:paraId="496FD2DA">
            <w:pPr>
              <w:pStyle w:val="7"/>
              <w:widowControl w:val="0"/>
              <w:adjustRightInd/>
              <w:snapToGrid/>
              <w:spacing w:before="0" w:after="0" w:line="240" w:lineRule="auto"/>
              <w:ind w:firstLine="0" w:firstLineChars="0"/>
              <w:jc w:val="center"/>
              <w:rPr>
                <w:rFonts w:hint="eastAsia" w:ascii="Times New Roman" w:hAnsi="Times New Roman" w:eastAsia="宋体" w:cs="Times New Roman"/>
                <w:bCs/>
                <w:color w:val="auto"/>
                <w:sz w:val="18"/>
                <w:szCs w:val="32"/>
              </w:rPr>
            </w:pPr>
            <w:r>
              <w:rPr>
                <w:rFonts w:hint="eastAsia" w:ascii="Times New Roman" w:hAnsi="Times New Roman" w:eastAsia="宋体" w:cs="Times New Roman"/>
                <w:bCs/>
                <w:color w:val="auto"/>
                <w:sz w:val="18"/>
                <w:szCs w:val="32"/>
              </w:rPr>
              <w:t>55930.10</w:t>
            </w:r>
          </w:p>
        </w:tc>
      </w:tr>
    </w:tbl>
    <w:p w14:paraId="6CEC6FCD">
      <w:pPr>
        <w:pStyle w:val="2"/>
        <w:ind w:firstLine="0" w:firstLineChars="0"/>
        <w:rPr>
          <w:color w:val="auto"/>
        </w:rPr>
      </w:pPr>
    </w:p>
    <w:p w14:paraId="3555E4D1">
      <w:pPr>
        <w:adjustRightInd w:val="0"/>
        <w:snapToGrid w:val="0"/>
        <w:spacing w:line="360" w:lineRule="auto"/>
        <w:ind w:firstLine="643"/>
        <w:outlineLvl w:val="1"/>
        <w:rPr>
          <w:rFonts w:hint="eastAsia" w:ascii="仿宋_GB2312" w:hAnsi="仿宋_GB2312" w:eastAsia="仿宋_GB2312" w:cs="仿宋_GB2312"/>
          <w:b/>
          <w:bCs/>
          <w:color w:val="auto"/>
          <w:sz w:val="32"/>
          <w:szCs w:val="32"/>
        </w:rPr>
        <w:sectPr>
          <w:footerReference r:id="rId17" w:type="first"/>
          <w:footerReference r:id="rId16" w:type="default"/>
          <w:type w:val="continuous"/>
          <w:pgSz w:w="16838" w:h="11906" w:orient="landscape"/>
          <w:pgMar w:top="1440" w:right="1080" w:bottom="1440" w:left="1080" w:header="851" w:footer="992" w:gutter="0"/>
          <w:cols w:space="425" w:num="1"/>
          <w:docGrid w:type="lines" w:linePitch="312" w:charSpace="0"/>
        </w:sectPr>
      </w:pPr>
    </w:p>
    <w:p w14:paraId="5AB28BD2">
      <w:pPr>
        <w:pStyle w:val="5"/>
        <w:spacing w:before="156" w:beforeLines="50" w:after="156" w:afterLines="50"/>
        <w:ind w:firstLine="643"/>
        <w:rPr>
          <w:rFonts w:hint="eastAsia" w:ascii="仿宋_GB2312" w:hAnsi="仿宋_GB2312" w:eastAsia="仿宋_GB2312" w:cs="仿宋_GB2312"/>
          <w:color w:val="auto"/>
          <w:sz w:val="32"/>
        </w:rPr>
      </w:pPr>
      <w:bookmarkStart w:id="86" w:name="_Toc174657292"/>
      <w:r>
        <w:rPr>
          <w:rFonts w:hint="eastAsia" w:ascii="仿宋_GB2312" w:hAnsi="仿宋_GB2312" w:eastAsia="仿宋_GB2312" w:cs="仿宋_GB2312"/>
          <w:color w:val="auto"/>
          <w:sz w:val="32"/>
        </w:rPr>
        <w:t>（三）总体评价</w:t>
      </w:r>
      <w:bookmarkEnd w:id="86"/>
    </w:p>
    <w:p w14:paraId="6D7840E9">
      <w:pPr>
        <w:pStyle w:val="2"/>
        <w:ind w:firstLine="640"/>
        <w:jc w:val="both"/>
        <w:rPr>
          <w:rFonts w:cs="仿宋_GB2312"/>
          <w:color w:val="auto"/>
          <w:sz w:val="32"/>
          <w:szCs w:val="32"/>
        </w:rPr>
      </w:pPr>
      <w:r>
        <w:rPr>
          <w:rFonts w:cs="仿宋_GB2312"/>
          <w:color w:val="auto"/>
          <w:sz w:val="32"/>
          <w:szCs w:val="32"/>
        </w:rPr>
        <w:t>经测算，本项目收益覆盖债券本息倍数为</w:t>
      </w:r>
      <w:r>
        <w:rPr>
          <w:color w:val="auto"/>
          <w:sz w:val="32"/>
          <w:szCs w:val="32"/>
        </w:rPr>
        <w:t>1.61</w:t>
      </w:r>
      <w:r>
        <w:rPr>
          <w:rFonts w:cs="仿宋_GB2312"/>
          <w:color w:val="auto"/>
          <w:sz w:val="32"/>
          <w:szCs w:val="32"/>
        </w:rPr>
        <w:t>倍，在运营期内项目收益能够覆盖债券本息,债券存续期间不存在任何资金缺口，项目不能偿还债务的风险较低。</w:t>
      </w:r>
    </w:p>
    <w:p w14:paraId="12F5D8D7">
      <w:pPr>
        <w:pStyle w:val="2"/>
        <w:ind w:firstLine="640"/>
        <w:jc w:val="both"/>
        <w:rPr>
          <w:rFonts w:cs="仿宋_GB2312"/>
          <w:color w:val="auto"/>
          <w:sz w:val="32"/>
          <w:szCs w:val="32"/>
        </w:rPr>
      </w:pPr>
    </w:p>
    <w:p w14:paraId="2799F44C">
      <w:pPr>
        <w:ind w:firstLine="0" w:firstLineChars="0"/>
        <w:jc w:val="center"/>
        <w:rPr>
          <w:b/>
          <w:bCs/>
          <w:color w:val="auto"/>
        </w:rPr>
      </w:pPr>
    </w:p>
    <w:p w14:paraId="583DE113">
      <w:pPr>
        <w:pStyle w:val="2"/>
        <w:ind w:firstLine="0" w:firstLineChars="0"/>
        <w:rPr>
          <w:color w:val="auto"/>
        </w:rPr>
      </w:pPr>
    </w:p>
    <w:p w14:paraId="05DC39BF">
      <w:pPr>
        <w:adjustRightInd w:val="0"/>
        <w:snapToGrid w:val="0"/>
        <w:spacing w:line="360" w:lineRule="auto"/>
        <w:ind w:firstLine="643"/>
        <w:outlineLvl w:val="1"/>
        <w:rPr>
          <w:rFonts w:hint="eastAsia" w:ascii="仿宋_GB2312" w:hAnsi="仿宋_GB2312" w:eastAsia="仿宋_GB2312" w:cs="仿宋_GB2312"/>
          <w:b/>
          <w:bCs/>
          <w:color w:val="auto"/>
          <w:sz w:val="32"/>
          <w:szCs w:val="32"/>
        </w:rPr>
        <w:sectPr>
          <w:footerReference r:id="rId19" w:type="first"/>
          <w:footerReference r:id="rId18" w:type="default"/>
          <w:type w:val="continuous"/>
          <w:pgSz w:w="16838" w:h="11906" w:orient="landscape"/>
          <w:pgMar w:top="1440" w:right="1080" w:bottom="1440" w:left="1080" w:header="851" w:footer="992" w:gutter="0"/>
          <w:cols w:space="425" w:num="1"/>
          <w:docGrid w:type="lines" w:linePitch="312" w:charSpace="0"/>
        </w:sectPr>
      </w:pPr>
    </w:p>
    <w:p w14:paraId="1F4A6DBE">
      <w:pPr>
        <w:pStyle w:val="4"/>
        <w:adjustRightInd w:val="0"/>
        <w:snapToGrid w:val="0"/>
        <w:spacing w:before="156" w:beforeLines="50"/>
        <w:ind w:firstLine="640"/>
        <w:rPr>
          <w:rFonts w:hint="eastAsia" w:ascii="黑体" w:hAnsi="黑体" w:eastAsia="黑体" w:cs="黑体"/>
          <w:color w:val="auto"/>
          <w:kern w:val="0"/>
          <w:sz w:val="32"/>
          <w:szCs w:val="32"/>
        </w:rPr>
      </w:pPr>
      <w:bookmarkStart w:id="87" w:name="_Toc174657293"/>
      <w:r>
        <w:rPr>
          <w:rFonts w:hint="eastAsia" w:ascii="黑体" w:hAnsi="黑体" w:eastAsia="黑体" w:cs="黑体"/>
          <w:color w:val="auto"/>
          <w:kern w:val="0"/>
          <w:sz w:val="32"/>
          <w:szCs w:val="32"/>
        </w:rPr>
        <w:t>五、专项债券管理</w:t>
      </w:r>
      <w:bookmarkEnd w:id="87"/>
    </w:p>
    <w:p w14:paraId="0560D1F1">
      <w:pPr>
        <w:pStyle w:val="5"/>
        <w:spacing w:before="156" w:beforeLines="50" w:after="156" w:afterLines="50"/>
        <w:ind w:firstLine="643"/>
        <w:rPr>
          <w:rFonts w:hint="eastAsia" w:ascii="仿宋_GB2312" w:hAnsi="仿宋_GB2312" w:eastAsia="仿宋_GB2312" w:cs="仿宋_GB2312"/>
          <w:color w:val="auto"/>
          <w:sz w:val="32"/>
        </w:rPr>
      </w:pPr>
      <w:bookmarkStart w:id="88" w:name="_Toc174657294"/>
      <w:r>
        <w:rPr>
          <w:rFonts w:hint="eastAsia" w:ascii="仿宋_GB2312" w:hAnsi="仿宋_GB2312" w:eastAsia="仿宋_GB2312" w:cs="仿宋_GB2312"/>
          <w:color w:val="auto"/>
          <w:sz w:val="32"/>
        </w:rPr>
        <w:t>（一）债券资金概况</w:t>
      </w:r>
      <w:bookmarkEnd w:id="88"/>
    </w:p>
    <w:p w14:paraId="6E62BBB4">
      <w:pPr>
        <w:pStyle w:val="7"/>
        <w:spacing w:before="0" w:after="0" w:line="360" w:lineRule="auto"/>
        <w:ind w:firstLine="640"/>
        <w:rPr>
          <w:rFonts w:hint="eastAsia" w:ascii="仿宋_GB2312" w:eastAsia="仿宋_GB2312"/>
          <w:bCs/>
          <w:color w:val="auto"/>
          <w:sz w:val="32"/>
          <w:szCs w:val="32"/>
        </w:rPr>
      </w:pPr>
      <w:r>
        <w:rPr>
          <w:rFonts w:hint="eastAsia" w:ascii="仿宋_GB2312" w:eastAsia="仿宋_GB2312"/>
          <w:bCs/>
          <w:color w:val="auto"/>
          <w:sz w:val="32"/>
          <w:szCs w:val="32"/>
        </w:rPr>
        <w:t>本项目债券融资本金</w:t>
      </w:r>
      <w:r>
        <w:rPr>
          <w:rFonts w:ascii="仿宋_GB2312" w:hAnsi="Calibri" w:eastAsia="仿宋_GB2312"/>
          <w:color w:val="auto"/>
          <w:sz w:val="32"/>
          <w:szCs w:val="32"/>
          <w:lang w:val="en-US"/>
        </w:rPr>
        <w:t>60000.00</w:t>
      </w:r>
      <w:r>
        <w:rPr>
          <w:rFonts w:hint="eastAsia" w:ascii="仿宋_GB2312" w:eastAsia="仿宋_GB2312"/>
          <w:bCs/>
          <w:color w:val="auto"/>
          <w:sz w:val="32"/>
          <w:szCs w:val="32"/>
        </w:rPr>
        <w:t>万元，</w:t>
      </w:r>
      <w:r>
        <w:rPr>
          <w:rFonts w:ascii="仿宋_GB2312" w:eastAsia="仿宋_GB2312"/>
          <w:bCs/>
          <w:color w:val="auto"/>
          <w:sz w:val="32"/>
          <w:szCs w:val="32"/>
        </w:rPr>
        <w:t>其中2024年计划发行专项债券21000.00万元，</w:t>
      </w:r>
      <w:r>
        <w:rPr>
          <w:rFonts w:hint="eastAsia" w:ascii="仿宋_GB2312" w:eastAsia="仿宋_GB2312"/>
          <w:bCs/>
          <w:color w:val="auto"/>
          <w:sz w:val="32"/>
          <w:szCs w:val="32"/>
        </w:rPr>
        <w:t>本批次计划发行9000.00万元（2024年广东省政府专项债券（</w:t>
      </w:r>
      <w:r>
        <w:rPr>
          <w:rFonts w:hint="eastAsia" w:ascii="仿宋_GB2312" w:eastAsia="仿宋_GB2312"/>
          <w:bCs/>
          <w:color w:val="auto"/>
          <w:sz w:val="32"/>
          <w:szCs w:val="32"/>
          <w:lang w:eastAsia="zh-CN"/>
        </w:rPr>
        <w:t>六十三</w:t>
      </w:r>
      <w:r>
        <w:rPr>
          <w:rFonts w:hint="eastAsia" w:ascii="仿宋_GB2312" w:eastAsia="仿宋_GB2312"/>
          <w:bCs/>
          <w:color w:val="auto"/>
          <w:sz w:val="32"/>
          <w:szCs w:val="32"/>
        </w:rPr>
        <w:t>期）），</w:t>
      </w:r>
      <w:r>
        <w:rPr>
          <w:rFonts w:ascii="仿宋_GB2312" w:eastAsia="仿宋_GB2312"/>
          <w:bCs/>
          <w:color w:val="auto"/>
          <w:sz w:val="32"/>
          <w:szCs w:val="32"/>
        </w:rPr>
        <w:t>债券期限为15年，债券年利率按3.95%测算</w:t>
      </w:r>
      <w:r>
        <w:rPr>
          <w:rFonts w:hint="eastAsia" w:ascii="仿宋_GB2312" w:eastAsia="仿宋_GB2312"/>
          <w:bCs/>
          <w:color w:val="auto"/>
          <w:sz w:val="32"/>
          <w:szCs w:val="32"/>
        </w:rPr>
        <w:t>；</w:t>
      </w:r>
      <w:r>
        <w:rPr>
          <w:rFonts w:ascii="仿宋_GB2312" w:eastAsia="仿宋_GB2312"/>
          <w:bCs/>
          <w:color w:val="auto"/>
          <w:sz w:val="32"/>
          <w:szCs w:val="32"/>
        </w:rPr>
        <w:t>2025年计划发行专项债券20000.00万元，债券期限为</w:t>
      </w:r>
      <w:r>
        <w:rPr>
          <w:rFonts w:hint="eastAsia" w:ascii="仿宋_GB2312" w:eastAsia="仿宋_GB2312"/>
          <w:bCs/>
          <w:color w:val="auto"/>
          <w:sz w:val="32"/>
          <w:szCs w:val="32"/>
        </w:rPr>
        <w:t>10</w:t>
      </w:r>
      <w:r>
        <w:rPr>
          <w:rFonts w:ascii="仿宋_GB2312" w:eastAsia="仿宋_GB2312"/>
          <w:bCs/>
          <w:color w:val="auto"/>
          <w:sz w:val="32"/>
          <w:szCs w:val="32"/>
        </w:rPr>
        <w:t>年，债券年利率按</w:t>
      </w:r>
      <w:r>
        <w:rPr>
          <w:rFonts w:hint="eastAsia" w:ascii="仿宋_GB2312" w:eastAsia="仿宋_GB2312"/>
          <w:bCs/>
          <w:color w:val="auto"/>
          <w:sz w:val="32"/>
          <w:szCs w:val="32"/>
        </w:rPr>
        <w:t>3.6</w:t>
      </w:r>
      <w:r>
        <w:rPr>
          <w:rFonts w:ascii="仿宋_GB2312" w:eastAsia="仿宋_GB2312"/>
          <w:bCs/>
          <w:color w:val="auto"/>
          <w:sz w:val="32"/>
          <w:szCs w:val="32"/>
        </w:rPr>
        <w:t>%测算</w:t>
      </w:r>
      <w:r>
        <w:rPr>
          <w:rFonts w:hint="eastAsia" w:ascii="仿宋_GB2312" w:eastAsia="仿宋_GB2312"/>
          <w:bCs/>
          <w:color w:val="auto"/>
          <w:sz w:val="32"/>
          <w:szCs w:val="32"/>
        </w:rPr>
        <w:t>；</w:t>
      </w:r>
      <w:r>
        <w:rPr>
          <w:rFonts w:ascii="仿宋_GB2312" w:eastAsia="仿宋_GB2312"/>
          <w:bCs/>
          <w:color w:val="auto"/>
          <w:sz w:val="32"/>
          <w:szCs w:val="32"/>
        </w:rPr>
        <w:t>2026年计划发行专项债券19000.00万元，债券期限为</w:t>
      </w:r>
      <w:r>
        <w:rPr>
          <w:rFonts w:hint="eastAsia" w:ascii="仿宋_GB2312" w:eastAsia="仿宋_GB2312"/>
          <w:bCs/>
          <w:color w:val="auto"/>
          <w:sz w:val="32"/>
          <w:szCs w:val="32"/>
        </w:rPr>
        <w:t>10</w:t>
      </w:r>
      <w:r>
        <w:rPr>
          <w:rFonts w:ascii="仿宋_GB2312" w:eastAsia="仿宋_GB2312"/>
          <w:bCs/>
          <w:color w:val="auto"/>
          <w:sz w:val="32"/>
          <w:szCs w:val="32"/>
        </w:rPr>
        <w:t>年，债券年利率按</w:t>
      </w:r>
      <w:r>
        <w:rPr>
          <w:rFonts w:hint="eastAsia" w:ascii="仿宋_GB2312" w:eastAsia="仿宋_GB2312"/>
          <w:bCs/>
          <w:color w:val="auto"/>
          <w:sz w:val="32"/>
          <w:szCs w:val="32"/>
        </w:rPr>
        <w:t>3.6</w:t>
      </w:r>
      <w:r>
        <w:rPr>
          <w:rFonts w:ascii="仿宋_GB2312" w:eastAsia="仿宋_GB2312"/>
          <w:bCs/>
          <w:color w:val="auto"/>
          <w:sz w:val="32"/>
          <w:szCs w:val="32"/>
        </w:rPr>
        <w:t>%测算</w:t>
      </w:r>
      <w:r>
        <w:rPr>
          <w:rFonts w:hint="eastAsia" w:ascii="仿宋_GB2312" w:eastAsia="仿宋_GB2312"/>
          <w:bCs/>
          <w:color w:val="auto"/>
          <w:sz w:val="32"/>
          <w:szCs w:val="32"/>
        </w:rPr>
        <w:t>。利息按半年支付，本金到期一次性偿还。债券利率以最终发行利率为准。</w:t>
      </w:r>
    </w:p>
    <w:p w14:paraId="5CC7C839">
      <w:pPr>
        <w:pStyle w:val="5"/>
        <w:spacing w:before="156" w:beforeLines="50" w:after="156" w:afterLines="50"/>
        <w:ind w:firstLine="643"/>
        <w:rPr>
          <w:rFonts w:hint="eastAsia" w:ascii="仿宋_GB2312" w:hAnsi="仿宋_GB2312" w:eastAsia="仿宋_GB2312" w:cs="仿宋_GB2312"/>
          <w:color w:val="auto"/>
          <w:sz w:val="32"/>
        </w:rPr>
      </w:pPr>
      <w:bookmarkStart w:id="89" w:name="_Toc174657295"/>
      <w:r>
        <w:rPr>
          <w:rFonts w:hint="eastAsia" w:ascii="仿宋_GB2312" w:hAnsi="仿宋_GB2312" w:eastAsia="仿宋_GB2312" w:cs="仿宋_GB2312"/>
          <w:color w:val="auto"/>
          <w:sz w:val="32"/>
        </w:rPr>
        <w:t>（二）债券资金管理</w:t>
      </w:r>
      <w:bookmarkEnd w:id="89"/>
    </w:p>
    <w:p w14:paraId="775918D5">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取得的收入纳入政府性基金收入或专项收入，按照项目对应的专项债券余额专门用于偿还到期债券本金和利息。根据项目专项债券余额和期限合理预计还本付息资金并列入年度预算安排。项目单位按照还本付息计划和预算编制安排及时将还本付息资金缴交财政，纳入政府性基金预算管理。本项目收入实现与还本付息周期存在一定的错配，项目主管部门及项目单位应注意项目相关收入实现后的资金管理，保证项目收入专项用以偿还本项目债券本息支出。</w:t>
      </w:r>
    </w:p>
    <w:p w14:paraId="301A9353">
      <w:pPr>
        <w:pStyle w:val="5"/>
        <w:spacing w:before="156" w:beforeLines="50" w:after="156" w:afterLines="50"/>
        <w:ind w:firstLine="643"/>
        <w:rPr>
          <w:rFonts w:hint="eastAsia" w:ascii="仿宋_GB2312" w:hAnsi="仿宋_GB2312" w:eastAsia="仿宋_GB2312" w:cs="仿宋_GB2312"/>
          <w:color w:val="auto"/>
          <w:sz w:val="32"/>
        </w:rPr>
      </w:pPr>
      <w:bookmarkStart w:id="90" w:name="_Toc174657296"/>
      <w:r>
        <w:rPr>
          <w:rFonts w:hint="eastAsia" w:ascii="仿宋_GB2312" w:hAnsi="仿宋_GB2312" w:eastAsia="仿宋_GB2312" w:cs="仿宋_GB2312"/>
          <w:color w:val="auto"/>
          <w:sz w:val="32"/>
        </w:rPr>
        <w:t>（三）职责分工</w:t>
      </w:r>
      <w:bookmarkEnd w:id="90"/>
    </w:p>
    <w:p w14:paraId="06929905">
      <w:pPr>
        <w:widowControl w:val="0"/>
        <w:spacing w:line="360" w:lineRule="auto"/>
        <w:ind w:firstLine="640"/>
        <w:jc w:val="both"/>
        <w:rPr>
          <w:rFonts w:hint="eastAsia" w:ascii="仿宋_GB2312" w:hAnsi="仿宋_GB2312" w:eastAsia="仿宋_GB2312" w:cs="仿宋_GB2312"/>
          <w:color w:val="auto"/>
          <w:sz w:val="32"/>
          <w:szCs w:val="32"/>
        </w:rPr>
      </w:pPr>
      <w:r>
        <w:rPr>
          <w:rFonts w:ascii="仿宋_GB2312" w:hAnsi="仿宋_GB2312" w:eastAsia="仿宋_GB2312" w:cs="仿宋_GB2312"/>
          <w:color w:val="auto"/>
          <w:sz w:val="32"/>
          <w:szCs w:val="32"/>
        </w:rPr>
        <w:t>广州市花都区财政局</w:t>
      </w:r>
      <w:r>
        <w:rPr>
          <w:rFonts w:hint="eastAsia" w:ascii="仿宋_GB2312" w:hAnsi="仿宋_GB2312" w:eastAsia="仿宋_GB2312" w:cs="仿宋_GB2312"/>
          <w:color w:val="auto"/>
          <w:sz w:val="32"/>
          <w:szCs w:val="32"/>
        </w:rPr>
        <w:t>负责按照专项债务管理规定，组织做好信息披露等工作。负责组织项目专项债券发行工作。负责组织项目专项债券还本付息。组织建立相应的资产登记和统计报告制度，会同主管部门、项目单位加强专项债券项目对应资产管理。</w:t>
      </w:r>
    </w:p>
    <w:p w14:paraId="4104FB54">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广州市花都区人民政府新雅街道办事处负责组织制定专项债券项目融资平衡方案，督促指导项目单位做好项目专项债券发行准备工作和信息披露有关工作。负责对项目建设、资金使用和还本付息进行监督，指导项目单位加快项目建设、规范专项债券资金使用，加快专项债券资金支出进度。合理评估发行项目专项债券对应项目风险并组织风险应对工作。负责编制项目专项债券还本付息年度预算，组织督促项目单位及时缴交还本付息资金，确保债券还本付息不出任何风险。认真履行项目建设、运营、维护责任，保障项目如期实施，确保项目收益与融资平衡。及时组织项目单位将项目形成的资产进行资产登记管理。</w:t>
      </w:r>
    </w:p>
    <w:p w14:paraId="772AAD4A">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单位广州市花都区人民政府新雅街道办事处负责按照债券发行组织等统一安排，研究制定专项债券项目融资平衡方案，及时提供项目专项债券发行和信息披露有关项目信息。负责项目建设、运营管理，规范专项债券资金使用，加快专项债券资金支出进度。负责分析预测发行项目专项债券对应项目风险并提出应对措施。负责落实债券还本付息资金来源，按时足额缴交项目对应的政府性基金预算收入和专项收入。及时将项目形成的资产按照约定的产权归属进行资产登记管理。</w:t>
      </w:r>
    </w:p>
    <w:p w14:paraId="472C4AE5">
      <w:pPr>
        <w:pStyle w:val="4"/>
        <w:adjustRightInd w:val="0"/>
        <w:snapToGrid w:val="0"/>
        <w:spacing w:before="156" w:beforeLines="50"/>
        <w:ind w:firstLine="640"/>
        <w:rPr>
          <w:rFonts w:hint="eastAsia" w:ascii="黑体" w:hAnsi="黑体" w:eastAsia="黑体" w:cs="黑体"/>
          <w:color w:val="auto"/>
          <w:kern w:val="0"/>
          <w:sz w:val="32"/>
          <w:szCs w:val="32"/>
        </w:rPr>
      </w:pPr>
      <w:bookmarkStart w:id="91" w:name="_Toc174657297"/>
      <w:bookmarkStart w:id="92" w:name="_Toc123984290"/>
      <w:r>
        <w:rPr>
          <w:rFonts w:hint="eastAsia" w:ascii="黑体" w:hAnsi="黑体" w:eastAsia="黑体" w:cs="黑体"/>
          <w:color w:val="auto"/>
          <w:kern w:val="0"/>
          <w:sz w:val="32"/>
          <w:szCs w:val="32"/>
        </w:rPr>
        <w:t>六、项目风险控制</w:t>
      </w:r>
      <w:bookmarkEnd w:id="91"/>
      <w:bookmarkEnd w:id="92"/>
    </w:p>
    <w:p w14:paraId="0942088A">
      <w:pPr>
        <w:pStyle w:val="5"/>
        <w:spacing w:before="156" w:beforeLines="50" w:after="156" w:afterLines="50"/>
        <w:ind w:firstLine="643"/>
        <w:rPr>
          <w:rFonts w:hint="eastAsia" w:ascii="仿宋_GB2312" w:hAnsi="仿宋_GB2312" w:eastAsia="仿宋_GB2312" w:cs="仿宋_GB2312"/>
          <w:color w:val="auto"/>
          <w:sz w:val="32"/>
        </w:rPr>
      </w:pPr>
      <w:bookmarkStart w:id="93" w:name="_Toc123984291"/>
      <w:bookmarkStart w:id="94" w:name="_Toc174657298"/>
      <w:r>
        <w:rPr>
          <w:rFonts w:hint="eastAsia" w:ascii="仿宋_GB2312" w:hAnsi="仿宋_GB2312" w:eastAsia="仿宋_GB2312" w:cs="仿宋_GB2312"/>
          <w:color w:val="auto"/>
          <w:sz w:val="32"/>
        </w:rPr>
        <w:t>（一）潜在风险及控制措施</w:t>
      </w:r>
      <w:bookmarkEnd w:id="93"/>
      <w:bookmarkEnd w:id="94"/>
    </w:p>
    <w:p w14:paraId="454E50CD">
      <w:pPr>
        <w:widowControl w:val="0"/>
        <w:spacing w:line="360" w:lineRule="auto"/>
        <w:ind w:firstLine="640"/>
        <w:rPr>
          <w:rFonts w:hint="eastAsia" w:ascii="仿宋_GB2312" w:hAnsi="仿宋_GB2312" w:eastAsia="仿宋_GB2312" w:cs="仿宋_GB2312"/>
          <w:color w:val="auto"/>
          <w:sz w:val="32"/>
          <w:szCs w:val="32"/>
        </w:rPr>
      </w:pPr>
      <w:bookmarkStart w:id="95" w:name="_Toc4428"/>
      <w:bookmarkStart w:id="96" w:name="_Toc14584"/>
      <w:bookmarkStart w:id="97" w:name="_Toc17984"/>
      <w:r>
        <w:rPr>
          <w:rFonts w:ascii="仿宋_GB2312" w:hAnsi="仿宋_GB2312" w:eastAsia="仿宋_GB2312" w:cs="仿宋_GB2312"/>
          <w:color w:val="auto"/>
          <w:sz w:val="32"/>
          <w:szCs w:val="32"/>
        </w:rPr>
        <w:t>1.</w:t>
      </w:r>
      <w:r>
        <w:rPr>
          <w:rFonts w:hint="eastAsia" w:ascii="仿宋_GB2312" w:hAnsi="仿宋_GB2312" w:eastAsia="仿宋_GB2312" w:cs="仿宋_GB2312"/>
          <w:color w:val="auto"/>
          <w:sz w:val="32"/>
          <w:szCs w:val="32"/>
        </w:rPr>
        <w:t>影响项目施工进度或正常运营的风险及控制措施</w:t>
      </w:r>
      <w:bookmarkEnd w:id="95"/>
      <w:bookmarkEnd w:id="96"/>
      <w:bookmarkEnd w:id="97"/>
    </w:p>
    <w:p w14:paraId="687EAAED">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（1）自然环境和施工条件</w:t>
      </w:r>
    </w:p>
    <w:p w14:paraId="5E7039DC">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影响施工进度的自然环境和施工条件因素主要包括气象环境和地质情况两大方面，这两方面对工程项目的影响有时难以预测，具有一定的不确定性。</w:t>
      </w:r>
    </w:p>
    <w:p w14:paraId="12689F1E">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1）本项目气象环境影响因素主要考虑高温天气、雨季、大风等情况对项目进度的影响。</w:t>
      </w:r>
    </w:p>
    <w:p w14:paraId="52ACEE7B">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在夏季，室外温度过高，温度持续较高，给施工带来极大的不便，室外操作人员工作效率较低，容易发生中暑，为了安全起见，有时会停止施工。</w:t>
      </w:r>
    </w:p>
    <w:p w14:paraId="4F45C172">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降水方面主要考虑雨季的长短对进度的影响。梅雨季节，雨天较多，空气湿度也较大，会给施工带来一些问题，比如：深基础施工中，由于槽内积水，水泵不能将其及时排出，造成大面积的塌方，甚至影响塔吊基础稳定，造成停工；由于措施采取不当，钻孔桩施工后没有及时浇筑混凝土，雨后塌孔，造成停工；土方工程和基础工程受雨水影响比较大，若不采取有关防范措施，也会导致工期延误。</w:t>
      </w:r>
    </w:p>
    <w:p w14:paraId="421B074F">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大风出现的时候，也会给工程进度带来影响。刮风比较大时，进行高空作业比较困难和危险，这种情况下，为了保证安全，塔吊停止工作，材料的垂直运输就不能进行，没有材料，工人无法进行施工，就导致了进度的拖延。</w:t>
      </w:r>
    </w:p>
    <w:p w14:paraId="21F433D3">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因此，在施工前收集并分析本地气象资料，制定适宜的施工进度计划。根据项目抵御灾害天气的能力，合理制定灾害天气应对预案，将灾害天气对工程进度的影响降到最低点。比如，在温度方面，主要是收集年平均气温，最热、最冷月份的平均温度以及施工季节室内外温差等情况，从而确定出防暑降温措施以及冬雨季施工进度措施；在降雨方面，要收集当地雨季的长短、月平均降雨量、最大降水量等情况，可以为雨季施工措施、排水防洪等方案提供依据；在风因素方面，要收集当地的主导风向和频率及大风出现的天数、时间等情况，从而为确定临时设施布置方案以及高空作业及吊装的技术安全措施等提供了可靠的依据。</w:t>
      </w:r>
    </w:p>
    <w:p w14:paraId="3074DC20">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2）复杂的地质地貌较易影响工程的进度，地质地貌情况决定土石方工程的施工方法、地基土的处理方法、基础的施工方法等等。</w:t>
      </w:r>
    </w:p>
    <w:p w14:paraId="0E2D937E">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地形地貌方面上，对施工进度会有一定的影响，如果建筑工程处于交通条件不方便的地区，施工场地狭窄，工作面少，土方工程和基础工程难以开展，需要花费较多的时间解决，这样就会影响工程的进度控制；如果项目所处地理位置交通方便，且地形地貌条件良好，施工简单，这样就有利于进度的控制。</w:t>
      </w:r>
    </w:p>
    <w:p w14:paraId="057FF06A">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由于水文地质较为复杂，而工程中对水文地质问题研究往往又不深入，会忽略了它对工程进度的影响。若施工中遇到在勘察设计时没有发现的水文地质的情况下，比如：流砂、透水、断层、空穴、溶洞等，这些情况可能给基础工程带来不利的影响，此时，应该先暂停该部分的施工，应立即与设计方、地勘及相关专家“会诊”，研究对策，提出解决方案，再继续施工。</w:t>
      </w:r>
    </w:p>
    <w:p w14:paraId="1836C95C">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针对地质环境因素，择优选择有资质有经验的勘察单位，认真做好勘察工作，确保提供地质资料的准确性。勘察单位根据相关技术标准规范的要求，针对项目区域地形地质特点和工程建设的需要，开展勘察工作。首先进行可行性研究工程地质勘察，尤其是对工程比较有关键性影响的不良地质、特殊岩土等，进行必要的工程地质勘察；其次，在可行性研究的基础上，进行初步地质勘察，综合考虑地质条件和各种因素，为详勘工作提出建议；最后进行详细地质勘察，详细查明项目现场地基工程地质条件，准确提供工程和基础设计、施工必须的地质参数。</w:t>
      </w:r>
    </w:p>
    <w:p w14:paraId="08D78067">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（2）来源于施工方的风险因素（施工技术、管理方案）</w:t>
      </w:r>
    </w:p>
    <w:p w14:paraId="4E65A8D0">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施工单位对施工进度起决定性作用，施工方的风险因素包括：采用技术措施不当，施工中发生技术事故；应用新技术、新材料、新结构缺乏经验，不能保证质量等影响施工进度；施工方案制定不科学、不合理、可操作性不强，实际施工中出现问题；施工组织管理不利，流水施工组织不合理，劳动力和施工机械调配不当、施工平面布置不合理等影响施工进度计划的执行；施工过程管理不善，解决问题不及时等，都会影响工程项目的施工进度。</w:t>
      </w:r>
    </w:p>
    <w:p w14:paraId="2D0A12A6">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一方面，通过公开招投标，选择有较高施工技术与管理水平，经济实力雄厚并拥有先进施工设备的施工队伍，确保工程的质量与进度;通过选择资信好、技术可靠的设计、施工承包商，签订规范的合同（包括在承包商不能履行合同时确定损失额的条款），切实做好合同管理的工作，可以达到抵御风险的目的。</w:t>
      </w:r>
    </w:p>
    <w:p w14:paraId="767A3109">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另一方面加强过程监督控制。建设单位与各参建单位严格按照合同约定办事，完善项目建设组织与管理，质量监督体系；对施工方案的科学性、合理性、可操作性进行审核；对施工总进度计划、分阶段实施计划、关键节点实施细则仔细审核；落实好进度管理部门人员及职责分工；分析影响进度目标实现的干扰和风险因素等；督促施工方按施工进度计划要求执行，一旦发生进度偏差，及时分析原因，采取必要纠偏措施或调整原进度计划，加强动态控制；通过经济奖惩方法对进度管理进行约束等。</w:t>
      </w:r>
    </w:p>
    <w:p w14:paraId="48B81217">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（3）来源于设计单位的风险因素（设计质量、设计变更）</w:t>
      </w:r>
    </w:p>
    <w:p w14:paraId="589AE4E1">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在施工过程中，出现设计变更是难免的，或者是由于原设计有问题需要修改，或者由于实施机构提出了新的要求。</w:t>
      </w:r>
    </w:p>
    <w:p w14:paraId="494B747D">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通过择优选择设计单位，减少设计质量风险，从而减少对施工进度的影响；实施机构先进行建筑方案的策划，提出可行的设计条件，作为合同的附加条件；施工图完成后，交给审图中心进行全面审核，提升设计质量；深化各阶段设计方案，强化地质勘探工作，减少工程设计方案的变更，避免因设计方案的变更而拖延工期或造成报废工程。</w:t>
      </w:r>
    </w:p>
    <w:p w14:paraId="6EC0B6B3">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施工招标之前，由实施机构、监理方及相关使用单位先进行一次图纸会审，会审结果形成书面文件。施工单位进场后，参建单位再进行一次图纸会审。</w:t>
      </w:r>
    </w:p>
    <w:p w14:paraId="722DE251">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施工过程中，加强图纸审查，严格控制随意变更，针对合理的设计变更，加强设计各专业之间及变更相关单位的协调配合，严格控制变更手续办理时间，减少设计变更对施工总进度的影响。</w:t>
      </w:r>
    </w:p>
    <w:p w14:paraId="65502FD7">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（4）来源于供应商的风险因素</w:t>
      </w:r>
    </w:p>
    <w:p w14:paraId="50483308">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施工过程中需要的材料、构配件、机具和设备等如果不能按期运抵施工现场或者运抵现场后发现其质量不符合有关标准的要求，都会对施工进度产生影响。</w:t>
      </w:r>
    </w:p>
    <w:p w14:paraId="7CDA9145">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因此，择优选择材料设备供应商，注重考察关键设备在工厂的制造；货到付款；供货商参与设备就位及调试，并与设备款的支付挂钩。安排专人对材料、构配件、机具和设备等进行严格把关，根据工程进度，做好材料需求供应计划、并进行动态管理，加强与供应商的协调沟通，控制好物资供应进度，从而减少因供应商导致的施工进度滞后。</w:t>
      </w:r>
    </w:p>
    <w:p w14:paraId="6803FC53">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（5）资金落实情况</w:t>
      </w:r>
    </w:p>
    <w:p w14:paraId="7BF3EA85">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资金风险包括资金不到位，资金被建设单位截留或者挪用，承包商把资金挪为它用等。项目建设所需要的资金，除了资本金外，主要来源于发行债券。一旦国家经济形势发生变化，产业政策和债券发行政策进行调整，都可能给本项目的资金筹措带来风险。资金一旦落实不到位，将直接影响工程进度。</w:t>
      </w:r>
    </w:p>
    <w:p w14:paraId="5778DF82">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针对资金风险，首先是加强项目管理，按计划完工；二是加强财务管理，保持合理的资产负债比例，并提高资金使用效率，增加资本金数量；三是准确把握国家宏观经济形势、国家产业政策变化，及时调整策略。</w:t>
      </w:r>
    </w:p>
    <w:p w14:paraId="53236D58">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建设单位要抓好资金这一关键点，保证工程款按时足额到位；对每一笔工程款支出严格审核，防止在项目实施过程中资金超出预算，在项目建设前期进行科学分析，对影响造价较大的因素重点分析把控。</w:t>
      </w:r>
    </w:p>
    <w:p w14:paraId="1126B11F">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（6）工程事故</w:t>
      </w:r>
    </w:p>
    <w:p w14:paraId="1465B82C">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工程质量和安全事故，不仅会造成经济损失，检查和处理事故势必对工程进度造成影响。</w:t>
      </w:r>
    </w:p>
    <w:p w14:paraId="1D573585">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针对工程事故，首先，应做好事前预防工作，监督和要求施工单位完善质量控制和保障措施、建立健全工程项目安全生产制度，制定工程事故应急预案。落实质量控制专职人员，就施工工艺流程、施工方法、材料设备质量等方面严格把关。建立有符合该项目特点的安全生产制度，参与项目的管理、监理、施工及相关人员都必须认真执行制度的规定和要求。工程项目安全生产制度要符合国家、地方、相关行业及单位的有关安全生产政策、法规、条例、规范和标准。</w:t>
      </w:r>
    </w:p>
    <w:p w14:paraId="35ACF85F">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其次，做好质量和安全检查。对质量和安全检查结果必须认真对待，需要整改的必须限定整改完成时间，落实整改方案和责任人。</w:t>
      </w:r>
    </w:p>
    <w:p w14:paraId="47C1322C">
      <w:pPr>
        <w:widowControl w:val="0"/>
        <w:spacing w:line="360" w:lineRule="auto"/>
        <w:ind w:firstLine="640"/>
        <w:rPr>
          <w:rFonts w:hint="eastAsia" w:ascii="仿宋_GB2312" w:hAnsi="仿宋_GB2312" w:eastAsia="仿宋_GB2312" w:cs="仿宋_GB2312"/>
          <w:color w:val="auto"/>
          <w:sz w:val="32"/>
          <w:szCs w:val="32"/>
        </w:rPr>
      </w:pPr>
      <w:bookmarkStart w:id="98" w:name="_Toc26278"/>
      <w:bookmarkStart w:id="99" w:name="_Toc23117"/>
      <w:bookmarkStart w:id="100" w:name="_Toc23169"/>
      <w:r>
        <w:rPr>
          <w:rFonts w:ascii="仿宋_GB2312" w:hAnsi="仿宋_GB2312" w:eastAsia="仿宋_GB2312" w:cs="仿宋_GB2312"/>
          <w:color w:val="auto"/>
          <w:sz w:val="32"/>
          <w:szCs w:val="32"/>
        </w:rPr>
        <w:t>2.</w:t>
      </w:r>
      <w:r>
        <w:rPr>
          <w:rFonts w:hint="eastAsia" w:ascii="仿宋_GB2312" w:hAnsi="仿宋_GB2312" w:eastAsia="仿宋_GB2312" w:cs="仿宋_GB2312"/>
          <w:color w:val="auto"/>
          <w:sz w:val="32"/>
          <w:szCs w:val="32"/>
        </w:rPr>
        <w:t>影响项目收益的风险及控制措施</w:t>
      </w:r>
      <w:bookmarkEnd w:id="98"/>
      <w:bookmarkEnd w:id="99"/>
      <w:bookmarkEnd w:id="100"/>
    </w:p>
    <w:p w14:paraId="59AE9DC5">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风险分析：影响项目的最大风险在于对未来经营收入的判断不准确、项目进度以及项目收益等重要环节出现判断偏差，项目资金投入和现金流入不能平衡的结果。</w:t>
      </w:r>
    </w:p>
    <w:p w14:paraId="1AE77BF7">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控制措施：针对该风险，本期债券将严格按照《地方政府专项债券发行管理办法》（财库〔2020〕43号）、《关于试点发展项目收益与融资自求平衡的地方政府专项债券品种的通知》（财预〔2017〕89号）的规定，将专项债券收入、支出、还本、付息等纳入政府性预算管理，如偿债出现困难，将通过调减投资计划、处置可变现资产、调整预算支出结构等方式筹集资金偿还债务。未按时足额向省财政缴纳专项债券还本付息资金的,省财政采取适当方式扣回。</w:t>
      </w:r>
    </w:p>
    <w:p w14:paraId="3D8B6DB3">
      <w:pPr>
        <w:widowControl w:val="0"/>
        <w:spacing w:line="360" w:lineRule="auto"/>
        <w:ind w:firstLine="640"/>
        <w:rPr>
          <w:rFonts w:hint="eastAsia" w:ascii="仿宋_GB2312" w:hAnsi="仿宋_GB2312" w:eastAsia="仿宋_GB2312" w:cs="仿宋_GB2312"/>
          <w:color w:val="auto"/>
          <w:sz w:val="32"/>
          <w:szCs w:val="32"/>
        </w:rPr>
      </w:pPr>
      <w:bookmarkStart w:id="101" w:name="_Toc26573"/>
      <w:bookmarkStart w:id="102" w:name="_Toc16997"/>
      <w:bookmarkStart w:id="103" w:name="_Toc26178"/>
      <w:r>
        <w:rPr>
          <w:rFonts w:ascii="仿宋_GB2312" w:hAnsi="仿宋_GB2312" w:eastAsia="仿宋_GB2312" w:cs="仿宋_GB2312"/>
          <w:color w:val="auto"/>
          <w:sz w:val="32"/>
          <w:szCs w:val="32"/>
        </w:rPr>
        <w:t>3.</w:t>
      </w:r>
      <w:r>
        <w:rPr>
          <w:rFonts w:hint="eastAsia" w:ascii="仿宋_GB2312" w:hAnsi="仿宋_GB2312" w:eastAsia="仿宋_GB2312" w:cs="仿宋_GB2312"/>
          <w:color w:val="auto"/>
          <w:sz w:val="32"/>
          <w:szCs w:val="32"/>
        </w:rPr>
        <w:t>影响融资平衡结果的风险及控制措施</w:t>
      </w:r>
      <w:bookmarkEnd w:id="101"/>
      <w:bookmarkEnd w:id="102"/>
      <w:bookmarkEnd w:id="103"/>
    </w:p>
    <w:p w14:paraId="28FC43FF">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（1）投资测算不准确风险</w:t>
      </w:r>
    </w:p>
    <w:p w14:paraId="70C94A8D">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项目融资平衡最大的风险在于对项目进度以及项目整体收益测算等重要环节出现判断偏差。规划设计规模偏大或偏小直接导致投资总额设计偏大或偏小；对项目进度错判将导致融资节奏错乱，导致资金不能及时足额注入到项目或者大额资金不能充分运用的后果；整体收益测算出现偏差将导致项目可行性分析不能及时纠偏，项目资金投入和现金流入不能平衡的结果。</w:t>
      </w:r>
    </w:p>
    <w:p w14:paraId="753DF6E9">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本项目可行性研究报告聘请专业咨询公司经过大量分析论证工作后得出，分析结果较为可靠。本项目收益测算环节聘请会计师事务所专业团队进行测算，测算结果较为可靠。</w:t>
      </w:r>
    </w:p>
    <w:p w14:paraId="653633DD">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（2）利率波动风险</w:t>
      </w:r>
    </w:p>
    <w:p w14:paraId="6B70A2CA">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国际环境的变化、国家的宏观经济走势及货币政策等因素的变化会引起，债务资本市场利率的波动，市场利率波动将会对融资成本产生影响，进而影响项目投资收益的平衡。</w:t>
      </w:r>
    </w:p>
    <w:p w14:paraId="5B2202BD">
      <w:pPr>
        <w:widowControl w:val="0"/>
        <w:spacing w:line="360" w:lineRule="auto"/>
        <w:ind w:firstLine="640"/>
        <w:jc w:val="both"/>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为控制项目融资成本，可动态调整债券发行期限，做好期限配比、还款计划和准备，加快资金周转，适当增大流动比率，充分盘活资金，用资金使用效率收益对冲利率波动损失。</w:t>
      </w:r>
    </w:p>
    <w:p w14:paraId="42CFE11B">
      <w:pPr>
        <w:pStyle w:val="5"/>
        <w:spacing w:before="156" w:beforeLines="50" w:after="156" w:afterLines="50"/>
        <w:ind w:firstLine="643"/>
        <w:rPr>
          <w:rFonts w:hint="eastAsia" w:ascii="仿宋_GB2312" w:hAnsi="仿宋_GB2312" w:eastAsia="仿宋_GB2312" w:cs="仿宋_GB2312"/>
          <w:color w:val="auto"/>
          <w:sz w:val="32"/>
        </w:rPr>
      </w:pPr>
      <w:bookmarkStart w:id="104" w:name="_Toc123984292"/>
      <w:bookmarkStart w:id="105" w:name="_Toc174657299"/>
      <w:r>
        <w:rPr>
          <w:rFonts w:hint="eastAsia" w:ascii="仿宋_GB2312" w:hAnsi="仿宋_GB2312" w:eastAsia="仿宋_GB2312" w:cs="仿宋_GB2312"/>
          <w:color w:val="auto"/>
          <w:sz w:val="32"/>
        </w:rPr>
        <w:t>（二）还款保障措施</w:t>
      </w:r>
      <w:bookmarkEnd w:id="104"/>
      <w:bookmarkEnd w:id="105"/>
    </w:p>
    <w:p w14:paraId="3BFB977C">
      <w:pPr>
        <w:widowControl w:val="0"/>
        <w:spacing w:line="360" w:lineRule="auto"/>
        <w:ind w:firstLine="64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按照《国务院办公厅关于印发地方政府性债务风险应急处置预案的通知》（国办函[2016]88号）规定，本级政府对地方政府债券依法承担全部偿还责任，本级财政将按照《财政部关于印发&lt;地方政府专项债务预算管理办法&gt;的通知》（财预[2016]</w:t>
      </w:r>
      <w:r>
        <w:rPr>
          <w:rFonts w:eastAsia="仿宋_GB2312" w:cs="Calibri"/>
          <w:color w:val="auto"/>
          <w:sz w:val="32"/>
          <w:szCs w:val="32"/>
        </w:rPr>
        <w:t> </w:t>
      </w:r>
      <w:r>
        <w:rPr>
          <w:rFonts w:hint="eastAsia" w:ascii="仿宋_GB2312" w:hAnsi="仿宋_GB2312" w:eastAsia="仿宋_GB2312" w:cs="仿宋_GB2312"/>
          <w:color w:val="auto"/>
          <w:sz w:val="32"/>
          <w:szCs w:val="32"/>
        </w:rPr>
        <w:t>155号）规定，及时按照转贷协议约定逐级向省财政缴纳本级应当承担的还本付息资金，由省财政按照合同约定及时偿还专项债券到期本息。如偿债出现困难，将通过调减投资计划、处置可变现资产、调整预算支出结构等方式筹集资金偿还债务。未按时足额向省财政缴纳专项债券还本付息资金的，省财政采取适当方式扣回。</w:t>
      </w:r>
    </w:p>
    <w:p w14:paraId="3DEF3F3F">
      <w:pPr>
        <w:pStyle w:val="4"/>
        <w:adjustRightInd w:val="0"/>
        <w:snapToGrid w:val="0"/>
        <w:spacing w:before="156" w:beforeLines="50"/>
        <w:ind w:firstLine="640"/>
        <w:rPr>
          <w:rFonts w:hint="eastAsia" w:ascii="黑体" w:hAnsi="黑体" w:eastAsia="黑体" w:cs="黑体"/>
          <w:color w:val="auto"/>
          <w:kern w:val="0"/>
          <w:sz w:val="32"/>
          <w:szCs w:val="32"/>
        </w:rPr>
      </w:pPr>
      <w:bookmarkStart w:id="106" w:name="_Toc123984293"/>
      <w:bookmarkStart w:id="107" w:name="_Toc174657300"/>
      <w:r>
        <w:rPr>
          <w:rFonts w:hint="eastAsia" w:ascii="黑体" w:hAnsi="黑体" w:eastAsia="黑体" w:cs="黑体"/>
          <w:color w:val="auto"/>
          <w:kern w:val="0"/>
          <w:sz w:val="32"/>
          <w:szCs w:val="32"/>
        </w:rPr>
        <w:t>七、</w:t>
      </w:r>
      <w:bookmarkEnd w:id="106"/>
      <w:r>
        <w:rPr>
          <w:rFonts w:hint="eastAsia" w:ascii="黑体" w:hAnsi="黑体" w:eastAsia="黑体" w:cs="黑体"/>
          <w:color w:val="auto"/>
          <w:kern w:val="0"/>
          <w:sz w:val="32"/>
          <w:szCs w:val="32"/>
        </w:rPr>
        <w:t>事前绩效评估情况</w:t>
      </w:r>
      <w:bookmarkEnd w:id="107"/>
    </w:p>
    <w:p w14:paraId="1E5A2D81">
      <w:pPr>
        <w:pStyle w:val="2"/>
        <w:snapToGrid/>
        <w:ind w:firstLine="640"/>
        <w:textAlignment w:val="auto"/>
        <w:rPr>
          <w:rFonts w:cs="仿宋_GB2312"/>
          <w:color w:val="auto"/>
          <w:sz w:val="32"/>
          <w:szCs w:val="32"/>
        </w:rPr>
      </w:pPr>
      <w:r>
        <w:rPr>
          <w:rFonts w:cs="仿宋_GB2312"/>
          <w:color w:val="auto"/>
          <w:sz w:val="32"/>
          <w:szCs w:val="32"/>
        </w:rPr>
        <w:t>为规范和加强地方政府债券项目资金管理，更好的发挥好财政职能作用，促进财政政策和项目绩效的提升，推进财政资金往收支平衡方向发展，建立健全地方政府债券资金使用和项目管理的激励和约束机制，督促项目执行力度，完善项目管理程序，从源头上防止资金的闲置沉淀，切实提高资金使用效益，项目单位根据《财政部关于加强中央部门预算评审工作的通知》（财预〔2015〕90号），财政部关于印发《地方政府专项债券项目资金绩效管理办法》财预〔2021〕61号的通知，结合项目绩效目标表、项目实施方案、可行性研究报告等相关资料，对本项目开展了事前绩效评估工作。</w:t>
      </w:r>
    </w:p>
    <w:p w14:paraId="43BB4DD8">
      <w:pPr>
        <w:pStyle w:val="2"/>
        <w:snapToGrid/>
        <w:ind w:firstLine="640"/>
        <w:textAlignment w:val="auto"/>
        <w:rPr>
          <w:rFonts w:cs="仿宋_GB2312"/>
          <w:color w:val="auto"/>
          <w:sz w:val="32"/>
          <w:szCs w:val="32"/>
        </w:rPr>
      </w:pPr>
      <w:r>
        <w:rPr>
          <w:rFonts w:cs="仿宋_GB2312"/>
          <w:color w:val="auto"/>
          <w:sz w:val="32"/>
          <w:szCs w:val="32"/>
        </w:rPr>
        <w:t>通过项目详细评估，采用科学、论证的思路收集相关资料与数据。本项目的实施具有一定的必要性、公益性、收益性，项目建设投资合规且具有必要的成熟度，项目资金来源和到位具有一定的可行性，项目收入、成本、收益预测合理，债券资金需求合理，项目偿债计划具有一定的可行性且偿债风险点可控，项目绩效目标合理，项目实施计划具有一定的可行性且项目过程控制预期有效。</w:t>
      </w:r>
    </w:p>
    <w:p w14:paraId="01056625">
      <w:pPr>
        <w:pStyle w:val="2"/>
        <w:snapToGrid/>
        <w:ind w:firstLine="640"/>
        <w:textAlignment w:val="auto"/>
        <w:rPr>
          <w:color w:val="auto"/>
        </w:rPr>
      </w:pPr>
      <w:r>
        <w:rPr>
          <w:rFonts w:cs="仿宋_GB2312"/>
          <w:color w:val="auto"/>
          <w:sz w:val="32"/>
          <w:szCs w:val="32"/>
        </w:rPr>
        <w:t>综合评价，对该项目应“予以支持”。</w:t>
      </w:r>
    </w:p>
    <w:sectPr>
      <w:footerReference r:id="rId20" w:type="default"/>
      <w:pgSz w:w="11850" w:h="16783"/>
      <w:pgMar w:top="2041" w:right="1417" w:bottom="1417" w:left="1531"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Calibri Light">
    <w:panose1 w:val="020F03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LF_Kai">
    <w:altName w:val="宋体"/>
    <w:panose1 w:val="00000000000000000000"/>
    <w:charset w:val="86"/>
    <w:family w:val="script"/>
    <w:pitch w:val="default"/>
    <w:sig w:usb0="00000000" w:usb1="00000000" w:usb2="00000010" w:usb3="00000000" w:csb0="00040000" w:csb1="00000000"/>
  </w:font>
  <w:font w:name="方正仿宋">
    <w:altName w:val="仿宋"/>
    <w:panose1 w:val="00000000000000000000"/>
    <w:charset w:val="86"/>
    <w:family w:val="script"/>
    <w:pitch w:val="default"/>
    <w:sig w:usb0="00000000" w:usb1="00000000" w:usb2="00000010" w:usb3="00000000" w:csb0="00040000" w:csb1="00000000"/>
  </w:font>
  <w:font w:name="MingLiU">
    <w:altName w:val="PMingLiU-ExtB"/>
    <w:panose1 w:val="02010609000101010101"/>
    <w:charset w:val="88"/>
    <w:family w:val="modern"/>
    <w:pitch w:val="default"/>
    <w:sig w:usb0="00000000" w:usb1="00000000" w:usb2="00000016" w:usb3="00000000" w:csb0="00100001" w:csb1="00000000"/>
  </w:font>
  <w:font w:name="TimesNewRomanPS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PMingLiU-ExtB">
    <w:panose1 w:val="02020500000000000000"/>
    <w:charset w:val="88"/>
    <w:family w:val="auto"/>
    <w:pitch w:val="default"/>
    <w:sig w:usb0="8000002F" w:usb1="02000008" w:usb2="00000000"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AA45C0">
    <w:pPr>
      <w:pStyle w:val="13"/>
      <w:ind w:firstLine="360"/>
      <w:jc w:val="right"/>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0A6C99A2">
                          <w:pPr>
                            <w:pStyle w:val="13"/>
                            <w:ind w:firstLine="360"/>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NIka7DICAABjBAAADgAAAAAAAAABACAAAAAfAQAAZHJzL2Uyb0RvYy54bWxQSwUG&#10;AAAAAAYABgBZAQAAwwUAAAAA&#10;">
              <v:fill on="f" focussize="0,0"/>
              <v:stroke on="f" weight="0.5pt"/>
              <v:imagedata o:title=""/>
              <o:lock v:ext="edit" aspectratio="f"/>
              <v:textbox inset="0mm,0mm,0mm,0mm" style="mso-fit-shape-to-text:t;">
                <w:txbxContent>
                  <w:p w14:paraId="0A6C99A2">
                    <w:pPr>
                      <w:pStyle w:val="13"/>
                      <w:ind w:firstLine="360"/>
                      <w:jc w:val="right"/>
                    </w:pPr>
                  </w:p>
                </w:txbxContent>
              </v:textbox>
            </v:shape>
          </w:pict>
        </mc:Fallback>
      </mc:AlternateContent>
    </w:r>
  </w:p>
  <w:p w14:paraId="1842B9E2">
    <w:pPr>
      <w:pStyle w:val="13"/>
      <w:ind w:firstLine="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D6203D">
    <w:pPr>
      <w:pStyle w:val="13"/>
      <w:ind w:firstLine="360"/>
      <w:jc w:val="center"/>
    </w:pPr>
    <w:r>
      <w:fldChar w:fldCharType="begin"/>
    </w:r>
    <w:r>
      <w:instrText xml:space="preserve">PAGE   \* MERGEFORMAT</w:instrText>
    </w:r>
    <w:r>
      <w:fldChar w:fldCharType="separate"/>
    </w:r>
    <w:r>
      <w:rPr>
        <w:lang w:val="zh-CN"/>
      </w:rPr>
      <w:t>113</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47C6A0">
    <w:pPr>
      <w:pStyle w:val="13"/>
      <w:ind w:firstLine="360"/>
      <w:jc w:val="center"/>
    </w:pPr>
    <w:r>
      <w:fldChar w:fldCharType="begin"/>
    </w:r>
    <w:r>
      <w:instrText xml:space="preserve">PAGE   \* MERGEFORMAT</w:instrText>
    </w:r>
    <w:r>
      <w:fldChar w:fldCharType="separate"/>
    </w:r>
    <w:r>
      <w:rPr>
        <w:lang w:val="zh-CN"/>
      </w:rPr>
      <w:t>32</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33A081">
    <w:pPr>
      <w:pStyle w:val="13"/>
      <w:ind w:firstLine="360"/>
      <w:jc w:val="center"/>
    </w:pPr>
    <w:r>
      <w:fldChar w:fldCharType="begin"/>
    </w:r>
    <w:r>
      <w:instrText xml:space="preserve">PAGE   \* MERGEFORMAT</w:instrText>
    </w:r>
    <w:r>
      <w:fldChar w:fldCharType="separate"/>
    </w:r>
    <w:r>
      <w:rPr>
        <w:lang w:val="zh-CN"/>
      </w:rPr>
      <w:t>113</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D7D753">
    <w:pPr>
      <w:pStyle w:val="13"/>
      <w:ind w:firstLine="360"/>
      <w:jc w:val="right"/>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D85E8A">
                          <w:pPr>
                            <w:pStyle w:val="13"/>
                            <w:ind w:firstLine="360"/>
                          </w:pPr>
                          <w:r>
                            <w:fldChar w:fldCharType="begin"/>
                          </w:r>
                          <w:r>
                            <w:instrText xml:space="preserve"> PAGE  \* MERGEFORMAT </w:instrText>
                          </w:r>
                          <w:r>
                            <w:fldChar w:fldCharType="separate"/>
                          </w:r>
                          <w:r>
                            <w:t>53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ikIRMKwIAAFcEAAAOAAAAAAAAAAEAIAAAAB8BAABkcnMvZTJvRG9jLnhtbFBLBQYAAAAABgAG&#10;AFkBAAC8BQAAAAA=&#10;">
              <v:fill on="f" focussize="0,0"/>
              <v:stroke on="f" weight="0.5pt"/>
              <v:imagedata o:title=""/>
              <o:lock v:ext="edit" aspectratio="f"/>
              <v:textbox inset="0mm,0mm,0mm,0mm" style="mso-fit-shape-to-text:t;">
                <w:txbxContent>
                  <w:p w14:paraId="5CD85E8A">
                    <w:pPr>
                      <w:pStyle w:val="13"/>
                      <w:ind w:firstLine="360"/>
                    </w:pPr>
                    <w:r>
                      <w:fldChar w:fldCharType="begin"/>
                    </w:r>
                    <w:r>
                      <w:instrText xml:space="preserve"> PAGE  \* MERGEFORMAT </w:instrText>
                    </w:r>
                    <w:r>
                      <w:fldChar w:fldCharType="separate"/>
                    </w:r>
                    <w:r>
                      <w:t>53</w:t>
                    </w:r>
                    <w:r>
                      <w:fldChar w:fldCharType="end"/>
                    </w:r>
                  </w:p>
                </w:txbxContent>
              </v:textbox>
            </v:shape>
          </w:pict>
        </mc:Fallback>
      </mc:AlternateContent>
    </w: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38C87791">
                          <w:pPr>
                            <w:pStyle w:val="13"/>
                            <w:ind w:firstLine="360"/>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A8V5Q0wAgAAYwQAAA4AAAAAAAAAAQAgAAAAHwEAAGRycy9lMm9Eb2MueG1sUEsFBgAA&#10;AAAGAAYAWQEAAMEFAAAAAA==&#10;">
              <v:fill on="f" focussize="0,0"/>
              <v:stroke on="f" weight="0.5pt"/>
              <v:imagedata o:title=""/>
              <o:lock v:ext="edit" aspectratio="f"/>
              <v:textbox inset="0mm,0mm,0mm,0mm" style="mso-fit-shape-to-text:t;">
                <w:txbxContent>
                  <w:p w14:paraId="38C87791">
                    <w:pPr>
                      <w:pStyle w:val="13"/>
                      <w:ind w:firstLine="360"/>
                      <w:jc w:val="right"/>
                    </w:pPr>
                  </w:p>
                </w:txbxContent>
              </v:textbox>
            </v:shape>
          </w:pict>
        </mc:Fallback>
      </mc:AlternateContent>
    </w:r>
  </w:p>
  <w:p w14:paraId="706C5721">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B20DBC">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B8CBC">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510A25">
    <w:pPr>
      <w:pStyle w:val="13"/>
      <w:ind w:firstLine="360"/>
      <w:jc w:val="right"/>
    </w:pPr>
    <w:r>
      <mc:AlternateContent>
        <mc:Choice Requires="wps">
          <w:drawing>
            <wp:anchor distT="0" distB="0" distL="114300" distR="114300" simplePos="0" relativeHeight="251665408" behindDoc="0" locked="0" layoutInCell="1" allowOverlap="1">
              <wp:simplePos x="0" y="0"/>
              <wp:positionH relativeFrom="margin">
                <wp:posOffset>2673350</wp:posOffset>
              </wp:positionH>
              <wp:positionV relativeFrom="paragraph">
                <wp:posOffset>-635</wp:posOffset>
              </wp:positionV>
              <wp:extent cx="431800" cy="1828800"/>
              <wp:effectExtent l="0" t="0" r="6350" b="0"/>
              <wp:wrapNone/>
              <wp:docPr id="2" name="文本框 2"/>
              <wp:cNvGraphicFramePr/>
              <a:graphic xmlns:a="http://schemas.openxmlformats.org/drawingml/2006/main">
                <a:graphicData uri="http://schemas.microsoft.com/office/word/2010/wordprocessingShape">
                  <wps:wsp>
                    <wps:cNvSpPr txBox="1"/>
                    <wps:spPr>
                      <a:xfrm>
                        <a:off x="0" y="0"/>
                        <a:ext cx="431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6594CA5">
                          <w:pPr>
                            <w:pStyle w:val="13"/>
                            <w:ind w:firstLine="360"/>
                          </w:pPr>
                          <w:r>
                            <w:fldChar w:fldCharType="begin"/>
                          </w:r>
                          <w:r>
                            <w:instrText xml:space="preserve"> PAGE  \* MERGEFORMAT </w:instrText>
                          </w:r>
                          <w:r>
                            <w:fldChar w:fldCharType="separate"/>
                          </w:r>
                          <w:r>
                            <w:t>21</w:t>
                          </w:r>
                          <w:r>
                            <w:fldChar w:fldCharType="end"/>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0.5pt;margin-top:-0.05pt;height:144pt;width:34pt;mso-position-horizontal-relative:margin;z-index:251665408;mso-width-relative:page;mso-height-relative:page;" filled="f" stroked="f" coordsize="21600,21600" o:gfxdata="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JtSdjdgAAAAJAQAADwAAAAAAAAABACAAAAAiAAAAZHJzL2Rvd25yZXYueG1s&#10;UEsBAhQAFAAAAAgAh07iQLwlsFYxAgAAVgQAAA4AAAAAAAAAAQAgAAAAJwEAAGRycy9lMm9Eb2Mu&#10;eG1sUEsFBgAAAAAGAAYAWQEAAMoFAAAAAA==&#10;">
              <v:fill on="f" focussize="0,0"/>
              <v:stroke on="f" weight="0.5pt"/>
              <v:imagedata o:title=""/>
              <o:lock v:ext="edit" aspectratio="f"/>
              <v:textbox inset="0mm,0mm,0mm,0mm" style="mso-fit-shape-to-text:t;">
                <w:txbxContent>
                  <w:p w14:paraId="76594CA5">
                    <w:pPr>
                      <w:pStyle w:val="13"/>
                      <w:ind w:firstLine="360"/>
                    </w:pPr>
                    <w:r>
                      <w:fldChar w:fldCharType="begin"/>
                    </w:r>
                    <w:r>
                      <w:instrText xml:space="preserve"> PAGE  \* MERGEFORMAT </w:instrText>
                    </w:r>
                    <w:r>
                      <w:fldChar w:fldCharType="separate"/>
                    </w:r>
                    <w:r>
                      <w:t>21</w:t>
                    </w:r>
                    <w:r>
                      <w:fldChar w:fldCharType="end"/>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1BAD73F3">
                          <w:pPr>
                            <w:pStyle w:val="13"/>
                            <w:ind w:firstLine="360"/>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14:paraId="1BAD73F3">
                    <w:pPr>
                      <w:pStyle w:val="13"/>
                      <w:ind w:firstLine="360"/>
                      <w:jc w:val="right"/>
                    </w:pPr>
                  </w:p>
                </w:txbxContent>
              </v:textbox>
            </v:shape>
          </w:pict>
        </mc:Fallback>
      </mc:AlternateContent>
    </w:r>
  </w:p>
  <w:p w14:paraId="41FF13A5">
    <w:pPr>
      <w:pStyle w:val="13"/>
      <w:ind w:firstLine="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8BAC5D">
    <w:pPr>
      <w:pStyle w:val="13"/>
      <w:ind w:firstLine="360"/>
      <w:jc w:val="right"/>
    </w:pPr>
    <w:r>
      <mc:AlternateContent>
        <mc:Choice Requires="wps">
          <w:drawing>
            <wp:anchor distT="0" distB="0" distL="114300" distR="114300" simplePos="0" relativeHeight="25166745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3A73B9">
                          <w:pPr>
                            <w:pStyle w:val="13"/>
                            <w:ind w:firstLine="360"/>
                          </w:pPr>
                          <w:r>
                            <w:fldChar w:fldCharType="begin"/>
                          </w:r>
                          <w:r>
                            <w:instrText xml:space="preserve"> PAGE  \* MERGEFORMAT </w:instrText>
                          </w:r>
                          <w:r>
                            <w:fldChar w:fldCharType="separate"/>
                          </w:r>
                          <w:r>
                            <w:t>24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745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66C/ssAgAAV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nroL+ywCAABVBAAADgAAAAAAAAABACAAAAAfAQAAZHJzL2Uyb0RvYy54bWxQSwUGAAAAAAYA&#10;BgBZAQAAvQUAAAAA&#10;">
              <v:fill on="f" focussize="0,0"/>
              <v:stroke on="f" weight="0.5pt"/>
              <v:imagedata o:title=""/>
              <o:lock v:ext="edit" aspectratio="f"/>
              <v:textbox inset="0mm,0mm,0mm,0mm" style="mso-fit-shape-to-text:t;">
                <w:txbxContent>
                  <w:p w14:paraId="5C3A73B9">
                    <w:pPr>
                      <w:pStyle w:val="13"/>
                      <w:ind w:firstLine="360"/>
                    </w:pPr>
                    <w:r>
                      <w:fldChar w:fldCharType="begin"/>
                    </w:r>
                    <w:r>
                      <w:instrText xml:space="preserve"> PAGE  \* MERGEFORMAT </w:instrText>
                    </w:r>
                    <w:r>
                      <w:fldChar w:fldCharType="separate"/>
                    </w:r>
                    <w:r>
                      <w:t>24</w:t>
                    </w:r>
                    <w:r>
                      <w:fldChar w:fldCharType="end"/>
                    </w:r>
                  </w:p>
                </w:txbxContent>
              </v:textbox>
            </v:shape>
          </w:pict>
        </mc:Fallback>
      </mc:AlternateContent>
    </w: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FDBC854">
                          <w:pPr>
                            <w:pStyle w:val="13"/>
                            <w:ind w:firstLine="360"/>
                            <w:jc w:val="right"/>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HPF6wxAgAAY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xzxesMQIAAGMEAAAOAAAAAAAAAAEAIAAAAB8BAABkcnMvZTJvRG9jLnhtbFBLBQYA&#10;AAAABgAGAFkBAADCBQAAAAA=&#10;">
              <v:fill on="f" focussize="0,0"/>
              <v:stroke on="f" weight="0.5pt"/>
              <v:imagedata o:title=""/>
              <o:lock v:ext="edit" aspectratio="f"/>
              <v:textbox inset="0mm,0mm,0mm,0mm" style="mso-fit-shape-to-text:t;">
                <w:txbxContent>
                  <w:p w14:paraId="5FDBC854">
                    <w:pPr>
                      <w:pStyle w:val="13"/>
                      <w:ind w:firstLine="360"/>
                      <w:jc w:val="right"/>
                    </w:pPr>
                  </w:p>
                </w:txbxContent>
              </v:textbox>
            </v:shape>
          </w:pict>
        </mc:Fallback>
      </mc:AlternateContent>
    </w:r>
  </w:p>
  <w:p w14:paraId="5E60519C">
    <w:pPr>
      <w:pStyle w:val="13"/>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348602">
    <w:pPr>
      <w:pStyle w:val="13"/>
      <w:ind w:firstLine="360"/>
      <w:jc w:val="center"/>
    </w:pPr>
    <w:r>
      <mc:AlternateContent>
        <mc:Choice Requires="wps">
          <w:drawing>
            <wp:anchor distT="0" distB="0" distL="114300" distR="114300" simplePos="0" relativeHeight="251666432"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83E8C15">
                          <w:pPr>
                            <w:pStyle w:val="13"/>
                            <w:ind w:firstLine="360"/>
                          </w:pPr>
                          <w:r>
                            <w:fldChar w:fldCharType="begin"/>
                          </w:r>
                          <w:r>
                            <w:instrText xml:space="preserve"> PAGE  \* MERGEFORMAT </w:instrText>
                          </w:r>
                          <w:r>
                            <w:fldChar w:fldCharType="separate"/>
                          </w:r>
                          <w:r>
                            <w:t>26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643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rd1wwq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Mrd1wwqAgAAVwQAAA4AAAAAAAAAAQAgAAAAHwEAAGRycy9lMm9Eb2MueG1sUEsFBgAAAAAGAAYA&#10;WQEAALsFAAAAAA==&#10;">
              <v:fill on="f" focussize="0,0"/>
              <v:stroke on="f" weight="0.5pt"/>
              <v:imagedata o:title=""/>
              <o:lock v:ext="edit" aspectratio="f"/>
              <v:textbox inset="0mm,0mm,0mm,0mm" style="mso-fit-shape-to-text:t;">
                <w:txbxContent>
                  <w:p w14:paraId="783E8C15">
                    <w:pPr>
                      <w:pStyle w:val="13"/>
                      <w:ind w:firstLine="360"/>
                    </w:pPr>
                    <w:r>
                      <w:fldChar w:fldCharType="begin"/>
                    </w:r>
                    <w:r>
                      <w:instrText xml:space="preserve"> PAGE  \* MERGEFORMAT </w:instrText>
                    </w:r>
                    <w:r>
                      <w:fldChar w:fldCharType="separate"/>
                    </w:r>
                    <w:r>
                      <w:t>26</w:t>
                    </w:r>
                    <w:r>
                      <w:fldChar w:fldCharType="end"/>
                    </w:r>
                  </w:p>
                </w:txbxContent>
              </v:textbox>
            </v:shape>
          </w:pict>
        </mc:Fallback>
      </mc:AlternateContent>
    </w:r>
  </w:p>
  <w:p w14:paraId="5705B82B">
    <w:pPr>
      <w:pStyle w:val="13"/>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D4E160">
    <w:pPr>
      <w:pStyle w:val="13"/>
      <w:ind w:firstLine="360"/>
      <w:jc w:val="center"/>
    </w:pPr>
    <w:r>
      <w:fldChar w:fldCharType="begin"/>
    </w:r>
    <w:r>
      <w:instrText xml:space="preserve">PAGE   \* MERGEFORMAT</w:instrText>
    </w:r>
    <w:r>
      <w:fldChar w:fldCharType="separate"/>
    </w:r>
    <w:r>
      <w:rPr>
        <w:lang w:val="zh-CN"/>
      </w:rPr>
      <w:t>38</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F1084B">
    <w:pPr>
      <w:pStyle w:val="13"/>
      <w:ind w:firstLine="360"/>
      <w:jc w:val="center"/>
    </w:pPr>
    <w:r>
      <w:fldChar w:fldCharType="begin"/>
    </w:r>
    <w:r>
      <w:instrText xml:space="preserve">PAGE   \* MERGEFORMAT</w:instrText>
    </w:r>
    <w:r>
      <w:fldChar w:fldCharType="separate"/>
    </w:r>
    <w:r>
      <w:rPr>
        <w:lang w:val="zh-CN"/>
      </w:rPr>
      <w:t>113</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A9862">
    <w:pPr>
      <w:pStyle w:val="13"/>
      <w:ind w:firstLine="360"/>
      <w:jc w:val="center"/>
    </w:pPr>
    <w:r>
      <w:fldChar w:fldCharType="begin"/>
    </w:r>
    <w:r>
      <w:instrText xml:space="preserve">PAGE   \* MERGEFORMAT</w:instrText>
    </w:r>
    <w:r>
      <w:fldChar w:fldCharType="separate"/>
    </w:r>
    <w:r>
      <w:rPr>
        <w:lang w:val="zh-CN"/>
      </w:rPr>
      <w:t>40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7F5987">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3FCD83">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54F8E0">
    <w:pPr>
      <w:pStyle w:val="14"/>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40"/>
  <w:drawingGridVerticalSpacing w:val="381"/>
  <w:displayHorizont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Q0OGQ5YWIxMDhiZTY4YmMxOTAxZjA1ODIyNjkwZDQifQ=="/>
  </w:docVars>
  <w:rsids>
    <w:rsidRoot w:val="72483B0C"/>
    <w:rsid w:val="00000771"/>
    <w:rsid w:val="000061D1"/>
    <w:rsid w:val="00006D48"/>
    <w:rsid w:val="00013F2E"/>
    <w:rsid w:val="00016D48"/>
    <w:rsid w:val="00020BC8"/>
    <w:rsid w:val="0002490D"/>
    <w:rsid w:val="00026BBA"/>
    <w:rsid w:val="000349C3"/>
    <w:rsid w:val="00034B5B"/>
    <w:rsid w:val="00036C4B"/>
    <w:rsid w:val="00041DE0"/>
    <w:rsid w:val="000438B4"/>
    <w:rsid w:val="00044CE6"/>
    <w:rsid w:val="00046C1E"/>
    <w:rsid w:val="00047E4A"/>
    <w:rsid w:val="0005085F"/>
    <w:rsid w:val="000534FD"/>
    <w:rsid w:val="00055E9A"/>
    <w:rsid w:val="00056565"/>
    <w:rsid w:val="000571C3"/>
    <w:rsid w:val="00063787"/>
    <w:rsid w:val="00071DDC"/>
    <w:rsid w:val="00072D2E"/>
    <w:rsid w:val="00077074"/>
    <w:rsid w:val="00084193"/>
    <w:rsid w:val="00085120"/>
    <w:rsid w:val="00096132"/>
    <w:rsid w:val="00097712"/>
    <w:rsid w:val="000A07E8"/>
    <w:rsid w:val="000A2A72"/>
    <w:rsid w:val="000B54A4"/>
    <w:rsid w:val="000B567B"/>
    <w:rsid w:val="000B5C37"/>
    <w:rsid w:val="000B682B"/>
    <w:rsid w:val="000B6C12"/>
    <w:rsid w:val="000C19A9"/>
    <w:rsid w:val="000C3E01"/>
    <w:rsid w:val="000C721E"/>
    <w:rsid w:val="000D2E04"/>
    <w:rsid w:val="000E0188"/>
    <w:rsid w:val="000E1ED6"/>
    <w:rsid w:val="000E2939"/>
    <w:rsid w:val="000E3880"/>
    <w:rsid w:val="000E38EE"/>
    <w:rsid w:val="000E7B28"/>
    <w:rsid w:val="000F181D"/>
    <w:rsid w:val="000F579B"/>
    <w:rsid w:val="00101EF6"/>
    <w:rsid w:val="0010205A"/>
    <w:rsid w:val="0010315B"/>
    <w:rsid w:val="00107379"/>
    <w:rsid w:val="00112233"/>
    <w:rsid w:val="0011268A"/>
    <w:rsid w:val="00112B46"/>
    <w:rsid w:val="00114171"/>
    <w:rsid w:val="00122E48"/>
    <w:rsid w:val="00123AC2"/>
    <w:rsid w:val="00132798"/>
    <w:rsid w:val="00132899"/>
    <w:rsid w:val="001346F0"/>
    <w:rsid w:val="001440E0"/>
    <w:rsid w:val="00145C48"/>
    <w:rsid w:val="0014782B"/>
    <w:rsid w:val="00147D99"/>
    <w:rsid w:val="00150D9D"/>
    <w:rsid w:val="001533B7"/>
    <w:rsid w:val="001640B2"/>
    <w:rsid w:val="00170C96"/>
    <w:rsid w:val="00173F20"/>
    <w:rsid w:val="00174FE1"/>
    <w:rsid w:val="001773FF"/>
    <w:rsid w:val="00177E1A"/>
    <w:rsid w:val="00180083"/>
    <w:rsid w:val="001828F8"/>
    <w:rsid w:val="001845FF"/>
    <w:rsid w:val="00185261"/>
    <w:rsid w:val="001933D3"/>
    <w:rsid w:val="00195BF9"/>
    <w:rsid w:val="001A3987"/>
    <w:rsid w:val="001A4B79"/>
    <w:rsid w:val="001B0A0A"/>
    <w:rsid w:val="001B1DAE"/>
    <w:rsid w:val="001B361C"/>
    <w:rsid w:val="001B437E"/>
    <w:rsid w:val="001C1A46"/>
    <w:rsid w:val="001C21B2"/>
    <w:rsid w:val="001C58C5"/>
    <w:rsid w:val="001C5C84"/>
    <w:rsid w:val="001D0EA6"/>
    <w:rsid w:val="001D3CC4"/>
    <w:rsid w:val="001D464B"/>
    <w:rsid w:val="001E40D2"/>
    <w:rsid w:val="001F292B"/>
    <w:rsid w:val="0020382F"/>
    <w:rsid w:val="002073FE"/>
    <w:rsid w:val="00212CF6"/>
    <w:rsid w:val="00214A8F"/>
    <w:rsid w:val="00220D5F"/>
    <w:rsid w:val="00221B48"/>
    <w:rsid w:val="00221E31"/>
    <w:rsid w:val="00226984"/>
    <w:rsid w:val="00226FA1"/>
    <w:rsid w:val="00231477"/>
    <w:rsid w:val="00232C54"/>
    <w:rsid w:val="002427A5"/>
    <w:rsid w:val="0024622E"/>
    <w:rsid w:val="00246BAB"/>
    <w:rsid w:val="0025133F"/>
    <w:rsid w:val="002516B6"/>
    <w:rsid w:val="002539BD"/>
    <w:rsid w:val="00261C52"/>
    <w:rsid w:val="00266545"/>
    <w:rsid w:val="00270163"/>
    <w:rsid w:val="00270C6D"/>
    <w:rsid w:val="00281126"/>
    <w:rsid w:val="0028126C"/>
    <w:rsid w:val="002876B8"/>
    <w:rsid w:val="002910C2"/>
    <w:rsid w:val="00295BC1"/>
    <w:rsid w:val="002A3618"/>
    <w:rsid w:val="002A3C9C"/>
    <w:rsid w:val="002A6E60"/>
    <w:rsid w:val="002B0FE1"/>
    <w:rsid w:val="002B6F70"/>
    <w:rsid w:val="002C17B6"/>
    <w:rsid w:val="002C1825"/>
    <w:rsid w:val="002C193F"/>
    <w:rsid w:val="002C318C"/>
    <w:rsid w:val="002C3F60"/>
    <w:rsid w:val="002C60AD"/>
    <w:rsid w:val="002C65CB"/>
    <w:rsid w:val="002D2CD6"/>
    <w:rsid w:val="002D42FA"/>
    <w:rsid w:val="002D550F"/>
    <w:rsid w:val="002E055C"/>
    <w:rsid w:val="002E0648"/>
    <w:rsid w:val="002E26DA"/>
    <w:rsid w:val="002E5223"/>
    <w:rsid w:val="002F00CF"/>
    <w:rsid w:val="002F323A"/>
    <w:rsid w:val="002F4D2E"/>
    <w:rsid w:val="003001D2"/>
    <w:rsid w:val="003028D1"/>
    <w:rsid w:val="00305EFC"/>
    <w:rsid w:val="003177B5"/>
    <w:rsid w:val="00320911"/>
    <w:rsid w:val="00323516"/>
    <w:rsid w:val="003235C9"/>
    <w:rsid w:val="003278CB"/>
    <w:rsid w:val="00330014"/>
    <w:rsid w:val="00332463"/>
    <w:rsid w:val="0034329E"/>
    <w:rsid w:val="003467C4"/>
    <w:rsid w:val="0035061D"/>
    <w:rsid w:val="003515D7"/>
    <w:rsid w:val="00354FC9"/>
    <w:rsid w:val="00356202"/>
    <w:rsid w:val="00357738"/>
    <w:rsid w:val="00361C20"/>
    <w:rsid w:val="00363C84"/>
    <w:rsid w:val="0036703D"/>
    <w:rsid w:val="00373DE3"/>
    <w:rsid w:val="003751F4"/>
    <w:rsid w:val="00375721"/>
    <w:rsid w:val="0039352D"/>
    <w:rsid w:val="0039714A"/>
    <w:rsid w:val="003A3E0B"/>
    <w:rsid w:val="003A539B"/>
    <w:rsid w:val="003A7B71"/>
    <w:rsid w:val="003B4846"/>
    <w:rsid w:val="003B4B04"/>
    <w:rsid w:val="003C0A45"/>
    <w:rsid w:val="003C0FA6"/>
    <w:rsid w:val="003C53FE"/>
    <w:rsid w:val="003C59A9"/>
    <w:rsid w:val="003D0870"/>
    <w:rsid w:val="003D2E82"/>
    <w:rsid w:val="003D36F9"/>
    <w:rsid w:val="003E16D8"/>
    <w:rsid w:val="003E2A39"/>
    <w:rsid w:val="003E398E"/>
    <w:rsid w:val="003E5096"/>
    <w:rsid w:val="003E5572"/>
    <w:rsid w:val="003F3EC7"/>
    <w:rsid w:val="00406C03"/>
    <w:rsid w:val="004105D4"/>
    <w:rsid w:val="0041297E"/>
    <w:rsid w:val="004204D7"/>
    <w:rsid w:val="00420BE5"/>
    <w:rsid w:val="004222FC"/>
    <w:rsid w:val="00427487"/>
    <w:rsid w:val="004322E7"/>
    <w:rsid w:val="00432949"/>
    <w:rsid w:val="00435E59"/>
    <w:rsid w:val="00436BA8"/>
    <w:rsid w:val="00437883"/>
    <w:rsid w:val="00447A1A"/>
    <w:rsid w:val="00451AED"/>
    <w:rsid w:val="004521D3"/>
    <w:rsid w:val="004560C3"/>
    <w:rsid w:val="00460683"/>
    <w:rsid w:val="004609C3"/>
    <w:rsid w:val="00460AFD"/>
    <w:rsid w:val="004627C0"/>
    <w:rsid w:val="004636CA"/>
    <w:rsid w:val="004853E2"/>
    <w:rsid w:val="00486450"/>
    <w:rsid w:val="00487A03"/>
    <w:rsid w:val="00487DFA"/>
    <w:rsid w:val="0049388F"/>
    <w:rsid w:val="0049648F"/>
    <w:rsid w:val="00496560"/>
    <w:rsid w:val="00497A33"/>
    <w:rsid w:val="004A0166"/>
    <w:rsid w:val="004B0A63"/>
    <w:rsid w:val="004B7920"/>
    <w:rsid w:val="004C7255"/>
    <w:rsid w:val="004D066D"/>
    <w:rsid w:val="004D11B4"/>
    <w:rsid w:val="004D1865"/>
    <w:rsid w:val="004D361A"/>
    <w:rsid w:val="004D4A33"/>
    <w:rsid w:val="004E01F7"/>
    <w:rsid w:val="004E32AC"/>
    <w:rsid w:val="004E37F5"/>
    <w:rsid w:val="004E3CDB"/>
    <w:rsid w:val="004F1039"/>
    <w:rsid w:val="004F5245"/>
    <w:rsid w:val="004F639D"/>
    <w:rsid w:val="00502F74"/>
    <w:rsid w:val="00510C7C"/>
    <w:rsid w:val="00526789"/>
    <w:rsid w:val="0053052B"/>
    <w:rsid w:val="00530D2E"/>
    <w:rsid w:val="00535F25"/>
    <w:rsid w:val="00541E61"/>
    <w:rsid w:val="00544602"/>
    <w:rsid w:val="00544DE3"/>
    <w:rsid w:val="00545105"/>
    <w:rsid w:val="005458C2"/>
    <w:rsid w:val="005468B9"/>
    <w:rsid w:val="00552710"/>
    <w:rsid w:val="00557A7A"/>
    <w:rsid w:val="00561EB4"/>
    <w:rsid w:val="00562678"/>
    <w:rsid w:val="00574625"/>
    <w:rsid w:val="00575461"/>
    <w:rsid w:val="005844FC"/>
    <w:rsid w:val="00584AE7"/>
    <w:rsid w:val="00584F87"/>
    <w:rsid w:val="00586BE9"/>
    <w:rsid w:val="00595C99"/>
    <w:rsid w:val="0059741D"/>
    <w:rsid w:val="005A45BA"/>
    <w:rsid w:val="005A4709"/>
    <w:rsid w:val="005B279F"/>
    <w:rsid w:val="005B28A6"/>
    <w:rsid w:val="005B3EBB"/>
    <w:rsid w:val="005B505F"/>
    <w:rsid w:val="005B5AEA"/>
    <w:rsid w:val="005C3BE1"/>
    <w:rsid w:val="005C54B7"/>
    <w:rsid w:val="005E261B"/>
    <w:rsid w:val="005E36EC"/>
    <w:rsid w:val="005E4AEF"/>
    <w:rsid w:val="005E693D"/>
    <w:rsid w:val="005F0715"/>
    <w:rsid w:val="005F1143"/>
    <w:rsid w:val="005F477D"/>
    <w:rsid w:val="005F4C65"/>
    <w:rsid w:val="00601DF3"/>
    <w:rsid w:val="006036AC"/>
    <w:rsid w:val="006067FA"/>
    <w:rsid w:val="00607310"/>
    <w:rsid w:val="00607342"/>
    <w:rsid w:val="00611BB8"/>
    <w:rsid w:val="00612F4F"/>
    <w:rsid w:val="00627B64"/>
    <w:rsid w:val="006316B2"/>
    <w:rsid w:val="00632C45"/>
    <w:rsid w:val="00633F3E"/>
    <w:rsid w:val="006352B9"/>
    <w:rsid w:val="00636081"/>
    <w:rsid w:val="00640C49"/>
    <w:rsid w:val="0064294F"/>
    <w:rsid w:val="00642978"/>
    <w:rsid w:val="00646C60"/>
    <w:rsid w:val="00651C9F"/>
    <w:rsid w:val="0066060C"/>
    <w:rsid w:val="006854EF"/>
    <w:rsid w:val="00685573"/>
    <w:rsid w:val="0068558C"/>
    <w:rsid w:val="006919A7"/>
    <w:rsid w:val="00691FC0"/>
    <w:rsid w:val="00693583"/>
    <w:rsid w:val="006A013E"/>
    <w:rsid w:val="006A1E94"/>
    <w:rsid w:val="006A2CD9"/>
    <w:rsid w:val="006A5008"/>
    <w:rsid w:val="006B388D"/>
    <w:rsid w:val="006C01B6"/>
    <w:rsid w:val="006C7F42"/>
    <w:rsid w:val="006D0329"/>
    <w:rsid w:val="006D312B"/>
    <w:rsid w:val="006E4BF2"/>
    <w:rsid w:val="006E61D2"/>
    <w:rsid w:val="006F00AD"/>
    <w:rsid w:val="006F1990"/>
    <w:rsid w:val="006F2CAF"/>
    <w:rsid w:val="006F304E"/>
    <w:rsid w:val="00702BFB"/>
    <w:rsid w:val="00707FF9"/>
    <w:rsid w:val="00717BD7"/>
    <w:rsid w:val="00733A48"/>
    <w:rsid w:val="00737360"/>
    <w:rsid w:val="00740106"/>
    <w:rsid w:val="00745FBA"/>
    <w:rsid w:val="00752589"/>
    <w:rsid w:val="00762065"/>
    <w:rsid w:val="007625C0"/>
    <w:rsid w:val="00762D9B"/>
    <w:rsid w:val="00772408"/>
    <w:rsid w:val="00774355"/>
    <w:rsid w:val="007771BB"/>
    <w:rsid w:val="007778DF"/>
    <w:rsid w:val="00781E7B"/>
    <w:rsid w:val="0078459F"/>
    <w:rsid w:val="00791939"/>
    <w:rsid w:val="00796AA5"/>
    <w:rsid w:val="00797D3B"/>
    <w:rsid w:val="007A058F"/>
    <w:rsid w:val="007A2EB6"/>
    <w:rsid w:val="007A3D89"/>
    <w:rsid w:val="007A4B1B"/>
    <w:rsid w:val="007B4A8B"/>
    <w:rsid w:val="007B5314"/>
    <w:rsid w:val="007B6506"/>
    <w:rsid w:val="007C0B2D"/>
    <w:rsid w:val="007C19EB"/>
    <w:rsid w:val="007D0CEC"/>
    <w:rsid w:val="007D0ED9"/>
    <w:rsid w:val="007D11B6"/>
    <w:rsid w:val="007D7FB0"/>
    <w:rsid w:val="007E6714"/>
    <w:rsid w:val="007F12B0"/>
    <w:rsid w:val="007F3614"/>
    <w:rsid w:val="007F4D15"/>
    <w:rsid w:val="00800851"/>
    <w:rsid w:val="00805191"/>
    <w:rsid w:val="008059DF"/>
    <w:rsid w:val="00810120"/>
    <w:rsid w:val="00810907"/>
    <w:rsid w:val="00812C1E"/>
    <w:rsid w:val="00814AC7"/>
    <w:rsid w:val="00816491"/>
    <w:rsid w:val="008214C5"/>
    <w:rsid w:val="00822960"/>
    <w:rsid w:val="00824C6B"/>
    <w:rsid w:val="00827074"/>
    <w:rsid w:val="0083191F"/>
    <w:rsid w:val="00831B8E"/>
    <w:rsid w:val="00831F15"/>
    <w:rsid w:val="008320BD"/>
    <w:rsid w:val="00840A21"/>
    <w:rsid w:val="00841989"/>
    <w:rsid w:val="008443E8"/>
    <w:rsid w:val="00847475"/>
    <w:rsid w:val="008474F1"/>
    <w:rsid w:val="00850D57"/>
    <w:rsid w:val="0085165F"/>
    <w:rsid w:val="00851A64"/>
    <w:rsid w:val="00854380"/>
    <w:rsid w:val="00857150"/>
    <w:rsid w:val="00861C54"/>
    <w:rsid w:val="008622A9"/>
    <w:rsid w:val="00864B4F"/>
    <w:rsid w:val="00874A0E"/>
    <w:rsid w:val="00874AD1"/>
    <w:rsid w:val="008757CD"/>
    <w:rsid w:val="00876BC2"/>
    <w:rsid w:val="00883AAD"/>
    <w:rsid w:val="00886C83"/>
    <w:rsid w:val="008932FE"/>
    <w:rsid w:val="00894F92"/>
    <w:rsid w:val="008A1175"/>
    <w:rsid w:val="008A1B1A"/>
    <w:rsid w:val="008A1C12"/>
    <w:rsid w:val="008A2F55"/>
    <w:rsid w:val="008B3417"/>
    <w:rsid w:val="008B4D1E"/>
    <w:rsid w:val="008B6C1C"/>
    <w:rsid w:val="008C60E2"/>
    <w:rsid w:val="008D2CAB"/>
    <w:rsid w:val="008E336A"/>
    <w:rsid w:val="008E52E4"/>
    <w:rsid w:val="008F2999"/>
    <w:rsid w:val="008F2C4B"/>
    <w:rsid w:val="008F56BF"/>
    <w:rsid w:val="008F5AB8"/>
    <w:rsid w:val="00903762"/>
    <w:rsid w:val="00910DEE"/>
    <w:rsid w:val="0091657F"/>
    <w:rsid w:val="00920A50"/>
    <w:rsid w:val="009253FA"/>
    <w:rsid w:val="00925795"/>
    <w:rsid w:val="00930083"/>
    <w:rsid w:val="00932BEC"/>
    <w:rsid w:val="00941199"/>
    <w:rsid w:val="00941707"/>
    <w:rsid w:val="0094226D"/>
    <w:rsid w:val="00942BDB"/>
    <w:rsid w:val="0094687A"/>
    <w:rsid w:val="00947F61"/>
    <w:rsid w:val="00947F62"/>
    <w:rsid w:val="00947FF7"/>
    <w:rsid w:val="00955F35"/>
    <w:rsid w:val="00960515"/>
    <w:rsid w:val="009651C0"/>
    <w:rsid w:val="00971D33"/>
    <w:rsid w:val="00973415"/>
    <w:rsid w:val="00973EE8"/>
    <w:rsid w:val="00974ED8"/>
    <w:rsid w:val="00980311"/>
    <w:rsid w:val="0098525D"/>
    <w:rsid w:val="00985E47"/>
    <w:rsid w:val="00986F2D"/>
    <w:rsid w:val="00993E7D"/>
    <w:rsid w:val="00995534"/>
    <w:rsid w:val="009A42DB"/>
    <w:rsid w:val="009A6361"/>
    <w:rsid w:val="009A7FC9"/>
    <w:rsid w:val="009B09AD"/>
    <w:rsid w:val="009B0D6E"/>
    <w:rsid w:val="009B3D71"/>
    <w:rsid w:val="009B4E40"/>
    <w:rsid w:val="009B72C6"/>
    <w:rsid w:val="009C07DF"/>
    <w:rsid w:val="009C225F"/>
    <w:rsid w:val="009C5100"/>
    <w:rsid w:val="009C54A9"/>
    <w:rsid w:val="009D2D54"/>
    <w:rsid w:val="009E08DF"/>
    <w:rsid w:val="009E2803"/>
    <w:rsid w:val="009E5321"/>
    <w:rsid w:val="009F6E4E"/>
    <w:rsid w:val="00A01154"/>
    <w:rsid w:val="00A015FE"/>
    <w:rsid w:val="00A0216F"/>
    <w:rsid w:val="00A04104"/>
    <w:rsid w:val="00A073C6"/>
    <w:rsid w:val="00A148F5"/>
    <w:rsid w:val="00A1506C"/>
    <w:rsid w:val="00A165D7"/>
    <w:rsid w:val="00A20033"/>
    <w:rsid w:val="00A200F7"/>
    <w:rsid w:val="00A2390A"/>
    <w:rsid w:val="00A2525F"/>
    <w:rsid w:val="00A37264"/>
    <w:rsid w:val="00A44831"/>
    <w:rsid w:val="00A46162"/>
    <w:rsid w:val="00A47CD5"/>
    <w:rsid w:val="00A50F0B"/>
    <w:rsid w:val="00A56A04"/>
    <w:rsid w:val="00A5739F"/>
    <w:rsid w:val="00A62A00"/>
    <w:rsid w:val="00A649A9"/>
    <w:rsid w:val="00A64E15"/>
    <w:rsid w:val="00A65802"/>
    <w:rsid w:val="00A74DE0"/>
    <w:rsid w:val="00A77D80"/>
    <w:rsid w:val="00A825BC"/>
    <w:rsid w:val="00A835F9"/>
    <w:rsid w:val="00A92CBD"/>
    <w:rsid w:val="00A95F07"/>
    <w:rsid w:val="00AA0B54"/>
    <w:rsid w:val="00AA296A"/>
    <w:rsid w:val="00AA2A3D"/>
    <w:rsid w:val="00AA2EE0"/>
    <w:rsid w:val="00AA3C63"/>
    <w:rsid w:val="00AA537C"/>
    <w:rsid w:val="00AA5859"/>
    <w:rsid w:val="00AA6A12"/>
    <w:rsid w:val="00AC4189"/>
    <w:rsid w:val="00AC7CD9"/>
    <w:rsid w:val="00AD635C"/>
    <w:rsid w:val="00AE1303"/>
    <w:rsid w:val="00AF05BD"/>
    <w:rsid w:val="00AF33FE"/>
    <w:rsid w:val="00AF406C"/>
    <w:rsid w:val="00AF4B00"/>
    <w:rsid w:val="00B0253C"/>
    <w:rsid w:val="00B0527B"/>
    <w:rsid w:val="00B1506A"/>
    <w:rsid w:val="00B25C75"/>
    <w:rsid w:val="00B3019E"/>
    <w:rsid w:val="00B3530A"/>
    <w:rsid w:val="00B4040B"/>
    <w:rsid w:val="00B43428"/>
    <w:rsid w:val="00B46AD9"/>
    <w:rsid w:val="00B54068"/>
    <w:rsid w:val="00B5463C"/>
    <w:rsid w:val="00B55681"/>
    <w:rsid w:val="00B62CE0"/>
    <w:rsid w:val="00B67A44"/>
    <w:rsid w:val="00B706DB"/>
    <w:rsid w:val="00B71FA0"/>
    <w:rsid w:val="00B75CE9"/>
    <w:rsid w:val="00B7654A"/>
    <w:rsid w:val="00B76A0A"/>
    <w:rsid w:val="00B84300"/>
    <w:rsid w:val="00B86BE5"/>
    <w:rsid w:val="00B86C63"/>
    <w:rsid w:val="00B922FA"/>
    <w:rsid w:val="00B926AA"/>
    <w:rsid w:val="00B95D8E"/>
    <w:rsid w:val="00B9747E"/>
    <w:rsid w:val="00BA3B9E"/>
    <w:rsid w:val="00BA74AD"/>
    <w:rsid w:val="00BB0D0A"/>
    <w:rsid w:val="00BB111D"/>
    <w:rsid w:val="00BB1282"/>
    <w:rsid w:val="00BB7C78"/>
    <w:rsid w:val="00BC52CE"/>
    <w:rsid w:val="00BC5971"/>
    <w:rsid w:val="00BC76DA"/>
    <w:rsid w:val="00BD01C4"/>
    <w:rsid w:val="00BD498D"/>
    <w:rsid w:val="00BD4E48"/>
    <w:rsid w:val="00BD6B5D"/>
    <w:rsid w:val="00BE1A22"/>
    <w:rsid w:val="00BE49C6"/>
    <w:rsid w:val="00BE5066"/>
    <w:rsid w:val="00BE7A56"/>
    <w:rsid w:val="00BF365D"/>
    <w:rsid w:val="00C04215"/>
    <w:rsid w:val="00C07259"/>
    <w:rsid w:val="00C07571"/>
    <w:rsid w:val="00C11A12"/>
    <w:rsid w:val="00C12977"/>
    <w:rsid w:val="00C135FC"/>
    <w:rsid w:val="00C17000"/>
    <w:rsid w:val="00C22540"/>
    <w:rsid w:val="00C324B1"/>
    <w:rsid w:val="00C37900"/>
    <w:rsid w:val="00C40F76"/>
    <w:rsid w:val="00C51939"/>
    <w:rsid w:val="00C55805"/>
    <w:rsid w:val="00C60130"/>
    <w:rsid w:val="00C6114E"/>
    <w:rsid w:val="00C679B3"/>
    <w:rsid w:val="00C70FF4"/>
    <w:rsid w:val="00C73E6E"/>
    <w:rsid w:val="00C74B12"/>
    <w:rsid w:val="00C75F86"/>
    <w:rsid w:val="00C7761D"/>
    <w:rsid w:val="00C829CB"/>
    <w:rsid w:val="00C82B6B"/>
    <w:rsid w:val="00C83C20"/>
    <w:rsid w:val="00C85C3A"/>
    <w:rsid w:val="00C85FA3"/>
    <w:rsid w:val="00C863DE"/>
    <w:rsid w:val="00C87AD9"/>
    <w:rsid w:val="00C90DE2"/>
    <w:rsid w:val="00C91EA2"/>
    <w:rsid w:val="00C92F8B"/>
    <w:rsid w:val="00C9331D"/>
    <w:rsid w:val="00C93376"/>
    <w:rsid w:val="00C94B5E"/>
    <w:rsid w:val="00CA131D"/>
    <w:rsid w:val="00CA1436"/>
    <w:rsid w:val="00CA2EB5"/>
    <w:rsid w:val="00CA3A95"/>
    <w:rsid w:val="00CA58CA"/>
    <w:rsid w:val="00CA78F8"/>
    <w:rsid w:val="00CB2D1C"/>
    <w:rsid w:val="00CB5ED5"/>
    <w:rsid w:val="00CB7E3C"/>
    <w:rsid w:val="00CC5317"/>
    <w:rsid w:val="00CC6B5B"/>
    <w:rsid w:val="00CD403D"/>
    <w:rsid w:val="00CE4122"/>
    <w:rsid w:val="00CE5AE1"/>
    <w:rsid w:val="00CF523D"/>
    <w:rsid w:val="00CF5B47"/>
    <w:rsid w:val="00D015EC"/>
    <w:rsid w:val="00D128CE"/>
    <w:rsid w:val="00D13DBA"/>
    <w:rsid w:val="00D1712C"/>
    <w:rsid w:val="00D21084"/>
    <w:rsid w:val="00D21288"/>
    <w:rsid w:val="00D21F1C"/>
    <w:rsid w:val="00D262A9"/>
    <w:rsid w:val="00D264EC"/>
    <w:rsid w:val="00D32479"/>
    <w:rsid w:val="00D3352B"/>
    <w:rsid w:val="00D3405E"/>
    <w:rsid w:val="00D3589C"/>
    <w:rsid w:val="00D41479"/>
    <w:rsid w:val="00D60236"/>
    <w:rsid w:val="00D629EF"/>
    <w:rsid w:val="00D703F8"/>
    <w:rsid w:val="00D71E3E"/>
    <w:rsid w:val="00D71F4A"/>
    <w:rsid w:val="00D729AF"/>
    <w:rsid w:val="00D74652"/>
    <w:rsid w:val="00D74D2D"/>
    <w:rsid w:val="00D910C2"/>
    <w:rsid w:val="00D91EE1"/>
    <w:rsid w:val="00D92B3A"/>
    <w:rsid w:val="00D933DD"/>
    <w:rsid w:val="00D943A2"/>
    <w:rsid w:val="00D95715"/>
    <w:rsid w:val="00DA42C0"/>
    <w:rsid w:val="00DA7B8C"/>
    <w:rsid w:val="00DB0110"/>
    <w:rsid w:val="00DB29DF"/>
    <w:rsid w:val="00DB5810"/>
    <w:rsid w:val="00DC6383"/>
    <w:rsid w:val="00DD71F2"/>
    <w:rsid w:val="00DE205F"/>
    <w:rsid w:val="00DE3185"/>
    <w:rsid w:val="00DE4604"/>
    <w:rsid w:val="00DF1FC9"/>
    <w:rsid w:val="00E059B8"/>
    <w:rsid w:val="00E1267A"/>
    <w:rsid w:val="00E13CB2"/>
    <w:rsid w:val="00E13E3C"/>
    <w:rsid w:val="00E16623"/>
    <w:rsid w:val="00E21B73"/>
    <w:rsid w:val="00E26F13"/>
    <w:rsid w:val="00E30D16"/>
    <w:rsid w:val="00E33B69"/>
    <w:rsid w:val="00E3478E"/>
    <w:rsid w:val="00E364FF"/>
    <w:rsid w:val="00E37460"/>
    <w:rsid w:val="00E4519A"/>
    <w:rsid w:val="00E47156"/>
    <w:rsid w:val="00E54EDE"/>
    <w:rsid w:val="00E566E1"/>
    <w:rsid w:val="00E63E3F"/>
    <w:rsid w:val="00E7151F"/>
    <w:rsid w:val="00E776B2"/>
    <w:rsid w:val="00E77F63"/>
    <w:rsid w:val="00E81020"/>
    <w:rsid w:val="00E819E6"/>
    <w:rsid w:val="00E8651F"/>
    <w:rsid w:val="00E91E81"/>
    <w:rsid w:val="00E922DE"/>
    <w:rsid w:val="00E966EC"/>
    <w:rsid w:val="00EA7E68"/>
    <w:rsid w:val="00EB2BCE"/>
    <w:rsid w:val="00EB70A2"/>
    <w:rsid w:val="00EC4043"/>
    <w:rsid w:val="00EC56D7"/>
    <w:rsid w:val="00ED2AA2"/>
    <w:rsid w:val="00ED3488"/>
    <w:rsid w:val="00EE1DF2"/>
    <w:rsid w:val="00EE39F4"/>
    <w:rsid w:val="00EE54AD"/>
    <w:rsid w:val="00EE54E6"/>
    <w:rsid w:val="00EE5A73"/>
    <w:rsid w:val="00EE66DC"/>
    <w:rsid w:val="00EE6F4E"/>
    <w:rsid w:val="00EF0CB5"/>
    <w:rsid w:val="00EF2349"/>
    <w:rsid w:val="00EF2C26"/>
    <w:rsid w:val="00EF420F"/>
    <w:rsid w:val="00F00F08"/>
    <w:rsid w:val="00F03999"/>
    <w:rsid w:val="00F04687"/>
    <w:rsid w:val="00F10723"/>
    <w:rsid w:val="00F11345"/>
    <w:rsid w:val="00F12DD4"/>
    <w:rsid w:val="00F170D1"/>
    <w:rsid w:val="00F177F2"/>
    <w:rsid w:val="00F22B97"/>
    <w:rsid w:val="00F24208"/>
    <w:rsid w:val="00F3076F"/>
    <w:rsid w:val="00F37AB3"/>
    <w:rsid w:val="00F43765"/>
    <w:rsid w:val="00F63645"/>
    <w:rsid w:val="00F6493D"/>
    <w:rsid w:val="00F75F1D"/>
    <w:rsid w:val="00F76C08"/>
    <w:rsid w:val="00F80BF6"/>
    <w:rsid w:val="00F836C8"/>
    <w:rsid w:val="00F83B9E"/>
    <w:rsid w:val="00F846B2"/>
    <w:rsid w:val="00F8586D"/>
    <w:rsid w:val="00F85923"/>
    <w:rsid w:val="00F86134"/>
    <w:rsid w:val="00F878A2"/>
    <w:rsid w:val="00F90235"/>
    <w:rsid w:val="00F94D9B"/>
    <w:rsid w:val="00F96A59"/>
    <w:rsid w:val="00F97F6B"/>
    <w:rsid w:val="00FA0000"/>
    <w:rsid w:val="00FA0CB0"/>
    <w:rsid w:val="00FA2C24"/>
    <w:rsid w:val="00FB1CF5"/>
    <w:rsid w:val="00FB61D8"/>
    <w:rsid w:val="00FB6691"/>
    <w:rsid w:val="00FC5474"/>
    <w:rsid w:val="00FD2A13"/>
    <w:rsid w:val="00FD56BC"/>
    <w:rsid w:val="00FD6D0B"/>
    <w:rsid w:val="00FE6500"/>
    <w:rsid w:val="02DE30C1"/>
    <w:rsid w:val="03DD10A5"/>
    <w:rsid w:val="068F0794"/>
    <w:rsid w:val="07036D59"/>
    <w:rsid w:val="0721638A"/>
    <w:rsid w:val="077758F0"/>
    <w:rsid w:val="09586D35"/>
    <w:rsid w:val="0A170B9C"/>
    <w:rsid w:val="0A876C58"/>
    <w:rsid w:val="0AFC15E8"/>
    <w:rsid w:val="0BB1473F"/>
    <w:rsid w:val="0E145687"/>
    <w:rsid w:val="0FE554EB"/>
    <w:rsid w:val="1227367F"/>
    <w:rsid w:val="13477F00"/>
    <w:rsid w:val="150A6BDA"/>
    <w:rsid w:val="160E784F"/>
    <w:rsid w:val="16492D59"/>
    <w:rsid w:val="16BF5781"/>
    <w:rsid w:val="18B4248D"/>
    <w:rsid w:val="193B6CC0"/>
    <w:rsid w:val="1A820268"/>
    <w:rsid w:val="201611D9"/>
    <w:rsid w:val="269255BD"/>
    <w:rsid w:val="2CC862E9"/>
    <w:rsid w:val="2CD258AD"/>
    <w:rsid w:val="30CE53D6"/>
    <w:rsid w:val="31A111B3"/>
    <w:rsid w:val="31F103E2"/>
    <w:rsid w:val="344D7973"/>
    <w:rsid w:val="353D107D"/>
    <w:rsid w:val="360F36CE"/>
    <w:rsid w:val="364F7F6E"/>
    <w:rsid w:val="369272C2"/>
    <w:rsid w:val="38386701"/>
    <w:rsid w:val="3A0208C1"/>
    <w:rsid w:val="3A3759D0"/>
    <w:rsid w:val="3BEC6000"/>
    <w:rsid w:val="3D0F2B90"/>
    <w:rsid w:val="42E3236B"/>
    <w:rsid w:val="46381A99"/>
    <w:rsid w:val="48765F65"/>
    <w:rsid w:val="48861F68"/>
    <w:rsid w:val="4A3D0F74"/>
    <w:rsid w:val="4BAF463B"/>
    <w:rsid w:val="50BC05F4"/>
    <w:rsid w:val="50C357C0"/>
    <w:rsid w:val="51104AF9"/>
    <w:rsid w:val="534A3134"/>
    <w:rsid w:val="58D96D7B"/>
    <w:rsid w:val="5AD16952"/>
    <w:rsid w:val="5D3F0DF9"/>
    <w:rsid w:val="5FF953C0"/>
    <w:rsid w:val="60B80D70"/>
    <w:rsid w:val="61D66F33"/>
    <w:rsid w:val="662515BC"/>
    <w:rsid w:val="66470627"/>
    <w:rsid w:val="67F82BA3"/>
    <w:rsid w:val="6B8C1BA5"/>
    <w:rsid w:val="6CDA2366"/>
    <w:rsid w:val="71C05931"/>
    <w:rsid w:val="72483B0C"/>
    <w:rsid w:val="72966FCE"/>
    <w:rsid w:val="73ED373B"/>
    <w:rsid w:val="748051BB"/>
    <w:rsid w:val="74FE7E51"/>
    <w:rsid w:val="78256E3D"/>
    <w:rsid w:val="797407E1"/>
    <w:rsid w:val="7AF40174"/>
    <w:rsid w:val="7C7046EC"/>
    <w:rsid w:val="7D212ED1"/>
    <w:rsid w:val="7F2F312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qFormat="1" w:unhideWhenUsed="0" w:uiPriority="0" w:semiHidden="0" w:name="Body Text Indent 2"/>
    <w:lsdException w:uiPriority="0" w:name="Body Text Indent 3"/>
    <w:lsdException w:uiPriority="0" w:name="Block Text"/>
    <w:lsdException w:qFormat="1" w:unhideWhenUsed="0" w:uiPriority="99"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line="440" w:lineRule="exact"/>
      <w:ind w:firstLine="200" w:firstLineChars="200"/>
    </w:pPr>
    <w:rPr>
      <w:rFonts w:ascii="Calibri" w:hAnsi="Calibri" w:eastAsia="仿宋" w:cs="宋体"/>
      <w:sz w:val="28"/>
      <w:szCs w:val="22"/>
      <w:lang w:val="en-US" w:eastAsia="zh-CN" w:bidi="ar-SA"/>
    </w:rPr>
  </w:style>
  <w:style w:type="paragraph" w:styleId="4">
    <w:name w:val="heading 1"/>
    <w:basedOn w:val="1"/>
    <w:next w:val="1"/>
    <w:qFormat/>
    <w:uiPriority w:val="9"/>
    <w:pPr>
      <w:keepNext/>
      <w:keepLines/>
      <w:spacing w:line="360" w:lineRule="auto"/>
      <w:outlineLvl w:val="0"/>
    </w:pPr>
    <w:rPr>
      <w:kern w:val="44"/>
      <w:sz w:val="30"/>
      <w:szCs w:val="44"/>
    </w:rPr>
  </w:style>
  <w:style w:type="paragraph" w:styleId="5">
    <w:name w:val="heading 2"/>
    <w:basedOn w:val="6"/>
    <w:next w:val="7"/>
    <w:unhideWhenUsed/>
    <w:qFormat/>
    <w:uiPriority w:val="9"/>
    <w:pPr>
      <w:spacing w:line="360" w:lineRule="auto"/>
      <w:outlineLvl w:val="1"/>
    </w:pPr>
    <w:rPr>
      <w:rFonts w:ascii="Calibri Light" w:hAnsi="Calibri Light" w:cs="Times New Roman"/>
      <w:szCs w:val="32"/>
    </w:rPr>
  </w:style>
  <w:style w:type="paragraph" w:styleId="6">
    <w:name w:val="heading 3"/>
    <w:basedOn w:val="1"/>
    <w:next w:val="1"/>
    <w:qFormat/>
    <w:uiPriority w:val="0"/>
    <w:pPr>
      <w:keepNext/>
      <w:keepLines/>
      <w:outlineLvl w:val="2"/>
    </w:pPr>
    <w:rPr>
      <w:rFonts w:ascii="宋体" w:hAnsi="宋体"/>
      <w:b/>
      <w:bCs/>
      <w:color w:val="000000"/>
    </w:rPr>
  </w:style>
  <w:style w:type="character" w:default="1" w:styleId="21">
    <w:name w:val="Default Paragraph Font"/>
    <w:semiHidden/>
    <w:unhideWhenUsed/>
    <w:uiPriority w:val="1"/>
  </w:style>
  <w:style w:type="table" w:default="1" w:styleId="19">
    <w:name w:val="Normal Table"/>
    <w:semiHidden/>
    <w:unhideWhenUsed/>
    <w:uiPriority w:val="99"/>
    <w:tblPr>
      <w:tblCellMar>
        <w:top w:w="0" w:type="dxa"/>
        <w:left w:w="108" w:type="dxa"/>
        <w:bottom w:w="0" w:type="dxa"/>
        <w:right w:w="108" w:type="dxa"/>
      </w:tblCellMar>
    </w:tblPr>
  </w:style>
  <w:style w:type="paragraph" w:customStyle="1" w:styleId="2">
    <w:name w:val="Default"/>
    <w:basedOn w:val="3"/>
    <w:next w:val="1"/>
    <w:unhideWhenUsed/>
    <w:qFormat/>
    <w:uiPriority w:val="99"/>
    <w:pPr>
      <w:widowControl w:val="0"/>
      <w:autoSpaceDE w:val="0"/>
      <w:autoSpaceDN w:val="0"/>
    </w:pPr>
    <w:rPr>
      <w:rFonts w:hint="eastAsia" w:ascii="仿宋_GB2312" w:hAnsi="仿宋_GB2312" w:eastAsia="仿宋_GB2312" w:cs="Times New Roman"/>
      <w:color w:val="000000"/>
      <w:sz w:val="24"/>
      <w:szCs w:val="22"/>
    </w:rPr>
  </w:style>
  <w:style w:type="paragraph" w:customStyle="1" w:styleId="3">
    <w:name w:val="纯文本1"/>
    <w:basedOn w:val="1"/>
    <w:qFormat/>
    <w:uiPriority w:val="0"/>
    <w:pPr>
      <w:adjustRightInd w:val="0"/>
      <w:snapToGrid w:val="0"/>
      <w:spacing w:line="360" w:lineRule="auto"/>
      <w:ind w:firstLine="904"/>
      <w:textAlignment w:val="baseline"/>
    </w:pPr>
    <w:rPr>
      <w:rFonts w:ascii="宋体" w:hAnsi="Courier New"/>
      <w:szCs w:val="21"/>
    </w:rPr>
  </w:style>
  <w:style w:type="paragraph" w:styleId="7">
    <w:name w:val="Body Text"/>
    <w:basedOn w:val="1"/>
    <w:qFormat/>
    <w:uiPriority w:val="99"/>
    <w:pPr>
      <w:adjustRightInd w:val="0"/>
      <w:snapToGrid w:val="0"/>
      <w:spacing w:before="150" w:after="150" w:line="264" w:lineRule="auto"/>
      <w:ind w:firstLine="567"/>
    </w:pPr>
    <w:rPr>
      <w:rFonts w:ascii="华文楷体" w:hAnsi="华文楷体" w:eastAsia="LF_Kai"/>
      <w:sz w:val="24"/>
      <w:szCs w:val="20"/>
      <w:lang w:val="en-GB"/>
    </w:rPr>
  </w:style>
  <w:style w:type="paragraph" w:styleId="8">
    <w:name w:val="caption"/>
    <w:basedOn w:val="1"/>
    <w:next w:val="1"/>
    <w:qFormat/>
    <w:uiPriority w:val="0"/>
    <w:pPr>
      <w:widowControl w:val="0"/>
      <w:spacing w:line="240" w:lineRule="auto"/>
      <w:ind w:firstLine="0" w:firstLineChars="0"/>
      <w:jc w:val="both"/>
    </w:pPr>
    <w:rPr>
      <w:rFonts w:ascii="Arial" w:hAnsi="Arial" w:eastAsia="黑体" w:cs="Arial"/>
      <w:kern w:val="2"/>
      <w:sz w:val="20"/>
      <w:szCs w:val="20"/>
    </w:rPr>
  </w:style>
  <w:style w:type="paragraph" w:styleId="9">
    <w:name w:val="annotation text"/>
    <w:basedOn w:val="1"/>
    <w:link w:val="39"/>
    <w:qFormat/>
    <w:uiPriority w:val="0"/>
  </w:style>
  <w:style w:type="paragraph" w:styleId="10">
    <w:name w:val="toc 3"/>
    <w:basedOn w:val="1"/>
    <w:next w:val="1"/>
    <w:qFormat/>
    <w:uiPriority w:val="39"/>
    <w:pPr>
      <w:ind w:left="840" w:leftChars="400"/>
    </w:pPr>
  </w:style>
  <w:style w:type="paragraph" w:styleId="11">
    <w:name w:val="Body Text Indent 2"/>
    <w:basedOn w:val="1"/>
    <w:next w:val="1"/>
    <w:qFormat/>
    <w:uiPriority w:val="0"/>
    <w:pPr>
      <w:spacing w:line="660" w:lineRule="exact"/>
      <w:ind w:firstLine="630"/>
    </w:pPr>
    <w:rPr>
      <w:rFonts w:eastAsia="仿宋_GB2312"/>
      <w:sz w:val="32"/>
    </w:rPr>
  </w:style>
  <w:style w:type="paragraph" w:styleId="12">
    <w:name w:val="Balloon Text"/>
    <w:basedOn w:val="1"/>
    <w:link w:val="36"/>
    <w:qFormat/>
    <w:uiPriority w:val="0"/>
    <w:pPr>
      <w:spacing w:line="240" w:lineRule="auto"/>
    </w:pPr>
    <w:rPr>
      <w:sz w:val="18"/>
      <w:szCs w:val="18"/>
    </w:rPr>
  </w:style>
  <w:style w:type="paragraph" w:styleId="13">
    <w:name w:val="footer"/>
    <w:basedOn w:val="1"/>
    <w:link w:val="35"/>
    <w:qFormat/>
    <w:uiPriority w:val="99"/>
    <w:pPr>
      <w:tabs>
        <w:tab w:val="center" w:pos="4153"/>
        <w:tab w:val="right" w:pos="8306"/>
      </w:tabs>
      <w:snapToGrid w:val="0"/>
    </w:pPr>
    <w:rPr>
      <w:rFonts w:ascii="Times New Roman" w:hAnsi="Times New Roman" w:cs="Times New Roman"/>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pPr>
    <w:rPr>
      <w:sz w:val="18"/>
    </w:rPr>
  </w:style>
  <w:style w:type="paragraph" w:styleId="15">
    <w:name w:val="toc 1"/>
    <w:basedOn w:val="1"/>
    <w:next w:val="1"/>
    <w:qFormat/>
    <w:uiPriority w:val="39"/>
  </w:style>
  <w:style w:type="paragraph" w:styleId="16">
    <w:name w:val="toc 2"/>
    <w:basedOn w:val="1"/>
    <w:next w:val="1"/>
    <w:qFormat/>
    <w:uiPriority w:val="39"/>
    <w:pPr>
      <w:ind w:left="420" w:leftChars="200"/>
    </w:pPr>
  </w:style>
  <w:style w:type="paragraph" w:styleId="17">
    <w:name w:val="Normal (Web)"/>
    <w:basedOn w:val="1"/>
    <w:qFormat/>
    <w:uiPriority w:val="0"/>
    <w:pPr>
      <w:spacing w:beforeAutospacing="1" w:afterAutospacing="1"/>
    </w:pPr>
    <w:rPr>
      <w:rFonts w:cs="Times New Roman"/>
      <w:sz w:val="24"/>
    </w:rPr>
  </w:style>
  <w:style w:type="paragraph" w:styleId="18">
    <w:name w:val="annotation subject"/>
    <w:basedOn w:val="9"/>
    <w:next w:val="9"/>
    <w:link w:val="40"/>
    <w:qFormat/>
    <w:uiPriority w:val="0"/>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Hyperlink"/>
    <w:basedOn w:val="21"/>
    <w:qFormat/>
    <w:uiPriority w:val="99"/>
    <w:rPr>
      <w:color w:val="0000FF"/>
      <w:u w:val="single"/>
    </w:rPr>
  </w:style>
  <w:style w:type="character" w:styleId="23">
    <w:name w:val="annotation reference"/>
    <w:basedOn w:val="21"/>
    <w:qFormat/>
    <w:uiPriority w:val="0"/>
    <w:rPr>
      <w:sz w:val="21"/>
      <w:szCs w:val="21"/>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表格"/>
    <w:basedOn w:val="1"/>
    <w:qFormat/>
    <w:uiPriority w:val="99"/>
    <w:pPr>
      <w:spacing w:line="240" w:lineRule="auto"/>
      <w:ind w:firstLine="0" w:firstLineChars="0"/>
      <w:jc w:val="center"/>
      <w:textAlignment w:val="center"/>
    </w:pPr>
    <w:rPr>
      <w:rFonts w:ascii="方正仿宋" w:hAnsi="Times New Roman"/>
      <w:sz w:val="21"/>
      <w:szCs w:val="21"/>
    </w:rPr>
  </w:style>
  <w:style w:type="paragraph" w:customStyle="1" w:styleId="27">
    <w:name w:val="WPSOffice手动目录 3"/>
    <w:qFormat/>
    <w:uiPriority w:val="0"/>
    <w:pPr>
      <w:ind w:left="400" w:leftChars="400"/>
    </w:pPr>
    <w:rPr>
      <w:rFonts w:asciiTheme="minorHAnsi" w:hAnsiTheme="minorHAnsi" w:eastAsiaTheme="minorEastAsia" w:cstheme="minorBidi"/>
      <w:lang w:val="en-US" w:eastAsia="zh-CN" w:bidi="ar-SA"/>
    </w:rPr>
  </w:style>
  <w:style w:type="character" w:customStyle="1" w:styleId="28">
    <w:name w:val="font51"/>
    <w:basedOn w:val="21"/>
    <w:qFormat/>
    <w:uiPriority w:val="0"/>
    <w:rPr>
      <w:rFonts w:hint="eastAsia" w:ascii="仿宋" w:hAnsi="仿宋" w:eastAsia="仿宋" w:cs="仿宋"/>
      <w:b/>
      <w:bCs/>
      <w:color w:val="000000"/>
      <w:sz w:val="20"/>
      <w:szCs w:val="20"/>
      <w:u w:val="none"/>
    </w:rPr>
  </w:style>
  <w:style w:type="character" w:customStyle="1" w:styleId="29">
    <w:name w:val="font41"/>
    <w:basedOn w:val="21"/>
    <w:qFormat/>
    <w:uiPriority w:val="0"/>
    <w:rPr>
      <w:rFonts w:hint="default" w:ascii="Times New Roman" w:hAnsi="Times New Roman" w:cs="Times New Roman"/>
      <w:b/>
      <w:bCs/>
      <w:color w:val="000000"/>
      <w:sz w:val="20"/>
      <w:szCs w:val="20"/>
      <w:u w:val="none"/>
    </w:rPr>
  </w:style>
  <w:style w:type="character" w:customStyle="1" w:styleId="30">
    <w:name w:val="font31"/>
    <w:basedOn w:val="21"/>
    <w:qFormat/>
    <w:uiPriority w:val="0"/>
    <w:rPr>
      <w:rFonts w:hint="eastAsia" w:ascii="仿宋" w:hAnsi="仿宋" w:eastAsia="仿宋" w:cs="仿宋"/>
      <w:color w:val="000000"/>
      <w:sz w:val="20"/>
      <w:szCs w:val="20"/>
      <w:u w:val="none"/>
    </w:rPr>
  </w:style>
  <w:style w:type="character" w:customStyle="1" w:styleId="31">
    <w:name w:val="font71"/>
    <w:basedOn w:val="21"/>
    <w:qFormat/>
    <w:uiPriority w:val="0"/>
    <w:rPr>
      <w:rFonts w:hint="default" w:ascii="Times New Roman" w:hAnsi="Times New Roman" w:cs="Times New Roman"/>
      <w:color w:val="000000"/>
      <w:sz w:val="20"/>
      <w:szCs w:val="20"/>
      <w:u w:val="none"/>
    </w:rPr>
  </w:style>
  <w:style w:type="character" w:customStyle="1" w:styleId="32">
    <w:name w:val="font21"/>
    <w:basedOn w:val="21"/>
    <w:qFormat/>
    <w:uiPriority w:val="0"/>
    <w:rPr>
      <w:rFonts w:hint="eastAsia" w:ascii="宋体" w:hAnsi="宋体" w:eastAsia="宋体" w:cs="宋体"/>
      <w:color w:val="000000"/>
      <w:sz w:val="20"/>
      <w:szCs w:val="20"/>
      <w:u w:val="none"/>
    </w:rPr>
  </w:style>
  <w:style w:type="character" w:customStyle="1" w:styleId="33">
    <w:name w:val="font81"/>
    <w:basedOn w:val="21"/>
    <w:uiPriority w:val="0"/>
    <w:rPr>
      <w:rFonts w:hint="default" w:ascii="Times New Roman" w:hAnsi="Times New Roman" w:cs="Times New Roman"/>
      <w:color w:val="000000"/>
      <w:sz w:val="18"/>
      <w:szCs w:val="18"/>
      <w:u w:val="none"/>
      <w:vertAlign w:val="superscript"/>
    </w:rPr>
  </w:style>
  <w:style w:type="character" w:customStyle="1" w:styleId="34">
    <w:name w:val="font61"/>
    <w:basedOn w:val="21"/>
    <w:qFormat/>
    <w:uiPriority w:val="0"/>
    <w:rPr>
      <w:rFonts w:hint="default" w:ascii="Times New Roman" w:hAnsi="Times New Roman" w:cs="Times New Roman"/>
      <w:color w:val="000000"/>
      <w:sz w:val="18"/>
      <w:szCs w:val="18"/>
      <w:u w:val="none"/>
    </w:rPr>
  </w:style>
  <w:style w:type="character" w:customStyle="1" w:styleId="35">
    <w:name w:val="页脚 字符"/>
    <w:link w:val="13"/>
    <w:qFormat/>
    <w:uiPriority w:val="99"/>
    <w:rPr>
      <w:rFonts w:eastAsia="仿宋"/>
      <w:sz w:val="18"/>
      <w:szCs w:val="18"/>
    </w:rPr>
  </w:style>
  <w:style w:type="character" w:customStyle="1" w:styleId="36">
    <w:name w:val="批注框文本 字符"/>
    <w:basedOn w:val="21"/>
    <w:link w:val="12"/>
    <w:qFormat/>
    <w:uiPriority w:val="0"/>
    <w:rPr>
      <w:rFonts w:ascii="Calibri" w:hAnsi="Calibri" w:eastAsia="仿宋" w:cs="宋体"/>
      <w:sz w:val="18"/>
      <w:szCs w:val="18"/>
    </w:rPr>
  </w:style>
  <w:style w:type="paragraph" w:customStyle="1" w:styleId="37">
    <w:name w:val="表格内"/>
    <w:basedOn w:val="1"/>
    <w:link w:val="38"/>
    <w:qFormat/>
    <w:uiPriority w:val="0"/>
    <w:pPr>
      <w:spacing w:line="0" w:lineRule="atLeast"/>
      <w:ind w:firstLine="0" w:firstLineChars="0"/>
      <w:jc w:val="center"/>
    </w:pPr>
    <w:rPr>
      <w:sz w:val="21"/>
    </w:rPr>
  </w:style>
  <w:style w:type="character" w:customStyle="1" w:styleId="38">
    <w:name w:val="表格内 Char"/>
    <w:link w:val="37"/>
    <w:qFormat/>
    <w:uiPriority w:val="0"/>
    <w:rPr>
      <w:rFonts w:ascii="Calibri" w:hAnsi="Calibri" w:eastAsia="仿宋" w:cs="宋体"/>
      <w:sz w:val="21"/>
      <w:szCs w:val="22"/>
    </w:rPr>
  </w:style>
  <w:style w:type="character" w:customStyle="1" w:styleId="39">
    <w:name w:val="批注文字 字符"/>
    <w:basedOn w:val="21"/>
    <w:link w:val="9"/>
    <w:qFormat/>
    <w:uiPriority w:val="0"/>
    <w:rPr>
      <w:rFonts w:ascii="Calibri" w:hAnsi="Calibri" w:eastAsia="仿宋" w:cs="宋体"/>
      <w:sz w:val="28"/>
      <w:szCs w:val="22"/>
    </w:rPr>
  </w:style>
  <w:style w:type="character" w:customStyle="1" w:styleId="40">
    <w:name w:val="批注主题 字符"/>
    <w:basedOn w:val="39"/>
    <w:link w:val="18"/>
    <w:qFormat/>
    <w:uiPriority w:val="0"/>
    <w:rPr>
      <w:rFonts w:ascii="Calibri" w:hAnsi="Calibri" w:eastAsia="仿宋" w:cs="宋体"/>
      <w:b/>
      <w:bCs/>
      <w:sz w:val="28"/>
      <w:szCs w:val="22"/>
    </w:rPr>
  </w:style>
  <w:style w:type="character" w:customStyle="1" w:styleId="41">
    <w:name w:val="fontstyle01"/>
    <w:basedOn w:val="21"/>
    <w:qFormat/>
    <w:uiPriority w:val="0"/>
    <w:rPr>
      <w:rFonts w:hint="eastAsia" w:ascii="仿宋_GB2312" w:eastAsia="仿宋_GB2312"/>
      <w:color w:val="000000"/>
      <w:sz w:val="32"/>
      <w:szCs w:val="32"/>
    </w:rPr>
  </w:style>
  <w:style w:type="character" w:customStyle="1" w:styleId="42">
    <w:name w:val="页眉或页脚"/>
    <w:qFormat/>
    <w:uiPriority w:val="0"/>
    <w:rPr>
      <w:rFonts w:ascii="MingLiU" w:hAnsi="MingLiU" w:eastAsia="MingLiU" w:cs="MingLiU"/>
      <w:b/>
      <w:bCs/>
      <w:color w:val="000000"/>
      <w:spacing w:val="0"/>
      <w:w w:val="100"/>
      <w:position w:val="0"/>
      <w:sz w:val="21"/>
      <w:szCs w:val="21"/>
      <w:u w:val="none"/>
      <w:lang w:val="zh-TW" w:eastAsia="zh-TW" w:bidi="zh-TW"/>
    </w:rPr>
  </w:style>
  <w:style w:type="paragraph" w:styleId="43">
    <w:name w:val="List Paragraph"/>
    <w:basedOn w:val="1"/>
    <w:qFormat/>
    <w:uiPriority w:val="99"/>
    <w:pPr>
      <w:ind w:firstLine="420"/>
    </w:pPr>
  </w:style>
  <w:style w:type="character" w:customStyle="1" w:styleId="44">
    <w:name w:val="fontstyle21"/>
    <w:basedOn w:val="21"/>
    <w:qFormat/>
    <w:uiPriority w:val="0"/>
    <w:rPr>
      <w:rFonts w:hint="default" w:ascii="TimesNewRomanPSMT" w:hAnsi="TimesNewRomanPSMT"/>
      <w:color w:val="000000"/>
      <w:sz w:val="24"/>
      <w:szCs w:val="24"/>
    </w:rPr>
  </w:style>
  <w:style w:type="table" w:customStyle="1" w:styleId="45">
    <w:name w:val="Table Normal"/>
    <w:autoRedefine/>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7" Type="http://schemas.openxmlformats.org/officeDocument/2006/relationships/fontTable" Target="fontTable.xml"/><Relationship Id="rId26" Type="http://schemas.openxmlformats.org/officeDocument/2006/relationships/customXml" Target="../customXml/item2.xml"/><Relationship Id="rId25" Type="http://schemas.openxmlformats.org/officeDocument/2006/relationships/customXml" Target="../customXml/item1.xml"/><Relationship Id="rId24" Type="http://schemas.openxmlformats.org/officeDocument/2006/relationships/image" Target="media/image3.png"/><Relationship Id="rId23" Type="http://schemas.openxmlformats.org/officeDocument/2006/relationships/image" Target="media/image2.png"/><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3.xml"/><Relationship Id="rId2" Type="http://schemas.openxmlformats.org/officeDocument/2006/relationships/settings" Target="settings.xml"/><Relationship Id="rId19" Type="http://schemas.openxmlformats.org/officeDocument/2006/relationships/footer" Target="footer12.xml"/><Relationship Id="rId18" Type="http://schemas.openxmlformats.org/officeDocument/2006/relationships/footer" Target="footer11.xml"/><Relationship Id="rId17" Type="http://schemas.openxmlformats.org/officeDocument/2006/relationships/footer" Target="footer10.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footer" Target="footer7.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6B645F-32B6-4ED3-B800-AC69781F5B1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64</Pages>
  <Words>23023</Words>
  <Characters>33094</Characters>
  <Lines>277</Lines>
  <Paragraphs>78</Paragraphs>
  <TotalTime>1</TotalTime>
  <ScaleCrop>false</ScaleCrop>
  <LinksUpToDate>false</LinksUpToDate>
  <CharactersWithSpaces>33292</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2022-04-26T07:58:00Z</dcterms:created>
  <dc:creator>顾娜</dc:creator>
  <cp:lastModifiedBy>WPS_1481252982</cp:lastModifiedBy>
  <cp:lastPrinted>2022-11-16T02:58:00Z</cp:lastPrinted>
  <dcterms:modified xsi:type="dcterms:W3CDTF">2024-08-19T14:49:51Z</dcterms:modified>
  <cp:revision>507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5B51BB679A78483A91113AE346BFDF3B</vt:lpwstr>
  </property>
</Properties>
</file>