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E8352">
      <w:pPr>
        <w:ind w:left="2" w:leftChars="-2" w:hanging="7" w:hangingChars="3"/>
        <w:jc w:val="center"/>
      </w:pPr>
    </w:p>
    <w:p w14:paraId="20F0C3C6">
      <w:pPr>
        <w:ind w:left="2" w:leftChars="-2" w:hanging="7" w:hangingChars="3"/>
        <w:jc w:val="center"/>
      </w:pPr>
    </w:p>
    <w:p w14:paraId="4F933475">
      <w:pPr>
        <w:ind w:left="2" w:leftChars="-2" w:hanging="7" w:hangingChars="3"/>
        <w:jc w:val="center"/>
      </w:pPr>
    </w:p>
    <w:p w14:paraId="5D5048D0">
      <w:pPr>
        <w:ind w:left="2" w:leftChars="-2" w:hanging="7" w:hangingChars="3"/>
        <w:jc w:val="center"/>
      </w:pPr>
    </w:p>
    <w:p w14:paraId="6C064B5F">
      <w:pPr>
        <w:ind w:left="2" w:leftChars="-2" w:hanging="7" w:hangingChars="3"/>
        <w:jc w:val="center"/>
      </w:pPr>
    </w:p>
    <w:p w14:paraId="4886665C">
      <w:pPr>
        <w:widowControl/>
        <w:spacing w:line="460" w:lineRule="exact"/>
        <w:ind w:left="6" w:leftChars="-2" w:right="36" w:rightChars="15" w:hanging="11" w:hangingChars="3"/>
        <w:jc w:val="center"/>
        <w:rPr>
          <w:rFonts w:hint="eastAsia" w:ascii="华文中宋" w:hAnsi="华文中宋" w:eastAsia="华文中宋" w:cs="宋体"/>
          <w:spacing w:val="30"/>
          <w:kern w:val="0"/>
          <w:sz w:val="32"/>
          <w:szCs w:val="32"/>
        </w:rPr>
      </w:pPr>
      <w:r>
        <w:rPr>
          <w:rFonts w:hint="eastAsia" w:ascii="华文中宋" w:hAnsi="华文中宋" w:eastAsia="华文中宋" w:cs="宋体"/>
          <w:spacing w:val="30"/>
          <w:kern w:val="0"/>
          <w:sz w:val="32"/>
          <w:szCs w:val="32"/>
        </w:rPr>
        <w:t>北京大成（广州）律师事务所</w:t>
      </w:r>
    </w:p>
    <w:p w14:paraId="6711B228">
      <w:pPr>
        <w:widowControl/>
        <w:spacing w:line="460" w:lineRule="exact"/>
        <w:ind w:left="6" w:leftChars="-2" w:right="36" w:rightChars="15" w:hanging="11" w:hangingChars="3"/>
        <w:jc w:val="center"/>
        <w:rPr>
          <w:rFonts w:hint="eastAsia" w:ascii="华文中宋" w:hAnsi="华文中宋" w:eastAsia="华文中宋" w:cs="宋体"/>
          <w:spacing w:val="30"/>
          <w:kern w:val="0"/>
          <w:sz w:val="32"/>
          <w:szCs w:val="32"/>
        </w:rPr>
      </w:pPr>
      <w:bookmarkStart w:id="0" w:name="_Toc15537"/>
      <w:bookmarkStart w:id="1" w:name="_Toc25580"/>
      <w:bookmarkStart w:id="2" w:name="_Toc14791"/>
      <w:bookmarkStart w:id="3" w:name="_Toc32236"/>
      <w:r>
        <w:rPr>
          <w:rFonts w:hint="eastAsia" w:ascii="华文中宋" w:hAnsi="华文中宋" w:eastAsia="华文中宋" w:cs="宋体"/>
          <w:spacing w:val="30"/>
          <w:kern w:val="0"/>
          <w:sz w:val="32"/>
          <w:szCs w:val="32"/>
        </w:rPr>
        <w:t>关于</w:t>
      </w:r>
      <w:bookmarkEnd w:id="0"/>
      <w:bookmarkEnd w:id="1"/>
      <w:bookmarkEnd w:id="2"/>
      <w:bookmarkEnd w:id="3"/>
    </w:p>
    <w:p w14:paraId="2CECA776">
      <w:pPr>
        <w:widowControl/>
        <w:spacing w:line="460" w:lineRule="exact"/>
        <w:ind w:left="6" w:leftChars="-2" w:right="36" w:rightChars="15" w:hanging="11" w:hangingChars="3"/>
        <w:jc w:val="center"/>
        <w:rPr>
          <w:rFonts w:hint="eastAsia" w:ascii="华文中宋" w:hAnsi="华文中宋" w:eastAsia="华文中宋" w:cs="宋体"/>
          <w:spacing w:val="30"/>
          <w:kern w:val="0"/>
          <w:sz w:val="32"/>
          <w:szCs w:val="32"/>
        </w:rPr>
      </w:pPr>
      <w:r>
        <w:rPr>
          <w:rFonts w:hint="eastAsia" w:ascii="华文中宋" w:hAnsi="华文中宋" w:eastAsia="华文中宋" w:cs="宋体"/>
          <w:spacing w:val="30"/>
          <w:kern w:val="0"/>
          <w:sz w:val="32"/>
          <w:szCs w:val="32"/>
          <w:lang w:eastAsia="zh-CN"/>
        </w:rPr>
        <w:t>广州市花都区现代物流港建设及配套工程</w:t>
      </w:r>
      <w:r>
        <w:rPr>
          <w:rFonts w:hint="eastAsia" w:ascii="华文中宋" w:hAnsi="华文中宋" w:eastAsia="华文中宋" w:cs="宋体"/>
          <w:spacing w:val="30"/>
          <w:kern w:val="0"/>
          <w:sz w:val="32"/>
          <w:szCs w:val="32"/>
        </w:rPr>
        <w:t>之</w:t>
      </w:r>
    </w:p>
    <w:p w14:paraId="0DE1282C">
      <w:pPr>
        <w:widowControl/>
        <w:tabs>
          <w:tab w:val="left" w:pos="6660"/>
          <w:tab w:val="left" w:pos="7020"/>
        </w:tabs>
        <w:spacing w:before="190" w:beforeLines="50" w:line="360" w:lineRule="auto"/>
        <w:ind w:left="-5" w:leftChars="-2" w:firstLine="0" w:firstLineChars="0"/>
        <w:jc w:val="center"/>
        <w:rPr>
          <w:rFonts w:hint="eastAsia" w:ascii="华文中宋" w:hAnsi="华文中宋" w:eastAsia="华文中宋" w:cs="宋体"/>
          <w:spacing w:val="100"/>
          <w:kern w:val="0"/>
          <w:sz w:val="56"/>
          <w:szCs w:val="56"/>
        </w:rPr>
      </w:pPr>
      <w:r>
        <w:rPr>
          <w:rFonts w:hint="eastAsia" w:ascii="华文中宋" w:hAnsi="华文中宋" w:eastAsia="华文中宋" w:cs="宋体"/>
          <w:spacing w:val="100"/>
          <w:kern w:val="0"/>
          <w:sz w:val="56"/>
          <w:szCs w:val="56"/>
        </w:rPr>
        <w:t>法律意见书</w:t>
      </w:r>
    </w:p>
    <w:p w14:paraId="11CECC58">
      <w:pPr>
        <w:spacing w:line="240" w:lineRule="auto"/>
        <w:ind w:left="2" w:leftChars="-2" w:hanging="7" w:hangingChars="3"/>
        <w:jc w:val="center"/>
      </w:pPr>
    </w:p>
    <w:p w14:paraId="458213D3">
      <w:pPr>
        <w:ind w:left="2" w:leftChars="-2" w:hanging="7" w:hangingChars="3"/>
        <w:jc w:val="center"/>
      </w:pPr>
    </w:p>
    <w:p w14:paraId="2A3F66E9">
      <w:pPr>
        <w:ind w:left="2" w:leftChars="-2" w:hanging="7" w:hangingChars="3"/>
        <w:jc w:val="center"/>
      </w:pPr>
    </w:p>
    <w:p w14:paraId="5D5BC9A4">
      <w:pPr>
        <w:ind w:left="2" w:leftChars="-2" w:hanging="7" w:hangingChars="3"/>
        <w:jc w:val="center"/>
      </w:pPr>
    </w:p>
    <w:p w14:paraId="25537FFB">
      <w:pPr>
        <w:ind w:left="2" w:leftChars="-2" w:hanging="7" w:hangingChars="3"/>
        <w:jc w:val="center"/>
      </w:pPr>
    </w:p>
    <w:p w14:paraId="0F618D23">
      <w:pPr>
        <w:ind w:left="2" w:leftChars="-2" w:hanging="7" w:hangingChars="3"/>
        <w:jc w:val="center"/>
      </w:pPr>
    </w:p>
    <w:p w14:paraId="2C704019">
      <w:pPr>
        <w:ind w:left="2" w:leftChars="-2" w:hanging="7" w:hangingChars="3"/>
        <w:jc w:val="center"/>
      </w:pPr>
    </w:p>
    <w:p w14:paraId="6957C463">
      <w:pPr>
        <w:ind w:left="2" w:leftChars="-2" w:hanging="7" w:hangingChars="3"/>
        <w:jc w:val="center"/>
      </w:pPr>
    </w:p>
    <w:p w14:paraId="67160AD7">
      <w:pPr>
        <w:ind w:left="2" w:leftChars="-2" w:hanging="7" w:hangingChars="3"/>
        <w:jc w:val="center"/>
      </w:pPr>
    </w:p>
    <w:p w14:paraId="53AAC421">
      <w:pPr>
        <w:ind w:left="2" w:leftChars="-2" w:hanging="7" w:hangingChars="3"/>
        <w:jc w:val="center"/>
      </w:pPr>
    </w:p>
    <w:p w14:paraId="593300A6">
      <w:pPr>
        <w:spacing w:line="240" w:lineRule="atLeast"/>
        <w:ind w:left="2" w:leftChars="-2" w:hanging="7" w:hangingChars="3"/>
        <w:jc w:val="center"/>
      </w:pPr>
    </w:p>
    <w:p w14:paraId="14ACD845">
      <w:pPr>
        <w:ind w:left="2" w:leftChars="-2" w:hanging="7" w:hangingChars="3"/>
        <w:jc w:val="center"/>
      </w:pPr>
    </w:p>
    <w:p w14:paraId="45F17B20">
      <w:pPr>
        <w:ind w:left="6" w:leftChars="-2" w:hanging="11" w:hangingChars="3"/>
        <w:jc w:val="center"/>
        <w:rPr>
          <w:rFonts w:hint="eastAsia" w:ascii="华文中宋" w:hAnsi="华文中宋" w:eastAsia="华文中宋"/>
          <w:b/>
          <w:spacing w:val="30"/>
          <w:sz w:val="32"/>
          <w:szCs w:val="32"/>
        </w:rPr>
      </w:pPr>
      <w:r>
        <w:rPr>
          <w:rFonts w:hint="eastAsia" w:ascii="华文中宋" w:hAnsi="华文中宋" w:eastAsia="华文中宋"/>
          <w:b/>
          <w:spacing w:val="30"/>
          <w:sz w:val="32"/>
          <w:szCs w:val="32"/>
        </w:rPr>
        <w:t>北京</w:t>
      </w:r>
      <w:r>
        <w:rPr>
          <w:rFonts w:ascii="华文中宋" w:hAnsi="华文中宋" w:eastAsia="华文中宋"/>
          <w:b/>
          <w:spacing w:val="30"/>
          <w:sz w:val="32"/>
          <w:szCs w:val="32"/>
        </w:rPr>
        <w:t>大成</w:t>
      </w:r>
      <w:r>
        <w:rPr>
          <w:rFonts w:hint="eastAsia" w:ascii="华文中宋" w:hAnsi="华文中宋" w:eastAsia="华文中宋"/>
          <w:b/>
          <w:spacing w:val="30"/>
          <w:sz w:val="32"/>
          <w:szCs w:val="32"/>
        </w:rPr>
        <w:t>（广州）</w:t>
      </w:r>
      <w:r>
        <w:rPr>
          <w:rFonts w:ascii="华文中宋" w:hAnsi="华文中宋" w:eastAsia="华文中宋"/>
          <w:b/>
          <w:spacing w:val="30"/>
          <w:sz w:val="32"/>
          <w:szCs w:val="32"/>
        </w:rPr>
        <w:t>律师事务所</w:t>
      </w:r>
    </w:p>
    <w:p w14:paraId="5C0D4CF8">
      <w:pPr>
        <w:spacing w:line="260" w:lineRule="exact"/>
        <w:ind w:left="1" w:leftChars="-2" w:hanging="6" w:hangingChars="3"/>
        <w:jc w:val="center"/>
        <w:rPr>
          <w:rFonts w:ascii="Times New Roman" w:hAnsi="Times New Roman" w:eastAsia="华文中宋" w:cs="Times New Roman"/>
          <w:sz w:val="20"/>
          <w:szCs w:val="20"/>
        </w:rPr>
      </w:pPr>
    </w:p>
    <w:p w14:paraId="054EB7D7">
      <w:pPr>
        <w:spacing w:line="260" w:lineRule="exact"/>
        <w:ind w:left="1" w:leftChars="-2" w:hanging="6" w:hangingChars="3"/>
        <w:jc w:val="center"/>
        <w:rPr>
          <w:rFonts w:ascii="Times New Roman" w:hAnsi="Times New Roman" w:eastAsia="华文中宋" w:cs="Times New Roman"/>
          <w:sz w:val="20"/>
          <w:szCs w:val="20"/>
        </w:rPr>
      </w:pPr>
    </w:p>
    <w:p w14:paraId="37EF5C3E">
      <w:pPr>
        <w:spacing w:line="260" w:lineRule="exact"/>
        <w:ind w:left="1" w:leftChars="-2" w:hanging="6" w:hangingChars="3"/>
        <w:jc w:val="center"/>
        <w:rPr>
          <w:rFonts w:ascii="Times New Roman" w:hAnsi="Times New Roman" w:eastAsia="华文中宋" w:cs="Times New Roman"/>
          <w:sz w:val="20"/>
          <w:szCs w:val="20"/>
        </w:rPr>
      </w:pPr>
    </w:p>
    <w:p w14:paraId="74B285A5">
      <w:pPr>
        <w:spacing w:line="260" w:lineRule="exact"/>
        <w:ind w:left="1" w:leftChars="-2" w:hanging="6" w:hangingChars="3"/>
        <w:jc w:val="center"/>
        <w:rPr>
          <w:rFonts w:ascii="Times New Roman" w:hAnsi="Times New Roman" w:eastAsia="华文中宋" w:cs="Times New Roman"/>
          <w:sz w:val="20"/>
          <w:szCs w:val="20"/>
        </w:rPr>
      </w:pPr>
      <w:r>
        <w:rPr>
          <w:rFonts w:ascii="Times New Roman" w:hAnsi="Times New Roman" w:eastAsia="华文中宋" w:cs="Times New Roman"/>
          <w:sz w:val="20"/>
          <w:szCs w:val="20"/>
        </w:rPr>
        <w:t>广东省广州市</w:t>
      </w:r>
      <w:r>
        <w:rPr>
          <w:rFonts w:hint="eastAsia" w:ascii="Times New Roman" w:hAnsi="Times New Roman" w:eastAsia="华文中宋" w:cs="Times New Roman"/>
          <w:sz w:val="20"/>
          <w:szCs w:val="20"/>
        </w:rPr>
        <w:t>海珠</w:t>
      </w:r>
      <w:r>
        <w:rPr>
          <w:rFonts w:ascii="Times New Roman" w:hAnsi="Times New Roman" w:eastAsia="华文中宋" w:cs="Times New Roman"/>
          <w:sz w:val="20"/>
          <w:szCs w:val="20"/>
        </w:rPr>
        <w:t>区珠江新城珠江东路6号广州周大福金融中心14-15层（邮编：510623）</w:t>
      </w:r>
    </w:p>
    <w:p w14:paraId="7FBE03F2">
      <w:pPr>
        <w:spacing w:line="260" w:lineRule="exact"/>
        <w:ind w:left="1" w:leftChars="-2" w:hanging="6" w:hangingChars="3"/>
        <w:jc w:val="center"/>
        <w:rPr>
          <w:rFonts w:hint="eastAsia" w:ascii="Times New Roman" w:hAnsi="Times New Roman" w:eastAsia="华文中宋" w:cs="Times New Roman"/>
          <w:sz w:val="20"/>
          <w:szCs w:val="20"/>
          <w:lang w:val="en-US" w:eastAsia="zh-CN"/>
        </w:rPr>
      </w:pPr>
      <w:r>
        <w:rPr>
          <w:rFonts w:ascii="Times New Roman" w:hAnsi="Times New Roman" w:eastAsia="华文中宋" w:cs="Times New Roman"/>
          <w:sz w:val="20"/>
          <w:szCs w:val="20"/>
        </w:rPr>
        <w:t>14</w:t>
      </w:r>
      <w:r>
        <w:rPr>
          <w:rFonts w:hint="eastAsia" w:ascii="Times New Roman" w:hAnsi="Times New Roman" w:eastAsia="华文中宋" w:cs="Times New Roman"/>
          <w:sz w:val="20"/>
          <w:szCs w:val="20"/>
          <w:lang w:val="en-US" w:eastAsia="zh-CN"/>
        </w:rPr>
        <w:t xml:space="preserve">/F </w:t>
      </w:r>
      <w:r>
        <w:rPr>
          <w:rFonts w:ascii="Times New Roman" w:hAnsi="Times New Roman" w:eastAsia="华文中宋" w:cs="Times New Roman"/>
          <w:sz w:val="20"/>
          <w:szCs w:val="20"/>
        </w:rPr>
        <w:t>15/F</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CTF</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Finance</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Centre</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Plaza</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No.6</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Zhujiang</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East</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Road</w:t>
      </w:r>
    </w:p>
    <w:p w14:paraId="37AA689B">
      <w:pPr>
        <w:spacing w:line="260" w:lineRule="exact"/>
        <w:ind w:left="1" w:leftChars="-2" w:hanging="6" w:hangingChars="3"/>
        <w:jc w:val="center"/>
        <w:rPr>
          <w:rFonts w:ascii="Times New Roman" w:hAnsi="Times New Roman" w:eastAsia="华文中宋" w:cs="Times New Roman"/>
          <w:sz w:val="20"/>
          <w:szCs w:val="20"/>
        </w:rPr>
      </w:pPr>
      <w:r>
        <w:rPr>
          <w:rFonts w:ascii="Times New Roman" w:hAnsi="Times New Roman" w:eastAsia="华文中宋" w:cs="Times New Roman"/>
          <w:sz w:val="20"/>
          <w:szCs w:val="20"/>
        </w:rPr>
        <w:t>Zhujiang</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New</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Town</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Tianhe</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District</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Guangzhou510623</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China</w:t>
      </w:r>
    </w:p>
    <w:p w14:paraId="1F7BC85E">
      <w:pPr>
        <w:spacing w:line="260" w:lineRule="exact"/>
        <w:ind w:left="1" w:leftChars="-2" w:hanging="6" w:hangingChars="3"/>
        <w:jc w:val="center"/>
        <w:rPr>
          <w:rFonts w:ascii="Times New Roman" w:hAnsi="Times New Roman" w:eastAsia="华文中宋" w:cs="Times New Roman"/>
          <w:sz w:val="20"/>
          <w:szCs w:val="20"/>
        </w:rPr>
      </w:pPr>
      <w:r>
        <w:rPr>
          <w:rFonts w:ascii="Times New Roman" w:hAnsi="Times New Roman" w:eastAsia="华文中宋" w:cs="Times New Roman"/>
          <w:sz w:val="20"/>
          <w:szCs w:val="20"/>
        </w:rPr>
        <w:t>Tel:+8620-85277000Fax:+8620-85277002</w:t>
      </w:r>
    </w:p>
    <w:p w14:paraId="6AC2919E">
      <w:pPr>
        <w:widowControl/>
        <w:spacing w:line="240" w:lineRule="auto"/>
        <w:ind w:firstLine="0" w:firstLineChars="0"/>
        <w:jc w:val="left"/>
        <w:rPr>
          <w:rFonts w:eastAsia="华文中宋" w:cs="Times New Roman"/>
          <w:sz w:val="20"/>
          <w:szCs w:val="20"/>
        </w:rPr>
      </w:pPr>
      <w:r>
        <w:rPr>
          <w:rFonts w:eastAsia="华文中宋" w:cs="Times New Roman"/>
          <w:sz w:val="20"/>
          <w:szCs w:val="20"/>
        </w:rPr>
        <w:br w:type="page"/>
      </w:r>
    </w:p>
    <w:p w14:paraId="45594193">
      <w:pPr>
        <w:spacing w:line="260" w:lineRule="exact"/>
        <w:ind w:left="1" w:leftChars="-2" w:hanging="6" w:hangingChars="3"/>
        <w:rPr>
          <w:rFonts w:eastAsia="华文中宋" w:cs="Times New Roman"/>
          <w:sz w:val="20"/>
          <w:szCs w:val="20"/>
        </w:rPr>
      </w:pPr>
    </w:p>
    <w:sdt>
      <w:sdtPr>
        <w:rPr>
          <w:rFonts w:ascii="宋体" w:hAnsi="宋体"/>
          <w:szCs w:val="24"/>
        </w:rPr>
        <w:id w:val="147480031"/>
        <w15:color w:val="DBDBDB"/>
        <w:docPartObj>
          <w:docPartGallery w:val="Table of Contents"/>
          <w:docPartUnique/>
        </w:docPartObj>
      </w:sdtPr>
      <w:sdtEndPr>
        <w:rPr>
          <w:rFonts w:ascii="宋体" w:hAnsi="宋体" w:cs="Times New Roman"/>
          <w:kern w:val="0"/>
          <w:szCs w:val="24"/>
        </w:rPr>
      </w:sdtEndPr>
      <w:sdtContent>
        <w:p w14:paraId="0C3582D1">
          <w:pPr>
            <w:spacing w:before="190" w:beforeLines="50" w:after="190" w:afterLines="50" w:line="240" w:lineRule="auto"/>
            <w:ind w:firstLine="0" w:firstLineChars="0"/>
            <w:jc w:val="center"/>
          </w:pPr>
          <w:r>
            <w:rPr>
              <w:rFonts w:ascii="Times New Roman" w:hAnsi="Times New Roman" w:cs="Times New Roman"/>
              <w:b/>
              <w:bCs/>
              <w:sz w:val="36"/>
              <w:szCs w:val="36"/>
            </w:rPr>
            <w:t>目录</w:t>
          </w:r>
        </w:p>
        <w:p w14:paraId="7BE83A4E">
          <w:pPr>
            <w:spacing w:before="190" w:beforeLines="50" w:after="190" w:afterLines="50" w:line="240" w:lineRule="auto"/>
            <w:ind w:firstLine="0" w:firstLineChars="0"/>
            <w:jc w:val="center"/>
          </w:pPr>
        </w:p>
        <w:p w14:paraId="1711ACE3">
          <w:pPr>
            <w:pStyle w:val="11"/>
            <w:tabs>
              <w:tab w:val="right" w:leader="dot" w:pos="8303"/>
            </w:tabs>
            <w:snapToGrid w:val="0"/>
            <w:spacing w:before="190" w:beforeLines="50" w:after="190" w:afterLines="50" w:line="240" w:lineRule="auto"/>
            <w:ind w:firstLine="602"/>
            <w:rPr>
              <w:rFonts w:ascii="Times New Roman" w:hAnsi="Times New Roman" w:cs="Times New Roman"/>
            </w:rPr>
          </w:pPr>
          <w:r>
            <w:rPr>
              <w:rFonts w:ascii="Times New Roman" w:hAnsi="Times New Roman" w:cs="Times New Roman"/>
              <w:b/>
              <w:kern w:val="0"/>
              <w:sz w:val="30"/>
              <w:szCs w:val="30"/>
            </w:rPr>
            <w:fldChar w:fldCharType="begin"/>
          </w:r>
          <w:r>
            <w:rPr>
              <w:rFonts w:ascii="Times New Roman" w:hAnsi="Times New Roman" w:cs="Times New Roman"/>
              <w:b/>
              <w:kern w:val="0"/>
              <w:sz w:val="30"/>
              <w:szCs w:val="30"/>
            </w:rPr>
            <w:instrText xml:space="preserve">TOC \o "1-3" \h \u </w:instrText>
          </w:r>
          <w:r>
            <w:rPr>
              <w:rFonts w:ascii="Times New Roman" w:hAnsi="Times New Roman" w:cs="Times New Roman"/>
              <w:b/>
              <w:kern w:val="0"/>
              <w:sz w:val="30"/>
              <w:szCs w:val="30"/>
            </w:rPr>
            <w:fldChar w:fldCharType="separate"/>
          </w:r>
          <w:r>
            <w:fldChar w:fldCharType="begin"/>
          </w:r>
          <w:r>
            <w:instrText xml:space="preserve"> HYPERLINK \l "_Toc31648" </w:instrText>
          </w:r>
          <w:r>
            <w:fldChar w:fldCharType="separate"/>
          </w:r>
          <w:r>
            <w:rPr>
              <w:rFonts w:ascii="Times New Roman" w:hAnsi="Times New Roman" w:cs="Times New Roman"/>
            </w:rPr>
            <w:t>释义</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_Toc31648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1C223F55">
          <w:pPr>
            <w:pStyle w:val="11"/>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"_Toc12729" </w:instrText>
          </w:r>
          <w:r>
            <w:fldChar w:fldCharType="separate"/>
          </w:r>
          <w:r>
            <w:rPr>
              <w:rFonts w:ascii="Times New Roman" w:hAnsi="Times New Roman" w:cs="Times New Roman"/>
            </w:rPr>
            <w:t>一、发行主体</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_Toc12729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68E46290">
          <w:pPr>
            <w:pStyle w:val="11"/>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"_Toc244" </w:instrText>
          </w:r>
          <w:r>
            <w:fldChar w:fldCharType="separate"/>
          </w:r>
          <w:r>
            <w:rPr>
              <w:rFonts w:ascii="Times New Roman" w:hAnsi="Times New Roman" w:cs="Times New Roman"/>
            </w:rPr>
            <w:t>二、主管部门及实施主体</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_Toc244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1CA6217B">
          <w:pPr>
            <w:pStyle w:val="11"/>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"_Toc5473" </w:instrText>
          </w:r>
          <w:r>
            <w:fldChar w:fldCharType="separate"/>
          </w:r>
          <w:r>
            <w:rPr>
              <w:rFonts w:ascii="Times New Roman" w:hAnsi="Times New Roman" w:cs="Times New Roman"/>
            </w:rPr>
            <w:t>三、本次债券发行对应的募投项目</w:t>
          </w:r>
          <w:r>
            <w:rPr>
              <w:rFonts w:ascii="Times New Roman" w:hAnsi="Times New Roman" w:cs="Times New Roman"/>
            </w:rPr>
            <w:tab/>
          </w:r>
          <w:r>
            <w:rPr>
              <w:rFonts w:hint="eastAsia" w:ascii="Times New Roman" w:hAnsi="Times New Roman" w:cs="Times New Roman"/>
              <w:lang w:val="en-US" w:eastAsia="zh-CN"/>
            </w:rPr>
            <w:t>7</w:t>
          </w:r>
          <w:r>
            <w:rPr>
              <w:rFonts w:ascii="Times New Roman" w:hAnsi="Times New Roman" w:cs="Times New Roman"/>
            </w:rPr>
            <w:fldChar w:fldCharType="end"/>
          </w:r>
        </w:p>
        <w:p w14:paraId="2C5F2621">
          <w:pPr>
            <w:pStyle w:val="11"/>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"_Toc3503" </w:instrText>
          </w:r>
          <w:r>
            <w:fldChar w:fldCharType="separate"/>
          </w:r>
          <w:r>
            <w:rPr>
              <w:rFonts w:ascii="Times New Roman" w:hAnsi="Times New Roman" w:cs="Times New Roman"/>
            </w:rPr>
            <w:t>四、项目公益性及收益与融资平衡情况</w:t>
          </w:r>
          <w:r>
            <w:rPr>
              <w:rFonts w:ascii="Times New Roman" w:hAnsi="Times New Roman" w:cs="Times New Roman"/>
            </w:rPr>
            <w:tab/>
          </w:r>
          <w:r>
            <w:rPr>
              <w:rFonts w:hint="eastAsia" w:ascii="Times New Roman" w:hAnsi="Times New Roman" w:cs="Times New Roman"/>
              <w:lang w:val="en-US" w:eastAsia="zh-CN"/>
            </w:rPr>
            <w:t>8</w:t>
          </w:r>
          <w:r>
            <w:rPr>
              <w:rFonts w:ascii="Times New Roman" w:hAnsi="Times New Roman" w:cs="Times New Roman"/>
            </w:rPr>
            <w:fldChar w:fldCharType="end"/>
          </w:r>
        </w:p>
        <w:p w14:paraId="59468D8A">
          <w:pPr>
            <w:pStyle w:val="11"/>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"_Toc4148" </w:instrText>
          </w:r>
          <w:r>
            <w:fldChar w:fldCharType="separate"/>
          </w:r>
          <w:r>
            <w:rPr>
              <w:rFonts w:ascii="Times New Roman" w:hAnsi="Times New Roman" w:cs="Times New Roman"/>
            </w:rPr>
            <w:t>五、发行文件及发行服务机构</w:t>
          </w:r>
          <w:r>
            <w:rPr>
              <w:rFonts w:ascii="Times New Roman" w:hAnsi="Times New Roman" w:cs="Times New Roman"/>
            </w:rPr>
            <w:tab/>
          </w:r>
          <w:r>
            <w:rPr>
              <w:rFonts w:hint="eastAsia" w:ascii="Times New Roman" w:hAnsi="Times New Roman" w:cs="Times New Roman"/>
              <w:lang w:val="en-US" w:eastAsia="zh-CN"/>
            </w:rPr>
            <w:t>9</w:t>
          </w:r>
          <w:r>
            <w:rPr>
              <w:rFonts w:ascii="Times New Roman" w:hAnsi="Times New Roman" w:cs="Times New Roman"/>
            </w:rPr>
            <w:fldChar w:fldCharType="end"/>
          </w:r>
        </w:p>
        <w:p w14:paraId="02B0C0E7">
          <w:pPr>
            <w:pStyle w:val="11"/>
            <w:tabs>
              <w:tab w:val="right" w:leader="dot" w:pos="8303"/>
            </w:tabs>
            <w:snapToGrid w:val="0"/>
            <w:spacing w:before="190" w:beforeLines="50" w:after="190" w:afterLines="50" w:line="240" w:lineRule="auto"/>
            <w:ind w:firstLine="480"/>
            <w:rPr>
              <w:rFonts w:hint="eastAsia" w:ascii="Times New Roman" w:hAnsi="Times New Roman" w:eastAsia="宋体" w:cs="Times New Roman"/>
              <w:lang w:val="en-US" w:eastAsia="zh-CN"/>
            </w:rPr>
          </w:pPr>
          <w:r>
            <w:fldChar w:fldCharType="begin"/>
          </w:r>
          <w:r>
            <w:instrText xml:space="preserve"> HYPERLINK \l "_Toc25030" </w:instrText>
          </w:r>
          <w:r>
            <w:fldChar w:fldCharType="separate"/>
          </w:r>
          <w:r>
            <w:rPr>
              <w:rFonts w:ascii="Times New Roman" w:hAnsi="Times New Roman" w:cs="Times New Roman"/>
            </w:rPr>
            <w:t>六、项目风险提示</w:t>
          </w:r>
          <w:r>
            <w:rPr>
              <w:rFonts w:ascii="Times New Roman" w:hAnsi="Times New Roman" w:cs="Times New Roman"/>
            </w:rPr>
            <w:tab/>
          </w:r>
          <w:r>
            <w:rPr>
              <w:rFonts w:hint="eastAsia" w:ascii="Times New Roman" w:hAnsi="Times New Roman" w:cs="Times New Roman"/>
              <w:lang w:val="en-US" w:eastAsia="zh-CN"/>
            </w:rPr>
            <w:t>1</w:t>
          </w:r>
          <w:r>
            <w:rPr>
              <w:rFonts w:ascii="Times New Roman" w:hAnsi="Times New Roman" w:cs="Times New Roman"/>
            </w:rPr>
            <w:fldChar w:fldCharType="end"/>
          </w:r>
          <w:r>
            <w:rPr>
              <w:rFonts w:hint="eastAsia" w:ascii="Times New Roman" w:hAnsi="Times New Roman" w:cs="Times New Roman"/>
              <w:lang w:val="en-US" w:eastAsia="zh-CN"/>
            </w:rPr>
            <w:t>0</w:t>
          </w:r>
        </w:p>
        <w:p w14:paraId="51E50242">
          <w:pPr>
            <w:pStyle w:val="11"/>
            <w:tabs>
              <w:tab w:val="right" w:leader="dot" w:pos="8303"/>
            </w:tabs>
            <w:snapToGrid w:val="0"/>
            <w:spacing w:before="190" w:beforeLines="50" w:after="190" w:afterLines="50" w:line="240" w:lineRule="auto"/>
            <w:ind w:firstLine="480"/>
            <w:rPr>
              <w:rFonts w:hint="eastAsia" w:ascii="Times New Roman" w:hAnsi="Times New Roman" w:eastAsia="宋体" w:cs="Times New Roman"/>
              <w:lang w:val="en-US" w:eastAsia="zh-CN"/>
            </w:rPr>
          </w:pPr>
          <w:r>
            <w:fldChar w:fldCharType="begin"/>
          </w:r>
          <w:r>
            <w:instrText xml:space="preserve"> HYPERLINK \l "_Toc20321" </w:instrText>
          </w:r>
          <w:r>
            <w:fldChar w:fldCharType="separate"/>
          </w:r>
          <w:r>
            <w:rPr>
              <w:rFonts w:ascii="Times New Roman" w:hAnsi="Times New Roman" w:cs="Times New Roman"/>
            </w:rPr>
            <w:t>七、总体结论性意见</w:t>
          </w:r>
          <w:r>
            <w:rPr>
              <w:rFonts w:ascii="Times New Roman" w:hAnsi="Times New Roman" w:cs="Times New Roman"/>
            </w:rPr>
            <w:tab/>
          </w:r>
          <w:r>
            <w:rPr>
              <w:rFonts w:hint="eastAsia" w:ascii="Times New Roman" w:hAnsi="Times New Roman" w:cs="Times New Roman"/>
              <w:lang w:val="en-US" w:eastAsia="zh-CN"/>
            </w:rPr>
            <w:t>1</w:t>
          </w:r>
          <w:r>
            <w:rPr>
              <w:rFonts w:ascii="Times New Roman" w:hAnsi="Times New Roman" w:cs="Times New Roman"/>
            </w:rPr>
            <w:fldChar w:fldCharType="end"/>
          </w:r>
          <w:r>
            <w:rPr>
              <w:rFonts w:hint="eastAsia" w:ascii="Times New Roman" w:hAnsi="Times New Roman" w:cs="Times New Roman"/>
              <w:lang w:val="en-US" w:eastAsia="zh-CN"/>
            </w:rPr>
            <w:t>0</w:t>
          </w:r>
        </w:p>
        <w:p w14:paraId="59947B7D">
          <w:pPr>
            <w:widowControl/>
            <w:snapToGrid w:val="0"/>
            <w:spacing w:before="190" w:beforeLines="50" w:after="190" w:afterLines="50" w:line="240" w:lineRule="auto"/>
            <w:ind w:firstLine="0" w:firstLineChars="0"/>
            <w:jc w:val="center"/>
            <w:rPr>
              <w:rFonts w:hint="eastAsia" w:ascii="宋体" w:hAnsi="宋体" w:cs="Times New Roman"/>
              <w:b/>
              <w:kern w:val="0"/>
              <w:szCs w:val="24"/>
            </w:rPr>
          </w:pPr>
          <w:r>
            <w:rPr>
              <w:rFonts w:ascii="Times New Roman" w:hAnsi="Times New Roman" w:cs="Times New Roman"/>
              <w:kern w:val="0"/>
              <w:szCs w:val="30"/>
            </w:rPr>
            <w:fldChar w:fldCharType="end"/>
          </w:r>
        </w:p>
      </w:sdtContent>
    </w:sdt>
    <w:p w14:paraId="30524F44">
      <w:pPr>
        <w:widowControl/>
        <w:spacing w:line="240" w:lineRule="auto"/>
        <w:ind w:firstLine="0" w:firstLineChars="0"/>
        <w:jc w:val="center"/>
        <w:rPr>
          <w:rFonts w:hint="eastAsia" w:ascii="宋体" w:hAnsi="宋体" w:cs="Times New Roman"/>
          <w:b/>
          <w:kern w:val="0"/>
          <w:szCs w:val="24"/>
        </w:rPr>
      </w:pPr>
    </w:p>
    <w:p w14:paraId="60B7A9E9">
      <w:pPr>
        <w:widowControl/>
        <w:spacing w:line="240" w:lineRule="auto"/>
        <w:ind w:firstLine="0" w:firstLineChars="0"/>
        <w:jc w:val="left"/>
        <w:rPr>
          <w:rFonts w:ascii="Times New Roman" w:hAnsi="Times New Roman" w:cs="Times New Roman"/>
          <w:b/>
          <w:kern w:val="0"/>
          <w:szCs w:val="24"/>
        </w:rPr>
      </w:pPr>
      <w:bookmarkStart w:id="4" w:name="_Toc22693"/>
      <w:bookmarkStart w:id="5" w:name="_Toc483925173"/>
      <w:bookmarkStart w:id="6" w:name="_Toc12417"/>
      <w:bookmarkStart w:id="7" w:name="_Toc15071"/>
      <w:bookmarkStart w:id="8" w:name="_Toc22950"/>
      <w:bookmarkStart w:id="9" w:name="_Toc17931"/>
      <w:bookmarkStart w:id="10" w:name="_Toc11562"/>
      <w:bookmarkStart w:id="11" w:name="_Toc118210116"/>
      <w:bookmarkStart w:id="12" w:name="_Toc120719494"/>
      <w:bookmarkStart w:id="13" w:name="_Toc29048"/>
      <w:bookmarkStart w:id="14" w:name="_Toc92377674"/>
      <w:bookmarkStart w:id="15" w:name="_Toc29459"/>
      <w:bookmarkStart w:id="16" w:name="_Toc30999"/>
      <w:bookmarkStart w:id="17" w:name="_Toc484030683"/>
      <w:r>
        <w:rPr>
          <w:rFonts w:ascii="Times New Roman" w:hAnsi="Times New Roman"/>
          <w:szCs w:val="24"/>
        </w:rPr>
        <w:br w:type="page"/>
      </w:r>
    </w:p>
    <w:p w14:paraId="00FE310E">
      <w:pPr>
        <w:pStyle w:val="2"/>
        <w:ind w:firstLine="0" w:firstLineChars="0"/>
        <w:jc w:val="center"/>
      </w:pPr>
      <w:bookmarkStart w:id="18" w:name="_Toc22868"/>
      <w:bookmarkStart w:id="19" w:name="_Toc31648"/>
      <w:r>
        <w:t>释义</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2AC9EA8">
      <w:pPr>
        <w:spacing w:before="190" w:beforeLines="50" w:after="190" w:afterLines="50" w:line="360" w:lineRule="auto"/>
        <w:ind w:firstLine="480"/>
        <w:rPr>
          <w:rFonts w:ascii="Times New Roman" w:hAnsi="Times New Roman"/>
        </w:rPr>
      </w:pPr>
      <w:r>
        <w:rPr>
          <w:rFonts w:ascii="Times New Roman" w:hAnsi="Times New Roman"/>
        </w:rPr>
        <w:t>在本《法律意见书》中，除非文义另有所指，下列左栏中的术语或简称对应右栏中的全称或含义：</w:t>
      </w:r>
    </w:p>
    <w:tbl>
      <w:tblPr>
        <w:tblStyle w:val="17"/>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4"/>
        <w:gridCol w:w="646"/>
        <w:gridCol w:w="4826"/>
      </w:tblGrid>
      <w:tr w14:paraId="4CF85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864" w:type="dxa"/>
            <w:tcBorders>
              <w:top w:val="single" w:color="auto" w:sz="4" w:space="0"/>
            </w:tcBorders>
            <w:vAlign w:val="center"/>
          </w:tcPr>
          <w:p w14:paraId="234F7232">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中国</w:t>
            </w:r>
          </w:p>
        </w:tc>
        <w:tc>
          <w:tcPr>
            <w:tcW w:w="646" w:type="dxa"/>
            <w:tcBorders>
              <w:top w:val="single" w:color="auto" w:sz="4" w:space="0"/>
            </w:tcBorders>
            <w:vAlign w:val="center"/>
          </w:tcPr>
          <w:p w14:paraId="39DC9B01">
            <w:pPr>
              <w:pStyle w:val="6"/>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tcBorders>
              <w:top w:val="single" w:color="auto" w:sz="4" w:space="0"/>
            </w:tcBorders>
            <w:vAlign w:val="center"/>
          </w:tcPr>
          <w:p w14:paraId="5F334559">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中华人民共和国</w:t>
            </w:r>
          </w:p>
        </w:tc>
      </w:tr>
      <w:tr w14:paraId="038C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864" w:type="dxa"/>
            <w:tcBorders>
              <w:top w:val="single" w:color="auto" w:sz="4" w:space="0"/>
            </w:tcBorders>
            <w:vAlign w:val="center"/>
          </w:tcPr>
          <w:p w14:paraId="6D364C24">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财政部</w:t>
            </w:r>
          </w:p>
        </w:tc>
        <w:tc>
          <w:tcPr>
            <w:tcW w:w="646" w:type="dxa"/>
            <w:tcBorders>
              <w:top w:val="single" w:color="auto" w:sz="4" w:space="0"/>
            </w:tcBorders>
            <w:vAlign w:val="center"/>
          </w:tcPr>
          <w:p w14:paraId="57140001">
            <w:pPr>
              <w:pStyle w:val="6"/>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tcBorders>
              <w:top w:val="single" w:color="auto" w:sz="4" w:space="0"/>
            </w:tcBorders>
            <w:vAlign w:val="center"/>
          </w:tcPr>
          <w:p w14:paraId="35511B2D">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中华人民共和国财政部</w:t>
            </w:r>
          </w:p>
        </w:tc>
      </w:tr>
      <w:tr w14:paraId="5CA56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864" w:type="dxa"/>
            <w:tcBorders>
              <w:top w:val="single" w:color="auto" w:sz="4" w:space="0"/>
            </w:tcBorders>
            <w:vAlign w:val="center"/>
          </w:tcPr>
          <w:p w14:paraId="3D650257">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发行人/发行主体</w:t>
            </w:r>
          </w:p>
        </w:tc>
        <w:tc>
          <w:tcPr>
            <w:tcW w:w="646" w:type="dxa"/>
            <w:tcBorders>
              <w:top w:val="single" w:color="auto" w:sz="4" w:space="0"/>
            </w:tcBorders>
            <w:vAlign w:val="center"/>
          </w:tcPr>
          <w:p w14:paraId="6717A59C">
            <w:pPr>
              <w:pStyle w:val="6"/>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tcBorders>
              <w:top w:val="single" w:color="auto" w:sz="4" w:space="0"/>
            </w:tcBorders>
            <w:vAlign w:val="center"/>
          </w:tcPr>
          <w:p w14:paraId="113941FE">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广东省人民政府</w:t>
            </w:r>
          </w:p>
        </w:tc>
      </w:tr>
      <w:tr w14:paraId="791D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511884ED">
            <w:pPr>
              <w:pStyle w:val="6"/>
              <w:spacing w:before="190" w:beforeLines="50" w:after="190" w:afterLines="50" w:line="240" w:lineRule="auto"/>
              <w:ind w:left="0" w:firstLine="0" w:firstLineChars="0"/>
              <w:jc w:val="both"/>
              <w:rPr>
                <w:rFonts w:hint="eastAsia"/>
                <w:kern w:val="2"/>
                <w:highlight w:val="yellow"/>
                <w:lang w:eastAsia="zh-CN"/>
              </w:rPr>
            </w:pPr>
            <w:r>
              <w:rPr>
                <w:rFonts w:hint="eastAsia"/>
                <w:kern w:val="2"/>
                <w:lang w:eastAsia="zh-CN"/>
              </w:rPr>
              <w:t>贵方</w:t>
            </w:r>
          </w:p>
        </w:tc>
        <w:tc>
          <w:tcPr>
            <w:tcW w:w="646" w:type="dxa"/>
            <w:vAlign w:val="center"/>
          </w:tcPr>
          <w:p w14:paraId="34B069FD">
            <w:pPr>
              <w:pStyle w:val="6"/>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vAlign w:val="center"/>
          </w:tcPr>
          <w:p w14:paraId="6EDEEC58">
            <w:pPr>
              <w:pStyle w:val="6"/>
              <w:spacing w:before="190" w:beforeLines="50" w:after="190" w:afterLines="50" w:line="240" w:lineRule="auto"/>
              <w:ind w:left="0" w:firstLine="0" w:firstLineChars="0"/>
              <w:jc w:val="both"/>
              <w:rPr>
                <w:rFonts w:hint="eastAsia"/>
                <w:kern w:val="2"/>
                <w:highlight w:val="yellow"/>
                <w:lang w:eastAsia="zh-CN"/>
              </w:rPr>
            </w:pPr>
            <w:r>
              <w:rPr>
                <w:rFonts w:hint="eastAsia"/>
                <w:kern w:val="2"/>
                <w:lang w:eastAsia="zh-CN"/>
              </w:rPr>
              <w:t>广州市财政局</w:t>
            </w:r>
          </w:p>
        </w:tc>
      </w:tr>
      <w:tr w14:paraId="2F32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0922E687">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花东镇人民政府</w:t>
            </w:r>
          </w:p>
        </w:tc>
        <w:tc>
          <w:tcPr>
            <w:tcW w:w="646" w:type="dxa"/>
            <w:vAlign w:val="center"/>
          </w:tcPr>
          <w:p w14:paraId="1AF290E7">
            <w:pPr>
              <w:pStyle w:val="6"/>
              <w:spacing w:before="190" w:beforeLines="50" w:after="190" w:afterLines="50" w:line="240" w:lineRule="auto"/>
              <w:ind w:left="0" w:firstLine="0" w:firstLineChars="0"/>
              <w:jc w:val="center"/>
              <w:rPr>
                <w:rFonts w:hint="eastAsia"/>
                <w:kern w:val="2"/>
                <w:lang w:eastAsia="zh-CN"/>
              </w:rPr>
            </w:pPr>
            <w:r>
              <w:rPr>
                <w:kern w:val="2"/>
                <w:lang w:eastAsia="zh-CN"/>
              </w:rPr>
              <w:t>指</w:t>
            </w:r>
          </w:p>
        </w:tc>
        <w:tc>
          <w:tcPr>
            <w:tcW w:w="4826" w:type="dxa"/>
            <w:vAlign w:val="center"/>
          </w:tcPr>
          <w:p w14:paraId="66ADA8CF">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广州市花都区花东镇人民政府</w:t>
            </w:r>
          </w:p>
        </w:tc>
      </w:tr>
      <w:tr w14:paraId="3ED1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34692A67">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募投项目/本项目</w:t>
            </w:r>
          </w:p>
        </w:tc>
        <w:tc>
          <w:tcPr>
            <w:tcW w:w="646" w:type="dxa"/>
            <w:vAlign w:val="center"/>
          </w:tcPr>
          <w:p w14:paraId="418C7514">
            <w:pPr>
              <w:pStyle w:val="6"/>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vAlign w:val="center"/>
          </w:tcPr>
          <w:p w14:paraId="44745AEE">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广州市花都区现代物流港建设及配套工程</w:t>
            </w:r>
          </w:p>
        </w:tc>
      </w:tr>
      <w:tr w14:paraId="6500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79E0C7DE">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《实施方案》</w:t>
            </w:r>
          </w:p>
        </w:tc>
        <w:tc>
          <w:tcPr>
            <w:tcW w:w="646" w:type="dxa"/>
            <w:vAlign w:val="center"/>
          </w:tcPr>
          <w:p w14:paraId="3F60885C">
            <w:pPr>
              <w:pStyle w:val="6"/>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vAlign w:val="center"/>
          </w:tcPr>
          <w:p w14:paraId="755BFCDF">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《广州市花都区现代物流港建设及配套工程实施方案》</w:t>
            </w:r>
          </w:p>
        </w:tc>
      </w:tr>
      <w:tr w14:paraId="004D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7097709F">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《评价报告》</w:t>
            </w:r>
          </w:p>
        </w:tc>
        <w:tc>
          <w:tcPr>
            <w:tcW w:w="646" w:type="dxa"/>
            <w:vAlign w:val="center"/>
          </w:tcPr>
          <w:p w14:paraId="7CC864B7">
            <w:pPr>
              <w:pStyle w:val="6"/>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vAlign w:val="center"/>
          </w:tcPr>
          <w:p w14:paraId="2ECCC27C">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广州市光领有限责任会计师事务所出具的《“广州市花都区现代物流港建设及配套工程”项目收益与融资自求平衡专项评价报告》</w:t>
            </w:r>
          </w:p>
        </w:tc>
      </w:tr>
      <w:tr w14:paraId="46BB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4306D686">
            <w:pPr>
              <w:pStyle w:val="6"/>
              <w:spacing w:before="190" w:beforeLines="50" w:after="190" w:afterLines="50" w:line="240" w:lineRule="auto"/>
              <w:ind w:left="0" w:firstLine="0" w:firstLineChars="0"/>
              <w:jc w:val="both"/>
              <w:rPr>
                <w:rFonts w:hint="eastAsia"/>
                <w:kern w:val="2"/>
                <w:lang w:eastAsia="zh-CN"/>
              </w:rPr>
            </w:pPr>
            <w:r>
              <w:rPr>
                <w:kern w:val="2"/>
                <w:lang w:eastAsia="zh-CN"/>
              </w:rPr>
              <w:t>本所及/或本所律师</w:t>
            </w:r>
          </w:p>
        </w:tc>
        <w:tc>
          <w:tcPr>
            <w:tcW w:w="646" w:type="dxa"/>
            <w:vAlign w:val="center"/>
          </w:tcPr>
          <w:p w14:paraId="7860A5C6">
            <w:pPr>
              <w:pStyle w:val="6"/>
              <w:spacing w:before="190" w:beforeLines="50" w:after="190" w:afterLines="50" w:line="240" w:lineRule="auto"/>
              <w:ind w:left="0" w:firstLine="0" w:firstLineChars="0"/>
              <w:jc w:val="center"/>
              <w:rPr>
                <w:rFonts w:hint="eastAsia"/>
                <w:kern w:val="2"/>
                <w:lang w:eastAsia="zh-CN"/>
              </w:rPr>
            </w:pPr>
            <w:r>
              <w:rPr>
                <w:kern w:val="2"/>
                <w:lang w:eastAsia="zh-CN"/>
              </w:rPr>
              <w:t>指</w:t>
            </w:r>
          </w:p>
        </w:tc>
        <w:tc>
          <w:tcPr>
            <w:tcW w:w="4826" w:type="dxa"/>
            <w:vAlign w:val="center"/>
          </w:tcPr>
          <w:p w14:paraId="2EC49604">
            <w:pPr>
              <w:pStyle w:val="6"/>
              <w:spacing w:before="190" w:beforeLines="50" w:after="190" w:afterLines="50" w:line="240" w:lineRule="auto"/>
              <w:ind w:left="0" w:firstLine="0" w:firstLineChars="0"/>
              <w:jc w:val="both"/>
              <w:rPr>
                <w:rFonts w:hint="eastAsia"/>
                <w:kern w:val="2"/>
                <w:lang w:eastAsia="zh-CN"/>
              </w:rPr>
            </w:pPr>
            <w:r>
              <w:rPr>
                <w:kern w:val="2"/>
                <w:lang w:eastAsia="zh-CN"/>
              </w:rPr>
              <w:t>北京大成（广州）律师事务所及/或其经办律师</w:t>
            </w:r>
          </w:p>
        </w:tc>
      </w:tr>
      <w:tr w14:paraId="1DEF9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3072BAF5">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光领会计所</w:t>
            </w:r>
          </w:p>
        </w:tc>
        <w:tc>
          <w:tcPr>
            <w:tcW w:w="646" w:type="dxa"/>
            <w:vAlign w:val="center"/>
          </w:tcPr>
          <w:p w14:paraId="3C7B1A00">
            <w:pPr>
              <w:pStyle w:val="6"/>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vAlign w:val="center"/>
          </w:tcPr>
          <w:p w14:paraId="59A15966">
            <w:pPr>
              <w:pStyle w:val="6"/>
              <w:spacing w:before="190" w:beforeLines="50" w:after="190" w:afterLines="50" w:line="240" w:lineRule="auto"/>
              <w:ind w:left="0" w:firstLine="0" w:firstLineChars="0"/>
              <w:jc w:val="both"/>
              <w:rPr>
                <w:rFonts w:hint="eastAsia"/>
                <w:kern w:val="2"/>
                <w:lang w:eastAsia="zh-CN"/>
              </w:rPr>
            </w:pPr>
            <w:r>
              <w:rPr>
                <w:rFonts w:hint="eastAsia"/>
                <w:kern w:val="2"/>
                <w:lang w:eastAsia="zh-CN"/>
              </w:rPr>
              <w:t>广州市光领有限责任会计师事务所</w:t>
            </w:r>
          </w:p>
        </w:tc>
      </w:tr>
      <w:tr w14:paraId="1ED0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0AA8B1E5">
            <w:pPr>
              <w:pStyle w:val="6"/>
              <w:spacing w:before="190" w:beforeLines="50" w:after="190" w:afterLines="50" w:line="240" w:lineRule="auto"/>
              <w:ind w:left="0" w:firstLine="0" w:firstLineChars="0"/>
              <w:jc w:val="both"/>
              <w:rPr>
                <w:rFonts w:hint="eastAsia"/>
                <w:kern w:val="2"/>
                <w:lang w:eastAsia="zh-CN"/>
              </w:rPr>
            </w:pPr>
            <w:r>
              <w:rPr>
                <w:kern w:val="2"/>
                <w:lang w:eastAsia="zh-CN"/>
              </w:rPr>
              <w:t>元、万元</w:t>
            </w:r>
            <w:r>
              <w:rPr>
                <w:rFonts w:hint="eastAsia"/>
                <w:kern w:val="2"/>
                <w:lang w:eastAsia="zh-CN"/>
              </w:rPr>
              <w:t>、亿元</w:t>
            </w:r>
          </w:p>
        </w:tc>
        <w:tc>
          <w:tcPr>
            <w:tcW w:w="646" w:type="dxa"/>
            <w:vAlign w:val="center"/>
          </w:tcPr>
          <w:p w14:paraId="04BD6381">
            <w:pPr>
              <w:pStyle w:val="6"/>
              <w:spacing w:before="190" w:beforeLines="50" w:after="190" w:afterLines="50" w:line="240" w:lineRule="auto"/>
              <w:ind w:left="0" w:firstLine="0" w:firstLineChars="0"/>
              <w:jc w:val="center"/>
              <w:rPr>
                <w:rFonts w:hint="eastAsia"/>
                <w:kern w:val="2"/>
                <w:lang w:eastAsia="zh-CN"/>
              </w:rPr>
            </w:pPr>
            <w:r>
              <w:rPr>
                <w:kern w:val="2"/>
                <w:lang w:eastAsia="zh-CN"/>
              </w:rPr>
              <w:t>指</w:t>
            </w:r>
          </w:p>
        </w:tc>
        <w:tc>
          <w:tcPr>
            <w:tcW w:w="4826" w:type="dxa"/>
            <w:vAlign w:val="center"/>
          </w:tcPr>
          <w:p w14:paraId="709F0003">
            <w:pPr>
              <w:pStyle w:val="6"/>
              <w:spacing w:before="190" w:beforeLines="50" w:after="190" w:afterLines="50" w:line="240" w:lineRule="auto"/>
              <w:ind w:left="0" w:firstLine="0" w:firstLineChars="0"/>
              <w:jc w:val="both"/>
              <w:rPr>
                <w:rFonts w:hint="eastAsia"/>
                <w:kern w:val="2"/>
                <w:lang w:eastAsia="zh-CN"/>
              </w:rPr>
            </w:pPr>
            <w:r>
              <w:rPr>
                <w:kern w:val="2"/>
                <w:lang w:eastAsia="zh-CN"/>
              </w:rPr>
              <w:t>人民币元、人民币万元</w:t>
            </w:r>
            <w:r>
              <w:rPr>
                <w:rFonts w:hint="eastAsia"/>
                <w:kern w:val="2"/>
                <w:lang w:eastAsia="zh-CN"/>
              </w:rPr>
              <w:t>、</w:t>
            </w:r>
            <w:r>
              <w:rPr>
                <w:kern w:val="2"/>
                <w:lang w:eastAsia="zh-CN"/>
              </w:rPr>
              <w:t>人民币</w:t>
            </w:r>
            <w:r>
              <w:rPr>
                <w:rFonts w:hint="eastAsia"/>
                <w:kern w:val="2"/>
                <w:lang w:eastAsia="zh-CN"/>
              </w:rPr>
              <w:t>亿元</w:t>
            </w:r>
          </w:p>
        </w:tc>
      </w:tr>
    </w:tbl>
    <w:p w14:paraId="3A90FC46">
      <w:pPr>
        <w:widowControl/>
        <w:spacing w:line="240" w:lineRule="auto"/>
        <w:ind w:firstLine="0" w:firstLineChars="0"/>
        <w:jc w:val="left"/>
        <w:rPr>
          <w:rFonts w:hint="eastAsia" w:ascii="宋体" w:hAnsi="宋体" w:cs="Times New Roman"/>
          <w:b/>
          <w:kern w:val="0"/>
          <w:sz w:val="30"/>
          <w:szCs w:val="30"/>
        </w:rPr>
      </w:pPr>
      <w:r>
        <w:rPr>
          <w:rFonts w:ascii="宋体" w:hAnsi="宋体" w:cs="Times New Roman"/>
          <w:b/>
          <w:kern w:val="0"/>
          <w:sz w:val="30"/>
          <w:szCs w:val="30"/>
        </w:rPr>
        <w:br w:type="page"/>
      </w:r>
    </w:p>
    <w:p w14:paraId="672AE1FE">
      <w:pPr>
        <w:widowControl/>
        <w:spacing w:line="240" w:lineRule="auto"/>
        <w:ind w:firstLine="0" w:firstLineChars="0"/>
        <w:jc w:val="center"/>
        <w:rPr>
          <w:rFonts w:hint="eastAsia" w:ascii="宋体" w:hAnsi="宋体" w:cs="Times New Roman"/>
          <w:b/>
          <w:kern w:val="0"/>
          <w:sz w:val="30"/>
          <w:szCs w:val="30"/>
        </w:rPr>
      </w:pPr>
      <w:r>
        <w:rPr>
          <w:rFonts w:ascii="宋体" w:hAnsi="宋体" w:cs="Times New Roman"/>
          <w:b/>
          <w:kern w:val="0"/>
          <w:sz w:val="30"/>
          <w:szCs w:val="30"/>
        </w:rPr>
        <w:t>北京大成</w:t>
      </w:r>
      <w:r>
        <w:rPr>
          <w:rFonts w:hint="eastAsia" w:ascii="宋体" w:hAnsi="宋体" w:cs="Times New Roman"/>
          <w:b/>
          <w:kern w:val="0"/>
          <w:sz w:val="30"/>
          <w:szCs w:val="30"/>
        </w:rPr>
        <w:t>（广州）</w:t>
      </w:r>
      <w:r>
        <w:rPr>
          <w:rFonts w:ascii="宋体" w:hAnsi="宋体" w:cs="Times New Roman"/>
          <w:b/>
          <w:kern w:val="0"/>
          <w:sz w:val="30"/>
          <w:szCs w:val="30"/>
        </w:rPr>
        <w:t>律师事务所</w:t>
      </w:r>
    </w:p>
    <w:p w14:paraId="732CC1EF">
      <w:pPr>
        <w:widowControl/>
        <w:spacing w:line="240" w:lineRule="auto"/>
        <w:ind w:firstLine="0" w:firstLineChars="0"/>
        <w:jc w:val="center"/>
        <w:rPr>
          <w:rFonts w:hint="eastAsia" w:ascii="宋体" w:hAnsi="宋体" w:cs="Times New Roman"/>
          <w:b/>
          <w:kern w:val="0"/>
          <w:sz w:val="30"/>
          <w:szCs w:val="30"/>
        </w:rPr>
      </w:pPr>
      <w:r>
        <w:rPr>
          <w:rFonts w:hint="eastAsia" w:ascii="宋体" w:hAnsi="宋体" w:cs="Times New Roman"/>
          <w:b/>
          <w:kern w:val="0"/>
          <w:sz w:val="30"/>
          <w:szCs w:val="30"/>
        </w:rPr>
        <w:t>关于</w:t>
      </w:r>
      <w:r>
        <w:rPr>
          <w:rFonts w:hint="eastAsia" w:ascii="宋体" w:hAnsi="宋体" w:cs="Times New Roman"/>
          <w:b/>
          <w:kern w:val="0"/>
          <w:sz w:val="30"/>
          <w:szCs w:val="30"/>
          <w:lang w:eastAsia="zh-CN"/>
        </w:rPr>
        <w:t>广州市花都区现代物流港建设及配套工程</w:t>
      </w:r>
      <w:r>
        <w:rPr>
          <w:rFonts w:hint="eastAsia" w:ascii="宋体" w:hAnsi="宋体" w:cs="Times New Roman"/>
          <w:b/>
          <w:kern w:val="0"/>
          <w:sz w:val="30"/>
          <w:szCs w:val="30"/>
        </w:rPr>
        <w:t>之</w:t>
      </w:r>
    </w:p>
    <w:p w14:paraId="1718E6E9">
      <w:pPr>
        <w:widowControl/>
        <w:spacing w:line="240" w:lineRule="auto"/>
        <w:ind w:firstLine="0" w:firstLineChars="0"/>
        <w:jc w:val="center"/>
        <w:rPr>
          <w:rFonts w:hint="eastAsia" w:ascii="宋体" w:hAnsi="宋体" w:cs="Times New Roman"/>
          <w:kern w:val="0"/>
          <w:szCs w:val="24"/>
        </w:rPr>
      </w:pPr>
      <w:r>
        <w:rPr>
          <w:rFonts w:hint="eastAsia" w:ascii="宋体" w:hAnsi="宋体" w:cs="Times New Roman"/>
          <w:b/>
          <w:kern w:val="0"/>
          <w:sz w:val="30"/>
          <w:szCs w:val="30"/>
        </w:rPr>
        <w:t>法律意见书</w:t>
      </w:r>
    </w:p>
    <w:p w14:paraId="315F4081">
      <w:pPr>
        <w:pStyle w:val="6"/>
        <w:spacing w:before="190" w:beforeLines="50" w:after="190" w:afterLines="50" w:line="360" w:lineRule="auto"/>
        <w:ind w:left="0" w:firstLine="0" w:firstLineChars="0"/>
        <w:jc w:val="both"/>
        <w:rPr>
          <w:rFonts w:ascii="Times New Roman" w:hAnsi="Times New Roman"/>
          <w:b/>
          <w:bCs/>
          <w:lang w:eastAsia="zh-CN"/>
        </w:rPr>
      </w:pPr>
      <w:r>
        <w:rPr>
          <w:rFonts w:ascii="Times New Roman" w:hAnsi="Times New Roman"/>
          <w:b/>
          <w:bCs/>
          <w:lang w:eastAsia="zh-CN"/>
        </w:rPr>
        <w:t>致：</w:t>
      </w:r>
      <w:r>
        <w:rPr>
          <w:rFonts w:hint="eastAsia"/>
          <w:b/>
          <w:bCs/>
          <w:kern w:val="2"/>
          <w:lang w:eastAsia="zh-CN"/>
        </w:rPr>
        <w:t>广州市财政局</w:t>
      </w:r>
    </w:p>
    <w:p w14:paraId="2E3A4FC2">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根据《中华人民共和国预算法》、《国务院关于加强地方政府性债务管理的意见》（国发〔2014〕43号）、《关于对地方政府债务实行限额管理的实施意见》（财预〔2015〕225号）、《地方政府专项债务预算管理办法》（财预〔2016〕155号）、《关于试点发展项目收益与融资自求平衡的地方政府专项债券品种的通知》（财预〔2017〕89号）、《关于做好地方政府专项债券发行工作的意见》（财库〔2018〕72号）、《财政部关于做好地方政府债券发行工作的意见》（财库〔2019〕23号）、《关于进一步做好地方政府债券发行工作的意见》（财库〔2020〕36号）、《关于印发〈地方政府债券发行管理办法〉的通知》（财库〔2020〕43号）、《关于加快地方政府专项债券发行使用有关工作的通知》（财预〔2020〕94号）、《财政部关于印发〈地方政府专项债券项目资金绩效管理办法〉的通知》（财预〔2021〕61号）等法律、法规及规范性文件的有关规定，北京大成（广州）律师事务所（以下简称“本所”）作为本项目专项债券（以下简称“本次债券发行”）专项法律顾问，按照律师行业公认的业务标准、道德规范和勤勉尽责精神，就本次债券发行事宜，出具本法律意见书。</w:t>
      </w:r>
    </w:p>
    <w:p w14:paraId="0E12967A">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为出具本法律意见书，本所特作出如下声明和假设：</w:t>
      </w:r>
    </w:p>
    <w:p w14:paraId="7A23875B">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1.</w:t>
      </w:r>
      <w:r>
        <w:rPr>
          <w:rFonts w:hint="eastAsia" w:ascii="Times New Roman" w:hAnsi="Times New Roman"/>
          <w:szCs w:val="24"/>
        </w:rPr>
        <w:tab/>
      </w:r>
      <w:r>
        <w:rPr>
          <w:rFonts w:hint="eastAsia" w:ascii="Times New Roman" w:hAnsi="Times New Roman"/>
          <w:szCs w:val="24"/>
        </w:rPr>
        <w:t>贵方业已向本所提供了本所认为制作法律意见书所必需的原始书面材料、副本材料、复印材料、确认函或证明及口头证言，其所提供的文件和材料是真实、准确、完整和有效的，并无隐瞒记载、虚假陈述和重大遗漏之处，且文件材料为副本或复印件的，其与原件一致和相符。</w:t>
      </w:r>
    </w:p>
    <w:p w14:paraId="400CA160">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2.</w:t>
      </w:r>
      <w:r>
        <w:rPr>
          <w:rFonts w:hint="eastAsia" w:ascii="Times New Roman" w:hAnsi="Times New Roman"/>
          <w:szCs w:val="24"/>
        </w:rPr>
        <w:tab/>
      </w:r>
      <w:r>
        <w:rPr>
          <w:rFonts w:hint="eastAsia" w:ascii="Times New Roman" w:hAnsi="Times New Roman"/>
          <w:szCs w:val="24"/>
        </w:rPr>
        <w:t>对本法律意见书至关重要而又无法得到独立证据支持的事实，本所律师有赖于有关政府部门、贵方或者其他有关机构、人员出具的证明文件或提供的证言，或者政府部门官方网站的检索信息作为制作本法律意见书的依据。</w:t>
      </w:r>
    </w:p>
    <w:p w14:paraId="3F97A855">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3.</w:t>
      </w:r>
      <w:r>
        <w:rPr>
          <w:rFonts w:hint="eastAsia" w:ascii="Times New Roman" w:hAnsi="Times New Roman"/>
          <w:szCs w:val="24"/>
        </w:rPr>
        <w:tab/>
      </w:r>
      <w:r>
        <w:rPr>
          <w:rFonts w:hint="eastAsia" w:ascii="Times New Roman" w:hAnsi="Times New Roman"/>
          <w:szCs w:val="24"/>
        </w:rPr>
        <w:t>本所在本法律意见书中仅就与本项目有关的法律问题发表意见，且仅根据现行中国法律发表法律意见，并不依据任何中国境外法律发表法律意见，不对有关信用评级、会计、审计、资产评估、财务分析、投资决策、业务发展等法律之外的专业事项发表意见；本所在本法律意见书中对于有关报表、业务报告、财务审计和资产评估等文件中的某些数据和结论的引用，并不意味着本所对这些数据和结论的真实性和准确性做出任何明示或默示的保证，对于该等内容本所及本所律师无核查和</w:t>
      </w:r>
      <w:r>
        <w:rPr>
          <w:rFonts w:hint="eastAsia" w:ascii="Times New Roman" w:hAnsi="Times New Roman"/>
          <w:szCs w:val="24"/>
          <w:lang w:val="en-US" w:eastAsia="zh-CN"/>
        </w:rPr>
        <w:t>作出</w:t>
      </w:r>
      <w:r>
        <w:rPr>
          <w:rFonts w:hint="eastAsia" w:ascii="Times New Roman" w:hAnsi="Times New Roman"/>
          <w:szCs w:val="24"/>
        </w:rPr>
        <w:t>判断的适当资格。</w:t>
      </w:r>
    </w:p>
    <w:p w14:paraId="38219128">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4.</w:t>
      </w:r>
      <w:r>
        <w:rPr>
          <w:rFonts w:hint="eastAsia" w:ascii="Times New Roman" w:hAnsi="Times New Roman"/>
          <w:szCs w:val="24"/>
        </w:rPr>
        <w:tab/>
      </w:r>
      <w:r>
        <w:rPr>
          <w:rFonts w:hint="eastAsia" w:ascii="Times New Roman" w:hAnsi="Times New Roman"/>
          <w:szCs w:val="24"/>
        </w:rPr>
        <w:t>本法律意见书仅本次债券发行之目的使用，除非事先取得本所律师的书面授权，任何单位和个人均不得将本法律意见书或其任何部分用作其他任何目的。</w:t>
      </w:r>
    </w:p>
    <w:p w14:paraId="7ACA81EC">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基于上述声明，本所律师在对贵方提供的有关文件和事实进行核查和验证的基础上，现出具法律意见书如下。</w:t>
      </w:r>
      <w:bookmarkStart w:id="20" w:name="_Toc24077"/>
      <w:bookmarkStart w:id="21" w:name="_Toc16551"/>
      <w:bookmarkStart w:id="22" w:name="_Toc14931"/>
      <w:bookmarkStart w:id="23" w:name="_Toc13131"/>
      <w:bookmarkStart w:id="24" w:name="_Toc5971"/>
    </w:p>
    <w:p w14:paraId="45E72522">
      <w:pPr>
        <w:spacing w:before="190" w:beforeLines="50" w:after="190" w:afterLines="50" w:line="360" w:lineRule="auto"/>
        <w:ind w:firstLine="480"/>
        <w:rPr>
          <w:rFonts w:ascii="Times New Roman" w:hAnsi="Times New Roman"/>
          <w:szCs w:val="24"/>
        </w:rPr>
      </w:pPr>
    </w:p>
    <w:p w14:paraId="4F88607E">
      <w:pPr>
        <w:widowControl/>
        <w:spacing w:line="240" w:lineRule="auto"/>
        <w:ind w:firstLine="0" w:firstLineChars="0"/>
        <w:jc w:val="left"/>
        <w:rPr>
          <w:rFonts w:ascii="Times New Roman" w:hAnsi="Times New Roman"/>
          <w:szCs w:val="24"/>
        </w:rPr>
      </w:pPr>
      <w:r>
        <w:rPr>
          <w:rFonts w:ascii="Times New Roman" w:hAnsi="Times New Roman"/>
          <w:szCs w:val="24"/>
        </w:rPr>
        <w:br w:type="page"/>
      </w:r>
    </w:p>
    <w:p w14:paraId="3DEAA521">
      <w:pPr>
        <w:pStyle w:val="2"/>
      </w:pPr>
      <w:bookmarkStart w:id="25" w:name="_Toc12729"/>
      <w:bookmarkStart w:id="26" w:name="_Toc1055"/>
      <w:r>
        <w:rPr>
          <w:rFonts w:hint="eastAsia"/>
        </w:rPr>
        <w:t>一、发行主体</w:t>
      </w:r>
      <w:bookmarkEnd w:id="20"/>
      <w:bookmarkEnd w:id="21"/>
      <w:bookmarkEnd w:id="22"/>
      <w:bookmarkEnd w:id="23"/>
      <w:bookmarkEnd w:id="24"/>
      <w:bookmarkEnd w:id="25"/>
      <w:bookmarkEnd w:id="26"/>
    </w:p>
    <w:p w14:paraId="6DCDB748">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《中华人民共和国预算法》第三十五条规定，经国务院批准的省、自治区、直辖市的预算中必需的建设投资的部分资金，可以在国务院确定的限额内，通过发行地方政府债券举借债务的方式筹措。</w:t>
      </w:r>
    </w:p>
    <w:p w14:paraId="07FD2C43">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《关于对地方政府债务实行限额管理的实施意见》</w:t>
      </w:r>
      <w:r>
        <w:rPr>
          <w:rFonts w:hint="eastAsia" w:ascii="Times New Roman" w:hAnsi="Times New Roman" w:cs="Times New Roman"/>
          <w:szCs w:val="24"/>
        </w:rPr>
        <w:t>（</w:t>
      </w:r>
      <w:r>
        <w:rPr>
          <w:rFonts w:ascii="Times New Roman" w:hAnsi="Times New Roman" w:cs="Times New Roman"/>
          <w:szCs w:val="24"/>
        </w:rPr>
        <w:t>财预〔2015〕225号</w:t>
      </w:r>
      <w:r>
        <w:rPr>
          <w:rFonts w:hint="eastAsia" w:ascii="Times New Roman" w:hAnsi="Times New Roman" w:cs="Times New Roman"/>
          <w:szCs w:val="24"/>
        </w:rPr>
        <w:t>）</w:t>
      </w:r>
      <w:r>
        <w:rPr>
          <w:rFonts w:ascii="Times New Roman" w:hAnsi="Times New Roman" w:cs="Times New Roman"/>
          <w:szCs w:val="24"/>
        </w:rPr>
        <w:t>第一条第（二）款规定，市县级政府确需举借债务的，依照经批准的限额提出本地区当年政府债务举借和使用计划，列入预算调整方案，报本级人大常委会批准，报省级政府备案并由省级政府代为举借。</w:t>
      </w:r>
    </w:p>
    <w:p w14:paraId="1697B76C">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《地方政府专项债务预算管理办法》（财预〔2016〕155号）第四条规定，省、自治区、直辖市政府为专项债券的发行主体。</w:t>
      </w:r>
    </w:p>
    <w:p w14:paraId="55645CBC">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根据上述相关规定，市县级政府确需举借相关专项债务的，依法由省级政府代为分类发行专项债券、转贷市县使用。因此，本次债券发行主体为广东省人民政府。</w:t>
      </w:r>
    </w:p>
    <w:p w14:paraId="06468279">
      <w:pPr>
        <w:spacing w:before="190" w:beforeLines="50" w:after="190" w:afterLines="50" w:line="360" w:lineRule="auto"/>
        <w:ind w:firstLine="480"/>
        <w:rPr>
          <w:rFonts w:ascii="Times New Roman" w:hAnsi="Times New Roman" w:cs="Times New Roman"/>
          <w:szCs w:val="24"/>
        </w:rPr>
      </w:pPr>
    </w:p>
    <w:p w14:paraId="5A081E31">
      <w:pPr>
        <w:pStyle w:val="2"/>
      </w:pPr>
      <w:bookmarkStart w:id="27" w:name="_Toc6198"/>
      <w:bookmarkStart w:id="28" w:name="_Toc27395"/>
      <w:bookmarkStart w:id="29" w:name="_Toc7923"/>
      <w:bookmarkStart w:id="30" w:name="_Toc244"/>
      <w:bookmarkStart w:id="31" w:name="_Toc6556"/>
      <w:bookmarkStart w:id="32" w:name="_Toc13324"/>
      <w:bookmarkStart w:id="33" w:name="_Toc14366"/>
      <w:bookmarkStart w:id="34" w:name="_Toc18412"/>
      <w:bookmarkStart w:id="35" w:name="_Toc31037"/>
      <w:bookmarkStart w:id="36" w:name="_Toc22310"/>
      <w:bookmarkStart w:id="37" w:name="_Toc22380"/>
      <w:r>
        <w:t>二、</w:t>
      </w:r>
      <w:r>
        <w:rPr>
          <w:rFonts w:hint="eastAsia"/>
        </w:rPr>
        <w:t>主管部门及</w:t>
      </w:r>
      <w:r>
        <w:t>实施主体</w:t>
      </w:r>
      <w:bookmarkEnd w:id="27"/>
      <w:bookmarkEnd w:id="28"/>
      <w:bookmarkEnd w:id="29"/>
      <w:bookmarkEnd w:id="30"/>
      <w:bookmarkEnd w:id="31"/>
      <w:bookmarkEnd w:id="32"/>
      <w:bookmarkEnd w:id="33"/>
      <w:bookmarkEnd w:id="34"/>
      <w:bookmarkEnd w:id="35"/>
      <w:bookmarkEnd w:id="36"/>
      <w:bookmarkEnd w:id="37"/>
    </w:p>
    <w:p w14:paraId="1C998678">
      <w:pPr>
        <w:spacing w:before="50" w:after="50" w:line="360" w:lineRule="auto"/>
        <w:ind w:firstLine="480"/>
        <w:rPr>
          <w:rFonts w:hint="eastAsia" w:ascii="Times New Roman" w:hAnsi="Times New Roman" w:eastAsia="宋体" w:cs="Times New Roman"/>
          <w:szCs w:val="24"/>
          <w:lang w:eastAsia="zh-CN"/>
        </w:rPr>
      </w:pPr>
      <w:r>
        <w:rPr>
          <w:rFonts w:ascii="Times New Roman" w:hAnsi="Times New Roman" w:cs="Times New Roman"/>
          <w:szCs w:val="24"/>
        </w:rPr>
        <w:t>根据</w:t>
      </w:r>
      <w:r>
        <w:rPr>
          <w:rFonts w:hint="eastAsia" w:ascii="Times New Roman" w:hAnsi="Times New Roman" w:cs="Times New Roman"/>
          <w:szCs w:val="24"/>
        </w:rPr>
        <w:t>《实施方案》、《</w:t>
      </w:r>
      <w:r>
        <w:rPr>
          <w:rFonts w:hint="eastAsia" w:ascii="Times New Roman" w:hAnsi="Times New Roman" w:cs="Times New Roman"/>
          <w:szCs w:val="24"/>
          <w:lang w:eastAsia="zh-CN"/>
        </w:rPr>
        <w:t>广州市花都区发展和改革局关于广州市花都区现代物流港建设及配套工程可行性研究报告的复函</w:t>
      </w:r>
      <w:r>
        <w:rPr>
          <w:rFonts w:hint="eastAsia" w:ascii="Times New Roman" w:hAnsi="Times New Roman" w:cs="Times New Roman"/>
          <w:szCs w:val="24"/>
        </w:rPr>
        <w:t>》</w:t>
      </w:r>
      <w:r>
        <w:rPr>
          <w:rFonts w:ascii="Times New Roman" w:hAnsi="Times New Roman" w:cs="Times New Roman"/>
          <w:szCs w:val="24"/>
        </w:rPr>
        <w:t>（</w:t>
      </w:r>
      <w:r>
        <w:rPr>
          <w:rFonts w:hint="eastAsia" w:ascii="Times New Roman" w:hAnsi="Times New Roman" w:cs="Times New Roman"/>
          <w:szCs w:val="24"/>
          <w:lang w:eastAsia="zh-CN"/>
        </w:rPr>
        <w:t>花发改函〔2024〕</w:t>
      </w:r>
      <w:r>
        <w:rPr>
          <w:rFonts w:hint="eastAsia" w:ascii="Times New Roman" w:hAnsi="Times New Roman" w:cs="Times New Roman"/>
          <w:szCs w:val="24"/>
          <w:lang w:val="en-US" w:eastAsia="zh-CN"/>
        </w:rPr>
        <w:t>171</w:t>
      </w:r>
      <w:r>
        <w:rPr>
          <w:rFonts w:hint="eastAsia" w:ascii="Times New Roman" w:hAnsi="Times New Roman" w:cs="Times New Roman"/>
          <w:szCs w:val="24"/>
          <w:lang w:eastAsia="zh-CN"/>
        </w:rPr>
        <w:t>号，</w:t>
      </w:r>
      <w:r>
        <w:rPr>
          <w:rFonts w:hint="eastAsia" w:ascii="Times New Roman" w:hAnsi="Times New Roman" w:cs="Times New Roman"/>
          <w:szCs w:val="24"/>
        </w:rPr>
        <w:t>以下简称《项目可研复函》</w:t>
      </w:r>
      <w:r>
        <w:rPr>
          <w:rFonts w:ascii="Times New Roman" w:hAnsi="Times New Roman" w:cs="Times New Roman"/>
          <w:szCs w:val="24"/>
        </w:rPr>
        <w:t>），本次债券发行</w:t>
      </w:r>
      <w:r>
        <w:rPr>
          <w:rFonts w:hint="eastAsia" w:ascii="Times New Roman" w:hAnsi="Times New Roman" w:cs="Times New Roman"/>
          <w:szCs w:val="24"/>
        </w:rPr>
        <w:t>对应的募投项目的主管部门及实施主体</w:t>
      </w:r>
      <w:r>
        <w:rPr>
          <w:rFonts w:hint="eastAsia" w:ascii="Times New Roman" w:hAnsi="Times New Roman" w:cs="Times New Roman"/>
          <w:szCs w:val="24"/>
          <w:lang w:val="en-US" w:eastAsia="zh-CN"/>
        </w:rPr>
        <w:t>均为</w:t>
      </w:r>
      <w:r>
        <w:rPr>
          <w:rFonts w:hint="eastAsia" w:ascii="Times New Roman" w:hAnsi="Times New Roman" w:cs="Times New Roman"/>
          <w:szCs w:val="24"/>
          <w:lang w:eastAsia="zh-CN"/>
        </w:rPr>
        <w:t>广州市花都区花东镇人民政府。</w:t>
      </w:r>
    </w:p>
    <w:p w14:paraId="54056334">
      <w:pPr>
        <w:numPr>
          <w:ilvl w:val="0"/>
          <w:numId w:val="0"/>
        </w:numPr>
        <w:spacing w:before="50" w:after="50" w:line="360" w:lineRule="auto"/>
        <w:ind w:firstLine="480" w:firstLineChars="200"/>
        <w:rPr>
          <w:rFonts w:hint="eastAsia" w:ascii="Times New Roman" w:hAnsi="Times New Roman" w:cs="Times New Roman"/>
          <w:b/>
          <w:bCs/>
          <w:szCs w:val="24"/>
        </w:rPr>
      </w:pPr>
      <w:r>
        <w:rPr>
          <w:rFonts w:hint="eastAsia" w:ascii="Times New Roman" w:hAnsi="Times New Roman" w:cs="Times New Roman"/>
          <w:szCs w:val="24"/>
          <w:lang w:val="en-US" w:eastAsia="zh-CN"/>
        </w:rPr>
        <w:t>根据贵方提供的</w:t>
      </w:r>
      <w:r>
        <w:rPr>
          <w:rFonts w:ascii="Times New Roman" w:hAnsi="Times New Roman" w:cs="Times New Roman"/>
          <w:szCs w:val="24"/>
        </w:rPr>
        <w:t>统一社会信用代码</w:t>
      </w:r>
      <w:r>
        <w:rPr>
          <w:rFonts w:hint="eastAsia" w:ascii="Times New Roman" w:hAnsi="Times New Roman" w:cs="Times New Roman"/>
          <w:szCs w:val="24"/>
          <w:lang w:val="en-US" w:eastAsia="zh-CN"/>
        </w:rPr>
        <w:t>证书，并</w:t>
      </w:r>
      <w:r>
        <w:rPr>
          <w:rFonts w:ascii="Times New Roman" w:hAnsi="Times New Roman" w:cs="Times New Roman"/>
          <w:szCs w:val="24"/>
        </w:rPr>
        <w:t>经本所律师于202</w:t>
      </w:r>
      <w:r>
        <w:rPr>
          <w:rFonts w:hint="eastAsia" w:ascii="Times New Roman" w:hAnsi="Times New Roman" w:cs="Times New Roman"/>
          <w:szCs w:val="24"/>
        </w:rPr>
        <w:t>4</w:t>
      </w:r>
      <w:r>
        <w:rPr>
          <w:rFonts w:ascii="Times New Roman" w:hAnsi="Times New Roman" w:cs="Times New Roman"/>
          <w:szCs w:val="24"/>
        </w:rPr>
        <w:t>年</w:t>
      </w:r>
      <w:r>
        <w:rPr>
          <w:rFonts w:hint="eastAsia" w:ascii="Times New Roman" w:hAnsi="Times New Roman" w:cs="Times New Roman"/>
          <w:szCs w:val="24"/>
          <w:lang w:eastAsia="zh-CN"/>
        </w:rPr>
        <w:t>8月1</w:t>
      </w:r>
      <w:r>
        <w:rPr>
          <w:rFonts w:hint="eastAsia" w:ascii="Times New Roman" w:hAnsi="Times New Roman" w:cs="Times New Roman"/>
          <w:szCs w:val="24"/>
          <w:lang w:val="en-US" w:eastAsia="zh-CN"/>
        </w:rPr>
        <w:t>6</w:t>
      </w:r>
      <w:r>
        <w:rPr>
          <w:rFonts w:hint="eastAsia" w:ascii="Times New Roman" w:hAnsi="Times New Roman" w:cs="Times New Roman"/>
          <w:szCs w:val="24"/>
          <w:lang w:eastAsia="zh-CN"/>
        </w:rPr>
        <w:t>日</w:t>
      </w:r>
      <w:r>
        <w:rPr>
          <w:rFonts w:ascii="Times New Roman" w:hAnsi="Times New Roman" w:cs="Times New Roman"/>
          <w:szCs w:val="24"/>
        </w:rPr>
        <w:t>登录全国组织机构统一社会信用代码公示查询平台（https://www.cods.org.cn/gscx/）</w:t>
      </w:r>
      <w:r>
        <w:rPr>
          <w:rFonts w:hint="eastAsia" w:ascii="Times New Roman" w:hAnsi="Times New Roman" w:cs="Times New Roman"/>
          <w:szCs w:val="24"/>
        </w:rPr>
        <w:t>等网站</w:t>
      </w:r>
      <w:r>
        <w:rPr>
          <w:rFonts w:ascii="Times New Roman" w:hAnsi="Times New Roman" w:cs="Times New Roman"/>
          <w:szCs w:val="24"/>
        </w:rPr>
        <w:t>进行核查</w:t>
      </w:r>
      <w:r>
        <w:rPr>
          <w:rFonts w:hint="eastAsia" w:ascii="Times New Roman" w:hAnsi="Times New Roman" w:cs="Times New Roman"/>
          <w:szCs w:val="24"/>
          <w:lang w:eastAsia="zh-Hans"/>
        </w:rPr>
        <w:t>，</w:t>
      </w:r>
      <w:r>
        <w:rPr>
          <w:rFonts w:hint="eastAsia" w:ascii="Times New Roman" w:hAnsi="Times New Roman" w:cs="Times New Roman"/>
          <w:szCs w:val="24"/>
          <w:lang w:eastAsia="zh-CN"/>
        </w:rPr>
        <w:t>花东镇人民政府</w:t>
      </w:r>
      <w:r>
        <w:rPr>
          <w:rFonts w:ascii="Times New Roman" w:hAnsi="Times New Roman" w:cs="Times New Roman"/>
          <w:szCs w:val="24"/>
        </w:rPr>
        <w:t>作为</w:t>
      </w:r>
      <w:r>
        <w:rPr>
          <w:rFonts w:hint="eastAsia" w:ascii="Times New Roman" w:hAnsi="Times New Roman" w:cs="Times New Roman"/>
          <w:szCs w:val="24"/>
        </w:rPr>
        <w:t>募投</w:t>
      </w:r>
      <w:r>
        <w:rPr>
          <w:rFonts w:ascii="Times New Roman" w:hAnsi="Times New Roman" w:cs="Times New Roman"/>
          <w:szCs w:val="24"/>
        </w:rPr>
        <w:t>项目的</w:t>
      </w:r>
      <w:r>
        <w:rPr>
          <w:rFonts w:hint="eastAsia" w:ascii="Times New Roman" w:hAnsi="Times New Roman" w:cs="Times New Roman"/>
          <w:szCs w:val="24"/>
        </w:rPr>
        <w:t>主管部门</w:t>
      </w:r>
      <w:r>
        <w:rPr>
          <w:rFonts w:hint="eastAsia" w:ascii="Times New Roman" w:hAnsi="Times New Roman" w:cs="Times New Roman"/>
          <w:szCs w:val="24"/>
          <w:lang w:val="en-US" w:eastAsia="zh-CN"/>
        </w:rPr>
        <w:t>及实施主体</w:t>
      </w:r>
      <w:r>
        <w:rPr>
          <w:rFonts w:ascii="Times New Roman" w:hAnsi="Times New Roman" w:cs="Times New Roman"/>
          <w:szCs w:val="24"/>
        </w:rPr>
        <w:t>，其基本信息如下：</w:t>
      </w:r>
    </w:p>
    <w:tbl>
      <w:tblPr>
        <w:tblStyle w:val="17"/>
        <w:tblW w:w="8529"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6385"/>
      </w:tblGrid>
      <w:tr w14:paraId="32C9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vAlign w:val="center"/>
          </w:tcPr>
          <w:p w14:paraId="06444D04">
            <w:pPr>
              <w:spacing w:before="190" w:beforeLines="50" w:after="190" w:afterLines="50" w:line="240" w:lineRule="auto"/>
              <w:ind w:firstLine="0" w:firstLineChars="0"/>
              <w:jc w:val="center"/>
              <w:rPr>
                <w:rFonts w:ascii="Times New Roman" w:hAnsi="Times New Roman" w:cs="Times New Roman"/>
                <w:sz w:val="21"/>
              </w:rPr>
            </w:pPr>
            <w:r>
              <w:rPr>
                <w:rFonts w:hint="eastAsia" w:ascii="Times New Roman" w:hAnsi="Times New Roman" w:cs="Times New Roman"/>
                <w:sz w:val="21"/>
              </w:rPr>
              <w:t>名称</w:t>
            </w:r>
          </w:p>
        </w:tc>
        <w:tc>
          <w:tcPr>
            <w:tcW w:w="6385" w:type="dxa"/>
            <w:vAlign w:val="center"/>
          </w:tcPr>
          <w:p w14:paraId="054B3F57">
            <w:pPr>
              <w:spacing w:before="190" w:beforeLines="50" w:after="190" w:afterLines="50" w:line="240" w:lineRule="auto"/>
              <w:ind w:firstLine="0" w:firstLineChars="0"/>
              <w:jc w:val="center"/>
              <w:rPr>
                <w:rFonts w:hint="eastAsia" w:ascii="Times New Roman" w:hAnsi="Times New Roman" w:eastAsia="宋体" w:cs="Times New Roman"/>
                <w:sz w:val="21"/>
                <w:lang w:eastAsia="zh-CN"/>
              </w:rPr>
            </w:pPr>
            <w:r>
              <w:rPr>
                <w:rFonts w:hint="eastAsia" w:ascii="Times New Roman" w:hAnsi="Times New Roman" w:cs="Times New Roman"/>
                <w:sz w:val="21"/>
                <w:lang w:eastAsia="zh-CN"/>
              </w:rPr>
              <w:t>广州市花都区花东镇人民政府</w:t>
            </w:r>
          </w:p>
        </w:tc>
      </w:tr>
      <w:tr w14:paraId="79611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vAlign w:val="center"/>
          </w:tcPr>
          <w:p w14:paraId="7AECC45C">
            <w:pPr>
              <w:spacing w:before="190" w:beforeLines="50" w:after="190" w:afterLines="50" w:line="240" w:lineRule="auto"/>
              <w:ind w:firstLine="0" w:firstLineChars="0"/>
              <w:jc w:val="center"/>
              <w:rPr>
                <w:rFonts w:ascii="Times New Roman" w:hAnsi="Times New Roman" w:cs="Times New Roman"/>
                <w:sz w:val="21"/>
              </w:rPr>
            </w:pPr>
            <w:r>
              <w:rPr>
                <w:rFonts w:hint="eastAsia" w:ascii="Times New Roman" w:hAnsi="Times New Roman" w:cs="Times New Roman"/>
                <w:sz w:val="21"/>
              </w:rPr>
              <w:t>统一社会信用代码</w:t>
            </w:r>
          </w:p>
        </w:tc>
        <w:tc>
          <w:tcPr>
            <w:tcW w:w="6385" w:type="dxa"/>
            <w:vAlign w:val="center"/>
          </w:tcPr>
          <w:p w14:paraId="6835F767">
            <w:pPr>
              <w:spacing w:before="190" w:beforeLines="50" w:after="190" w:afterLines="50" w:line="240" w:lineRule="auto"/>
              <w:ind w:firstLine="0" w:firstLineChars="0"/>
              <w:jc w:val="center"/>
              <w:rPr>
                <w:rFonts w:ascii="Times New Roman" w:hAnsi="Times New Roman" w:cs="Times New Roman"/>
                <w:sz w:val="21"/>
              </w:rPr>
            </w:pPr>
            <w:r>
              <w:rPr>
                <w:rFonts w:hint="eastAsia" w:ascii="Times New Roman" w:hAnsi="Times New Roman" w:cs="Times New Roman"/>
                <w:sz w:val="21"/>
              </w:rPr>
              <w:t>11440114714267428P</w:t>
            </w:r>
          </w:p>
        </w:tc>
      </w:tr>
      <w:tr w14:paraId="47D21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vAlign w:val="center"/>
          </w:tcPr>
          <w:p w14:paraId="0826B2D9">
            <w:pPr>
              <w:spacing w:before="190" w:beforeLines="50" w:after="190" w:afterLines="50" w:line="240" w:lineRule="auto"/>
              <w:ind w:firstLine="0" w:firstLineChars="0"/>
              <w:jc w:val="center"/>
              <w:rPr>
                <w:rFonts w:hint="eastAsia" w:ascii="Times New Roman" w:hAnsi="Times New Roman" w:eastAsia="宋体" w:cs="Times New Roman"/>
                <w:sz w:val="21"/>
                <w:lang w:val="en-US" w:eastAsia="zh-CN"/>
              </w:rPr>
            </w:pPr>
            <w:r>
              <w:rPr>
                <w:rFonts w:hint="eastAsia" w:ascii="Times New Roman" w:hAnsi="Times New Roman" w:cs="Times New Roman"/>
                <w:sz w:val="21"/>
                <w:lang w:val="en-US" w:eastAsia="zh-CN"/>
              </w:rPr>
              <w:t>机构性质</w:t>
            </w:r>
          </w:p>
        </w:tc>
        <w:tc>
          <w:tcPr>
            <w:tcW w:w="6385" w:type="dxa"/>
            <w:vAlign w:val="center"/>
          </w:tcPr>
          <w:p w14:paraId="033BE686">
            <w:pPr>
              <w:spacing w:before="190" w:beforeLines="50" w:after="190" w:afterLines="50" w:line="240" w:lineRule="auto"/>
              <w:ind w:firstLine="0" w:firstLineChars="0"/>
              <w:jc w:val="center"/>
              <w:rPr>
                <w:rFonts w:hint="eastAsia" w:ascii="Times New Roman" w:hAnsi="Times New Roman" w:eastAsia="宋体" w:cs="Times New Roman"/>
                <w:sz w:val="21"/>
                <w:lang w:val="en-US" w:eastAsia="zh-CN"/>
              </w:rPr>
            </w:pPr>
            <w:r>
              <w:rPr>
                <w:rFonts w:hint="eastAsia" w:ascii="Times New Roman" w:hAnsi="Times New Roman" w:cs="Times New Roman"/>
                <w:sz w:val="21"/>
                <w:lang w:val="en-US" w:eastAsia="zh-CN"/>
              </w:rPr>
              <w:t>机关</w:t>
            </w:r>
          </w:p>
        </w:tc>
      </w:tr>
      <w:tr w14:paraId="5B28E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vAlign w:val="center"/>
          </w:tcPr>
          <w:p w14:paraId="447D1E17">
            <w:pPr>
              <w:spacing w:before="190" w:beforeLines="50" w:after="190" w:afterLines="50" w:line="240" w:lineRule="auto"/>
              <w:ind w:firstLine="0" w:firstLineChars="0"/>
              <w:jc w:val="center"/>
              <w:rPr>
                <w:rFonts w:hint="eastAsia" w:ascii="Times New Roman" w:hAnsi="Times New Roman" w:eastAsia="宋体" w:cs="Times New Roman"/>
                <w:sz w:val="21"/>
                <w:lang w:val="en-US" w:eastAsia="zh-CN"/>
              </w:rPr>
            </w:pPr>
            <w:r>
              <w:rPr>
                <w:rFonts w:hint="eastAsia" w:ascii="Times New Roman" w:hAnsi="Times New Roman" w:cs="Times New Roman"/>
                <w:sz w:val="21"/>
                <w:lang w:val="en-US" w:eastAsia="zh-CN"/>
              </w:rPr>
              <w:t>负责人</w:t>
            </w:r>
          </w:p>
        </w:tc>
        <w:tc>
          <w:tcPr>
            <w:tcW w:w="6385" w:type="dxa"/>
            <w:vAlign w:val="center"/>
          </w:tcPr>
          <w:p w14:paraId="6F2561C0">
            <w:pPr>
              <w:spacing w:before="190" w:beforeLines="50" w:after="190" w:afterLines="50" w:line="240" w:lineRule="auto"/>
              <w:ind w:firstLine="0" w:firstLineChars="0"/>
              <w:jc w:val="center"/>
              <w:rPr>
                <w:rFonts w:hint="eastAsia" w:ascii="Times New Roman" w:hAnsi="Times New Roman" w:cs="Times New Roman"/>
                <w:sz w:val="21"/>
              </w:rPr>
            </w:pPr>
            <w:r>
              <w:rPr>
                <w:rFonts w:hint="eastAsia" w:ascii="Times New Roman" w:hAnsi="Times New Roman" w:eastAsia="宋体" w:cs="Times New Roman"/>
                <w:sz w:val="21"/>
                <w:szCs w:val="21"/>
              </w:rPr>
              <w:t>邝志贤</w:t>
            </w:r>
          </w:p>
        </w:tc>
      </w:tr>
      <w:tr w14:paraId="36CEF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vAlign w:val="center"/>
          </w:tcPr>
          <w:p w14:paraId="63BE64AD">
            <w:pPr>
              <w:spacing w:before="190" w:beforeLines="50" w:after="190" w:afterLines="50" w:line="240" w:lineRule="auto"/>
              <w:ind w:firstLine="0" w:firstLineChars="0"/>
              <w:jc w:val="center"/>
              <w:rPr>
                <w:rFonts w:ascii="Times New Roman" w:hAnsi="Times New Roman" w:cs="Times New Roman"/>
                <w:sz w:val="21"/>
              </w:rPr>
            </w:pPr>
            <w:r>
              <w:rPr>
                <w:rFonts w:hint="eastAsia" w:ascii="Times New Roman" w:hAnsi="Times New Roman" w:cs="Times New Roman"/>
                <w:sz w:val="21"/>
              </w:rPr>
              <w:t>机构地址</w:t>
            </w:r>
          </w:p>
        </w:tc>
        <w:tc>
          <w:tcPr>
            <w:tcW w:w="6385" w:type="dxa"/>
            <w:vAlign w:val="center"/>
          </w:tcPr>
          <w:p w14:paraId="1A292075">
            <w:pPr>
              <w:spacing w:before="190" w:beforeLines="50" w:after="190" w:afterLines="50" w:line="240" w:lineRule="auto"/>
              <w:ind w:left="0" w:leftChars="0" w:firstLine="0" w:firstLineChars="0"/>
              <w:jc w:val="center"/>
              <w:rPr>
                <w:rFonts w:hint="eastAsia" w:ascii="Times New Roman" w:hAnsi="Times New Roman" w:eastAsia="宋体" w:cs="Times New Roman"/>
                <w:sz w:val="21"/>
                <w:szCs w:val="21"/>
                <w:lang w:eastAsia="zh-CN"/>
              </w:rPr>
            </w:pPr>
            <w:r>
              <w:rPr>
                <w:rFonts w:hint="eastAsia" w:ascii="Times New Roman" w:hAnsi="Times New Roman" w:cs="Times New Roman"/>
                <w:sz w:val="21"/>
                <w:szCs w:val="21"/>
              </w:rPr>
              <w:t>广东省广州市</w:t>
            </w:r>
            <w:r>
              <w:rPr>
                <w:rFonts w:hint="eastAsia" w:ascii="Times New Roman" w:hAnsi="Times New Roman" w:cs="Times New Roman"/>
                <w:sz w:val="21"/>
                <w:szCs w:val="21"/>
                <w:lang w:val="en-US" w:eastAsia="zh-CN"/>
              </w:rPr>
              <w:t>花都区花东镇</w:t>
            </w:r>
          </w:p>
        </w:tc>
      </w:tr>
    </w:tbl>
    <w:p w14:paraId="560836E2">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综上，本所律师认为，</w:t>
      </w:r>
      <w:r>
        <w:rPr>
          <w:rFonts w:hint="eastAsia" w:ascii="Times New Roman" w:hAnsi="Times New Roman" w:cs="Times New Roman"/>
          <w:szCs w:val="24"/>
          <w:lang w:eastAsia="zh-Hans" w:bidi="zh-CN"/>
        </w:rPr>
        <w:t>花东镇人民政府系</w:t>
      </w:r>
      <w:r>
        <w:rPr>
          <w:rFonts w:ascii="Times New Roman" w:hAnsi="Times New Roman" w:cs="Times New Roman"/>
          <w:szCs w:val="24"/>
        </w:rPr>
        <w:t>在我国境内依法成立、有效存续的</w:t>
      </w:r>
      <w:r>
        <w:rPr>
          <w:rFonts w:hint="eastAsia" w:ascii="Times New Roman" w:hAnsi="Times New Roman" w:cs="Times New Roman"/>
          <w:szCs w:val="24"/>
          <w:lang w:val="en-US" w:eastAsia="zh-CN"/>
        </w:rPr>
        <w:t>法定</w:t>
      </w:r>
      <w:r>
        <w:rPr>
          <w:rFonts w:ascii="Times New Roman" w:hAnsi="Times New Roman" w:cs="Times New Roman"/>
          <w:szCs w:val="24"/>
        </w:rPr>
        <w:t>机构</w:t>
      </w:r>
      <w:r>
        <w:rPr>
          <w:rFonts w:hint="eastAsia" w:ascii="Times New Roman" w:hAnsi="Times New Roman" w:cs="Times New Roman"/>
          <w:szCs w:val="24"/>
        </w:rPr>
        <w:t>，</w:t>
      </w:r>
      <w:r>
        <w:rPr>
          <w:rFonts w:ascii="Times New Roman" w:hAnsi="Times New Roman" w:cs="Times New Roman"/>
          <w:szCs w:val="24"/>
        </w:rPr>
        <w:t>具备</w:t>
      </w:r>
      <w:r>
        <w:rPr>
          <w:rFonts w:hint="eastAsia" w:ascii="Times New Roman" w:hAnsi="Times New Roman" w:cs="Times New Roman"/>
          <w:szCs w:val="24"/>
        </w:rPr>
        <w:t>管理、</w:t>
      </w:r>
      <w:r>
        <w:rPr>
          <w:rFonts w:ascii="Times New Roman" w:hAnsi="Times New Roman" w:cs="Times New Roman"/>
          <w:szCs w:val="24"/>
        </w:rPr>
        <w:t>实施对应的募投项目的主体资格。</w:t>
      </w:r>
    </w:p>
    <w:p w14:paraId="142E5E8F">
      <w:pPr>
        <w:pStyle w:val="2"/>
      </w:pPr>
      <w:bookmarkStart w:id="38" w:name="_Toc15858"/>
      <w:bookmarkStart w:id="39" w:name="_Toc15657"/>
      <w:bookmarkStart w:id="40" w:name="_Toc24515"/>
      <w:bookmarkStart w:id="41" w:name="_Toc29015"/>
      <w:bookmarkStart w:id="42" w:name="_Toc14947"/>
      <w:bookmarkStart w:id="43" w:name="_Toc3883"/>
      <w:bookmarkStart w:id="44" w:name="_Toc26237"/>
      <w:bookmarkStart w:id="45" w:name="_Toc30949"/>
      <w:bookmarkStart w:id="46" w:name="_Toc22306"/>
    </w:p>
    <w:p w14:paraId="5AD47CAF">
      <w:pPr>
        <w:pStyle w:val="2"/>
        <w:numPr>
          <w:ilvl w:val="0"/>
          <w:numId w:val="2"/>
        </w:numPr>
      </w:pPr>
      <w:bookmarkStart w:id="47" w:name="_Toc15047"/>
      <w:bookmarkStart w:id="48" w:name="_Toc5473"/>
      <w:r>
        <w:t>本次债券发行对应的募投项目</w:t>
      </w:r>
      <w:bookmarkEnd w:id="38"/>
      <w:bookmarkEnd w:id="39"/>
      <w:bookmarkEnd w:id="40"/>
      <w:bookmarkEnd w:id="41"/>
      <w:bookmarkEnd w:id="42"/>
      <w:bookmarkEnd w:id="43"/>
      <w:bookmarkEnd w:id="44"/>
      <w:bookmarkEnd w:id="45"/>
      <w:bookmarkEnd w:id="46"/>
      <w:bookmarkEnd w:id="47"/>
      <w:bookmarkEnd w:id="48"/>
    </w:p>
    <w:p w14:paraId="57FACCCE">
      <w:pPr>
        <w:autoSpaceDE w:val="0"/>
        <w:autoSpaceDN w:val="0"/>
        <w:spacing w:before="50" w:after="50" w:line="360" w:lineRule="auto"/>
        <w:ind w:firstLine="458"/>
        <w:rPr>
          <w:rFonts w:hint="eastAsia" w:ascii="Times New Roman" w:hAnsi="Times New Roman" w:cs="Times New Roman"/>
          <w:b/>
          <w:bCs/>
          <w:spacing w:val="-11"/>
          <w:szCs w:val="24"/>
          <w:lang w:val="zh-CN" w:bidi="zh-CN"/>
        </w:rPr>
      </w:pPr>
      <w:r>
        <w:rPr>
          <w:rFonts w:hint="default" w:ascii="Times New Roman" w:hAnsi="Times New Roman" w:cs="Times New Roman"/>
          <w:spacing w:val="-11"/>
          <w:szCs w:val="24"/>
          <w:lang w:val="zh-CN" w:bidi="zh-CN"/>
        </w:rPr>
        <w:t>根据《</w:t>
      </w:r>
      <w:r>
        <w:rPr>
          <w:rFonts w:hint="default" w:ascii="Times New Roman" w:hAnsi="Times New Roman" w:cs="Times New Roman"/>
          <w:spacing w:val="-11"/>
          <w:szCs w:val="24"/>
          <w:lang w:bidi="zh-CN"/>
        </w:rPr>
        <w:t>实施方案</w:t>
      </w:r>
      <w:r>
        <w:rPr>
          <w:rFonts w:hint="eastAsia" w:ascii="Times New Roman" w:hAnsi="Times New Roman" w:cs="Times New Roman"/>
          <w:spacing w:val="-11"/>
          <w:szCs w:val="24"/>
          <w:lang w:bidi="zh-CN"/>
        </w:rPr>
        <w:t>》《</w:t>
      </w:r>
      <w:r>
        <w:rPr>
          <w:rFonts w:hint="default" w:ascii="Times New Roman" w:hAnsi="Times New Roman" w:cs="Times New Roman"/>
          <w:szCs w:val="24"/>
        </w:rPr>
        <w:t>项目可研复函》及相关文件资料</w:t>
      </w:r>
      <w:r>
        <w:rPr>
          <w:rFonts w:hint="default" w:ascii="Times New Roman" w:hAnsi="Times New Roman" w:cs="Times New Roman"/>
          <w:spacing w:val="-11"/>
          <w:szCs w:val="24"/>
          <w:lang w:val="zh-CN" w:bidi="zh-CN"/>
        </w:rPr>
        <w:t>，本次</w:t>
      </w:r>
      <w:r>
        <w:rPr>
          <w:rFonts w:hint="default" w:ascii="Times New Roman" w:hAnsi="Times New Roman" w:cs="Times New Roman"/>
          <w:spacing w:val="-11"/>
          <w:szCs w:val="24"/>
          <w:lang w:bidi="zh-CN"/>
        </w:rPr>
        <w:t>债券</w:t>
      </w:r>
      <w:r>
        <w:rPr>
          <w:rFonts w:hint="default" w:ascii="Times New Roman" w:hAnsi="Times New Roman" w:cs="Times New Roman"/>
          <w:spacing w:val="-11"/>
          <w:szCs w:val="24"/>
          <w:lang w:val="zh-CN" w:bidi="zh-CN"/>
        </w:rPr>
        <w:t>发行募集资金用于</w:t>
      </w:r>
      <w:r>
        <w:rPr>
          <w:rFonts w:hint="eastAsia" w:ascii="Times New Roman" w:hAnsi="Times New Roman" w:cs="Times New Roman"/>
          <w:szCs w:val="24"/>
          <w:lang w:eastAsia="zh-CN"/>
        </w:rPr>
        <w:t>广州市花都区现代物流港建设及配套工程</w:t>
      </w:r>
      <w:r>
        <w:rPr>
          <w:rFonts w:hint="default" w:ascii="Times New Roman" w:hAnsi="Times New Roman" w:cs="Times New Roman"/>
          <w:spacing w:val="-11"/>
          <w:szCs w:val="24"/>
          <w:lang w:val="zh-CN" w:bidi="zh-CN"/>
        </w:rPr>
        <w:t>。具体情况如下：</w:t>
      </w:r>
    </w:p>
    <w:p w14:paraId="0B2438A1">
      <w:pPr>
        <w:autoSpaceDE w:val="0"/>
        <w:autoSpaceDN w:val="0"/>
        <w:spacing w:before="50" w:after="50" w:line="360" w:lineRule="auto"/>
        <w:ind w:firstLine="460"/>
        <w:rPr>
          <w:rFonts w:ascii="Times New Roman" w:hAnsi="Times New Roman" w:cs="Times New Roman"/>
          <w:b/>
          <w:bCs/>
          <w:spacing w:val="-11"/>
          <w:szCs w:val="24"/>
          <w:lang w:val="zh-CN" w:bidi="zh-CN"/>
        </w:rPr>
      </w:pPr>
      <w:r>
        <w:rPr>
          <w:rFonts w:hint="eastAsia" w:ascii="Times New Roman" w:hAnsi="Times New Roman" w:cs="Times New Roman"/>
          <w:b/>
          <w:bCs/>
          <w:spacing w:val="-11"/>
          <w:szCs w:val="24"/>
          <w:lang w:val="zh-CN" w:bidi="zh-CN"/>
        </w:rPr>
        <w:t>（一）项目概况</w:t>
      </w:r>
    </w:p>
    <w:p w14:paraId="50C8730A">
      <w:pPr>
        <w:autoSpaceDE w:val="0"/>
        <w:autoSpaceDN w:val="0"/>
        <w:spacing w:before="50" w:after="50" w:line="360" w:lineRule="auto"/>
        <w:ind w:firstLine="460"/>
        <w:rPr>
          <w:rFonts w:hint="eastAsia" w:ascii="宋体" w:hAnsi="宋体" w:cs="宋体"/>
          <w:color w:val="000000"/>
          <w:kern w:val="0"/>
          <w:szCs w:val="24"/>
          <w:lang w:val="en-US" w:eastAsia="zh-CN" w:bidi="ar"/>
        </w:rPr>
      </w:pPr>
      <w:r>
        <w:rPr>
          <w:rFonts w:hint="eastAsia" w:ascii="宋体" w:hAnsi="宋体" w:cs="宋体"/>
          <w:color w:val="000000"/>
          <w:kern w:val="0"/>
          <w:szCs w:val="24"/>
          <w:lang w:bidi="ar"/>
        </w:rPr>
        <w:t>根据</w:t>
      </w:r>
      <w:r>
        <w:rPr>
          <w:rFonts w:hint="eastAsia" w:ascii="Times New Roman" w:hAnsi="Times New Roman" w:cs="Times New Roman"/>
          <w:szCs w:val="24"/>
        </w:rPr>
        <w:t>《项目可研复函》</w:t>
      </w:r>
      <w:r>
        <w:rPr>
          <w:rFonts w:hint="eastAsia" w:ascii="宋体" w:hAnsi="宋体" w:cs="宋体"/>
          <w:color w:val="000000"/>
          <w:kern w:val="0"/>
          <w:szCs w:val="24"/>
          <w:lang w:bidi="ar"/>
        </w:rPr>
        <w:t>，本项目位于广州市花都区花东镇，项目用地面积为50796.61平方米，建筑面积约118946平 方米。主要建设内容包括：物流用房总面积70484平方米(其中集运分拨中心12732平方米、跨境电商物流中心15384平方米、陆航联运中心28800平方米及城市共同配送中心13568平方米；冷库21145.2平方米);装卸平台8000平方米；项目道 路建设约13730平方米；新增停车位共348个；相关配套工程等</w:t>
      </w:r>
      <w:r>
        <w:rPr>
          <w:rFonts w:hint="eastAsia" w:ascii="宋体" w:hAnsi="宋体" w:cs="宋体"/>
          <w:color w:val="000000"/>
          <w:kern w:val="0"/>
          <w:szCs w:val="24"/>
          <w:lang w:val="en-US" w:eastAsia="zh-CN" w:bidi="ar"/>
        </w:rPr>
        <w:t>.</w:t>
      </w:r>
    </w:p>
    <w:p w14:paraId="341C8F5C">
      <w:pPr>
        <w:autoSpaceDE w:val="0"/>
        <w:autoSpaceDN w:val="0"/>
        <w:spacing w:before="50" w:after="50" w:line="360" w:lineRule="auto"/>
        <w:ind w:firstLine="460"/>
        <w:rPr>
          <w:rFonts w:ascii="Times New Roman" w:hAnsi="Times New Roman" w:cs="Times New Roman"/>
          <w:b/>
          <w:bCs/>
          <w:spacing w:val="-11"/>
          <w:szCs w:val="24"/>
          <w:lang w:val="zh-CN" w:bidi="zh-CN"/>
        </w:rPr>
      </w:pPr>
      <w:r>
        <w:rPr>
          <w:rFonts w:hint="eastAsia" w:ascii="Times New Roman" w:hAnsi="Times New Roman" w:cs="Times New Roman"/>
          <w:b/>
          <w:bCs/>
          <w:spacing w:val="-11"/>
          <w:szCs w:val="24"/>
          <w:lang w:val="zh-CN" w:bidi="zh-CN"/>
        </w:rPr>
        <w:t>（二）项目已经取得的批复</w:t>
      </w:r>
    </w:p>
    <w:p w14:paraId="46B48E8B">
      <w:pPr>
        <w:autoSpaceDE w:val="0"/>
        <w:autoSpaceDN w:val="0"/>
        <w:spacing w:before="190" w:beforeLines="50" w:after="190" w:afterLines="50" w:line="360" w:lineRule="auto"/>
        <w:ind w:firstLine="480"/>
        <w:rPr>
          <w:rFonts w:ascii="Times New Roman" w:hAnsi="Times New Roman" w:cs="Times New Roman"/>
          <w:szCs w:val="24"/>
          <w:lang w:val="zh-CN" w:bidi="zh-CN"/>
        </w:rPr>
      </w:pPr>
      <w:r>
        <w:rPr>
          <w:rFonts w:ascii="Times New Roman" w:hAnsi="Times New Roman" w:cs="Times New Roman"/>
          <w:szCs w:val="24"/>
          <w:lang w:val="zh-CN" w:bidi="zh-CN"/>
        </w:rPr>
        <w:t>截止至本法律意见书出具之日，</w:t>
      </w:r>
      <w:r>
        <w:rPr>
          <w:rFonts w:hint="eastAsia" w:ascii="Times New Roman" w:hAnsi="Times New Roman" w:cs="Times New Roman"/>
          <w:szCs w:val="24"/>
          <w:lang w:bidi="zh-CN"/>
        </w:rPr>
        <w:t>本</w:t>
      </w:r>
      <w:r>
        <w:rPr>
          <w:rFonts w:ascii="Times New Roman" w:hAnsi="Times New Roman" w:cs="Times New Roman"/>
          <w:szCs w:val="24"/>
          <w:lang w:val="zh-CN" w:bidi="zh-CN"/>
        </w:rPr>
        <w:t>项目已取得的主要批复如下：</w:t>
      </w:r>
    </w:p>
    <w:tbl>
      <w:tblPr>
        <w:tblStyle w:val="17"/>
        <w:tblW w:w="85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2"/>
        <w:gridCol w:w="3253"/>
        <w:gridCol w:w="1850"/>
        <w:gridCol w:w="1287"/>
        <w:gridCol w:w="1675"/>
      </w:tblGrid>
      <w:tr w14:paraId="3D01D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blHeader/>
          <w:jc w:val="center"/>
        </w:trPr>
        <w:tc>
          <w:tcPr>
            <w:tcW w:w="492" w:type="dxa"/>
            <w:shd w:val="clear" w:color="auto" w:fill="D8D8D8"/>
            <w:vAlign w:val="center"/>
          </w:tcPr>
          <w:p w14:paraId="17CD4756">
            <w:pPr>
              <w:autoSpaceDE w:val="0"/>
              <w:autoSpaceDN w:val="0"/>
              <w:spacing w:before="190" w:beforeLines="50" w:after="190" w:afterLines="50" w:line="240" w:lineRule="auto"/>
              <w:ind w:firstLine="0" w:firstLineChars="0"/>
              <w:jc w:val="center"/>
              <w:rPr>
                <w:rFonts w:ascii="Times New Roman" w:hAnsi="Times New Roman" w:cs="Times New Roman"/>
                <w:b/>
                <w:w w:val="105"/>
                <w:sz w:val="20"/>
                <w:szCs w:val="22"/>
                <w:lang w:bidi="zh-CN"/>
              </w:rPr>
            </w:pPr>
            <w:r>
              <w:rPr>
                <w:rFonts w:ascii="Times New Roman" w:hAnsi="Times New Roman" w:cs="Times New Roman"/>
                <w:b/>
                <w:w w:val="105"/>
                <w:sz w:val="20"/>
                <w:szCs w:val="22"/>
                <w:lang w:bidi="zh-CN"/>
              </w:rPr>
              <w:t>序号</w:t>
            </w:r>
          </w:p>
        </w:tc>
        <w:tc>
          <w:tcPr>
            <w:tcW w:w="3253" w:type="dxa"/>
            <w:shd w:val="clear" w:color="auto" w:fill="D8D8D8"/>
            <w:vAlign w:val="center"/>
          </w:tcPr>
          <w:p w14:paraId="393663BE">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val="zh-CN" w:bidi="zh-CN"/>
              </w:rPr>
            </w:pPr>
            <w:r>
              <w:rPr>
                <w:rFonts w:ascii="Times New Roman" w:hAnsi="Times New Roman" w:cs="Times New Roman"/>
                <w:b/>
                <w:w w:val="105"/>
                <w:sz w:val="20"/>
                <w:szCs w:val="22"/>
                <w:lang w:bidi="zh-CN"/>
              </w:rPr>
              <w:t>文件</w:t>
            </w:r>
            <w:r>
              <w:rPr>
                <w:rFonts w:ascii="Times New Roman" w:hAnsi="Times New Roman" w:cs="Times New Roman"/>
                <w:b/>
                <w:w w:val="105"/>
                <w:sz w:val="20"/>
                <w:szCs w:val="22"/>
                <w:lang w:val="zh-CN" w:bidi="zh-CN"/>
              </w:rPr>
              <w:t>名称</w:t>
            </w:r>
          </w:p>
        </w:tc>
        <w:tc>
          <w:tcPr>
            <w:tcW w:w="1850" w:type="dxa"/>
            <w:shd w:val="clear" w:color="auto" w:fill="D8D8D8"/>
            <w:vAlign w:val="center"/>
          </w:tcPr>
          <w:p w14:paraId="769D3E05">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val="zh-CN" w:bidi="zh-CN"/>
              </w:rPr>
            </w:pPr>
            <w:r>
              <w:rPr>
                <w:rFonts w:ascii="Times New Roman" w:hAnsi="Times New Roman" w:cs="Times New Roman"/>
                <w:b/>
                <w:w w:val="105"/>
                <w:sz w:val="20"/>
                <w:szCs w:val="22"/>
                <w:lang w:val="zh-CN" w:bidi="zh-CN"/>
              </w:rPr>
              <w:t>发文主体</w:t>
            </w:r>
          </w:p>
        </w:tc>
        <w:tc>
          <w:tcPr>
            <w:tcW w:w="1287" w:type="dxa"/>
            <w:shd w:val="clear" w:color="auto" w:fill="D8D8D8"/>
            <w:vAlign w:val="center"/>
          </w:tcPr>
          <w:p w14:paraId="09614965">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bidi="zh-CN"/>
              </w:rPr>
            </w:pPr>
            <w:r>
              <w:rPr>
                <w:rFonts w:ascii="Times New Roman" w:hAnsi="Times New Roman" w:cs="Times New Roman"/>
                <w:b/>
                <w:w w:val="105"/>
                <w:sz w:val="20"/>
                <w:szCs w:val="22"/>
                <w:lang w:bidi="zh-CN"/>
              </w:rPr>
              <w:t>发文时间</w:t>
            </w:r>
          </w:p>
        </w:tc>
        <w:tc>
          <w:tcPr>
            <w:tcW w:w="1675" w:type="dxa"/>
            <w:shd w:val="clear" w:color="auto" w:fill="D8D8D8"/>
            <w:vAlign w:val="center"/>
          </w:tcPr>
          <w:p w14:paraId="744959AA">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bidi="zh-CN"/>
              </w:rPr>
            </w:pPr>
            <w:r>
              <w:rPr>
                <w:rFonts w:ascii="Times New Roman" w:hAnsi="Times New Roman" w:cs="Times New Roman"/>
                <w:b/>
                <w:w w:val="105"/>
                <w:sz w:val="20"/>
                <w:szCs w:val="22"/>
                <w:lang w:bidi="zh-CN"/>
              </w:rPr>
              <w:t>文号</w:t>
            </w:r>
          </w:p>
        </w:tc>
      </w:tr>
      <w:tr w14:paraId="061A0C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92" w:type="dxa"/>
            <w:vAlign w:val="center"/>
          </w:tcPr>
          <w:p w14:paraId="6AF3EED1">
            <w:pPr>
              <w:autoSpaceDE w:val="0"/>
              <w:autoSpaceDN w:val="0"/>
              <w:spacing w:before="190" w:beforeLines="50" w:after="190" w:afterLines="50" w:line="240" w:lineRule="auto"/>
              <w:ind w:firstLine="0" w:firstLineChars="0"/>
              <w:jc w:val="center"/>
              <w:rPr>
                <w:rFonts w:hint="default" w:ascii="Times New Roman" w:hAnsi="Times New Roman" w:cs="Times New Roman"/>
                <w:sz w:val="21"/>
                <w:szCs w:val="22"/>
                <w:lang w:val="en-US" w:bidi="zh-CN"/>
              </w:rPr>
            </w:pPr>
            <w:r>
              <w:rPr>
                <w:rFonts w:hint="eastAsia" w:ascii="Times New Roman" w:hAnsi="Times New Roman" w:cs="Times New Roman"/>
                <w:sz w:val="21"/>
                <w:szCs w:val="22"/>
                <w:lang w:val="en-US" w:bidi="zh-CN"/>
              </w:rPr>
              <w:t>1</w:t>
            </w:r>
          </w:p>
        </w:tc>
        <w:tc>
          <w:tcPr>
            <w:tcW w:w="3253" w:type="dxa"/>
            <w:vAlign w:val="center"/>
          </w:tcPr>
          <w:p w14:paraId="2B1DC103">
            <w:pPr>
              <w:widowControl/>
              <w:spacing w:before="190" w:beforeLines="50" w:after="190" w:afterLines="50" w:line="240" w:lineRule="auto"/>
              <w:ind w:firstLine="0" w:firstLineChars="0"/>
              <w:jc w:val="center"/>
              <w:rPr>
                <w:rFonts w:ascii="Times New Roman" w:hAnsi="Times New Roman" w:cs="Times New Roman"/>
                <w:sz w:val="21"/>
                <w:szCs w:val="22"/>
                <w:lang w:bidi="zh-CN"/>
              </w:rPr>
            </w:pPr>
            <w:r>
              <w:rPr>
                <w:rFonts w:hint="eastAsia" w:ascii="Times New Roman" w:hAnsi="Times New Roman" w:cs="Times New Roman"/>
                <w:sz w:val="21"/>
                <w:szCs w:val="22"/>
                <w:lang w:bidi="zh-CN"/>
              </w:rPr>
              <w:t>《广州市花都区发展和改革局关于广州市花都区现代物流港建设及配套工程可行性研究报告的复函》</w:t>
            </w:r>
          </w:p>
        </w:tc>
        <w:tc>
          <w:tcPr>
            <w:tcW w:w="1850" w:type="dxa"/>
            <w:vAlign w:val="center"/>
          </w:tcPr>
          <w:p w14:paraId="2F8257F3">
            <w:pPr>
              <w:widowControl/>
              <w:spacing w:before="190" w:beforeLines="50" w:after="190" w:afterLines="50" w:line="240" w:lineRule="auto"/>
              <w:ind w:firstLine="0" w:firstLineChars="0"/>
              <w:jc w:val="center"/>
              <w:rPr>
                <w:rFonts w:hint="default" w:ascii="Times New Roman" w:hAnsi="Times New Roman" w:cs="Times New Roman"/>
                <w:sz w:val="21"/>
                <w:szCs w:val="22"/>
                <w:lang w:val="en-US" w:bidi="zh-CN"/>
              </w:rPr>
            </w:pPr>
            <w:r>
              <w:rPr>
                <w:rFonts w:hint="eastAsia" w:ascii="Times New Roman" w:hAnsi="Times New Roman" w:cs="Times New Roman"/>
                <w:sz w:val="21"/>
                <w:szCs w:val="22"/>
                <w:lang w:val="en-US" w:bidi="zh-CN"/>
              </w:rPr>
              <w:t>广州市花都区发展和改革局</w:t>
            </w:r>
          </w:p>
        </w:tc>
        <w:tc>
          <w:tcPr>
            <w:tcW w:w="1287" w:type="dxa"/>
            <w:vAlign w:val="center"/>
          </w:tcPr>
          <w:p w14:paraId="2DBE5EDE">
            <w:pPr>
              <w:widowControl/>
              <w:spacing w:before="190" w:beforeLines="50" w:after="190" w:afterLines="50" w:line="240" w:lineRule="auto"/>
              <w:ind w:firstLine="0" w:firstLineChars="0"/>
              <w:jc w:val="center"/>
              <w:rPr>
                <w:rFonts w:hint="default" w:ascii="Times New Roman" w:hAnsi="Times New Roman" w:cs="Times New Roman"/>
                <w:sz w:val="21"/>
                <w:szCs w:val="22"/>
                <w:lang w:val="en-US" w:bidi="zh-CN"/>
              </w:rPr>
            </w:pPr>
            <w:r>
              <w:rPr>
                <w:rFonts w:hint="eastAsia" w:ascii="Times New Roman" w:hAnsi="Times New Roman" w:cs="Times New Roman"/>
                <w:sz w:val="21"/>
                <w:szCs w:val="22"/>
                <w:lang w:bidi="zh-CN"/>
              </w:rPr>
              <w:t>202</w:t>
            </w:r>
            <w:r>
              <w:rPr>
                <w:rFonts w:hint="eastAsia" w:ascii="Times New Roman" w:hAnsi="Times New Roman" w:cs="Times New Roman"/>
                <w:sz w:val="21"/>
                <w:szCs w:val="22"/>
                <w:lang w:val="en-US" w:eastAsia="zh-CN" w:bidi="zh-CN"/>
              </w:rPr>
              <w:t>4-6-28</w:t>
            </w:r>
          </w:p>
          <w:p w14:paraId="19D88E19">
            <w:pPr>
              <w:widowControl/>
              <w:spacing w:before="190" w:beforeLines="50" w:after="190" w:afterLines="50" w:line="240" w:lineRule="auto"/>
              <w:ind w:firstLine="0" w:firstLineChars="0"/>
              <w:jc w:val="center"/>
              <w:rPr>
                <w:rFonts w:ascii="Times New Roman" w:hAnsi="Times New Roman" w:cs="Times New Roman"/>
                <w:sz w:val="21"/>
                <w:szCs w:val="22"/>
                <w:lang w:bidi="zh-CN"/>
              </w:rPr>
            </w:pPr>
          </w:p>
        </w:tc>
        <w:tc>
          <w:tcPr>
            <w:tcW w:w="1675" w:type="dxa"/>
            <w:vAlign w:val="center"/>
          </w:tcPr>
          <w:p w14:paraId="31367C81">
            <w:pPr>
              <w:autoSpaceDE w:val="0"/>
              <w:autoSpaceDN w:val="0"/>
              <w:spacing w:before="190" w:beforeLines="50" w:after="190" w:afterLines="50" w:line="240" w:lineRule="auto"/>
              <w:ind w:firstLine="0" w:firstLineChars="0"/>
              <w:jc w:val="center"/>
              <w:rPr>
                <w:rFonts w:hint="default" w:ascii="Times New Roman" w:hAnsi="Times New Roman" w:cs="Times New Roman"/>
                <w:sz w:val="21"/>
                <w:szCs w:val="22"/>
                <w:lang w:val="zh-CN" w:bidi="zh-CN"/>
              </w:rPr>
            </w:pPr>
            <w:r>
              <w:rPr>
                <w:rFonts w:hint="eastAsia" w:ascii="Times New Roman" w:hAnsi="Times New Roman" w:cs="Times New Roman"/>
                <w:sz w:val="21"/>
                <w:szCs w:val="22"/>
                <w:lang w:val="zh-CN" w:bidi="zh-CN"/>
              </w:rPr>
              <w:t>花发改函〔2024〕</w:t>
            </w:r>
            <w:r>
              <w:rPr>
                <w:rFonts w:hint="eastAsia" w:ascii="Times New Roman" w:hAnsi="Times New Roman" w:cs="Times New Roman"/>
                <w:sz w:val="21"/>
                <w:szCs w:val="22"/>
                <w:lang w:val="en-US" w:bidi="zh-CN"/>
              </w:rPr>
              <w:t>171</w:t>
            </w:r>
            <w:r>
              <w:rPr>
                <w:rFonts w:hint="eastAsia" w:ascii="Times New Roman" w:hAnsi="Times New Roman" w:cs="Times New Roman"/>
                <w:sz w:val="21"/>
                <w:szCs w:val="22"/>
                <w:lang w:val="zh-CN" w:bidi="zh-CN"/>
              </w:rPr>
              <w:t>号</w:t>
            </w:r>
          </w:p>
          <w:p w14:paraId="41E6907F">
            <w:pPr>
              <w:autoSpaceDE w:val="0"/>
              <w:autoSpaceDN w:val="0"/>
              <w:spacing w:before="190" w:beforeLines="50" w:after="190" w:afterLines="50" w:line="240" w:lineRule="auto"/>
              <w:ind w:firstLine="0" w:firstLineChars="0"/>
              <w:jc w:val="center"/>
              <w:rPr>
                <w:rFonts w:ascii="Times New Roman" w:hAnsi="Times New Roman" w:cs="Times New Roman"/>
                <w:sz w:val="21"/>
                <w:szCs w:val="22"/>
                <w:lang w:val="zh-CN" w:bidi="zh-CN"/>
              </w:rPr>
            </w:pPr>
          </w:p>
        </w:tc>
      </w:tr>
    </w:tbl>
    <w:p w14:paraId="4324438A">
      <w:pPr>
        <w:spacing w:before="190" w:beforeLines="50" w:after="190" w:afterLines="50" w:line="360" w:lineRule="auto"/>
        <w:ind w:firstLine="480"/>
        <w:rPr>
          <w:rFonts w:ascii="Times New Roman" w:hAnsi="Times New Roman" w:cs="Times New Roman"/>
          <w:szCs w:val="24"/>
          <w:lang w:val="zh-CN" w:bidi="zh-CN"/>
        </w:rPr>
      </w:pPr>
      <w:r>
        <w:rPr>
          <w:rFonts w:hint="eastAsia" w:ascii="Times New Roman" w:hAnsi="Times New Roman" w:cs="Times New Roman"/>
          <w:szCs w:val="24"/>
          <w:lang w:val="zh-CN" w:bidi="zh-CN"/>
        </w:rPr>
        <w:t>综上，本所律师认为，本次债券发行募投项目</w:t>
      </w:r>
      <w:r>
        <w:rPr>
          <w:rFonts w:hint="eastAsia" w:ascii="Times New Roman" w:hAnsi="Times New Roman" w:cs="Times New Roman"/>
          <w:szCs w:val="24"/>
          <w:lang w:bidi="zh-CN"/>
        </w:rPr>
        <w:t>已经开展立项有关工作</w:t>
      </w:r>
      <w:r>
        <w:rPr>
          <w:rFonts w:hint="eastAsia" w:ascii="Times New Roman" w:hAnsi="Times New Roman" w:cs="Times New Roman"/>
          <w:szCs w:val="24"/>
          <w:lang w:val="zh-CN" w:bidi="zh-CN"/>
        </w:rPr>
        <w:t>，有实施项目的资金需求；后续项目需根据建设进度，按照有关法律、法规的规定办理审批手续。</w:t>
      </w:r>
    </w:p>
    <w:p w14:paraId="613FD9E0">
      <w:pPr>
        <w:spacing w:before="190" w:beforeLines="50" w:after="190" w:afterLines="50" w:line="360" w:lineRule="auto"/>
        <w:ind w:firstLine="480"/>
        <w:rPr>
          <w:rFonts w:ascii="Times New Roman" w:hAnsi="Times New Roman" w:cs="Times New Roman"/>
          <w:szCs w:val="24"/>
        </w:rPr>
      </w:pPr>
    </w:p>
    <w:p w14:paraId="699650EC">
      <w:pPr>
        <w:pStyle w:val="2"/>
      </w:pPr>
      <w:bookmarkStart w:id="49" w:name="_Toc3503"/>
      <w:bookmarkStart w:id="50" w:name="_Toc7735"/>
      <w:bookmarkStart w:id="51" w:name="_Toc25572"/>
      <w:bookmarkStart w:id="52" w:name="_Toc31742"/>
      <w:bookmarkStart w:id="53" w:name="_Toc21523"/>
      <w:bookmarkStart w:id="54" w:name="_Toc13557"/>
      <w:bookmarkStart w:id="55" w:name="_Toc19846"/>
      <w:bookmarkStart w:id="56" w:name="_Toc9328"/>
      <w:r>
        <w:t>四、项目公益性及收益与融资平衡情况</w:t>
      </w:r>
      <w:bookmarkEnd w:id="49"/>
      <w:bookmarkEnd w:id="50"/>
      <w:bookmarkEnd w:id="51"/>
      <w:bookmarkEnd w:id="52"/>
      <w:bookmarkEnd w:id="53"/>
      <w:bookmarkEnd w:id="54"/>
      <w:bookmarkEnd w:id="55"/>
      <w:bookmarkEnd w:id="56"/>
    </w:p>
    <w:p w14:paraId="46AB52D0">
      <w:pPr>
        <w:spacing w:before="190" w:beforeLines="50" w:after="190" w:afterLines="50" w:line="360" w:lineRule="auto"/>
        <w:ind w:firstLine="482"/>
        <w:rPr>
          <w:rFonts w:ascii="Times New Roman" w:hAnsi="Times New Roman" w:cs="Times New Roman"/>
          <w:b/>
          <w:bCs/>
          <w:szCs w:val="24"/>
        </w:rPr>
      </w:pPr>
      <w:r>
        <w:rPr>
          <w:rFonts w:hint="eastAsia" w:ascii="Times New Roman" w:hAnsi="Times New Roman" w:cs="Times New Roman"/>
          <w:b/>
          <w:bCs/>
          <w:szCs w:val="24"/>
        </w:rPr>
        <w:t>（一）公益性</w:t>
      </w:r>
    </w:p>
    <w:p w14:paraId="3594D0AD">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lang w:eastAsia="zh-CN"/>
        </w:rPr>
        <w:t>建设现代物流港是推动技术创新和人才培养的重要途径。本项目的建设将促进物流技术的创新和应用，推动行业技术进步。 同时，本项目的建设和运营也需要大量的高素质专业人才，这将促进人才的培养和引进，为城市的可持续发展提供有力的人才保障，有很好的的社会效益，</w:t>
      </w:r>
      <w:r>
        <w:rPr>
          <w:rFonts w:hint="eastAsia" w:ascii="Times New Roman" w:hAnsi="Times New Roman" w:cs="Times New Roman"/>
          <w:szCs w:val="24"/>
        </w:rPr>
        <w:t>符合《关于试点发展项目收益与融资自求平衡的地方政府专项债券品种的通知》（财预〔2017〕89号）的有关规定。</w:t>
      </w:r>
    </w:p>
    <w:p w14:paraId="291651E5">
      <w:pPr>
        <w:spacing w:before="190" w:beforeLines="50" w:after="190" w:afterLines="50" w:line="360" w:lineRule="auto"/>
        <w:ind w:firstLine="482"/>
        <w:rPr>
          <w:rFonts w:ascii="Times New Roman" w:hAnsi="Times New Roman" w:cs="Times New Roman"/>
          <w:b/>
          <w:bCs/>
          <w:szCs w:val="24"/>
        </w:rPr>
      </w:pPr>
      <w:r>
        <w:rPr>
          <w:rFonts w:hint="eastAsia" w:ascii="Times New Roman" w:hAnsi="Times New Roman" w:cs="Times New Roman"/>
          <w:b/>
          <w:bCs/>
          <w:szCs w:val="24"/>
        </w:rPr>
        <w:t>（二）收益与融资平衡</w:t>
      </w:r>
    </w:p>
    <w:p w14:paraId="75A98F49">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根据光领会计所出具的《评价报告》：经专项审核，光领会计所认为，在相关单位对项目收益预测及其所依据的各项假设前提下，本次评价的</w:t>
      </w:r>
      <w:r>
        <w:rPr>
          <w:rFonts w:hint="eastAsia" w:ascii="Times New Roman" w:hAnsi="Times New Roman" w:cs="Times New Roman"/>
          <w:szCs w:val="24"/>
          <w:lang w:eastAsia="zh-CN"/>
        </w:rPr>
        <w:t>广州市花都区现代物流港建设及配套工程</w:t>
      </w:r>
      <w:r>
        <w:rPr>
          <w:rFonts w:hint="eastAsia" w:ascii="Times New Roman" w:hAnsi="Times New Roman" w:cs="Times New Roman"/>
          <w:szCs w:val="24"/>
        </w:rPr>
        <w:t>，预期土地出让收入对应的政府性基金收入和其他收入（综合配套收入）能够合理保障偿还融资本金和利息，实现项目收益和融资自求平衡。</w:t>
      </w:r>
    </w:p>
    <w:p w14:paraId="22141410">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综上，本次债券发行对应融资项目为公益性项目，</w:t>
      </w:r>
      <w:r>
        <w:rPr>
          <w:rFonts w:hint="eastAsia" w:ascii="Times New Roman" w:hAnsi="Times New Roman" w:cs="Times New Roman"/>
          <w:szCs w:val="24"/>
        </w:rPr>
        <w:t>经光领会计所评价，</w:t>
      </w:r>
      <w:r>
        <w:rPr>
          <w:rFonts w:ascii="Times New Roman" w:hAnsi="Times New Roman" w:cs="Times New Roman"/>
          <w:szCs w:val="24"/>
        </w:rPr>
        <w:t>预期收益能够合理保障偿还融资本金和利息，实现项目收益和融资自求平衡，符合《关于试点发展项目收益与融资自求平衡的地方政府专项债券品种的通知》（财预〔2017〕89号）的有关规定。</w:t>
      </w:r>
    </w:p>
    <w:p w14:paraId="7752600F">
      <w:pPr>
        <w:spacing w:before="190" w:beforeLines="50" w:after="190" w:afterLines="50" w:line="360" w:lineRule="auto"/>
        <w:ind w:firstLine="480"/>
        <w:rPr>
          <w:rFonts w:ascii="Times New Roman" w:hAnsi="Times New Roman" w:cs="Times New Roman"/>
          <w:szCs w:val="24"/>
        </w:rPr>
      </w:pPr>
    </w:p>
    <w:p w14:paraId="2E3C0CC5">
      <w:pPr>
        <w:pStyle w:val="2"/>
      </w:pPr>
      <w:bookmarkStart w:id="57" w:name="_Toc26176"/>
      <w:bookmarkStart w:id="58" w:name="_Toc32082"/>
      <w:bookmarkStart w:id="59" w:name="_Toc17879"/>
      <w:bookmarkStart w:id="60" w:name="_Toc21280"/>
      <w:bookmarkStart w:id="61" w:name="_Toc22188"/>
      <w:bookmarkStart w:id="62" w:name="_Toc26025"/>
      <w:bookmarkStart w:id="63" w:name="_Toc26996"/>
      <w:bookmarkStart w:id="64" w:name="_Toc4148"/>
      <w:r>
        <w:t>五、</w:t>
      </w:r>
      <w:bookmarkEnd w:id="57"/>
      <w:bookmarkEnd w:id="58"/>
      <w:bookmarkEnd w:id="59"/>
      <w:bookmarkEnd w:id="60"/>
      <w:bookmarkEnd w:id="61"/>
      <w:bookmarkStart w:id="65" w:name="_Toc23"/>
      <w:bookmarkStart w:id="66" w:name="_Toc115"/>
      <w:bookmarkStart w:id="67" w:name="_Toc15837"/>
      <w:bookmarkStart w:id="68" w:name="_Toc20190"/>
      <w:bookmarkStart w:id="69" w:name="_Toc22096"/>
      <w:r>
        <w:t>发行文件及发行</w:t>
      </w:r>
      <w:r>
        <w:rPr>
          <w:rFonts w:hint="eastAsia"/>
        </w:rPr>
        <w:t>服务</w:t>
      </w:r>
      <w:r>
        <w:t>机构</w:t>
      </w:r>
      <w:bookmarkEnd w:id="62"/>
      <w:bookmarkEnd w:id="63"/>
      <w:bookmarkEnd w:id="64"/>
      <w:bookmarkEnd w:id="65"/>
      <w:bookmarkEnd w:id="66"/>
      <w:bookmarkEnd w:id="67"/>
      <w:bookmarkEnd w:id="68"/>
      <w:bookmarkEnd w:id="69"/>
    </w:p>
    <w:p w14:paraId="50C2BC01">
      <w:pPr>
        <w:spacing w:before="190" w:beforeLines="50" w:after="190" w:afterLines="50" w:line="360" w:lineRule="auto"/>
        <w:ind w:firstLine="482"/>
        <w:rPr>
          <w:rFonts w:ascii="Times New Roman" w:hAnsi="Times New Roman" w:cs="Times New Roman"/>
          <w:b/>
          <w:bCs/>
          <w:szCs w:val="24"/>
        </w:rPr>
      </w:pPr>
      <w:r>
        <w:rPr>
          <w:rFonts w:hint="eastAsia" w:ascii="Times New Roman" w:hAnsi="Times New Roman" w:cs="Times New Roman"/>
          <w:b/>
          <w:bCs/>
          <w:szCs w:val="24"/>
        </w:rPr>
        <w:t>（一）实施方案</w:t>
      </w:r>
    </w:p>
    <w:p w14:paraId="59B3556B">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本项目《实施方案》包含了项目基本情况、项目实施重要性和经济社会效益分析、项目投资估算、资金筹措方案及使用计划、项目收益与融资平衡情况、专项债券管理、项目风险控制、事前绩效评估报告等。</w:t>
      </w:r>
    </w:p>
    <w:p w14:paraId="4FE0C8A8">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本所律师认为，《实施方案》内容具体明确，已包含本次债券发行所涉及的主要内容。</w:t>
      </w:r>
    </w:p>
    <w:p w14:paraId="7D7EA640">
      <w:pPr>
        <w:spacing w:before="190" w:beforeLines="50" w:after="190" w:afterLines="50" w:line="360" w:lineRule="auto"/>
        <w:ind w:firstLine="482"/>
        <w:rPr>
          <w:rFonts w:ascii="Times New Roman" w:hAnsi="Times New Roman" w:cs="Times New Roman"/>
          <w:b/>
          <w:bCs/>
          <w:szCs w:val="24"/>
        </w:rPr>
      </w:pPr>
      <w:r>
        <w:rPr>
          <w:rFonts w:hint="eastAsia" w:ascii="Times New Roman" w:hAnsi="Times New Roman" w:cs="Times New Roman"/>
          <w:b/>
          <w:bCs/>
          <w:szCs w:val="24"/>
        </w:rPr>
        <w:t>（二）财务专项评价报告</w:t>
      </w:r>
    </w:p>
    <w:p w14:paraId="7EBCE18D">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光领会计所出具了《评价报告》。光领会计所持有广州市越秀区市场监督管理局核发的统一社会信用代码为91440101716357654X的《营业执照》和广东省财政厅颁发的证书编号为44010048的《会计师事务所执业证书》，光领会计所为在中国境内依法设立且有效存续的会计师事务所。</w:t>
      </w:r>
    </w:p>
    <w:p w14:paraId="2F25EB9D">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本所律师认为，光领会计所具有为本项目发行出具《评价报告》的从业资格。</w:t>
      </w:r>
    </w:p>
    <w:p w14:paraId="5CCCB695">
      <w:pPr>
        <w:spacing w:before="190" w:beforeLines="50" w:after="190" w:afterLines="50" w:line="360" w:lineRule="auto"/>
        <w:ind w:firstLine="482"/>
        <w:rPr>
          <w:rFonts w:ascii="Times New Roman" w:hAnsi="Times New Roman" w:cs="Times New Roman"/>
          <w:b/>
          <w:bCs/>
          <w:szCs w:val="24"/>
        </w:rPr>
      </w:pPr>
      <w:r>
        <w:rPr>
          <w:rFonts w:hint="eastAsia" w:ascii="Times New Roman" w:hAnsi="Times New Roman" w:cs="Times New Roman"/>
          <w:b/>
          <w:bCs/>
          <w:szCs w:val="24"/>
        </w:rPr>
        <w:t>（三）法律意见书</w:t>
      </w:r>
    </w:p>
    <w:p w14:paraId="34855616">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法律意见书由本所出具。本所是经广东省司法厅</w:t>
      </w:r>
      <w:r>
        <w:rPr>
          <w:rFonts w:ascii="Times New Roman" w:hAnsi="Times New Roman" w:cs="Times New Roman"/>
          <w:szCs w:val="24"/>
        </w:rPr>
        <w:t>批准设立并合法存续的合伙制律师事务所，现持有广东省司法厅颁发的《律师事务所执业许可证》（证号：31440000729897588T），并已通过历年年审。本所指派的两位经办律师均持有广东省司法厅颁发的《中华人民共和国律师执业证》，并已通过历年年审。</w:t>
      </w:r>
    </w:p>
    <w:p w14:paraId="7A44494E">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本所律师认为，本所系依法成立且有效存续的律师事务所，具备为本项目发行出具法律意见书的资质；本法律意见书上签字的两名执业律师均具备相应的执业资格。</w:t>
      </w:r>
    </w:p>
    <w:p w14:paraId="28BD21D5">
      <w:pPr>
        <w:spacing w:before="190" w:beforeLines="50" w:after="190" w:afterLines="50" w:line="360" w:lineRule="auto"/>
        <w:ind w:firstLine="480"/>
        <w:rPr>
          <w:rFonts w:ascii="Times New Roman" w:hAnsi="Times New Roman" w:cs="Times New Roman"/>
          <w:szCs w:val="24"/>
        </w:rPr>
      </w:pPr>
    </w:p>
    <w:p w14:paraId="7AC7C2D0">
      <w:pPr>
        <w:pStyle w:val="2"/>
      </w:pPr>
      <w:bookmarkStart w:id="70" w:name="_Toc25030"/>
      <w:bookmarkStart w:id="71" w:name="_Toc6545"/>
      <w:bookmarkStart w:id="72" w:name="_Toc4917"/>
      <w:bookmarkStart w:id="73" w:name="_Toc8742"/>
      <w:bookmarkStart w:id="74" w:name="_Toc2694"/>
      <w:bookmarkStart w:id="75" w:name="_Toc16779"/>
      <w:bookmarkStart w:id="76" w:name="_Toc14258"/>
      <w:bookmarkStart w:id="77" w:name="_Toc28840"/>
      <w:r>
        <w:t>六、项目风险提示</w:t>
      </w:r>
      <w:bookmarkEnd w:id="70"/>
      <w:bookmarkEnd w:id="71"/>
      <w:bookmarkEnd w:id="72"/>
      <w:bookmarkEnd w:id="73"/>
      <w:bookmarkEnd w:id="74"/>
      <w:bookmarkEnd w:id="75"/>
      <w:bookmarkEnd w:id="76"/>
      <w:bookmarkEnd w:id="77"/>
    </w:p>
    <w:p w14:paraId="1D2E6777">
      <w:pPr>
        <w:numPr>
          <w:ilvl w:val="255"/>
          <w:numId w:val="0"/>
        </w:numPr>
        <w:spacing w:before="190" w:beforeLines="50" w:after="190" w:afterLines="50" w:line="360" w:lineRule="auto"/>
        <w:ind w:firstLine="480" w:firstLineChars="200"/>
        <w:rPr>
          <w:rFonts w:ascii="Times New Roman" w:hAnsi="Times New Roman" w:cs="Times New Roman"/>
          <w:szCs w:val="24"/>
        </w:rPr>
      </w:pPr>
      <w:r>
        <w:rPr>
          <w:rFonts w:ascii="Times New Roman" w:hAnsi="Times New Roman" w:cs="Times New Roman"/>
          <w:szCs w:val="24"/>
        </w:rPr>
        <w:t>根据《实施方案》，</w:t>
      </w:r>
      <w:r>
        <w:rPr>
          <w:rFonts w:hint="eastAsia" w:ascii="Times New Roman" w:hAnsi="Times New Roman" w:cs="Times New Roman"/>
          <w:szCs w:val="24"/>
        </w:rPr>
        <w:t>本项目具有公益性，回收周期长，本项目预期项目经营性收益可能产生波动，将影响项目的收益，进而影响项目资金的平衡；自然环境、施工条件、资金落实等影响项目施工进度或正常进行的风险；物价波动、设计变更等因素导致投资测算不准确从而影响融资平衡结果的风险。</w:t>
      </w:r>
    </w:p>
    <w:p w14:paraId="290AB21F">
      <w:pPr>
        <w:pStyle w:val="24"/>
        <w:numPr>
          <w:ilvl w:val="255"/>
          <w:numId w:val="0"/>
        </w:numPr>
        <w:spacing w:before="190" w:beforeLines="50" w:after="190" w:afterLines="50"/>
        <w:ind w:firstLine="480" w:firstLineChars="200"/>
        <w:rPr>
          <w:rFonts w:ascii="Times New Roman" w:hAnsi="Times New Roman" w:eastAsia="宋体" w:cs="Times New Roman"/>
          <w:color w:val="auto"/>
          <w:kern w:val="2"/>
        </w:rPr>
      </w:pPr>
    </w:p>
    <w:p w14:paraId="1A60080F">
      <w:pPr>
        <w:pStyle w:val="2"/>
      </w:pPr>
      <w:bookmarkStart w:id="78" w:name="_Toc18653"/>
      <w:bookmarkStart w:id="79" w:name="_Toc30967"/>
      <w:bookmarkStart w:id="80" w:name="_Toc25534"/>
      <w:bookmarkStart w:id="81" w:name="_Toc28147"/>
      <w:bookmarkStart w:id="82" w:name="_Toc20321"/>
      <w:bookmarkStart w:id="83" w:name="_Toc21982"/>
      <w:bookmarkStart w:id="84" w:name="_Toc27570"/>
      <w:bookmarkStart w:id="85" w:name="_Toc28568"/>
      <w:r>
        <w:t>七、总体结论性意见</w:t>
      </w:r>
      <w:bookmarkEnd w:id="78"/>
      <w:bookmarkEnd w:id="79"/>
      <w:bookmarkEnd w:id="80"/>
      <w:bookmarkEnd w:id="81"/>
      <w:bookmarkEnd w:id="82"/>
      <w:bookmarkEnd w:id="83"/>
      <w:bookmarkEnd w:id="84"/>
      <w:bookmarkEnd w:id="85"/>
    </w:p>
    <w:p w14:paraId="7121F526">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综上所述，本所律师认为：</w:t>
      </w:r>
    </w:p>
    <w:p w14:paraId="3EC69A81">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1</w:t>
      </w:r>
      <w:r>
        <w:rPr>
          <w:rFonts w:ascii="Times New Roman" w:hAnsi="Times New Roman" w:cs="Times New Roman"/>
          <w:szCs w:val="24"/>
        </w:rPr>
        <w:t>.本次债券发行的发行主体广东省人民政府具备发行地方政府专项债券的主体资格。</w:t>
      </w:r>
    </w:p>
    <w:p w14:paraId="64222FB0">
      <w:pPr>
        <w:spacing w:before="190" w:beforeLines="50" w:after="190" w:afterLines="50" w:line="360" w:lineRule="auto"/>
        <w:ind w:firstLine="480"/>
        <w:rPr>
          <w:rFonts w:ascii="Times New Roman" w:hAnsi="Times New Roman" w:cs="Times New Roman"/>
          <w:szCs w:val="24"/>
          <w:lang w:eastAsia="zh-Hans"/>
        </w:rPr>
      </w:pPr>
      <w:r>
        <w:rPr>
          <w:rFonts w:ascii="Times New Roman" w:hAnsi="Times New Roman" w:cs="Times New Roman"/>
          <w:szCs w:val="24"/>
        </w:rPr>
        <w:t>2.募投项目的</w:t>
      </w:r>
      <w:r>
        <w:rPr>
          <w:rFonts w:hint="eastAsia" w:ascii="Times New Roman" w:hAnsi="Times New Roman" w:cs="Times New Roman"/>
          <w:szCs w:val="24"/>
        </w:rPr>
        <w:t>主管部门</w:t>
      </w:r>
      <w:r>
        <w:rPr>
          <w:rFonts w:hint="eastAsia" w:ascii="Times New Roman" w:hAnsi="Times New Roman" w:cs="Times New Roman"/>
          <w:szCs w:val="24"/>
          <w:lang w:val="en-US" w:eastAsia="zh-CN"/>
        </w:rPr>
        <w:t>和</w:t>
      </w:r>
      <w:r>
        <w:rPr>
          <w:rFonts w:hint="eastAsia" w:ascii="Times New Roman" w:hAnsi="Times New Roman" w:cs="Times New Roman"/>
          <w:szCs w:val="24"/>
        </w:rPr>
        <w:t>实施主体</w:t>
      </w:r>
      <w:r>
        <w:rPr>
          <w:rFonts w:hint="eastAsia" w:ascii="Times New Roman" w:hAnsi="Times New Roman" w:cs="Times New Roman"/>
          <w:szCs w:val="24"/>
          <w:lang w:val="en-US" w:eastAsia="zh-CN"/>
        </w:rPr>
        <w:t>均</w:t>
      </w:r>
      <w:r>
        <w:rPr>
          <w:rFonts w:hint="eastAsia" w:ascii="Times New Roman" w:hAnsi="Times New Roman" w:cs="Times New Roman"/>
          <w:szCs w:val="24"/>
        </w:rPr>
        <w:t>为</w:t>
      </w:r>
      <w:r>
        <w:rPr>
          <w:rFonts w:hint="eastAsia"/>
          <w:kern w:val="2"/>
          <w:lang w:eastAsia="zh-CN"/>
        </w:rPr>
        <w:t>广州市花都区花东镇人民政府</w:t>
      </w:r>
      <w:r>
        <w:rPr>
          <w:rFonts w:hint="eastAsia" w:ascii="Times New Roman" w:hAnsi="Times New Roman" w:cs="Times New Roman"/>
          <w:szCs w:val="24"/>
        </w:rPr>
        <w:t>，具备管理、实施对应募投项目的主体资格。</w:t>
      </w:r>
      <w:bookmarkStart w:id="87" w:name="_GoBack"/>
      <w:bookmarkEnd w:id="87"/>
    </w:p>
    <w:p w14:paraId="0E8C5133">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3</w:t>
      </w:r>
      <w:r>
        <w:rPr>
          <w:rFonts w:ascii="Times New Roman" w:hAnsi="Times New Roman" w:cs="Times New Roman"/>
          <w:szCs w:val="24"/>
        </w:rPr>
        <w:t>.</w:t>
      </w:r>
      <w:r>
        <w:rPr>
          <w:rFonts w:ascii="Times New Roman" w:hAnsi="Times New Roman" w:cs="Times New Roman"/>
          <w:spacing w:val="-11"/>
          <w:szCs w:val="24"/>
          <w:lang w:val="zh-CN" w:bidi="zh-CN"/>
        </w:rPr>
        <w:t>本次</w:t>
      </w:r>
      <w:r>
        <w:rPr>
          <w:rFonts w:ascii="Times New Roman" w:hAnsi="Times New Roman" w:cs="Times New Roman"/>
          <w:spacing w:val="-11"/>
          <w:szCs w:val="24"/>
          <w:lang w:bidi="zh-CN"/>
        </w:rPr>
        <w:t>债券</w:t>
      </w:r>
      <w:r>
        <w:rPr>
          <w:rFonts w:ascii="Times New Roman" w:hAnsi="Times New Roman" w:cs="Times New Roman"/>
          <w:spacing w:val="-11"/>
          <w:szCs w:val="24"/>
          <w:lang w:val="zh-CN" w:bidi="zh-CN"/>
        </w:rPr>
        <w:t>发行募集资金用于</w:t>
      </w:r>
      <w:bookmarkStart w:id="86" w:name="_Hlk123220291"/>
      <w:r>
        <w:rPr>
          <w:rFonts w:hint="eastAsia" w:ascii="Times New Roman" w:hAnsi="Times New Roman" w:cs="Times New Roman"/>
          <w:spacing w:val="-11"/>
          <w:szCs w:val="24"/>
          <w:lang w:val="zh-CN" w:bidi="zh-CN"/>
        </w:rPr>
        <w:t>广州市花都区现代物流港建设及配套工程，</w:t>
      </w:r>
      <w:r>
        <w:rPr>
          <w:rFonts w:hint="eastAsia" w:ascii="Times New Roman" w:hAnsi="Times New Roman" w:cs="Times New Roman"/>
          <w:spacing w:val="-11"/>
          <w:szCs w:val="24"/>
          <w:lang w:bidi="zh-CN"/>
        </w:rPr>
        <w:t>本项目</w:t>
      </w:r>
      <w:r>
        <w:rPr>
          <w:rFonts w:hint="eastAsia" w:ascii="Times New Roman" w:hAnsi="Times New Roman" w:cs="Times New Roman"/>
          <w:szCs w:val="24"/>
        </w:rPr>
        <w:t>已经开展</w:t>
      </w:r>
      <w:r>
        <w:rPr>
          <w:rFonts w:hint="eastAsia" w:ascii="Times New Roman" w:hAnsi="Times New Roman" w:cs="Times New Roman"/>
          <w:szCs w:val="24"/>
          <w:lang w:bidi="zh-CN"/>
        </w:rPr>
        <w:t>立项相关工作</w:t>
      </w:r>
      <w:r>
        <w:rPr>
          <w:rFonts w:hint="eastAsia" w:ascii="Times New Roman" w:hAnsi="Times New Roman" w:cs="Times New Roman"/>
          <w:szCs w:val="24"/>
        </w:rPr>
        <w:t>，</w:t>
      </w:r>
      <w:r>
        <w:rPr>
          <w:rFonts w:hint="eastAsia" w:ascii="Times New Roman" w:hAnsi="Times New Roman" w:cs="Times New Roman"/>
          <w:szCs w:val="24"/>
          <w:lang w:val="en-US" w:eastAsia="zh-CN"/>
        </w:rPr>
        <w:t>具</w:t>
      </w:r>
      <w:r>
        <w:rPr>
          <w:rFonts w:hint="eastAsia" w:ascii="Times New Roman" w:hAnsi="Times New Roman" w:cs="Times New Roman"/>
          <w:szCs w:val="24"/>
        </w:rPr>
        <w:t>有实施项目的资金需求；后续项目需根据建设进度，按照有关法律、法规的规定办理审批手续。</w:t>
      </w:r>
      <w:bookmarkEnd w:id="86"/>
    </w:p>
    <w:p w14:paraId="3813D856">
      <w:pPr>
        <w:numPr>
          <w:ilvl w:val="255"/>
          <w:numId w:val="0"/>
        </w:numPr>
        <w:spacing w:before="190" w:beforeLines="50" w:after="190" w:afterLines="50" w:line="360" w:lineRule="auto"/>
        <w:ind w:firstLine="480" w:firstLineChars="200"/>
        <w:rPr>
          <w:rFonts w:ascii="Times New Roman" w:hAnsi="Times New Roman" w:cs="Times New Roman"/>
          <w:szCs w:val="24"/>
        </w:rPr>
      </w:pPr>
      <w:r>
        <w:rPr>
          <w:rFonts w:ascii="Times New Roman" w:hAnsi="Times New Roman" w:cs="Times New Roman"/>
          <w:szCs w:val="24"/>
        </w:rPr>
        <w:t>4.本</w:t>
      </w:r>
      <w:r>
        <w:rPr>
          <w:rFonts w:hint="eastAsia" w:ascii="Times New Roman" w:hAnsi="Times New Roman" w:cs="Times New Roman"/>
          <w:szCs w:val="24"/>
        </w:rPr>
        <w:t>次</w:t>
      </w:r>
      <w:r>
        <w:rPr>
          <w:rFonts w:ascii="Times New Roman" w:hAnsi="Times New Roman" w:cs="Times New Roman"/>
          <w:szCs w:val="24"/>
        </w:rPr>
        <w:t>债券经光领会计所评价可满足项目收益与融资自求平衡的要求，符合《关于试点发展项目收益与融资自求平衡的地方政府专项债券品种的通知》（财预〔2017〕89号）的规定。</w:t>
      </w:r>
    </w:p>
    <w:p w14:paraId="6C5F27AB">
      <w:pPr>
        <w:numPr>
          <w:ilvl w:val="255"/>
          <w:numId w:val="0"/>
        </w:numPr>
        <w:spacing w:before="190" w:beforeLines="50" w:after="190" w:afterLines="50" w:line="360" w:lineRule="auto"/>
        <w:ind w:firstLine="480" w:firstLineChars="200"/>
        <w:rPr>
          <w:rFonts w:ascii="Times New Roman" w:hAnsi="Times New Roman" w:cs="Times New Roman"/>
          <w:szCs w:val="24"/>
        </w:rPr>
      </w:pPr>
      <w:r>
        <w:rPr>
          <w:rFonts w:ascii="Times New Roman" w:hAnsi="Times New Roman" w:cs="Times New Roman"/>
          <w:szCs w:val="24"/>
        </w:rPr>
        <w:t>5.《实施方案》对本次债券发行进行了事前绩效评估，已披露项目情况、项目投资估算及资金筹措方案、项目预期收益与融资平衡情况等主要内容，符合《地方政府债券发行管理办法》（财库〔2020〕43号）、《财政部关于印发</w:t>
      </w:r>
      <w:r>
        <w:rPr>
          <w:rFonts w:hint="eastAsia" w:ascii="Times New Roman" w:hAnsi="Times New Roman" w:cs="Times New Roman"/>
          <w:szCs w:val="24"/>
        </w:rPr>
        <w:t>〈</w:t>
      </w:r>
      <w:r>
        <w:rPr>
          <w:rFonts w:ascii="Times New Roman" w:hAnsi="Times New Roman" w:cs="Times New Roman"/>
          <w:szCs w:val="24"/>
        </w:rPr>
        <w:t>地方政府专项债券项目资金绩效管理办法</w:t>
      </w:r>
      <w:r>
        <w:rPr>
          <w:rFonts w:hint="eastAsia" w:ascii="Times New Roman" w:hAnsi="Times New Roman" w:cs="Times New Roman"/>
          <w:szCs w:val="24"/>
        </w:rPr>
        <w:t>〉</w:t>
      </w:r>
      <w:r>
        <w:rPr>
          <w:rFonts w:ascii="Times New Roman" w:hAnsi="Times New Roman" w:cs="Times New Roman"/>
          <w:szCs w:val="24"/>
        </w:rPr>
        <w:t>的通知》</w:t>
      </w:r>
      <w:r>
        <w:rPr>
          <w:rFonts w:hint="eastAsia" w:ascii="Times New Roman" w:hAnsi="Times New Roman" w:cs="Times New Roman"/>
          <w:szCs w:val="24"/>
        </w:rPr>
        <w:t>（</w:t>
      </w:r>
      <w:r>
        <w:rPr>
          <w:rFonts w:ascii="Times New Roman" w:hAnsi="Times New Roman" w:cs="Times New Roman"/>
          <w:szCs w:val="24"/>
        </w:rPr>
        <w:t>财预〔2021〕61号</w:t>
      </w:r>
      <w:r>
        <w:rPr>
          <w:rFonts w:hint="eastAsia" w:ascii="Times New Roman" w:hAnsi="Times New Roman" w:cs="Times New Roman"/>
          <w:szCs w:val="24"/>
        </w:rPr>
        <w:t>）</w:t>
      </w:r>
      <w:r>
        <w:rPr>
          <w:rFonts w:ascii="Times New Roman" w:hAnsi="Times New Roman" w:cs="Times New Roman"/>
          <w:szCs w:val="24"/>
        </w:rPr>
        <w:t>等规范性文件对地方政府专项债券信息披露的要求。</w:t>
      </w:r>
    </w:p>
    <w:p w14:paraId="1981AF74">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6.为本次债券发行提供财务专项评价报告、法律意见书的</w:t>
      </w:r>
      <w:r>
        <w:rPr>
          <w:rFonts w:hint="eastAsia" w:ascii="Times New Roman" w:hAnsi="Times New Roman" w:cs="Times New Roman"/>
          <w:szCs w:val="24"/>
        </w:rPr>
        <w:t>服务</w:t>
      </w:r>
      <w:r>
        <w:rPr>
          <w:rFonts w:ascii="Times New Roman" w:hAnsi="Times New Roman" w:cs="Times New Roman"/>
          <w:szCs w:val="24"/>
        </w:rPr>
        <w:t>机构均具备相应的执业资格。</w:t>
      </w:r>
    </w:p>
    <w:p w14:paraId="1F34B103">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7.本项目发行的风险因素包括</w:t>
      </w:r>
      <w:r>
        <w:rPr>
          <w:rFonts w:hint="eastAsia" w:ascii="Times New Roman" w:hAnsi="Times New Roman" w:cs="Times New Roman"/>
          <w:szCs w:val="24"/>
        </w:rPr>
        <w:t>潜在的工程实施风险、组织及管理风险、财务及融资风险、收益实现规模与预期存在差异的风险、收益专项用于偿债的操作风险、利率波动风险等</w:t>
      </w:r>
      <w:r>
        <w:rPr>
          <w:rFonts w:ascii="Times New Roman" w:hAnsi="Times New Roman" w:cs="Times New Roman"/>
          <w:szCs w:val="24"/>
        </w:rPr>
        <w:t>。</w:t>
      </w:r>
    </w:p>
    <w:p w14:paraId="43777896">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本法律意见书自本所盖章及经办律师签字后生效；本法律意见书一式三份，本所留存一份，其余两份供发行人为本次债券发行之目的而使用。</w:t>
      </w:r>
    </w:p>
    <w:p w14:paraId="5959EAAE">
      <w:pPr>
        <w:widowControl/>
        <w:spacing w:before="190" w:beforeLines="50" w:after="190" w:afterLines="50" w:line="360" w:lineRule="auto"/>
        <w:ind w:firstLine="0" w:firstLineChars="0"/>
        <w:jc w:val="center"/>
        <w:rPr>
          <w:rFonts w:ascii="Times New Roman" w:hAnsi="Times New Roman" w:cs="Times New Roman"/>
          <w:szCs w:val="24"/>
        </w:rPr>
      </w:pPr>
      <w:r>
        <w:rPr>
          <w:rFonts w:ascii="Times New Roman" w:hAnsi="Times New Roman" w:cs="Times New Roman"/>
          <w:szCs w:val="24"/>
        </w:rPr>
        <w:t>（本页本行以下无正文）</w:t>
      </w:r>
    </w:p>
    <w:p w14:paraId="698D0D65">
      <w:pPr>
        <w:widowControl/>
        <w:spacing w:line="240" w:lineRule="auto"/>
        <w:ind w:firstLine="0" w:firstLineChars="0"/>
        <w:jc w:val="left"/>
        <w:rPr>
          <w:rFonts w:ascii="Times New Roman" w:hAnsi="Times New Roman"/>
          <w:szCs w:val="24"/>
        </w:rPr>
      </w:pPr>
      <w:r>
        <w:rPr>
          <w:rFonts w:ascii="Times New Roman" w:hAnsi="Times New Roman"/>
          <w:szCs w:val="24"/>
        </w:rPr>
        <w:br w:type="page"/>
      </w:r>
    </w:p>
    <w:p w14:paraId="6347C304">
      <w:pPr>
        <w:pStyle w:val="24"/>
        <w:spacing w:before="190" w:beforeLines="50" w:after="190" w:afterLines="50" w:line="360" w:lineRule="auto"/>
        <w:jc w:val="center"/>
        <w:rPr>
          <w:rFonts w:ascii="Times New Roman" w:hAnsi="Times New Roman" w:eastAsia="宋体" w:cs="Times New Roman"/>
          <w:b/>
          <w:bCs/>
          <w:color w:val="auto"/>
        </w:rPr>
      </w:pPr>
      <w:r>
        <w:rPr>
          <w:rFonts w:ascii="Times New Roman" w:hAnsi="Times New Roman" w:eastAsia="宋体" w:cs="Times New Roman"/>
          <w:b/>
          <w:bCs/>
          <w:color w:val="auto"/>
          <w:kern w:val="2"/>
        </w:rPr>
        <w:t>（本页无正文，为北京大成（广州）律师事务所出具的《</w:t>
      </w:r>
      <w:r>
        <w:rPr>
          <w:rFonts w:ascii="Times New Roman" w:hAnsi="Times New Roman" w:eastAsia="宋体" w:cs="Times New Roman"/>
          <w:b/>
          <w:bCs/>
          <w:kern w:val="2"/>
        </w:rPr>
        <w:t>法律意见</w:t>
      </w:r>
      <w:r>
        <w:rPr>
          <w:rFonts w:ascii="Times New Roman" w:hAnsi="Times New Roman" w:eastAsia="宋体" w:cs="Times New Roman"/>
          <w:b/>
          <w:bCs/>
          <w:color w:val="auto"/>
          <w:kern w:val="2"/>
        </w:rPr>
        <w:t>书》</w:t>
      </w:r>
      <w:r>
        <w:rPr>
          <w:rFonts w:ascii="Times New Roman" w:hAnsi="Times New Roman" w:eastAsia="宋体" w:cs="Times New Roman"/>
          <w:b/>
          <w:bCs/>
          <w:color w:val="auto"/>
        </w:rPr>
        <w:t>之签署页）</w:t>
      </w:r>
    </w:p>
    <w:p w14:paraId="53115CCC">
      <w:pPr>
        <w:pStyle w:val="24"/>
        <w:spacing w:before="50" w:after="190" w:afterLines="50" w:line="460" w:lineRule="exact"/>
        <w:rPr>
          <w:rFonts w:ascii="Times New Roman" w:hAnsi="Times New Roman" w:eastAsia="宋体" w:cs="Times New Roman"/>
          <w:color w:val="auto"/>
        </w:rPr>
      </w:pPr>
    </w:p>
    <w:p w14:paraId="5C21F0F9">
      <w:pPr>
        <w:pStyle w:val="24"/>
        <w:spacing w:before="50" w:after="190" w:afterLines="50" w:line="460" w:lineRule="exact"/>
        <w:rPr>
          <w:rFonts w:ascii="Times New Roman" w:hAnsi="Times New Roman" w:eastAsia="宋体" w:cs="Times New Roman"/>
          <w:color w:val="auto"/>
        </w:rPr>
      </w:pPr>
    </w:p>
    <w:p w14:paraId="1D266BC2">
      <w:pPr>
        <w:pStyle w:val="24"/>
        <w:spacing w:before="50" w:after="190" w:afterLines="50" w:line="460" w:lineRule="exact"/>
        <w:rPr>
          <w:rFonts w:ascii="Times New Roman" w:hAnsi="Times New Roman" w:eastAsia="宋体" w:cs="Times New Roman"/>
          <w:color w:val="auto"/>
        </w:rPr>
      </w:pPr>
      <w:r>
        <w:rPr>
          <w:rFonts w:ascii="Times New Roman" w:hAnsi="Times New Roman" w:eastAsia="宋体" w:cs="Times New Roman"/>
          <w:color w:val="auto"/>
        </w:rPr>
        <w:t>北京大成（广州）律师事务所</w:t>
      </w:r>
    </w:p>
    <w:p w14:paraId="6600A925">
      <w:pPr>
        <w:pStyle w:val="24"/>
        <w:spacing w:before="50" w:after="190" w:afterLines="50" w:line="460" w:lineRule="exact"/>
        <w:rPr>
          <w:rFonts w:ascii="Times New Roman" w:hAnsi="Times New Roman" w:eastAsia="宋体" w:cs="Times New Roman"/>
          <w:color w:val="auto"/>
        </w:rPr>
      </w:pPr>
    </w:p>
    <w:p w14:paraId="4265EF12">
      <w:pPr>
        <w:pStyle w:val="24"/>
        <w:spacing w:before="50" w:after="190" w:afterLines="50" w:line="460" w:lineRule="exact"/>
        <w:rPr>
          <w:rFonts w:ascii="Times New Roman" w:hAnsi="Times New Roman" w:eastAsia="宋体" w:cs="Times New Roman"/>
          <w:color w:val="auto"/>
        </w:rPr>
      </w:pPr>
    </w:p>
    <w:p w14:paraId="5B915E54">
      <w:pPr>
        <w:pStyle w:val="24"/>
        <w:tabs>
          <w:tab w:val="left" w:pos="4820"/>
        </w:tabs>
        <w:spacing w:before="50" w:after="190" w:afterLines="50" w:line="460" w:lineRule="exact"/>
        <w:rPr>
          <w:rFonts w:ascii="Times New Roman" w:hAnsi="Times New Roman" w:eastAsia="宋体" w:cs="Times New Roman"/>
          <w:color w:val="auto"/>
        </w:rPr>
      </w:pPr>
      <w:r>
        <w:rPr>
          <w:rFonts w:ascii="Times New Roman" w:hAnsi="Times New Roman" w:eastAsia="宋体" w:cs="Times New Roman"/>
          <w:color w:val="auto"/>
        </w:rPr>
        <w:tab/>
      </w:r>
      <w:r>
        <w:rPr>
          <w:rFonts w:ascii="Times New Roman" w:hAnsi="Times New Roman" w:eastAsia="宋体" w:cs="Times New Roman"/>
          <w:color w:val="auto"/>
        </w:rPr>
        <w:t>经办律师：________________</w:t>
      </w:r>
    </w:p>
    <w:p w14:paraId="72DC9FB8">
      <w:pPr>
        <w:pStyle w:val="24"/>
        <w:tabs>
          <w:tab w:val="left" w:pos="4820"/>
        </w:tabs>
        <w:spacing w:before="50" w:after="190" w:afterLines="50" w:line="460" w:lineRule="exact"/>
        <w:rPr>
          <w:rFonts w:ascii="Times New Roman" w:hAnsi="Times New Roman" w:eastAsia="宋体" w:cs="Times New Roman"/>
          <w:color w:val="auto"/>
        </w:rPr>
      </w:pPr>
    </w:p>
    <w:p w14:paraId="14E84291">
      <w:pPr>
        <w:pStyle w:val="24"/>
        <w:tabs>
          <w:tab w:val="left" w:pos="4820"/>
        </w:tabs>
        <w:spacing w:before="50" w:after="190" w:afterLines="50" w:line="460" w:lineRule="exact"/>
        <w:rPr>
          <w:rFonts w:ascii="Times New Roman" w:hAnsi="Times New Roman" w:eastAsia="宋体" w:cs="Times New Roman"/>
          <w:color w:val="auto"/>
        </w:rPr>
      </w:pPr>
    </w:p>
    <w:p w14:paraId="2D4E7DBB">
      <w:pPr>
        <w:pStyle w:val="24"/>
        <w:tabs>
          <w:tab w:val="left" w:pos="4820"/>
        </w:tabs>
        <w:spacing w:before="50" w:after="190" w:afterLines="50" w:line="460" w:lineRule="exact"/>
        <w:rPr>
          <w:rFonts w:ascii="Times New Roman" w:hAnsi="Times New Roman" w:eastAsia="宋体" w:cs="Times New Roman"/>
          <w:color w:val="auto"/>
        </w:rPr>
      </w:pPr>
      <w:r>
        <w:rPr>
          <w:rFonts w:ascii="Times New Roman" w:hAnsi="Times New Roman" w:eastAsia="宋体" w:cs="Times New Roman"/>
          <w:color w:val="auto"/>
        </w:rPr>
        <w:tab/>
      </w:r>
      <w:r>
        <w:rPr>
          <w:rFonts w:ascii="Times New Roman" w:hAnsi="Times New Roman" w:eastAsia="宋体" w:cs="Times New Roman"/>
          <w:color w:val="auto"/>
        </w:rPr>
        <w:t>经办律师：________________</w:t>
      </w:r>
    </w:p>
    <w:p w14:paraId="373A4C98">
      <w:pPr>
        <w:pStyle w:val="24"/>
        <w:tabs>
          <w:tab w:val="left" w:pos="4820"/>
        </w:tabs>
        <w:spacing w:before="50" w:after="190" w:afterLines="50" w:line="460" w:lineRule="exact"/>
        <w:rPr>
          <w:rFonts w:ascii="Times New Roman" w:hAnsi="Times New Roman" w:eastAsia="宋体" w:cs="Times New Roman"/>
          <w:color w:val="auto"/>
        </w:rPr>
      </w:pPr>
    </w:p>
    <w:p w14:paraId="52993F01">
      <w:pPr>
        <w:pStyle w:val="24"/>
        <w:tabs>
          <w:tab w:val="left" w:pos="4820"/>
        </w:tabs>
        <w:spacing w:before="50" w:after="190" w:afterLines="50" w:line="460" w:lineRule="exact"/>
        <w:rPr>
          <w:rFonts w:ascii="Times New Roman" w:hAnsi="Times New Roman" w:eastAsia="宋体" w:cs="Times New Roman"/>
          <w:color w:val="auto"/>
        </w:rPr>
      </w:pPr>
    </w:p>
    <w:p w14:paraId="5C12F6C2">
      <w:pPr>
        <w:pStyle w:val="24"/>
        <w:tabs>
          <w:tab w:val="left" w:pos="4820"/>
        </w:tabs>
        <w:spacing w:before="50" w:after="190" w:afterLines="50" w:line="460" w:lineRule="exact"/>
        <w:rPr>
          <w:rFonts w:ascii="Times New Roman" w:hAnsi="Times New Roman" w:eastAsia="宋体" w:cs="Times New Roman"/>
          <w:color w:val="auto"/>
        </w:rPr>
      </w:pPr>
    </w:p>
    <w:p w14:paraId="5E9151CF">
      <w:pPr>
        <w:pStyle w:val="24"/>
        <w:tabs>
          <w:tab w:val="left" w:pos="5812"/>
        </w:tabs>
        <w:spacing w:before="50" w:after="190" w:afterLines="50" w:line="460" w:lineRule="exact"/>
        <w:ind w:firstLine="480"/>
        <w:rPr>
          <w:rFonts w:ascii="Times New Roman" w:hAnsi="Times New Roman" w:eastAsia="宋体" w:cs="Times New Roman"/>
          <w:kern w:val="2"/>
        </w:rPr>
      </w:pPr>
      <w:r>
        <w:rPr>
          <w:rFonts w:ascii="Times New Roman" w:hAnsi="Times New Roman" w:eastAsia="宋体" w:cs="Times New Roman"/>
          <w:color w:val="auto"/>
          <w:kern w:val="2"/>
        </w:rPr>
        <w:tab/>
      </w:r>
      <w:r>
        <w:rPr>
          <w:rFonts w:hint="eastAsia" w:ascii="Times New Roman" w:hAnsi="Times New Roman" w:eastAsia="宋体" w:cs="Times New Roman"/>
          <w:color w:val="auto"/>
          <w:kern w:val="2"/>
        </w:rPr>
        <w:t>2024</w:t>
      </w:r>
      <w:r>
        <w:rPr>
          <w:rFonts w:hint="eastAsia" w:ascii="Times New Roman" w:hAnsi="Times New Roman" w:eastAsia="宋体" w:cs="Times New Roman"/>
          <w:color w:val="auto"/>
          <w:kern w:val="2"/>
          <w:lang w:val="en-US" w:eastAsia="zh-CN"/>
        </w:rPr>
        <w:t xml:space="preserve">  </w:t>
      </w:r>
      <w:r>
        <w:rPr>
          <w:rFonts w:ascii="Times New Roman" w:hAnsi="Times New Roman" w:eastAsia="宋体" w:cs="Times New Roman"/>
          <w:color w:val="auto"/>
          <w:kern w:val="2"/>
        </w:rPr>
        <w:t>年</w:t>
      </w:r>
      <w:r>
        <w:rPr>
          <w:rFonts w:hint="eastAsia" w:ascii="Times New Roman" w:hAnsi="Times New Roman" w:eastAsia="宋体" w:cs="Times New Roman"/>
          <w:color w:val="auto"/>
          <w:kern w:val="2"/>
          <w:lang w:val="en-US" w:eastAsia="zh-CN"/>
        </w:rPr>
        <w:t xml:space="preserve">  8  </w:t>
      </w:r>
      <w:r>
        <w:rPr>
          <w:rFonts w:ascii="Times New Roman" w:hAnsi="Times New Roman" w:eastAsia="宋体" w:cs="Times New Roman"/>
          <w:color w:val="auto"/>
          <w:kern w:val="2"/>
        </w:rPr>
        <w:t>月</w:t>
      </w:r>
      <w:r>
        <w:rPr>
          <w:rFonts w:hint="eastAsia" w:ascii="Times New Roman" w:hAnsi="Times New Roman" w:eastAsia="宋体" w:cs="Times New Roman"/>
          <w:color w:val="auto"/>
          <w:kern w:val="2"/>
          <w:lang w:val="en-US" w:eastAsia="zh-CN"/>
        </w:rPr>
        <w:t xml:space="preserve">  </w:t>
      </w:r>
      <w:r>
        <w:rPr>
          <w:rFonts w:ascii="Times New Roman" w:hAnsi="Times New Roman" w:eastAsia="宋体" w:cs="Times New Roman"/>
          <w:color w:val="auto"/>
          <w:kern w:val="2"/>
        </w:rPr>
        <w:t>日</w:t>
      </w:r>
    </w:p>
    <w:p w14:paraId="07FC4A2B">
      <w:pPr>
        <w:pStyle w:val="24"/>
        <w:tabs>
          <w:tab w:val="left" w:pos="5812"/>
        </w:tabs>
        <w:spacing w:before="50" w:after="190" w:afterLines="50" w:line="460" w:lineRule="exact"/>
        <w:ind w:firstLine="480"/>
        <w:jc w:val="right"/>
        <w:rPr>
          <w:rFonts w:ascii="Times New Roman" w:hAnsi="Times New Roman" w:eastAsia="宋体" w:cs="Times New Roman"/>
          <w:kern w:val="2"/>
        </w:rPr>
      </w:pPr>
    </w:p>
    <w:sectPr>
      <w:footerReference r:id="rId7" w:type="first"/>
      <w:footerReference r:id="rId5" w:type="default"/>
      <w:footerReference r:id="rId6" w:type="even"/>
      <w:pgSz w:w="11906" w:h="16838"/>
      <w:pgMar w:top="1440" w:right="1800" w:bottom="1440" w:left="1803" w:header="850"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0"/>
        <w:rFonts w:ascii="Times New Roman" w:hAnsi="Times New Roman" w:cs="Times New Roman"/>
        <w:sz w:val="18"/>
      </w:rPr>
      <w:id w:val="1588721290"/>
    </w:sdtPr>
    <w:sdtEndPr>
      <w:rPr>
        <w:rStyle w:val="20"/>
        <w:rFonts w:ascii="Times New Roman" w:hAnsi="Times New Roman" w:cs="Times New Roman"/>
        <w:sz w:val="18"/>
      </w:rPr>
    </w:sdtEndPr>
    <w:sdtContent>
      <w:p w14:paraId="3EA0DFA2">
        <w:pPr>
          <w:pStyle w:val="9"/>
          <w:framePr w:wrap="auto" w:vAnchor="text" w:hAnchor="margin" w:xAlign="center" w:y="1"/>
          <w:rPr>
            <w:rStyle w:val="20"/>
            <w:rFonts w:ascii="Times New Roman" w:hAnsi="Times New Roman" w:cs="Times New Roman"/>
            <w:sz w:val="18"/>
          </w:rPr>
        </w:pPr>
        <w:r>
          <w:rPr>
            <w:rStyle w:val="20"/>
            <w:rFonts w:ascii="Times New Roman" w:hAnsi="Times New Roman" w:cs="Times New Roman"/>
            <w:sz w:val="18"/>
          </w:rPr>
          <w:fldChar w:fldCharType="begin"/>
        </w:r>
        <w:r>
          <w:rPr>
            <w:rStyle w:val="20"/>
            <w:rFonts w:ascii="Times New Roman" w:hAnsi="Times New Roman" w:cs="Times New Roman"/>
            <w:sz w:val="18"/>
          </w:rPr>
          <w:instrText xml:space="preserve"> PAGE </w:instrText>
        </w:r>
        <w:r>
          <w:rPr>
            <w:rStyle w:val="20"/>
            <w:rFonts w:ascii="Times New Roman" w:hAnsi="Times New Roman" w:cs="Times New Roman"/>
            <w:sz w:val="18"/>
          </w:rPr>
          <w:fldChar w:fldCharType="separate"/>
        </w:r>
        <w:r>
          <w:rPr>
            <w:rStyle w:val="20"/>
            <w:rFonts w:ascii="Times New Roman" w:hAnsi="Times New Roman" w:cs="Times New Roman"/>
            <w:sz w:val="18"/>
          </w:rPr>
          <w:t>2</w:t>
        </w:r>
        <w:r>
          <w:rPr>
            <w:rStyle w:val="20"/>
            <w:rFonts w:ascii="Times New Roman" w:hAnsi="Times New Roman" w:cs="Times New Roman"/>
            <w:sz w:val="18"/>
          </w:rPr>
          <w:fldChar w:fldCharType="end"/>
        </w:r>
      </w:p>
    </w:sdtContent>
  </w:sdt>
  <w:p w14:paraId="3CB00C77">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0"/>
      </w:rPr>
      <w:id w:val="885519751"/>
    </w:sdtPr>
    <w:sdtEndPr>
      <w:rPr>
        <w:rStyle w:val="20"/>
      </w:rPr>
    </w:sdtEndPr>
    <w:sdtContent>
      <w:p w14:paraId="32CEADA1">
        <w:pPr>
          <w:pStyle w:val="9"/>
          <w:framePr w:wrap="auto" w:vAnchor="text" w:hAnchor="margin" w:xAlign="center" w:y="1"/>
          <w:rPr>
            <w:rStyle w:val="20"/>
          </w:rPr>
        </w:pPr>
        <w:r>
          <w:rPr>
            <w:rStyle w:val="20"/>
          </w:rPr>
          <w:fldChar w:fldCharType="begin"/>
        </w:r>
        <w:r>
          <w:rPr>
            <w:rStyle w:val="20"/>
          </w:rPr>
          <w:instrText xml:space="preserve"> PAGE </w:instrText>
        </w:r>
        <w:r>
          <w:rPr>
            <w:rStyle w:val="20"/>
          </w:rPr>
          <w:fldChar w:fldCharType="separate"/>
        </w:r>
        <w:r>
          <w:rPr>
            <w:rStyle w:val="20"/>
          </w:rPr>
          <w:t>3</w:t>
        </w:r>
        <w:r>
          <w:rPr>
            <w:rStyle w:val="20"/>
          </w:rPr>
          <w:fldChar w:fldCharType="end"/>
        </w:r>
      </w:p>
    </w:sdtContent>
  </w:sdt>
  <w:p w14:paraId="3DE7C1A5">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505BE">
    <w:pPr>
      <w:pStyle w:val="9"/>
      <w:ind w:firstLine="48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625C50"/>
    <w:multiLevelType w:val="singleLevel"/>
    <w:tmpl w:val="B8625C50"/>
    <w:lvl w:ilvl="0" w:tentative="0">
      <w:start w:val="3"/>
      <w:numFmt w:val="chineseCounting"/>
      <w:suff w:val="nothing"/>
      <w:lvlText w:val="%1、"/>
      <w:lvlJc w:val="left"/>
      <w:rPr>
        <w:rFonts w:hint="eastAsia"/>
      </w:rPr>
    </w:lvl>
  </w:abstractNum>
  <w:abstractNum w:abstractNumId="1">
    <w:nsid w:val="6B9C2076"/>
    <w:multiLevelType w:val="multilevel"/>
    <w:tmpl w:val="6B9C2076"/>
    <w:lvl w:ilvl="0" w:tentative="0">
      <w:start w:val="1"/>
      <w:numFmt w:val="chineseCountingThousand"/>
      <w:pStyle w:val="37"/>
      <w:lvlText w:val="%1、"/>
      <w:lvlJc w:val="left"/>
      <w:pPr>
        <w:ind w:left="2546" w:hanging="420"/>
      </w:pPr>
    </w:lvl>
    <w:lvl w:ilvl="1" w:tentative="0">
      <w:start w:val="1"/>
      <w:numFmt w:val="lowerLetter"/>
      <w:lvlText w:val="%2)"/>
      <w:lvlJc w:val="left"/>
      <w:pPr>
        <w:ind w:left="698" w:hanging="420"/>
      </w:pPr>
    </w:lvl>
    <w:lvl w:ilvl="2" w:tentative="0">
      <w:start w:val="1"/>
      <w:numFmt w:val="lowerRoman"/>
      <w:lvlText w:val="%3."/>
      <w:lvlJc w:val="right"/>
      <w:pPr>
        <w:ind w:left="1118" w:hanging="420"/>
      </w:pPr>
    </w:lvl>
    <w:lvl w:ilvl="3" w:tentative="0">
      <w:start w:val="1"/>
      <w:numFmt w:val="decimal"/>
      <w:lvlText w:val="%4."/>
      <w:lvlJc w:val="left"/>
      <w:pPr>
        <w:ind w:left="1538" w:hanging="420"/>
      </w:pPr>
    </w:lvl>
    <w:lvl w:ilvl="4" w:tentative="0">
      <w:start w:val="1"/>
      <w:numFmt w:val="lowerLetter"/>
      <w:lvlText w:val="%5)"/>
      <w:lvlJc w:val="left"/>
      <w:pPr>
        <w:ind w:left="1958" w:hanging="420"/>
      </w:pPr>
    </w:lvl>
    <w:lvl w:ilvl="5" w:tentative="0">
      <w:start w:val="1"/>
      <w:numFmt w:val="lowerRoman"/>
      <w:lvlText w:val="%6."/>
      <w:lvlJc w:val="right"/>
      <w:pPr>
        <w:ind w:left="2378" w:hanging="420"/>
      </w:pPr>
    </w:lvl>
    <w:lvl w:ilvl="6" w:tentative="0">
      <w:start w:val="1"/>
      <w:numFmt w:val="decimal"/>
      <w:lvlText w:val="%7."/>
      <w:lvlJc w:val="left"/>
      <w:pPr>
        <w:ind w:left="2798" w:hanging="420"/>
      </w:pPr>
    </w:lvl>
    <w:lvl w:ilvl="7" w:tentative="0">
      <w:start w:val="1"/>
      <w:numFmt w:val="lowerLetter"/>
      <w:lvlText w:val="%8)"/>
      <w:lvlJc w:val="left"/>
      <w:pPr>
        <w:ind w:left="3218" w:hanging="420"/>
      </w:pPr>
    </w:lvl>
    <w:lvl w:ilvl="8" w:tentative="0">
      <w:start w:val="1"/>
      <w:numFmt w:val="lowerRoman"/>
      <w:lvlText w:val="%9."/>
      <w:lvlJc w:val="right"/>
      <w:pPr>
        <w:ind w:left="363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2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iZDIzMjBhYjY3YjcwYmIxYWI1NjM4YzVmYjEyMDMifQ=="/>
  </w:docVars>
  <w:rsids>
    <w:rsidRoot w:val="00172A27"/>
    <w:rsid w:val="000945BA"/>
    <w:rsid w:val="00107A5C"/>
    <w:rsid w:val="00172A27"/>
    <w:rsid w:val="001F473A"/>
    <w:rsid w:val="00374B77"/>
    <w:rsid w:val="003E6188"/>
    <w:rsid w:val="00446CB4"/>
    <w:rsid w:val="004648D5"/>
    <w:rsid w:val="004C77CA"/>
    <w:rsid w:val="0057555E"/>
    <w:rsid w:val="00600FDC"/>
    <w:rsid w:val="00627A5F"/>
    <w:rsid w:val="00766ACF"/>
    <w:rsid w:val="00775A6C"/>
    <w:rsid w:val="007A78C8"/>
    <w:rsid w:val="008A0635"/>
    <w:rsid w:val="009010DD"/>
    <w:rsid w:val="00936EA0"/>
    <w:rsid w:val="00A67432"/>
    <w:rsid w:val="00B43F5D"/>
    <w:rsid w:val="00D36BF6"/>
    <w:rsid w:val="00E50BBC"/>
    <w:rsid w:val="00E868BF"/>
    <w:rsid w:val="00EF7A4D"/>
    <w:rsid w:val="02673A25"/>
    <w:rsid w:val="038A4B8A"/>
    <w:rsid w:val="03DB0081"/>
    <w:rsid w:val="04F3262C"/>
    <w:rsid w:val="069F7723"/>
    <w:rsid w:val="06A92E66"/>
    <w:rsid w:val="07696ECC"/>
    <w:rsid w:val="08985668"/>
    <w:rsid w:val="0A406F47"/>
    <w:rsid w:val="0C620150"/>
    <w:rsid w:val="0DED75DD"/>
    <w:rsid w:val="0EF57CAB"/>
    <w:rsid w:val="141617D9"/>
    <w:rsid w:val="14C46EB0"/>
    <w:rsid w:val="17377D71"/>
    <w:rsid w:val="18D56788"/>
    <w:rsid w:val="196B583F"/>
    <w:rsid w:val="19C7038B"/>
    <w:rsid w:val="1AB9201E"/>
    <w:rsid w:val="1F98477A"/>
    <w:rsid w:val="20231026"/>
    <w:rsid w:val="20D109C9"/>
    <w:rsid w:val="23BC3B50"/>
    <w:rsid w:val="23C6727B"/>
    <w:rsid w:val="23EA11F5"/>
    <w:rsid w:val="24B61A8E"/>
    <w:rsid w:val="27DF36F9"/>
    <w:rsid w:val="29EA3065"/>
    <w:rsid w:val="2B60531A"/>
    <w:rsid w:val="2F6B42D0"/>
    <w:rsid w:val="2FBD0F96"/>
    <w:rsid w:val="32277304"/>
    <w:rsid w:val="33055144"/>
    <w:rsid w:val="34CF5863"/>
    <w:rsid w:val="38923BF2"/>
    <w:rsid w:val="38AA550A"/>
    <w:rsid w:val="39D54C2E"/>
    <w:rsid w:val="3A86417A"/>
    <w:rsid w:val="3B875F1A"/>
    <w:rsid w:val="3BD81E5A"/>
    <w:rsid w:val="44B255A6"/>
    <w:rsid w:val="44BD7196"/>
    <w:rsid w:val="45F428E0"/>
    <w:rsid w:val="49D04C9C"/>
    <w:rsid w:val="4A404C13"/>
    <w:rsid w:val="4BDB7063"/>
    <w:rsid w:val="4D3A5D0D"/>
    <w:rsid w:val="4F515C8A"/>
    <w:rsid w:val="517C27FA"/>
    <w:rsid w:val="527C505D"/>
    <w:rsid w:val="52CA5BAB"/>
    <w:rsid w:val="54052251"/>
    <w:rsid w:val="593333F8"/>
    <w:rsid w:val="5AD3266C"/>
    <w:rsid w:val="5BB8442B"/>
    <w:rsid w:val="5DB669A1"/>
    <w:rsid w:val="5E520C0D"/>
    <w:rsid w:val="63D74F7B"/>
    <w:rsid w:val="644D5757"/>
    <w:rsid w:val="65846D73"/>
    <w:rsid w:val="677F7E04"/>
    <w:rsid w:val="68756C32"/>
    <w:rsid w:val="69453F2E"/>
    <w:rsid w:val="6CAD413E"/>
    <w:rsid w:val="70402E52"/>
    <w:rsid w:val="70C744C4"/>
    <w:rsid w:val="710870BC"/>
    <w:rsid w:val="72F2143E"/>
    <w:rsid w:val="72F316A6"/>
    <w:rsid w:val="73554228"/>
    <w:rsid w:val="73FE1225"/>
    <w:rsid w:val="7B5F3224"/>
    <w:rsid w:val="7BFE3B55"/>
    <w:rsid w:val="7CA45B87"/>
    <w:rsid w:val="7E2A55D9"/>
    <w:rsid w:val="7F365932"/>
    <w:rsid w:val="7FF7EFFB"/>
    <w:rsid w:val="C2475664"/>
    <w:rsid w:val="EFBBC97A"/>
    <w:rsid w:val="F7F828AE"/>
    <w:rsid w:val="FFAFB5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200" w:firstLineChars="200"/>
      <w:jc w:val="both"/>
    </w:pPr>
    <w:rPr>
      <w:rFonts w:ascii="Arial" w:hAnsi="Arial" w:eastAsia="宋体" w:cstheme="minorBidi"/>
      <w:kern w:val="2"/>
      <w:sz w:val="24"/>
      <w:szCs w:val="21"/>
      <w:lang w:val="en-US" w:eastAsia="zh-CN" w:bidi="ar-SA"/>
    </w:rPr>
  </w:style>
  <w:style w:type="paragraph" w:styleId="2">
    <w:name w:val="heading 1"/>
    <w:basedOn w:val="1"/>
    <w:next w:val="1"/>
    <w:link w:val="34"/>
    <w:autoRedefine/>
    <w:qFormat/>
    <w:uiPriority w:val="0"/>
    <w:pPr>
      <w:spacing w:before="190" w:beforeLines="50" w:after="190" w:afterLines="50" w:line="360" w:lineRule="auto"/>
      <w:ind w:firstLine="482"/>
      <w:outlineLvl w:val="0"/>
    </w:pPr>
    <w:rPr>
      <w:rFonts w:ascii="Times New Roman" w:hAnsi="Times New Roman" w:cs="Times New Roman"/>
      <w:b/>
      <w:bCs/>
      <w:szCs w:val="24"/>
    </w:rPr>
  </w:style>
  <w:style w:type="paragraph" w:styleId="3">
    <w:name w:val="heading 2"/>
    <w:basedOn w:val="1"/>
    <w:next w:val="1"/>
    <w:link w:val="36"/>
    <w:autoRedefine/>
    <w:qFormat/>
    <w:uiPriority w:val="9"/>
    <w:pPr>
      <w:widowControl/>
      <w:autoSpaceDE w:val="0"/>
      <w:autoSpaceDN w:val="0"/>
      <w:spacing w:before="156" w:beforeLines="50" w:after="156" w:afterLines="50" w:line="360" w:lineRule="auto"/>
      <w:ind w:firstLine="504"/>
      <w:outlineLvl w:val="1"/>
    </w:pPr>
    <w:rPr>
      <w:rFonts w:ascii="Times New Roman" w:hAnsi="Times New Roman" w:cs="Times New Roman"/>
      <w:b/>
      <w:w w:val="105"/>
      <w:kern w:val="0"/>
      <w:szCs w:val="24"/>
      <w:lang w:val="zh-CN" w:bidi="zh-CN"/>
    </w:rPr>
  </w:style>
  <w:style w:type="paragraph" w:styleId="4">
    <w:name w:val="heading 3"/>
    <w:basedOn w:val="1"/>
    <w:next w:val="1"/>
    <w:autoRedefine/>
    <w:qFormat/>
    <w:uiPriority w:val="0"/>
    <w:pPr>
      <w:keepNext/>
      <w:keepLines/>
      <w:ind w:firstLine="482"/>
      <w:outlineLvl w:val="2"/>
    </w:pPr>
    <w:rPr>
      <w:rFonts w:ascii="Times New Roman" w:hAnsi="Times New Roman" w:cs="Times New Roman"/>
      <w:b/>
      <w:bCs/>
      <w:color w:val="000000"/>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autoRedefine/>
    <w:unhideWhenUsed/>
    <w:qFormat/>
    <w:uiPriority w:val="99"/>
    <w:pPr>
      <w:jc w:val="left"/>
    </w:pPr>
  </w:style>
  <w:style w:type="paragraph" w:styleId="6">
    <w:name w:val="Body Text"/>
    <w:basedOn w:val="1"/>
    <w:link w:val="35"/>
    <w:autoRedefine/>
    <w:qFormat/>
    <w:uiPriority w:val="0"/>
    <w:pPr>
      <w:spacing w:line="413" w:lineRule="auto"/>
      <w:ind w:left="118"/>
      <w:jc w:val="left"/>
    </w:pPr>
    <w:rPr>
      <w:rFonts w:ascii="宋体" w:hAnsi="宋体" w:cs="Times New Roman"/>
      <w:kern w:val="0"/>
      <w:szCs w:val="24"/>
      <w:lang w:eastAsia="en-US"/>
    </w:rPr>
  </w:style>
  <w:style w:type="paragraph" w:styleId="7">
    <w:name w:val="toc 3"/>
    <w:basedOn w:val="1"/>
    <w:next w:val="1"/>
    <w:autoRedefine/>
    <w:unhideWhenUsed/>
    <w:qFormat/>
    <w:uiPriority w:val="39"/>
    <w:pPr>
      <w:ind w:left="840" w:leftChars="400"/>
    </w:pPr>
  </w:style>
  <w:style w:type="paragraph" w:styleId="8">
    <w:name w:val="Balloon Text"/>
    <w:basedOn w:val="1"/>
    <w:link w:val="28"/>
    <w:autoRedefine/>
    <w:unhideWhenUsed/>
    <w:qFormat/>
    <w:uiPriority w:val="99"/>
    <w:pPr>
      <w:spacing w:line="240" w:lineRule="auto"/>
    </w:pPr>
    <w:rPr>
      <w:rFonts w:eastAsia="仿宋_GB2312"/>
      <w:sz w:val="18"/>
      <w:szCs w:val="18"/>
    </w:rPr>
  </w:style>
  <w:style w:type="paragraph" w:styleId="9">
    <w:name w:val="footer"/>
    <w:basedOn w:val="1"/>
    <w:link w:val="26"/>
    <w:autoRedefine/>
    <w:unhideWhenUsed/>
    <w:qFormat/>
    <w:uiPriority w:val="99"/>
    <w:pPr>
      <w:tabs>
        <w:tab w:val="center" w:pos="4153"/>
        <w:tab w:val="right" w:pos="8306"/>
      </w:tabs>
      <w:snapToGrid w:val="0"/>
    </w:pPr>
    <w:rPr>
      <w:rFonts w:ascii="Arial" w:hAnsi="Arial" w:eastAsia="宋体" w:cstheme="minorBidi"/>
      <w:kern w:val="2"/>
      <w:sz w:val="14"/>
      <w:szCs w:val="18"/>
      <w:lang w:val="en-US" w:eastAsia="zh-CN" w:bidi="ar-SA"/>
    </w:rPr>
  </w:style>
  <w:style w:type="paragraph" w:styleId="10">
    <w:name w:val="header"/>
    <w:link w:val="25"/>
    <w:autoRedefine/>
    <w:unhideWhenUsed/>
    <w:qFormat/>
    <w:uiPriority w:val="99"/>
    <w:pPr>
      <w:tabs>
        <w:tab w:val="center" w:pos="4153"/>
        <w:tab w:val="right" w:pos="8306"/>
      </w:tabs>
      <w:snapToGrid w:val="0"/>
      <w:jc w:val="right"/>
    </w:pPr>
    <w:rPr>
      <w:rFonts w:ascii="Arial" w:hAnsi="Arial" w:eastAsia="宋体" w:cstheme="minorBidi"/>
      <w:kern w:val="2"/>
      <w:sz w:val="14"/>
      <w:szCs w:val="18"/>
      <w:lang w:val="en-US" w:eastAsia="zh-CN" w:bidi="ar-SA"/>
    </w:rPr>
  </w:style>
  <w:style w:type="paragraph" w:styleId="11">
    <w:name w:val="toc 1"/>
    <w:basedOn w:val="1"/>
    <w:next w:val="1"/>
    <w:autoRedefine/>
    <w:unhideWhenUsed/>
    <w:qFormat/>
    <w:uiPriority w:val="39"/>
  </w:style>
  <w:style w:type="paragraph" w:styleId="12">
    <w:name w:val="footnote text"/>
    <w:basedOn w:val="1"/>
    <w:link w:val="38"/>
    <w:autoRedefine/>
    <w:unhideWhenUsed/>
    <w:qFormat/>
    <w:uiPriority w:val="99"/>
    <w:pPr>
      <w:snapToGrid w:val="0"/>
      <w:spacing w:line="240" w:lineRule="auto"/>
      <w:ind w:firstLine="0" w:firstLineChars="0"/>
      <w:jc w:val="left"/>
    </w:pPr>
    <w:rPr>
      <w:rFonts w:ascii="Calibri" w:hAnsi="Calibri" w:cs="Times New Roman"/>
      <w:sz w:val="18"/>
      <w:szCs w:val="18"/>
    </w:rPr>
  </w:style>
  <w:style w:type="paragraph" w:styleId="13">
    <w:name w:val="toc 2"/>
    <w:basedOn w:val="1"/>
    <w:next w:val="1"/>
    <w:autoRedefine/>
    <w:unhideWhenUsed/>
    <w:qFormat/>
    <w:uiPriority w:val="39"/>
    <w:pPr>
      <w:ind w:left="420" w:leftChars="200"/>
    </w:pPr>
  </w:style>
  <w:style w:type="paragraph" w:styleId="14">
    <w:name w:val="Normal (Web)"/>
    <w:basedOn w:val="1"/>
    <w:autoRedefine/>
    <w:semiHidden/>
    <w:unhideWhenUsed/>
    <w:qFormat/>
    <w:uiPriority w:val="99"/>
    <w:pPr>
      <w:spacing w:beforeAutospacing="1" w:afterAutospacing="1"/>
      <w:jc w:val="left"/>
    </w:pPr>
    <w:rPr>
      <w:rFonts w:cs="Times New Roman"/>
      <w:kern w:val="0"/>
    </w:rPr>
  </w:style>
  <w:style w:type="paragraph" w:styleId="15">
    <w:name w:val="Title"/>
    <w:next w:val="1"/>
    <w:link w:val="27"/>
    <w:autoRedefine/>
    <w:qFormat/>
    <w:uiPriority w:val="10"/>
    <w:pPr>
      <w:spacing w:before="360" w:after="360" w:line="360" w:lineRule="auto"/>
      <w:jc w:val="center"/>
      <w:outlineLvl w:val="0"/>
    </w:pPr>
    <w:rPr>
      <w:rFonts w:ascii="Arial" w:hAnsi="Arial" w:eastAsia="华文中宋" w:cstheme="majorBidi"/>
      <w:b/>
      <w:bCs/>
      <w:kern w:val="2"/>
      <w:sz w:val="36"/>
      <w:szCs w:val="32"/>
      <w:lang w:val="en-US" w:eastAsia="zh-CN" w:bidi="ar-SA"/>
    </w:rPr>
  </w:style>
  <w:style w:type="paragraph" w:styleId="16">
    <w:name w:val="annotation subject"/>
    <w:basedOn w:val="5"/>
    <w:next w:val="5"/>
    <w:link w:val="30"/>
    <w:autoRedefine/>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autoRedefine/>
    <w:semiHidden/>
    <w:unhideWhenUsed/>
    <w:qFormat/>
    <w:uiPriority w:val="99"/>
  </w:style>
  <w:style w:type="character" w:styleId="21">
    <w:name w:val="Hyperlink"/>
    <w:autoRedefine/>
    <w:unhideWhenUsed/>
    <w:qFormat/>
    <w:uiPriority w:val="99"/>
    <w:rPr>
      <w:color w:val="0000FF"/>
      <w:u w:val="single"/>
    </w:rPr>
  </w:style>
  <w:style w:type="character" w:styleId="22">
    <w:name w:val="annotation reference"/>
    <w:basedOn w:val="19"/>
    <w:autoRedefine/>
    <w:unhideWhenUsed/>
    <w:qFormat/>
    <w:uiPriority w:val="99"/>
    <w:rPr>
      <w:sz w:val="21"/>
      <w:szCs w:val="21"/>
    </w:rPr>
  </w:style>
  <w:style w:type="character" w:styleId="23">
    <w:name w:val="footnote reference"/>
    <w:basedOn w:val="19"/>
    <w:autoRedefine/>
    <w:unhideWhenUsed/>
    <w:qFormat/>
    <w:uiPriority w:val="99"/>
    <w:rPr>
      <w:vertAlign w:val="superscript"/>
    </w:rPr>
  </w:style>
  <w:style w:type="paragraph" w:customStyle="1" w:styleId="24">
    <w:name w:val="Default"/>
    <w:autoRedefine/>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 w:type="character" w:customStyle="1" w:styleId="25">
    <w:name w:val="页眉 字符"/>
    <w:basedOn w:val="19"/>
    <w:link w:val="10"/>
    <w:autoRedefine/>
    <w:qFormat/>
    <w:uiPriority w:val="99"/>
    <w:rPr>
      <w:rFonts w:ascii="Arial" w:hAnsi="Arial" w:eastAsia="宋体"/>
      <w:sz w:val="14"/>
      <w:szCs w:val="18"/>
    </w:rPr>
  </w:style>
  <w:style w:type="character" w:customStyle="1" w:styleId="26">
    <w:name w:val="页脚 字符"/>
    <w:basedOn w:val="19"/>
    <w:link w:val="9"/>
    <w:autoRedefine/>
    <w:qFormat/>
    <w:uiPriority w:val="99"/>
    <w:rPr>
      <w:rFonts w:ascii="Arial" w:hAnsi="Arial" w:eastAsia="宋体"/>
      <w:sz w:val="14"/>
      <w:szCs w:val="18"/>
    </w:rPr>
  </w:style>
  <w:style w:type="character" w:customStyle="1" w:styleId="27">
    <w:name w:val="标题 字符"/>
    <w:basedOn w:val="19"/>
    <w:link w:val="15"/>
    <w:autoRedefine/>
    <w:qFormat/>
    <w:uiPriority w:val="10"/>
    <w:rPr>
      <w:rFonts w:ascii="Arial" w:hAnsi="Arial" w:eastAsia="华文中宋" w:cstheme="majorBidi"/>
      <w:b/>
      <w:bCs/>
      <w:sz w:val="36"/>
      <w:szCs w:val="32"/>
    </w:rPr>
  </w:style>
  <w:style w:type="character" w:customStyle="1" w:styleId="28">
    <w:name w:val="批注框文本 字符"/>
    <w:basedOn w:val="19"/>
    <w:link w:val="8"/>
    <w:autoRedefine/>
    <w:semiHidden/>
    <w:qFormat/>
    <w:uiPriority w:val="99"/>
    <w:rPr>
      <w:rFonts w:ascii="Arial" w:hAnsi="Arial" w:eastAsia="仿宋_GB2312"/>
      <w:sz w:val="18"/>
      <w:szCs w:val="18"/>
    </w:rPr>
  </w:style>
  <w:style w:type="character" w:customStyle="1" w:styleId="29">
    <w:name w:val="批注文字 字符"/>
    <w:basedOn w:val="19"/>
    <w:link w:val="5"/>
    <w:autoRedefine/>
    <w:semiHidden/>
    <w:qFormat/>
    <w:uiPriority w:val="99"/>
    <w:rPr>
      <w:rFonts w:ascii="Arial" w:hAnsi="Arial" w:eastAsia="宋体"/>
      <w:sz w:val="24"/>
    </w:rPr>
  </w:style>
  <w:style w:type="character" w:customStyle="1" w:styleId="30">
    <w:name w:val="批注主题 字符"/>
    <w:basedOn w:val="29"/>
    <w:link w:val="16"/>
    <w:autoRedefine/>
    <w:semiHidden/>
    <w:qFormat/>
    <w:uiPriority w:val="99"/>
    <w:rPr>
      <w:rFonts w:ascii="Arial" w:hAnsi="Arial" w:eastAsia="宋体"/>
      <w:b/>
      <w:bCs/>
      <w:sz w:val="24"/>
    </w:rPr>
  </w:style>
  <w:style w:type="paragraph" w:customStyle="1" w:styleId="31">
    <w:name w:val="列表段落1"/>
    <w:basedOn w:val="1"/>
    <w:autoRedefine/>
    <w:qFormat/>
    <w:uiPriority w:val="34"/>
    <w:pPr>
      <w:ind w:firstLine="420"/>
    </w:pPr>
  </w:style>
  <w:style w:type="table" w:customStyle="1" w:styleId="32">
    <w:name w:val="网格型1"/>
    <w:basedOn w:val="17"/>
    <w:autoRedefine/>
    <w:qFormat/>
    <w:uiPriority w:val="39"/>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
    <w:name w:val="修订1"/>
    <w:autoRedefine/>
    <w:hidden/>
    <w:semiHidden/>
    <w:qFormat/>
    <w:uiPriority w:val="99"/>
    <w:rPr>
      <w:rFonts w:ascii="Arial" w:hAnsi="Arial" w:eastAsia="宋体" w:cstheme="minorBidi"/>
      <w:kern w:val="2"/>
      <w:sz w:val="24"/>
      <w:szCs w:val="21"/>
      <w:lang w:val="en-US" w:eastAsia="zh-CN" w:bidi="ar-SA"/>
    </w:rPr>
  </w:style>
  <w:style w:type="character" w:customStyle="1" w:styleId="34">
    <w:name w:val="标题 1 字符"/>
    <w:basedOn w:val="19"/>
    <w:link w:val="2"/>
    <w:autoRedefine/>
    <w:qFormat/>
    <w:uiPriority w:val="0"/>
    <w:rPr>
      <w:b/>
      <w:bCs/>
      <w:kern w:val="2"/>
      <w:sz w:val="24"/>
      <w:szCs w:val="24"/>
    </w:rPr>
  </w:style>
  <w:style w:type="character" w:customStyle="1" w:styleId="35">
    <w:name w:val="正文文本 字符"/>
    <w:basedOn w:val="19"/>
    <w:link w:val="6"/>
    <w:autoRedefine/>
    <w:qFormat/>
    <w:uiPriority w:val="0"/>
    <w:rPr>
      <w:rFonts w:ascii="宋体" w:hAnsi="宋体" w:eastAsia="宋体" w:cs="Times New Roman"/>
      <w:sz w:val="24"/>
      <w:szCs w:val="24"/>
      <w:lang w:eastAsia="en-US"/>
    </w:rPr>
  </w:style>
  <w:style w:type="character" w:customStyle="1" w:styleId="36">
    <w:name w:val="标题 2 字符"/>
    <w:basedOn w:val="19"/>
    <w:link w:val="3"/>
    <w:autoRedefine/>
    <w:qFormat/>
    <w:uiPriority w:val="9"/>
    <w:rPr>
      <w:b/>
      <w:w w:val="105"/>
      <w:sz w:val="24"/>
      <w:szCs w:val="24"/>
      <w:lang w:val="zh-CN" w:bidi="zh-CN"/>
    </w:rPr>
  </w:style>
  <w:style w:type="paragraph" w:customStyle="1" w:styleId="37">
    <w:name w:val="一级标题"/>
    <w:basedOn w:val="3"/>
    <w:autoRedefine/>
    <w:qFormat/>
    <w:uiPriority w:val="0"/>
    <w:pPr>
      <w:numPr>
        <w:ilvl w:val="0"/>
        <w:numId w:val="1"/>
      </w:numPr>
      <w:outlineLvl w:val="0"/>
    </w:pPr>
    <w:rPr>
      <w:rFonts w:ascii="宋体" w:hAnsi="宋体"/>
    </w:rPr>
  </w:style>
  <w:style w:type="character" w:customStyle="1" w:styleId="38">
    <w:name w:val="脚注文本 字符"/>
    <w:basedOn w:val="19"/>
    <w:link w:val="12"/>
    <w:autoRedefine/>
    <w:qFormat/>
    <w:uiPriority w:val="99"/>
    <w:rPr>
      <w:rFonts w:ascii="Calibri" w:hAnsi="Calibri" w:eastAsia="宋体" w:cs="Times New Roman"/>
      <w:kern w:val="2"/>
      <w:sz w:val="18"/>
      <w:szCs w:val="18"/>
    </w:rPr>
  </w:style>
  <w:style w:type="paragraph" w:customStyle="1" w:styleId="39">
    <w:name w:val="列出段落11"/>
    <w:basedOn w:val="1"/>
    <w:autoRedefine/>
    <w:qFormat/>
    <w:uiPriority w:val="34"/>
    <w:pPr>
      <w:spacing w:line="240" w:lineRule="auto"/>
      <w:ind w:firstLine="420"/>
    </w:pPr>
    <w:rPr>
      <w:rFonts w:ascii="Calibri" w:hAnsi="Calibri" w:cs="Times New Roman"/>
      <w:sz w:val="21"/>
    </w:rPr>
  </w:style>
  <w:style w:type="character" w:customStyle="1" w:styleId="40">
    <w:name w:val="未处理的提及1"/>
    <w:basedOn w:val="19"/>
    <w:autoRedefine/>
    <w:unhideWhenUsed/>
    <w:qFormat/>
    <w:uiPriority w:val="99"/>
    <w:rPr>
      <w:color w:val="605E5C"/>
      <w:shd w:val="clear" w:color="auto" w:fill="E1DFDD"/>
    </w:rPr>
  </w:style>
  <w:style w:type="paragraph" w:customStyle="1" w:styleId="41">
    <w:name w:val="修订2"/>
    <w:autoRedefine/>
    <w:hidden/>
    <w:semiHidden/>
    <w:qFormat/>
    <w:uiPriority w:val="99"/>
    <w:rPr>
      <w:rFonts w:ascii="Arial" w:hAnsi="Arial" w:eastAsia="宋体" w:cstheme="minorBidi"/>
      <w:kern w:val="2"/>
      <w:sz w:val="24"/>
      <w:szCs w:val="21"/>
      <w:lang w:val="en-US" w:eastAsia="zh-CN" w:bidi="ar-SA"/>
    </w:rPr>
  </w:style>
  <w:style w:type="paragraph" w:customStyle="1" w:styleId="42">
    <w:name w:val="列出段落1"/>
    <w:basedOn w:val="1"/>
    <w:autoRedefine/>
    <w:qFormat/>
    <w:uiPriority w:val="34"/>
    <w:pPr>
      <w:spacing w:line="240" w:lineRule="auto"/>
      <w:ind w:firstLine="420"/>
    </w:pPr>
    <w:rPr>
      <w:rFonts w:ascii="Calibri" w:hAnsi="Calibri" w:cs="Times New Roman"/>
      <w:sz w:val="21"/>
      <w:szCs w:val="22"/>
    </w:rPr>
  </w:style>
  <w:style w:type="paragraph" w:customStyle="1" w:styleId="43">
    <w:name w:val="修订3"/>
    <w:autoRedefine/>
    <w:hidden/>
    <w:semiHidden/>
    <w:qFormat/>
    <w:uiPriority w:val="99"/>
    <w:rPr>
      <w:rFonts w:ascii="Arial" w:hAnsi="Arial" w:eastAsia="宋体" w:cstheme="minorBidi"/>
      <w:kern w:val="2"/>
      <w:sz w:val="24"/>
      <w:szCs w:val="21"/>
      <w:lang w:val="en-US" w:eastAsia="zh-CN" w:bidi="ar-SA"/>
    </w:rPr>
  </w:style>
  <w:style w:type="paragraph" w:customStyle="1" w:styleId="44">
    <w:name w:val="WPSOffice手动目录 1"/>
    <w:autoRedefine/>
    <w:qFormat/>
    <w:uiPriority w:val="0"/>
    <w:rPr>
      <w:rFonts w:ascii="Times New Roman" w:hAnsi="Times New Roman" w:eastAsia="宋体" w:cs="Times New Roman"/>
      <w:lang w:val="en-US" w:eastAsia="zh-CN" w:bidi="ar-SA"/>
    </w:rPr>
  </w:style>
  <w:style w:type="paragraph" w:customStyle="1" w:styleId="4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46">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7">
    <w:name w:val="中等深浅网格 1 - 强调文字颜色 21"/>
    <w:basedOn w:val="1"/>
    <w:autoRedefine/>
    <w:qFormat/>
    <w:uiPriority w:val="34"/>
    <w:pPr>
      <w:ind w:firstLine="420"/>
    </w:pPr>
  </w:style>
  <w:style w:type="paragraph" w:customStyle="1" w:styleId="48">
    <w:name w:val="Other|1"/>
    <w:basedOn w:val="1"/>
    <w:autoRedefine/>
    <w:qFormat/>
    <w:uiPriority w:val="0"/>
    <w:rPr>
      <w:rFonts w:ascii="宋体" w:hAnsi="宋体" w:cs="宋体"/>
      <w:sz w:val="34"/>
      <w:szCs w:val="34"/>
      <w:lang w:val="zh-TW" w:eastAsia="zh-TW" w:bidi="zh-TW"/>
    </w:rPr>
  </w:style>
  <w:style w:type="paragraph" w:customStyle="1" w:styleId="49">
    <w:name w:val="修订4"/>
    <w:autoRedefine/>
    <w:hidden/>
    <w:semiHidden/>
    <w:qFormat/>
    <w:uiPriority w:val="99"/>
    <w:rPr>
      <w:rFonts w:ascii="Arial" w:hAnsi="Arial" w:eastAsia="宋体" w:cstheme="minorBidi"/>
      <w:kern w:val="2"/>
      <w:sz w:val="24"/>
      <w:szCs w:val="21"/>
      <w:lang w:val="en-US" w:eastAsia="zh-CN" w:bidi="ar-SA"/>
    </w:rPr>
  </w:style>
  <w:style w:type="paragraph" w:customStyle="1" w:styleId="50">
    <w:name w:val="修订5"/>
    <w:autoRedefine/>
    <w:hidden/>
    <w:semiHidden/>
    <w:qFormat/>
    <w:uiPriority w:val="99"/>
    <w:rPr>
      <w:rFonts w:ascii="Arial" w:hAnsi="Arial" w:eastAsia="宋体" w:cstheme="minorBidi"/>
      <w:kern w:val="2"/>
      <w:sz w:val="24"/>
      <w:szCs w:val="21"/>
      <w:lang w:val="en-US" w:eastAsia="zh-CN" w:bidi="ar-SA"/>
    </w:rPr>
  </w:style>
  <w:style w:type="paragraph" w:customStyle="1" w:styleId="51">
    <w:name w:val="正文 New"/>
    <w:autoRedefine/>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北京大成（广州）律师事务所</Company>
  <Pages>12</Pages>
  <Words>4858</Words>
  <Characters>5233</Characters>
  <Lines>49</Lines>
  <Paragraphs>13</Paragraphs>
  <TotalTime>6</TotalTime>
  <ScaleCrop>false</ScaleCrop>
  <LinksUpToDate>false</LinksUpToDate>
  <CharactersWithSpaces>5289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2024-08-14T03:27:00Z</dcterms:created>
  <dc:creator>大成-何易艺</dc:creator>
  <cp:lastModifiedBy>zzj</cp:lastModifiedBy>
  <cp:lastPrinted>2022-09-17T01:06:00Z</cp:lastPrinted>
  <dcterms:modified xsi:type="dcterms:W3CDTF">2024-08-16T12:35:47Z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DA515FD773D0445FB52D7E5669E21E76_13</vt:lpwstr>
  </property>
</Properties>
</file>