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方正小标宋简体" w:eastAsia="方正小标宋简体"/>
          <w:sz w:val="28"/>
          <w:szCs w:val="28"/>
        </w:rPr>
      </w:pPr>
      <w:bookmarkStart w:id="0" w:name="_Hlk535245579"/>
      <w:r>
        <w:rPr>
          <w:rFonts w:hint="eastAsia" w:ascii="方正小标宋简体" w:eastAsia="方正小标宋简体"/>
          <w:sz w:val="28"/>
          <w:szCs w:val="28"/>
        </w:rPr>
        <w:t>附件1</w:t>
      </w:r>
    </w:p>
    <w:p>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灵泉景区提升改造项目</w:t>
      </w:r>
      <w:bookmarkEnd w:id="0"/>
      <w:r>
        <w:rPr>
          <w:rFonts w:hint="eastAsia" w:ascii="方正小标宋简体" w:eastAsia="方正小标宋简体"/>
          <w:sz w:val="44"/>
          <w:szCs w:val="44"/>
        </w:rPr>
        <w:t>情况</w:t>
      </w:r>
    </w:p>
    <w:p>
      <w:pPr>
        <w:spacing w:line="560" w:lineRule="exact"/>
        <w:ind w:firstLine="640" w:firstLineChars="200"/>
        <w:rPr>
          <w:rFonts w:ascii="仿宋_GB2312" w:eastAsia="仿宋_GB2312"/>
          <w:sz w:val="32"/>
          <w:szCs w:val="32"/>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60" w:lineRule="exact"/>
        <w:ind w:firstLine="643" w:firstLineChars="200"/>
        <w:rPr>
          <w:rFonts w:hint="eastAsia" w:ascii="楷体_GB2312" w:eastAsia="楷体_GB2312"/>
          <w:b/>
          <w:sz w:val="32"/>
          <w:szCs w:val="32"/>
        </w:rPr>
      </w:pPr>
      <w:r>
        <w:rPr>
          <w:rFonts w:hint="eastAsia" w:ascii="楷体_GB2312" w:eastAsia="楷体_GB2312"/>
          <w:b/>
          <w:sz w:val="32"/>
          <w:szCs w:val="32"/>
        </w:rPr>
        <w:t>（一）市县及行业专项规划概况</w:t>
      </w:r>
    </w:p>
    <w:p>
      <w:pPr>
        <w:spacing w:line="360" w:lineRule="auto"/>
        <w:ind w:firstLine="600" w:firstLineChars="200"/>
        <w:rPr>
          <w:rFonts w:hint="eastAsia" w:eastAsia="仿宋_GB2312"/>
          <w:sz w:val="30"/>
          <w:szCs w:val="30"/>
        </w:rPr>
      </w:pPr>
      <w:r>
        <w:rPr>
          <w:rFonts w:eastAsia="仿宋_GB2312"/>
          <w:sz w:val="30"/>
          <w:szCs w:val="30"/>
        </w:rPr>
        <w:t>国务院《关于印发&lt;“十三五”旅游业发展规划&gt;的通知》（国发〔2016〕70号）提出“十三五”旅游业发展的主要目标是：旅游经济稳步增长。城乡居民出游人数年均增长10%左右，旅游总收入年均增长11%以上，旅游直接投资年均增长14%以上。到 2020年，旅游市场总规模达到67亿人次，旅游投资总额2万亿元，旅游业总收入达到7万亿元。随着国务院印发《 “十三五”旅游业发展规划》并贯彻落实，旅游供给端产品将更加丰富，产品结构更加合理，产品供给与旅游需求进一步匹配，旅游消费从需求驱动逐渐向供给拉动转变。旅游消费升级，需求呈现多元化。健康旅游、体育旅游、邮轮游、养老旅游、游学游、私人订制游、购物游、房车旅游等多元化需求兴起。</w:t>
      </w:r>
    </w:p>
    <w:p>
      <w:pPr>
        <w:spacing w:line="360" w:lineRule="auto"/>
        <w:ind w:firstLine="600" w:firstLineChars="200"/>
        <w:rPr>
          <w:rFonts w:eastAsia="仿宋_GB2312"/>
          <w:sz w:val="30"/>
          <w:szCs w:val="30"/>
        </w:rPr>
      </w:pPr>
      <w:r>
        <w:rPr>
          <w:rFonts w:eastAsia="仿宋_GB2312"/>
          <w:sz w:val="30"/>
          <w:szCs w:val="30"/>
        </w:rPr>
        <w:t>四川省于2016年发布《关于进一步加快旅游业改革发展的意见》（川府发〔2016〕55号），《意见》提出：积极培育房车旅游、研学旅行、康养旅游、体育旅游、文化旅游、生态旅游、智慧旅游等旅游新业态。依托优势资源大力发展专项度假旅游产品，拓展观光、商务、会展、节庆等产品的休闲度假功能。深入挖掘重点旅游景区、线路文化内涵，支持文化资源与创意设计、旅游等相关产业跨界融合，提升文化旅游产品和服务的设计水平。</w:t>
      </w:r>
    </w:p>
    <w:p>
      <w:pPr>
        <w:spacing w:line="560" w:lineRule="exact"/>
        <w:ind w:firstLine="643" w:firstLineChars="200"/>
        <w:rPr>
          <w:rFonts w:hint="eastAsia" w:ascii="楷体_GB2312" w:eastAsia="楷体_GB2312"/>
          <w:b/>
          <w:sz w:val="32"/>
          <w:szCs w:val="32"/>
        </w:rPr>
      </w:pPr>
      <w:r>
        <w:rPr>
          <w:rFonts w:hint="eastAsia" w:ascii="楷体_GB2312" w:eastAsia="楷体_GB2312"/>
          <w:b/>
          <w:sz w:val="32"/>
          <w:szCs w:val="32"/>
        </w:rPr>
        <w:t>（二）项目情况</w:t>
      </w:r>
    </w:p>
    <w:p>
      <w:pPr>
        <w:spacing w:line="560" w:lineRule="exact"/>
        <w:ind w:firstLine="643" w:firstLineChars="200"/>
        <w:rPr>
          <w:rFonts w:hint="eastAsia" w:ascii="仿宋_GB2312" w:eastAsia="仿宋_GB2312"/>
          <w:b/>
          <w:sz w:val="32"/>
          <w:szCs w:val="32"/>
        </w:rPr>
      </w:pPr>
      <w:r>
        <w:rPr>
          <w:rFonts w:hint="eastAsia" w:ascii="仿宋_GB2312" w:eastAsia="仿宋_GB2312"/>
          <w:b/>
          <w:sz w:val="32"/>
          <w:szCs w:val="32"/>
        </w:rPr>
        <w:t>1．参与主体</w:t>
      </w:r>
    </w:p>
    <w:p>
      <w:pPr>
        <w:spacing w:line="360" w:lineRule="auto"/>
        <w:ind w:firstLine="600" w:firstLineChars="200"/>
        <w:rPr>
          <w:rFonts w:eastAsia="仿宋_GB2312"/>
          <w:sz w:val="30"/>
          <w:szCs w:val="30"/>
        </w:rPr>
      </w:pPr>
      <w:r>
        <w:rPr>
          <w:rFonts w:eastAsia="仿宋_GB2312"/>
          <w:sz w:val="30"/>
          <w:szCs w:val="30"/>
        </w:rPr>
        <w:t>实施机构：</w:t>
      </w:r>
      <w:r>
        <w:rPr>
          <w:rFonts w:hint="eastAsia" w:eastAsia="仿宋_GB2312"/>
          <w:sz w:val="30"/>
          <w:szCs w:val="30"/>
        </w:rPr>
        <w:t>遂宁市河东新区管理委员会</w:t>
      </w:r>
      <w:r>
        <w:rPr>
          <w:rFonts w:eastAsia="仿宋_GB2312"/>
          <w:sz w:val="30"/>
          <w:szCs w:val="30"/>
        </w:rPr>
        <w:t>。</w:t>
      </w:r>
    </w:p>
    <w:p>
      <w:pPr>
        <w:spacing w:line="360" w:lineRule="auto"/>
        <w:ind w:firstLine="600" w:firstLineChars="200"/>
        <w:rPr>
          <w:rFonts w:eastAsia="仿宋_GB2312"/>
          <w:sz w:val="30"/>
          <w:szCs w:val="30"/>
        </w:rPr>
      </w:pPr>
      <w:r>
        <w:rPr>
          <w:rFonts w:eastAsia="仿宋_GB2312"/>
          <w:sz w:val="30"/>
          <w:szCs w:val="30"/>
        </w:rPr>
        <w:t>项目业主：</w:t>
      </w:r>
      <w:r>
        <w:rPr>
          <w:rFonts w:hint="eastAsia" w:eastAsia="仿宋_GB2312"/>
          <w:sz w:val="30"/>
          <w:szCs w:val="30"/>
        </w:rPr>
        <w:t>遂宁东涪投资有限责任公司</w:t>
      </w:r>
      <w:r>
        <w:rPr>
          <w:rFonts w:eastAsia="仿宋_GB2312"/>
          <w:sz w:val="30"/>
          <w:szCs w:val="30"/>
        </w:rPr>
        <w:t>。</w:t>
      </w:r>
    </w:p>
    <w:p>
      <w:pPr>
        <w:spacing w:line="560" w:lineRule="exact"/>
        <w:ind w:firstLine="643" w:firstLineChars="200"/>
        <w:rPr>
          <w:rFonts w:hint="eastAsia" w:ascii="仿宋_GB2312" w:eastAsia="仿宋_GB2312"/>
          <w:b/>
          <w:sz w:val="32"/>
          <w:szCs w:val="32"/>
        </w:rPr>
      </w:pPr>
      <w:r>
        <w:rPr>
          <w:rFonts w:hint="eastAsia" w:ascii="仿宋_GB2312" w:eastAsia="仿宋_GB2312"/>
          <w:b/>
          <w:sz w:val="32"/>
          <w:szCs w:val="32"/>
        </w:rPr>
        <w:t>2．项目概况</w:t>
      </w:r>
    </w:p>
    <w:p>
      <w:pPr>
        <w:spacing w:line="360" w:lineRule="auto"/>
        <w:ind w:firstLine="600" w:firstLineChars="200"/>
        <w:rPr>
          <w:rFonts w:hint="eastAsia" w:ascii="楷体_GB2312" w:eastAsia="楷体_GB2312"/>
          <w:b/>
          <w:sz w:val="32"/>
          <w:szCs w:val="32"/>
        </w:rPr>
      </w:pPr>
      <w:r>
        <w:rPr>
          <w:rFonts w:eastAsia="仿宋_GB2312"/>
          <w:sz w:val="30"/>
          <w:szCs w:val="30"/>
        </w:rPr>
        <w:t>本项目总用地面积2000亩，总建筑面积10000m³，建设内容主要包括游客中心改造、公共卫生间改造、景区道路改造、景区停车场改造、景区设施改造以及污水管网建设等。具体规模为景区道路改造14000㎡，景区停车场改造20000㎡，景区旅游厕所改建260m³，游客中心改造500m，污水管网建设2600m等。</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二、经济社会效益分析</w:t>
      </w:r>
    </w:p>
    <w:p>
      <w:pPr>
        <w:spacing w:line="360" w:lineRule="auto"/>
        <w:ind w:firstLine="600" w:firstLineChars="200"/>
        <w:rPr>
          <w:rFonts w:eastAsia="仿宋_GB2312"/>
          <w:sz w:val="30"/>
          <w:szCs w:val="30"/>
        </w:rPr>
      </w:pPr>
      <w:r>
        <w:rPr>
          <w:rFonts w:eastAsia="仿宋_GB2312"/>
          <w:sz w:val="30"/>
          <w:szCs w:val="30"/>
        </w:rPr>
        <w:t>本项目建设符合</w:t>
      </w:r>
      <w:r>
        <w:rPr>
          <w:rFonts w:hint="eastAsia" w:eastAsia="仿宋_GB2312"/>
          <w:sz w:val="30"/>
          <w:szCs w:val="30"/>
        </w:rPr>
        <w:t>遂宁</w:t>
      </w:r>
      <w:r>
        <w:rPr>
          <w:rFonts w:eastAsia="仿宋_GB2312"/>
          <w:sz w:val="30"/>
          <w:szCs w:val="30"/>
        </w:rPr>
        <w:t>市发展战略与思路，可推动当地经济社会的发展，可得到当地政府部门的积极支持和配合；项目建设有利于创造更好的旅游居住环境，带动项目所在区域的零售业、餐饮业、服务业、旅游业等相关行业的发展，提高当地居民收入，可得到当地居民的支持。项目的建设对</w:t>
      </w:r>
      <w:r>
        <w:rPr>
          <w:rFonts w:hint="eastAsia" w:eastAsia="仿宋_GB2312"/>
          <w:sz w:val="30"/>
          <w:szCs w:val="30"/>
        </w:rPr>
        <w:t>遂宁</w:t>
      </w:r>
      <w:r>
        <w:rPr>
          <w:rFonts w:eastAsia="仿宋_GB2312"/>
          <w:sz w:val="30"/>
          <w:szCs w:val="30"/>
        </w:rPr>
        <w:t>市的经济发展起到了积极的推动作用，当地政府和人民对本项目的建设热情很高，并且在建设思路上保持了高度的一致性。项目是推进旅游业与新型城镇化、文化等领域全面融合，创新旅游新业态，培育旅游消费新热点，符合</w:t>
      </w:r>
      <w:r>
        <w:rPr>
          <w:rFonts w:hint="eastAsia" w:eastAsia="仿宋_GB2312"/>
          <w:sz w:val="30"/>
          <w:szCs w:val="30"/>
        </w:rPr>
        <w:t>区域</w:t>
      </w:r>
      <w:r>
        <w:rPr>
          <w:rFonts w:eastAsia="仿宋_GB2312"/>
          <w:sz w:val="30"/>
          <w:szCs w:val="30"/>
        </w:rPr>
        <w:t>经济社会发展相关规划，是</w:t>
      </w:r>
      <w:r>
        <w:rPr>
          <w:rFonts w:hint="eastAsia" w:eastAsia="仿宋_GB2312"/>
          <w:sz w:val="30"/>
          <w:szCs w:val="30"/>
        </w:rPr>
        <w:t>遂宁</w:t>
      </w:r>
      <w:r>
        <w:rPr>
          <w:rFonts w:eastAsia="仿宋_GB2312"/>
          <w:sz w:val="30"/>
          <w:szCs w:val="30"/>
        </w:rPr>
        <w:t>市加快建设中国国际特色旅游目的地的需要。</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三、项目投资估算及资金筹措方案</w:t>
      </w:r>
    </w:p>
    <w:p>
      <w:pPr>
        <w:spacing w:line="560" w:lineRule="exact"/>
        <w:ind w:firstLine="643" w:firstLineChars="200"/>
        <w:rPr>
          <w:rFonts w:hint="eastAsia" w:ascii="楷体_GB2312" w:eastAsia="楷体_GB2312"/>
          <w:b/>
          <w:sz w:val="32"/>
          <w:szCs w:val="32"/>
        </w:rPr>
      </w:pPr>
      <w:r>
        <w:rPr>
          <w:rFonts w:hint="eastAsia" w:ascii="楷体_GB2312" w:eastAsia="楷体_GB2312"/>
          <w:b/>
          <w:sz w:val="32"/>
          <w:szCs w:val="32"/>
        </w:rPr>
        <w:t>（一）</w:t>
      </w:r>
      <w:r>
        <w:rPr>
          <w:rFonts w:hint="eastAsia" w:ascii="楷体_GB2312" w:eastAsia="楷体_GB2312"/>
          <w:b/>
          <w:sz w:val="32"/>
          <w:szCs w:val="32"/>
        </w:rPr>
        <w:tab/>
      </w:r>
      <w:r>
        <w:rPr>
          <w:rFonts w:hint="eastAsia" w:ascii="楷体_GB2312" w:eastAsia="楷体_GB2312"/>
          <w:b/>
          <w:sz w:val="32"/>
          <w:szCs w:val="32"/>
        </w:rPr>
        <w:t>投资估算</w:t>
      </w:r>
    </w:p>
    <w:p>
      <w:pPr>
        <w:spacing w:line="560" w:lineRule="exact"/>
        <w:ind w:firstLine="600" w:firstLineChars="200"/>
        <w:rPr>
          <w:rFonts w:ascii="楷体_GB2312" w:eastAsia="楷体_GB2312"/>
          <w:b/>
          <w:sz w:val="32"/>
          <w:szCs w:val="32"/>
        </w:rPr>
      </w:pPr>
      <w:r>
        <w:rPr>
          <w:rFonts w:hint="eastAsia" w:eastAsia="仿宋_GB2312"/>
          <w:sz w:val="30"/>
          <w:szCs w:val="30"/>
        </w:rPr>
        <w:t>本项目总投资30000万元，其中工程建设投资28702.5万元，占项目总投资的95.68%；建设期利息为1282.50万元，</w:t>
      </w:r>
      <w:r>
        <w:rPr>
          <w:rFonts w:eastAsia="仿宋_GB2312"/>
          <w:sz w:val="30"/>
          <w:szCs w:val="30"/>
        </w:rPr>
        <w:t>占总投资比例为4.28%；</w:t>
      </w:r>
      <w:r>
        <w:rPr>
          <w:rFonts w:hint="eastAsia" w:eastAsia="仿宋_GB2312"/>
          <w:sz w:val="30"/>
          <w:szCs w:val="30"/>
        </w:rPr>
        <w:t>债券发行费为</w:t>
      </w:r>
      <w:r>
        <w:rPr>
          <w:rFonts w:eastAsia="仿宋_GB2312"/>
          <w:sz w:val="30"/>
          <w:szCs w:val="30"/>
        </w:rPr>
        <w:t>15</w:t>
      </w:r>
      <w:r>
        <w:rPr>
          <w:rFonts w:hint="eastAsia" w:eastAsia="仿宋_GB2312"/>
          <w:sz w:val="30"/>
          <w:szCs w:val="30"/>
        </w:rPr>
        <w:t>万元，</w:t>
      </w:r>
      <w:r>
        <w:rPr>
          <w:rFonts w:eastAsia="仿宋_GB2312"/>
          <w:sz w:val="30"/>
          <w:szCs w:val="30"/>
        </w:rPr>
        <w:t>占总投资比例为0.04%</w:t>
      </w:r>
      <w:r>
        <w:rPr>
          <w:rFonts w:hint="eastAsia" w:eastAsia="仿宋_GB2312"/>
          <w:sz w:val="30"/>
          <w:szCs w:val="30"/>
        </w:rPr>
        <w:t>。</w:t>
      </w:r>
    </w:p>
    <w:p>
      <w:pPr>
        <w:spacing w:line="560" w:lineRule="exact"/>
        <w:ind w:firstLine="643" w:firstLineChars="200"/>
        <w:rPr>
          <w:rFonts w:ascii="楷体_GB2312" w:eastAsia="楷体_GB2312"/>
          <w:b/>
          <w:sz w:val="32"/>
          <w:szCs w:val="32"/>
        </w:rPr>
      </w:pPr>
      <w:r>
        <w:rPr>
          <w:rFonts w:hint="eastAsia" w:ascii="楷体_GB2312" w:eastAsia="楷体_GB2312"/>
          <w:b/>
          <w:sz w:val="32"/>
          <w:szCs w:val="32"/>
        </w:rPr>
        <w:t>（二）资金筹措方案</w:t>
      </w:r>
    </w:p>
    <w:p>
      <w:pPr>
        <w:spacing w:line="560" w:lineRule="exact"/>
        <w:ind w:firstLine="643" w:firstLineChars="200"/>
        <w:rPr>
          <w:rFonts w:hint="eastAsia" w:ascii="仿宋_GB2312" w:eastAsia="仿宋_GB2312"/>
          <w:b/>
          <w:sz w:val="32"/>
          <w:szCs w:val="32"/>
        </w:rPr>
      </w:pPr>
      <w:r>
        <w:rPr>
          <w:rFonts w:hint="eastAsia" w:ascii="仿宋_GB2312" w:eastAsia="仿宋_GB2312"/>
          <w:b/>
          <w:sz w:val="32"/>
          <w:szCs w:val="32"/>
        </w:rPr>
        <w:t>1.</w:t>
      </w:r>
      <w:r>
        <w:rPr>
          <w:rFonts w:hint="eastAsia"/>
        </w:rPr>
        <w:t xml:space="preserve"> </w:t>
      </w:r>
      <w:r>
        <w:rPr>
          <w:rFonts w:hint="eastAsia" w:ascii="仿宋_GB2312" w:eastAsia="仿宋_GB2312"/>
          <w:b/>
          <w:sz w:val="32"/>
          <w:szCs w:val="32"/>
        </w:rPr>
        <w:t>资金筹集情况</w:t>
      </w:r>
    </w:p>
    <w:p>
      <w:pPr>
        <w:spacing w:line="360" w:lineRule="auto"/>
        <w:ind w:firstLine="600" w:firstLineChars="200"/>
        <w:rPr>
          <w:rFonts w:ascii="仿宋_GB2312" w:eastAsia="仿宋_GB2312"/>
          <w:b/>
          <w:sz w:val="32"/>
          <w:szCs w:val="32"/>
        </w:rPr>
      </w:pPr>
      <w:r>
        <w:rPr>
          <w:rFonts w:eastAsia="仿宋_GB2312"/>
          <w:sz w:val="30"/>
          <w:szCs w:val="30"/>
        </w:rPr>
        <w:t>本项目总投资为30000万元，其中资本金15000万元，占总投资的50%。计划发行15</w:t>
      </w:r>
      <w:r>
        <w:rPr>
          <w:rFonts w:hint="eastAsia" w:eastAsia="仿宋_GB2312"/>
          <w:sz w:val="30"/>
          <w:szCs w:val="30"/>
        </w:rPr>
        <w:t>年期</w:t>
      </w:r>
      <w:r>
        <w:rPr>
          <w:rFonts w:eastAsia="仿宋_GB2312"/>
          <w:sz w:val="30"/>
          <w:szCs w:val="30"/>
        </w:rPr>
        <w:t>专项债券融资15000万元，占项目资金筹措总额的50%。</w:t>
      </w:r>
    </w:p>
    <w:p>
      <w:pPr>
        <w:spacing w:line="560" w:lineRule="exact"/>
        <w:ind w:firstLine="643" w:firstLineChars="200"/>
        <w:rPr>
          <w:rFonts w:hint="eastAsia" w:ascii="仿宋_GB2312" w:eastAsia="仿宋_GB2312"/>
          <w:b/>
          <w:sz w:val="32"/>
          <w:szCs w:val="32"/>
        </w:rPr>
      </w:pPr>
      <w:r>
        <w:rPr>
          <w:rFonts w:hint="eastAsia" w:ascii="仿宋_GB2312" w:eastAsia="仿宋_GB2312"/>
          <w:b/>
          <w:sz w:val="32"/>
          <w:szCs w:val="32"/>
        </w:rPr>
        <w:t>2.资金使用计划</w:t>
      </w:r>
    </w:p>
    <w:p>
      <w:pPr>
        <w:spacing w:line="360" w:lineRule="auto"/>
        <w:ind w:firstLine="600" w:firstLineChars="200"/>
        <w:rPr>
          <w:rFonts w:ascii="仿宋_GB2312" w:eastAsia="仿宋_GB2312"/>
          <w:b/>
          <w:sz w:val="32"/>
          <w:szCs w:val="32"/>
        </w:rPr>
      </w:pPr>
      <w:r>
        <w:rPr>
          <w:rFonts w:eastAsia="仿宋_GB2312"/>
          <w:sz w:val="30"/>
          <w:szCs w:val="30"/>
        </w:rPr>
        <w:t>本项目</w:t>
      </w:r>
      <w:r>
        <w:rPr>
          <w:rFonts w:hint="eastAsia" w:eastAsia="仿宋_GB2312"/>
          <w:sz w:val="30"/>
          <w:szCs w:val="30"/>
        </w:rPr>
        <w:t>总投资30000万元</w:t>
      </w:r>
      <w:r>
        <w:rPr>
          <w:rFonts w:eastAsia="仿宋_GB2312"/>
          <w:sz w:val="30"/>
          <w:szCs w:val="30"/>
        </w:rPr>
        <w:t>；2020年</w:t>
      </w:r>
      <w:r>
        <w:rPr>
          <w:rFonts w:hint="eastAsia" w:eastAsia="仿宋_GB2312"/>
          <w:sz w:val="30"/>
          <w:szCs w:val="30"/>
        </w:rPr>
        <w:t>计划</w:t>
      </w:r>
      <w:r>
        <w:rPr>
          <w:rFonts w:eastAsia="仿宋_GB2312"/>
          <w:sz w:val="30"/>
          <w:szCs w:val="30"/>
        </w:rPr>
        <w:t>投资9000万元，2021年</w:t>
      </w:r>
      <w:r>
        <w:rPr>
          <w:rFonts w:hint="eastAsia" w:eastAsia="仿宋_GB2312"/>
          <w:sz w:val="30"/>
          <w:szCs w:val="30"/>
        </w:rPr>
        <w:t>计划</w:t>
      </w:r>
      <w:r>
        <w:rPr>
          <w:rFonts w:eastAsia="仿宋_GB2312"/>
          <w:sz w:val="30"/>
          <w:szCs w:val="30"/>
        </w:rPr>
        <w:t>投资12000万元，2022年</w:t>
      </w:r>
      <w:r>
        <w:rPr>
          <w:rFonts w:hint="eastAsia" w:eastAsia="仿宋_GB2312"/>
          <w:sz w:val="30"/>
          <w:szCs w:val="30"/>
        </w:rPr>
        <w:t>计划</w:t>
      </w:r>
      <w:r>
        <w:rPr>
          <w:rFonts w:eastAsia="仿宋_GB2312"/>
          <w:sz w:val="30"/>
          <w:szCs w:val="30"/>
        </w:rPr>
        <w:t>投资9000万元。</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四、项目预期收益、成本及融资平衡情况</w:t>
      </w:r>
    </w:p>
    <w:p>
      <w:pPr>
        <w:spacing w:line="560" w:lineRule="exact"/>
        <w:ind w:firstLine="643" w:firstLineChars="200"/>
        <w:rPr>
          <w:rFonts w:ascii="楷体_GB2312" w:eastAsia="楷体_GB2312"/>
          <w:b/>
          <w:sz w:val="32"/>
          <w:szCs w:val="32"/>
        </w:rPr>
      </w:pPr>
      <w:r>
        <w:rPr>
          <w:rFonts w:hint="eastAsia" w:ascii="楷体_GB2312" w:eastAsia="楷体_GB2312"/>
          <w:b/>
          <w:sz w:val="32"/>
          <w:szCs w:val="32"/>
        </w:rPr>
        <w:t>（一）预期收益</w:t>
      </w:r>
    </w:p>
    <w:p>
      <w:pPr>
        <w:spacing w:line="560" w:lineRule="exact"/>
        <w:ind w:firstLine="643" w:firstLineChars="200"/>
        <w:rPr>
          <w:rFonts w:hint="eastAsia" w:ascii="仿宋_GB2312" w:eastAsia="仿宋_GB2312"/>
          <w:b/>
          <w:sz w:val="32"/>
          <w:szCs w:val="32"/>
        </w:rPr>
      </w:pPr>
      <w:r>
        <w:rPr>
          <w:rFonts w:hint="eastAsia" w:ascii="仿宋_GB2312" w:eastAsia="仿宋_GB2312"/>
          <w:b/>
          <w:sz w:val="32"/>
          <w:szCs w:val="32"/>
        </w:rPr>
        <w:t>1.项目收入</w:t>
      </w:r>
    </w:p>
    <w:p>
      <w:pPr>
        <w:spacing w:line="360" w:lineRule="auto"/>
        <w:ind w:firstLine="600" w:firstLineChars="200"/>
        <w:rPr>
          <w:rFonts w:ascii="仿宋_GB2312" w:eastAsia="仿宋_GB2312"/>
          <w:b/>
          <w:sz w:val="32"/>
          <w:szCs w:val="32"/>
        </w:rPr>
      </w:pPr>
      <w:r>
        <w:rPr>
          <w:rFonts w:hint="eastAsia" w:eastAsia="仿宋_GB2312"/>
          <w:sz w:val="30"/>
          <w:szCs w:val="30"/>
        </w:rPr>
        <w:t>本项目收入为门票、观光车、广告、停车场等收入，预测项目经营期总收入</w:t>
      </w:r>
      <w:r>
        <w:rPr>
          <w:rFonts w:eastAsia="仿宋_GB2312"/>
          <w:sz w:val="30"/>
          <w:szCs w:val="30"/>
        </w:rPr>
        <w:t>59826.73</w:t>
      </w:r>
      <w:r>
        <w:rPr>
          <w:rFonts w:hint="eastAsia" w:eastAsia="仿宋_GB2312"/>
          <w:sz w:val="30"/>
          <w:szCs w:val="30"/>
        </w:rPr>
        <w:t>万元。</w:t>
      </w:r>
    </w:p>
    <w:p>
      <w:pPr>
        <w:spacing w:line="560" w:lineRule="exact"/>
        <w:ind w:firstLine="643" w:firstLineChars="200"/>
        <w:rPr>
          <w:rFonts w:hint="eastAsia" w:ascii="仿宋_GB2312" w:eastAsia="仿宋_GB2312"/>
          <w:b/>
          <w:sz w:val="32"/>
          <w:szCs w:val="32"/>
        </w:rPr>
      </w:pPr>
      <w:r>
        <w:rPr>
          <w:rFonts w:hint="eastAsia" w:ascii="仿宋_GB2312" w:eastAsia="仿宋_GB2312"/>
          <w:b/>
          <w:sz w:val="32"/>
          <w:szCs w:val="32"/>
        </w:rPr>
        <w:t>2.项目成本</w:t>
      </w:r>
    </w:p>
    <w:p>
      <w:pPr>
        <w:spacing w:line="360" w:lineRule="auto"/>
        <w:ind w:firstLine="600" w:firstLineChars="200"/>
        <w:rPr>
          <w:rFonts w:eastAsia="仿宋_GB2312"/>
          <w:sz w:val="30"/>
          <w:szCs w:val="30"/>
        </w:rPr>
      </w:pPr>
      <w:r>
        <w:rPr>
          <w:rFonts w:eastAsia="仿宋_GB2312"/>
          <w:sz w:val="30"/>
          <w:szCs w:val="30"/>
        </w:rPr>
        <w:t>项目成本主要为经营期间成本费用、</w:t>
      </w:r>
      <w:r>
        <w:rPr>
          <w:rFonts w:hint="eastAsia" w:eastAsia="仿宋_GB2312"/>
          <w:sz w:val="30"/>
          <w:szCs w:val="30"/>
        </w:rPr>
        <w:t>折旧与摊销、</w:t>
      </w:r>
      <w:r>
        <w:rPr>
          <w:rFonts w:eastAsia="仿宋_GB2312"/>
          <w:sz w:val="30"/>
          <w:szCs w:val="30"/>
        </w:rPr>
        <w:t>债券发行期财务费用等，</w:t>
      </w:r>
      <w:r>
        <w:rPr>
          <w:rFonts w:hint="eastAsia" w:eastAsia="仿宋_GB2312"/>
          <w:sz w:val="30"/>
          <w:szCs w:val="30"/>
        </w:rPr>
        <w:t>预测项目经营期总成本</w:t>
      </w:r>
      <w:r>
        <w:rPr>
          <w:rFonts w:eastAsia="仿宋_GB2312"/>
          <w:sz w:val="30"/>
          <w:szCs w:val="30"/>
        </w:rPr>
        <w:t>44571.50</w:t>
      </w:r>
      <w:r>
        <w:rPr>
          <w:rFonts w:hint="eastAsia" w:eastAsia="仿宋_GB2312"/>
          <w:sz w:val="30"/>
          <w:szCs w:val="30"/>
        </w:rPr>
        <w:t>万元。</w:t>
      </w:r>
    </w:p>
    <w:p>
      <w:pPr>
        <w:spacing w:line="560" w:lineRule="exact"/>
        <w:ind w:firstLine="643" w:firstLineChars="200"/>
        <w:rPr>
          <w:rFonts w:ascii="楷体_GB2312" w:eastAsia="楷体_GB2312"/>
          <w:b/>
          <w:sz w:val="32"/>
          <w:szCs w:val="32"/>
        </w:rPr>
      </w:pPr>
      <w:r>
        <w:rPr>
          <w:rFonts w:hint="eastAsia" w:ascii="楷体_GB2312" w:eastAsia="楷体_GB2312"/>
          <w:b/>
          <w:sz w:val="32"/>
          <w:szCs w:val="32"/>
        </w:rPr>
        <w:t>（二）资金测算平衡情况</w:t>
      </w:r>
    </w:p>
    <w:p>
      <w:pPr>
        <w:widowControl/>
        <w:adjustRightInd w:val="0"/>
        <w:snapToGrid w:val="0"/>
        <w:spacing w:after="217" w:afterLines="50" w:line="560" w:lineRule="exact"/>
        <w:ind w:firstLine="640" w:firstLineChars="200"/>
        <w:rPr>
          <w:rFonts w:ascii="仿宋_GB2312" w:hAnsi="华文楷体" w:eastAsia="仿宋_GB2312"/>
          <w:sz w:val="32"/>
          <w:szCs w:val="32"/>
          <w:lang w:val="en-GB"/>
        </w:rPr>
        <w:sectPr>
          <w:headerReference r:id="rId5" w:type="first"/>
          <w:headerReference r:id="rId3" w:type="default"/>
          <w:footerReference r:id="rId6" w:type="default"/>
          <w:headerReference r:id="rId4" w:type="even"/>
          <w:footerReference r:id="rId7" w:type="even"/>
          <w:pgSz w:w="11906" w:h="16838"/>
          <w:pgMar w:top="2098" w:right="1418" w:bottom="1588" w:left="1644" w:header="851" w:footer="992" w:gutter="0"/>
          <w:pgNumType w:fmt="numberInDash"/>
          <w:cols w:space="720" w:num="1"/>
          <w:docGrid w:type="lines" w:linePitch="435" w:charSpace="0"/>
        </w:sectPr>
      </w:pPr>
      <w:r>
        <w:rPr>
          <w:rFonts w:ascii="Times New Roman" w:hAnsi="Times New Roman" w:eastAsia="仿宋_GB2312"/>
          <w:sz w:val="32"/>
          <w:szCs w:val="32"/>
        </w:rPr>
        <w:t>在项目运营期结束时，项目累计资金流入</w:t>
      </w:r>
      <w:r>
        <w:rPr>
          <w:rFonts w:hint="eastAsia" w:ascii="Times New Roman" w:hAnsi="Times New Roman" w:eastAsia="仿宋_GB2312"/>
          <w:sz w:val="32"/>
          <w:szCs w:val="32"/>
        </w:rPr>
        <w:t>89826.73</w:t>
      </w:r>
      <w:r>
        <w:rPr>
          <w:rFonts w:ascii="Times New Roman" w:hAnsi="Times New Roman" w:eastAsia="仿宋_GB2312"/>
          <w:sz w:val="32"/>
          <w:szCs w:val="32"/>
        </w:rPr>
        <w:t>万元，累计资金流出</w:t>
      </w:r>
      <w:r>
        <w:rPr>
          <w:rFonts w:hint="eastAsia" w:ascii="Times New Roman" w:hAnsi="Times New Roman" w:eastAsia="仿宋_GB2312"/>
          <w:sz w:val="32"/>
          <w:szCs w:val="32"/>
        </w:rPr>
        <w:t>82625.12</w:t>
      </w:r>
      <w:r>
        <w:rPr>
          <w:rFonts w:ascii="Times New Roman" w:hAnsi="Times New Roman" w:eastAsia="仿宋_GB2312"/>
          <w:sz w:val="32"/>
          <w:szCs w:val="32"/>
        </w:rPr>
        <w:t>万元，累计现金结余7201.61万元。截至专项债</w:t>
      </w:r>
      <w:r>
        <w:rPr>
          <w:rFonts w:hint="eastAsia" w:ascii="Times New Roman" w:hAnsi="Times New Roman" w:eastAsia="仿宋_GB2312"/>
          <w:sz w:val="32"/>
          <w:szCs w:val="32"/>
        </w:rPr>
        <w:t>15</w:t>
      </w:r>
      <w:r>
        <w:rPr>
          <w:rFonts w:ascii="Times New Roman" w:hAnsi="Times New Roman" w:eastAsia="仿宋_GB2312"/>
          <w:sz w:val="32"/>
          <w:szCs w:val="32"/>
        </w:rPr>
        <w:t>000.00万元到期时，偿还当年到期的债券本息后，将仍有7201.61万元的累计盈余资金；其中项目收入对债券本息的覆盖倍数为2.38倍，项目净现金流对债券本息覆盖倍数为1.</w:t>
      </w:r>
      <w:r>
        <w:rPr>
          <w:rFonts w:hint="eastAsia" w:ascii="Times New Roman" w:hAnsi="Times New Roman" w:eastAsia="仿宋_GB2312"/>
          <w:sz w:val="32"/>
          <w:szCs w:val="32"/>
        </w:rPr>
        <w:t>24</w:t>
      </w:r>
      <w:r>
        <w:rPr>
          <w:rFonts w:ascii="Times New Roman" w:hAnsi="Times New Roman" w:eastAsia="仿宋_GB2312"/>
          <w:sz w:val="32"/>
          <w:szCs w:val="32"/>
        </w:rPr>
        <w:t>倍。</w:t>
      </w:r>
    </w:p>
    <w:p>
      <w:pPr>
        <w:spacing w:after="217" w:afterLines="50" w:line="560" w:lineRule="exact"/>
        <w:jc w:val="center"/>
        <w:rPr>
          <w:rFonts w:hint="eastAsia"/>
          <w:b/>
        </w:rPr>
      </w:pPr>
      <w:r>
        <w:rPr>
          <w:rFonts w:hint="eastAsia"/>
          <w:b/>
        </w:rPr>
        <w:t>灵泉景区提升改造项目资金测算平衡表</w:t>
      </w:r>
    </w:p>
    <w:tbl>
      <w:tblPr>
        <w:tblStyle w:val="8"/>
        <w:tblW w:w="5000" w:type="pct"/>
        <w:tblInd w:w="0" w:type="dxa"/>
        <w:tblLayout w:type="autofit"/>
        <w:tblCellMar>
          <w:top w:w="0" w:type="dxa"/>
          <w:left w:w="0" w:type="dxa"/>
          <w:bottom w:w="0" w:type="dxa"/>
          <w:right w:w="0" w:type="dxa"/>
        </w:tblCellMar>
      </w:tblPr>
      <w:tblGrid>
        <w:gridCol w:w="357"/>
        <w:gridCol w:w="1580"/>
        <w:gridCol w:w="700"/>
        <w:gridCol w:w="618"/>
        <w:gridCol w:w="684"/>
        <w:gridCol w:w="629"/>
        <w:gridCol w:w="586"/>
        <w:gridCol w:w="584"/>
        <w:gridCol w:w="584"/>
        <w:gridCol w:w="584"/>
        <w:gridCol w:w="618"/>
        <w:gridCol w:w="592"/>
        <w:gridCol w:w="592"/>
        <w:gridCol w:w="630"/>
        <w:gridCol w:w="630"/>
        <w:gridCol w:w="630"/>
        <w:gridCol w:w="630"/>
        <w:gridCol w:w="631"/>
        <w:gridCol w:w="685"/>
        <w:gridCol w:w="638"/>
      </w:tblGrid>
      <w:tr>
        <w:tblPrEx>
          <w:tblCellMar>
            <w:top w:w="0" w:type="dxa"/>
            <w:left w:w="0" w:type="dxa"/>
            <w:bottom w:w="0" w:type="dxa"/>
            <w:right w:w="0" w:type="dxa"/>
          </w:tblCellMar>
        </w:tblPrEx>
        <w:trPr>
          <w:trHeight w:val="443" w:hRule="atLeast"/>
          <w:tblHeader/>
        </w:trPr>
        <w:tc>
          <w:tcPr>
            <w:tcW w:w="14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sz w:val="16"/>
                <w:szCs w:val="16"/>
              </w:rPr>
              <w:t>序号</w:t>
            </w:r>
          </w:p>
        </w:tc>
        <w:tc>
          <w:tcPr>
            <w:tcW w:w="604"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sz w:val="16"/>
                <w:szCs w:val="16"/>
              </w:rPr>
              <w:t>项目</w:t>
            </w:r>
          </w:p>
        </w:tc>
        <w:tc>
          <w:tcPr>
            <w:tcW w:w="27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sz w:val="16"/>
                <w:szCs w:val="16"/>
              </w:rPr>
              <w:t>合计</w:t>
            </w:r>
          </w:p>
        </w:tc>
        <w:tc>
          <w:tcPr>
            <w:tcW w:w="721" w:type="pct"/>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建设期</w:t>
            </w:r>
          </w:p>
        </w:tc>
        <w:tc>
          <w:tcPr>
            <w:tcW w:w="3265" w:type="pct"/>
            <w:gridSpan w:val="14"/>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运营期</w:t>
            </w:r>
          </w:p>
        </w:tc>
      </w:tr>
      <w:tr>
        <w:tblPrEx>
          <w:tblCellMar>
            <w:top w:w="0" w:type="dxa"/>
            <w:left w:w="0" w:type="dxa"/>
            <w:bottom w:w="0" w:type="dxa"/>
            <w:right w:w="0" w:type="dxa"/>
          </w:tblCellMar>
        </w:tblPrEx>
        <w:trPr>
          <w:trHeight w:val="326" w:hRule="atLeast"/>
          <w:tblHeader/>
        </w:trPr>
        <w:tc>
          <w:tcPr>
            <w:tcW w:w="14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仿宋"/>
                <w:b/>
                <w:sz w:val="16"/>
                <w:szCs w:val="16"/>
              </w:rPr>
            </w:pPr>
          </w:p>
        </w:tc>
        <w:tc>
          <w:tcPr>
            <w:tcW w:w="604"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b/>
                <w:sz w:val="16"/>
                <w:szCs w:val="16"/>
              </w:rPr>
            </w:pPr>
          </w:p>
        </w:tc>
        <w:tc>
          <w:tcPr>
            <w:tcW w:w="27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仿宋"/>
                <w:b/>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2020</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2021</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2022</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2023</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2024</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2025</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2026</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2027</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2028</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2029</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2030</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2031</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2032</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2033</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2034</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2035</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b/>
                <w:sz w:val="16"/>
                <w:szCs w:val="16"/>
              </w:rPr>
            </w:pPr>
            <w:r>
              <w:rPr>
                <w:rFonts w:ascii="Times New Roman" w:hAnsi="Times New Roman"/>
                <w:b/>
                <w:kern w:val="0"/>
                <w:sz w:val="16"/>
                <w:szCs w:val="16"/>
                <w:lang w:bidi="ar"/>
              </w:rPr>
              <w:t>2036</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eastAsia="仿宋"/>
                <w:sz w:val="16"/>
                <w:szCs w:val="16"/>
              </w:rPr>
            </w:pPr>
            <w:r>
              <w:rPr>
                <w:rFonts w:hint="eastAsia" w:ascii="仿宋" w:hAnsi="仿宋" w:eastAsia="仿宋" w:cs="仿宋"/>
                <w:kern w:val="0"/>
                <w:sz w:val="16"/>
                <w:szCs w:val="16"/>
                <w:lang w:bidi="ar"/>
              </w:rPr>
              <w:t>一</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经营活动产生的现金</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1</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Style w:val="18"/>
                <w:rFonts w:hint="default"/>
                <w:lang w:bidi="ar"/>
              </w:rPr>
              <w:t>经营活动产生的现金净现金流量（</w:t>
            </w:r>
            <w:r>
              <w:rPr>
                <w:rStyle w:val="19"/>
                <w:lang w:bidi="ar"/>
              </w:rPr>
              <w:t>1.1-1.2</w:t>
            </w:r>
            <w:r>
              <w:rPr>
                <w:rStyle w:val="18"/>
                <w:rFonts w:hint="default"/>
                <w:lang w:bidi="ar"/>
              </w:rPr>
              <w:t>）</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31044.11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1921.43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1921.43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1921.43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2072.72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2072.72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2072.72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2238.42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2238.42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2238.42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2420.01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2420.01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2420.01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2591.00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2495.37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1.1</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经营活动产生的现金流入</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59826.73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3561.39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3561.39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3561.39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3911.97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3911.97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3911.97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4296.45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4296.45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4296.45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4718.27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4718.27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4718.27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5181.25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5181.25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1.1.1</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经营收入</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59826.73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3561.39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3561.39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3561.39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3911.97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3911.97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3911.97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4296.45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4296.45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4296.45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4718.27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4718.27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4718.27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5181.25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5181.25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1.2</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经营活动产生的现金流出</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28782.62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1639.96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1639.96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1639.96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1839.26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1839.26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1839.26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2058.03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2058.03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2058.03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2298.25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2298.25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2298.25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2590.25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2685.88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1.2.1</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应交增值税</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3386.42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201.59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201.59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201.59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221.43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221.43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221.43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243.20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243.20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243.20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267.07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267.07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267.07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293.28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293.28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kern w:val="0"/>
                <w:sz w:val="16"/>
                <w:szCs w:val="16"/>
                <w:lang w:bidi="ar"/>
              </w:rPr>
            </w:pPr>
            <w:r>
              <w:rPr>
                <w:rFonts w:ascii="Times New Roman" w:hAnsi="Times New Roman"/>
                <w:kern w:val="0"/>
                <w:sz w:val="16"/>
                <w:szCs w:val="16"/>
                <w:lang w:bidi="ar"/>
              </w:rPr>
              <w:t>1.2.2</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kern w:val="0"/>
                <w:sz w:val="16"/>
                <w:szCs w:val="16"/>
                <w:lang w:bidi="ar"/>
              </w:rPr>
            </w:pPr>
            <w:r>
              <w:rPr>
                <w:rFonts w:hint="eastAsia" w:ascii="宋体" w:hAnsi="宋体" w:cs="宋体"/>
                <w:kern w:val="0"/>
                <w:sz w:val="16"/>
                <w:szCs w:val="16"/>
                <w:lang w:bidi="ar"/>
              </w:rPr>
              <w:t>税金及附加</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338.64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20.16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20.16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20.16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22.14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22.14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22.14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24.32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24.32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24.32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26.71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26.71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26.71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29.33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kern w:val="0"/>
                <w:sz w:val="16"/>
                <w:szCs w:val="16"/>
                <w:lang w:bidi="ar"/>
              </w:rPr>
            </w:pPr>
            <w:r>
              <w:rPr>
                <w:rFonts w:ascii="Times New Roman" w:hAnsi="Times New Roman"/>
                <w:kern w:val="0"/>
                <w:sz w:val="16"/>
                <w:szCs w:val="16"/>
                <w:lang w:bidi="ar"/>
              </w:rPr>
              <w:t xml:space="preserve">29.33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1.2.3</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经营成本</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22090.36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1319.40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1319.40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1319.40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1446.44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1446.44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1446.44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1586.04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1586.04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1586.04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1739.47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1739.47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1739.47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1908.15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1908.15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1.2.4</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所得税</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2967.20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98.81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98.81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98.81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149.24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149.24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149.24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204.47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204.47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204.47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265.00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265.00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265.00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359.50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455.12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eastAsia="仿宋"/>
                <w:sz w:val="16"/>
                <w:szCs w:val="16"/>
              </w:rPr>
            </w:pPr>
            <w:r>
              <w:rPr>
                <w:rFonts w:hint="eastAsia" w:ascii="仿宋" w:hAnsi="仿宋" w:eastAsia="仿宋" w:cs="仿宋"/>
                <w:kern w:val="0"/>
                <w:sz w:val="16"/>
                <w:szCs w:val="16"/>
                <w:lang w:bidi="ar"/>
              </w:rPr>
              <w:t>二</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投资活动产生的现金</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2</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Style w:val="18"/>
                <w:rFonts w:hint="default"/>
                <w:lang w:bidi="ar"/>
              </w:rPr>
              <w:t>投资活动产生的净现金流量（</w:t>
            </w:r>
            <w:r>
              <w:rPr>
                <w:rStyle w:val="19"/>
                <w:lang w:bidi="ar"/>
              </w:rPr>
              <w:t>2.1-2.2</w:t>
            </w:r>
            <w:r>
              <w:rPr>
                <w:rStyle w:val="18"/>
                <w:rFonts w:hint="default"/>
                <w:lang w:bidi="ar"/>
              </w:rPr>
              <w:t>）</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-28702.50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-8882.50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-11499.00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-8321.00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2.1</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投资活动产生的净现金流入</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2.2</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投资活动产生的净现金流出</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28702.50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8882.50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11499.00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8321.00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2.2.1</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建设投资</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28702.50 </w:t>
            </w: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8882.5</w:t>
            </w: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11499</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8321.00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2.2.2</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流动资金</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eastAsia="仿宋"/>
                <w:sz w:val="16"/>
                <w:szCs w:val="16"/>
              </w:rPr>
            </w:pPr>
            <w:r>
              <w:rPr>
                <w:rFonts w:hint="eastAsia" w:ascii="仿宋" w:hAnsi="仿宋" w:eastAsia="仿宋" w:cs="仿宋"/>
                <w:kern w:val="0"/>
                <w:sz w:val="16"/>
                <w:szCs w:val="16"/>
                <w:lang w:bidi="ar"/>
              </w:rPr>
              <w:t>三</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融资活动产生的现金</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Style w:val="18"/>
                <w:rFonts w:hint="default"/>
                <w:lang w:bidi="ar"/>
              </w:rPr>
              <w:t>融资活动净现金流量（</w:t>
            </w:r>
            <w:r>
              <w:rPr>
                <w:rStyle w:val="19"/>
                <w:lang w:bidi="ar"/>
              </w:rPr>
              <w:t>3.1-3.2</w:t>
            </w:r>
            <w:r>
              <w:rPr>
                <w:rStyle w:val="18"/>
                <w:rFonts w:hint="default"/>
                <w:lang w:bidi="ar"/>
              </w:rPr>
              <w:t>）</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4860.00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8882.50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11499.00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8321.00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-11562.50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-4180.00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3.1</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融资活动产生的现金流入</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30000.00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9000.00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12000.00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9000.00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3.1.1</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项目资本金流入</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15000.00 </w:t>
            </w: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4000</w:t>
            </w:r>
          </w:p>
        </w:tc>
        <w:tc>
          <w:tcPr>
            <w:tcW w:w="23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6000</w:t>
            </w:r>
          </w:p>
        </w:tc>
        <w:tc>
          <w:tcPr>
            <w:tcW w:w="24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5000</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3.1.2</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债券融资款流入</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15000.00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5000.00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6000.00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4000.00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3.1.3</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流动资金借款流入</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3.2</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融资活动产生的现金流出</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25140.00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117.50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501.00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679.00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11562.50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4180.00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3.2.1</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偿还债券本金</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15000.00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11000.00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4000.00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3.2.2</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支付债券利息</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10125.00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112.50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495.00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675.00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562.50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180.00 </w:t>
            </w: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3.2.3</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支付债券发行费</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4.00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sz w:val="16"/>
                <w:szCs w:val="16"/>
              </w:rPr>
            </w:pPr>
            <w:r>
              <w:rPr>
                <w:rFonts w:ascii="Times New Roman" w:hAnsi="Times New Roman"/>
                <w:kern w:val="0"/>
                <w:sz w:val="16"/>
                <w:szCs w:val="16"/>
                <w:lang w:bidi="ar"/>
              </w:rPr>
              <w:t>3.2.4</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其他</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r>
      <w:tr>
        <w:tblPrEx>
          <w:tblCellMar>
            <w:top w:w="0" w:type="dxa"/>
            <w:left w:w="0" w:type="dxa"/>
            <w:bottom w:w="0" w:type="dxa"/>
            <w:right w:w="0" w:type="dxa"/>
          </w:tblCellMar>
        </w:tblPrEx>
        <w:trPr>
          <w:trHeight w:val="490"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eastAsia="仿宋"/>
                <w:sz w:val="16"/>
                <w:szCs w:val="16"/>
              </w:rPr>
            </w:pPr>
            <w:r>
              <w:rPr>
                <w:rFonts w:hint="eastAsia" w:ascii="仿宋" w:hAnsi="仿宋" w:eastAsia="仿宋" w:cs="仿宋"/>
                <w:kern w:val="0"/>
                <w:sz w:val="16"/>
                <w:szCs w:val="16"/>
                <w:lang w:bidi="ar"/>
              </w:rPr>
              <w:t>四</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Style w:val="18"/>
                <w:rFonts w:hint="default"/>
                <w:lang w:bidi="ar"/>
              </w:rPr>
              <w:t>现金净流量（</w:t>
            </w:r>
            <w:r>
              <w:rPr>
                <w:rStyle w:val="19"/>
                <w:lang w:bidi="ar"/>
              </w:rPr>
              <w:t>1+2+3</w:t>
            </w:r>
            <w:r>
              <w:rPr>
                <w:rStyle w:val="18"/>
                <w:rFonts w:hint="default"/>
                <w:lang w:bidi="ar"/>
              </w:rPr>
              <w:t>）</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7201.61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1246.43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1246.43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1246.43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1397.72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1397.72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1397.72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1563.42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1563.42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1563.42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1745.01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1745.01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1745.01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-8971.50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-1684.63 </w:t>
            </w:r>
          </w:p>
        </w:tc>
      </w:tr>
      <w:tr>
        <w:tblPrEx>
          <w:tblCellMar>
            <w:top w:w="0" w:type="dxa"/>
            <w:left w:w="0" w:type="dxa"/>
            <w:bottom w:w="0" w:type="dxa"/>
            <w:right w:w="0" w:type="dxa"/>
          </w:tblCellMar>
        </w:tblPrEx>
        <w:trPr>
          <w:trHeight w:val="501" w:hRule="atLeast"/>
        </w:trPr>
        <w:tc>
          <w:tcPr>
            <w:tcW w:w="1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Times New Roman" w:hAnsi="Times New Roman" w:eastAsia="仿宋"/>
                <w:sz w:val="16"/>
                <w:szCs w:val="16"/>
              </w:rPr>
            </w:pPr>
            <w:r>
              <w:rPr>
                <w:rFonts w:hint="eastAsia" w:ascii="仿宋" w:hAnsi="仿宋" w:eastAsia="仿宋" w:cs="仿宋"/>
                <w:kern w:val="0"/>
                <w:sz w:val="16"/>
                <w:szCs w:val="16"/>
                <w:lang w:bidi="ar"/>
              </w:rPr>
              <w:t>五</w:t>
            </w:r>
          </w:p>
        </w:tc>
        <w:tc>
          <w:tcPr>
            <w:tcW w:w="60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Times New Roman" w:hAnsi="Times New Roman"/>
                <w:sz w:val="16"/>
                <w:szCs w:val="16"/>
              </w:rPr>
            </w:pPr>
            <w:r>
              <w:rPr>
                <w:rFonts w:hint="eastAsia" w:ascii="宋体" w:hAnsi="宋体" w:cs="宋体"/>
                <w:kern w:val="0"/>
                <w:sz w:val="16"/>
                <w:szCs w:val="16"/>
                <w:lang w:bidi="ar"/>
              </w:rPr>
              <w:t>现金余额</w:t>
            </w:r>
          </w:p>
        </w:tc>
        <w:tc>
          <w:tcPr>
            <w:tcW w:w="27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right"/>
              <w:rPr>
                <w:rFonts w:ascii="Times New Roman" w:hAnsi="Times New Roman"/>
                <w:sz w:val="16"/>
                <w:szCs w:val="16"/>
              </w:rPr>
            </w:pP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0.00 </w:t>
            </w:r>
          </w:p>
        </w:tc>
        <w:tc>
          <w:tcPr>
            <w:tcW w:w="227"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1246.43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2492.86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3739.30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5137.01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6534.73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7932.44 </w:t>
            </w:r>
          </w:p>
        </w:tc>
        <w:tc>
          <w:tcPr>
            <w:tcW w:w="22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9495.86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11059.28 </w:t>
            </w:r>
          </w:p>
        </w:tc>
        <w:tc>
          <w:tcPr>
            <w:tcW w:w="22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12622.70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14367.72 </w:t>
            </w:r>
          </w:p>
        </w:tc>
        <w:tc>
          <w:tcPr>
            <w:tcW w:w="239"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16112.73 </w:t>
            </w:r>
          </w:p>
        </w:tc>
        <w:tc>
          <w:tcPr>
            <w:tcW w:w="236"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17857.75 </w:t>
            </w:r>
          </w:p>
        </w:tc>
        <w:tc>
          <w:tcPr>
            <w:tcW w:w="238"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8886.24 </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right"/>
              <w:textAlignment w:val="center"/>
              <w:rPr>
                <w:rFonts w:ascii="Times New Roman" w:hAnsi="Times New Roman"/>
                <w:sz w:val="16"/>
                <w:szCs w:val="16"/>
              </w:rPr>
            </w:pPr>
            <w:r>
              <w:rPr>
                <w:rFonts w:ascii="Times New Roman" w:hAnsi="Times New Roman"/>
                <w:kern w:val="0"/>
                <w:sz w:val="16"/>
                <w:szCs w:val="16"/>
                <w:lang w:bidi="ar"/>
              </w:rPr>
              <w:t xml:space="preserve">7201.61 </w:t>
            </w:r>
          </w:p>
        </w:tc>
      </w:tr>
    </w:tbl>
    <w:p>
      <w:pPr>
        <w:spacing w:after="217" w:afterLines="50" w:line="560" w:lineRule="exact"/>
        <w:rPr>
          <w:rFonts w:hint="eastAsia" w:ascii="宋体" w:hAnsi="宋体"/>
          <w:sz w:val="18"/>
          <w:szCs w:val="18"/>
        </w:rPr>
      </w:pPr>
    </w:p>
    <w:p>
      <w:pPr>
        <w:spacing w:line="560" w:lineRule="exact"/>
        <w:ind w:firstLine="640" w:firstLineChars="200"/>
        <w:rPr>
          <w:rFonts w:ascii="仿宋_GB2312" w:eastAsia="仿宋_GB2312"/>
          <w:sz w:val="32"/>
          <w:szCs w:val="32"/>
        </w:rPr>
        <w:sectPr>
          <w:pgSz w:w="16838" w:h="11906" w:orient="landscape"/>
          <w:pgMar w:top="1644" w:right="2098" w:bottom="1418" w:left="1588" w:header="851" w:footer="992" w:gutter="0"/>
          <w:pgNumType w:fmt="numberInDash"/>
          <w:cols w:space="720" w:num="1"/>
          <w:docGrid w:type="lines" w:linePitch="435" w:charSpace="0"/>
        </w:sectPr>
      </w:pP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五、项目绩效目标</w:t>
      </w:r>
    </w:p>
    <w:p>
      <w:pPr>
        <w:spacing w:line="360" w:lineRule="auto"/>
        <w:ind w:firstLine="678" w:firstLineChars="225"/>
        <w:rPr>
          <w:rFonts w:hint="eastAsia" w:ascii="仿宋" w:hAnsi="仿宋" w:eastAsia="仿宋"/>
          <w:b/>
          <w:bCs/>
          <w:sz w:val="30"/>
          <w:szCs w:val="30"/>
        </w:rPr>
      </w:pPr>
      <w:r>
        <w:rPr>
          <w:rFonts w:hint="eastAsia" w:ascii="仿宋" w:hAnsi="仿宋" w:eastAsia="仿宋"/>
          <w:b/>
          <w:bCs/>
          <w:sz w:val="30"/>
          <w:szCs w:val="30"/>
        </w:rPr>
        <w:t>1</w:t>
      </w:r>
      <w:r>
        <w:rPr>
          <w:rFonts w:ascii="仿宋" w:hAnsi="仿宋" w:eastAsia="仿宋"/>
          <w:b/>
          <w:bCs/>
          <w:sz w:val="30"/>
          <w:szCs w:val="30"/>
        </w:rPr>
        <w:t>.</w:t>
      </w:r>
      <w:r>
        <w:rPr>
          <w:rFonts w:hint="eastAsia" w:ascii="仿宋" w:hAnsi="仿宋" w:eastAsia="仿宋"/>
          <w:b/>
          <w:bCs/>
          <w:sz w:val="30"/>
          <w:szCs w:val="30"/>
        </w:rPr>
        <w:t>数量目标</w:t>
      </w:r>
    </w:p>
    <w:p>
      <w:pPr>
        <w:spacing w:line="360" w:lineRule="auto"/>
        <w:ind w:firstLine="675" w:firstLineChars="225"/>
        <w:rPr>
          <w:rFonts w:hint="eastAsia" w:ascii="仿宋" w:hAnsi="仿宋" w:eastAsia="仿宋"/>
          <w:bCs/>
          <w:sz w:val="30"/>
          <w:szCs w:val="30"/>
        </w:rPr>
      </w:pPr>
      <w:r>
        <w:rPr>
          <w:rFonts w:eastAsia="仿宋_GB2312"/>
          <w:sz w:val="30"/>
          <w:szCs w:val="30"/>
        </w:rPr>
        <w:t>本项目总用地面积2000亩，总建筑面积10000m³，建设内容主要包括游客中心改造、公共卫生间改造、景区道路改造、景区停车场改造、景区设施改造以及污水管网建设等。具体规模为景区道路改造14000㎡，景区停车场改造20000㎡，景区旅游厕所改建260m³，游客中心改造500m，污水管网建设2600m等。</w:t>
      </w:r>
    </w:p>
    <w:p>
      <w:pPr>
        <w:spacing w:line="360" w:lineRule="auto"/>
        <w:ind w:firstLine="678" w:firstLineChars="225"/>
        <w:rPr>
          <w:rFonts w:hint="eastAsia" w:ascii="仿宋" w:hAnsi="仿宋" w:eastAsia="仿宋"/>
          <w:b/>
          <w:bCs/>
          <w:sz w:val="30"/>
          <w:szCs w:val="30"/>
        </w:rPr>
      </w:pPr>
      <w:r>
        <w:rPr>
          <w:rFonts w:hint="eastAsia" w:ascii="仿宋" w:hAnsi="仿宋" w:eastAsia="仿宋"/>
          <w:b/>
          <w:bCs/>
          <w:sz w:val="30"/>
          <w:szCs w:val="30"/>
        </w:rPr>
        <w:t>2</w:t>
      </w:r>
      <w:r>
        <w:rPr>
          <w:rFonts w:ascii="仿宋" w:hAnsi="仿宋" w:eastAsia="仿宋"/>
          <w:b/>
          <w:bCs/>
          <w:sz w:val="30"/>
          <w:szCs w:val="30"/>
        </w:rPr>
        <w:t>.</w:t>
      </w:r>
      <w:r>
        <w:rPr>
          <w:rFonts w:hint="eastAsia" w:ascii="仿宋" w:hAnsi="仿宋" w:eastAsia="仿宋"/>
          <w:b/>
          <w:bCs/>
          <w:sz w:val="30"/>
          <w:szCs w:val="30"/>
        </w:rPr>
        <w:t>时效目标</w:t>
      </w:r>
    </w:p>
    <w:p>
      <w:pPr>
        <w:spacing w:line="360" w:lineRule="auto"/>
        <w:ind w:firstLine="675" w:firstLineChars="225"/>
        <w:rPr>
          <w:rFonts w:hint="eastAsia" w:ascii="仿宋" w:hAnsi="仿宋" w:eastAsia="仿宋"/>
          <w:bCs/>
          <w:sz w:val="30"/>
          <w:szCs w:val="30"/>
        </w:rPr>
      </w:pPr>
      <w:r>
        <w:rPr>
          <w:rFonts w:hint="eastAsia" w:ascii="仿宋" w:hAnsi="仿宋" w:eastAsia="仿宋"/>
          <w:bCs/>
          <w:sz w:val="30"/>
          <w:szCs w:val="30"/>
        </w:rPr>
        <w:t>债券发行期为1</w:t>
      </w:r>
      <w:r>
        <w:rPr>
          <w:rFonts w:ascii="仿宋" w:hAnsi="仿宋" w:eastAsia="仿宋"/>
          <w:bCs/>
          <w:sz w:val="30"/>
          <w:szCs w:val="30"/>
        </w:rPr>
        <w:t>5</w:t>
      </w:r>
      <w:r>
        <w:rPr>
          <w:rFonts w:hint="eastAsia" w:ascii="仿宋" w:hAnsi="仿宋" w:eastAsia="仿宋"/>
          <w:bCs/>
          <w:sz w:val="30"/>
          <w:szCs w:val="30"/>
        </w:rPr>
        <w:t>年， 债券1</w:t>
      </w:r>
      <w:r>
        <w:rPr>
          <w:rFonts w:ascii="仿宋" w:hAnsi="仿宋" w:eastAsia="仿宋"/>
          <w:bCs/>
          <w:sz w:val="30"/>
          <w:szCs w:val="30"/>
        </w:rPr>
        <w:t>5</w:t>
      </w:r>
      <w:r>
        <w:rPr>
          <w:rFonts w:hint="eastAsia" w:ascii="仿宋" w:hAnsi="仿宋" w:eastAsia="仿宋"/>
          <w:bCs/>
          <w:sz w:val="30"/>
          <w:szCs w:val="30"/>
        </w:rPr>
        <w:t>年内还本付息。</w:t>
      </w:r>
    </w:p>
    <w:p>
      <w:pPr>
        <w:spacing w:line="360" w:lineRule="auto"/>
        <w:ind w:firstLine="678" w:firstLineChars="225"/>
        <w:rPr>
          <w:rFonts w:hint="eastAsia" w:ascii="仿宋" w:hAnsi="仿宋" w:eastAsia="仿宋"/>
          <w:b/>
          <w:bCs/>
          <w:sz w:val="30"/>
          <w:szCs w:val="30"/>
        </w:rPr>
      </w:pPr>
      <w:r>
        <w:rPr>
          <w:rFonts w:hint="eastAsia" w:ascii="仿宋" w:hAnsi="仿宋" w:eastAsia="仿宋"/>
          <w:b/>
          <w:bCs/>
          <w:sz w:val="30"/>
          <w:szCs w:val="30"/>
        </w:rPr>
        <w:t>3</w:t>
      </w:r>
      <w:r>
        <w:rPr>
          <w:rFonts w:ascii="仿宋" w:hAnsi="仿宋" w:eastAsia="仿宋"/>
          <w:b/>
          <w:bCs/>
          <w:sz w:val="30"/>
          <w:szCs w:val="30"/>
        </w:rPr>
        <w:t>.</w:t>
      </w:r>
      <w:r>
        <w:rPr>
          <w:rFonts w:hint="eastAsia" w:ascii="仿宋" w:hAnsi="仿宋" w:eastAsia="仿宋"/>
          <w:b/>
          <w:bCs/>
          <w:sz w:val="30"/>
          <w:szCs w:val="30"/>
        </w:rPr>
        <w:t>经济效益目标</w:t>
      </w:r>
    </w:p>
    <w:p>
      <w:pPr>
        <w:spacing w:line="360" w:lineRule="auto"/>
        <w:ind w:firstLine="675" w:firstLineChars="225"/>
        <w:rPr>
          <w:rFonts w:hint="eastAsia" w:ascii="仿宋" w:hAnsi="仿宋" w:eastAsia="仿宋"/>
          <w:bCs/>
          <w:sz w:val="30"/>
          <w:szCs w:val="30"/>
        </w:rPr>
      </w:pPr>
      <w:r>
        <w:rPr>
          <w:rFonts w:ascii="仿宋" w:hAnsi="仿宋" w:eastAsia="仿宋"/>
          <w:bCs/>
          <w:sz w:val="30"/>
          <w:szCs w:val="30"/>
        </w:rPr>
        <w:t>本项目的建设，不仅带动建筑业、建材业、服务业，而且刺激其它相关产业的发展，促进各项消费。随着项目区投资环境的逐步改善，会吸引人们前来购物和从事商业经营活动，将推动饮食业、旅游业、商业、建筑业等相关行业的发展，并将进一步地提高</w:t>
      </w:r>
      <w:r>
        <w:rPr>
          <w:rFonts w:hint="eastAsia" w:ascii="仿宋" w:hAnsi="仿宋" w:eastAsia="仿宋"/>
          <w:bCs/>
          <w:sz w:val="30"/>
          <w:szCs w:val="30"/>
        </w:rPr>
        <w:t>区域城市</w:t>
      </w:r>
      <w:r>
        <w:rPr>
          <w:rFonts w:ascii="仿宋" w:hAnsi="仿宋" w:eastAsia="仿宋"/>
          <w:bCs/>
          <w:sz w:val="30"/>
          <w:szCs w:val="30"/>
        </w:rPr>
        <w:t>的人口集聚力和承载力，有利于</w:t>
      </w:r>
      <w:r>
        <w:rPr>
          <w:rFonts w:hint="eastAsia" w:ascii="仿宋" w:hAnsi="仿宋" w:eastAsia="仿宋"/>
          <w:bCs/>
          <w:sz w:val="30"/>
          <w:szCs w:val="30"/>
        </w:rPr>
        <w:t>项目区</w:t>
      </w:r>
      <w:r>
        <w:rPr>
          <w:rFonts w:ascii="仿宋" w:hAnsi="仿宋" w:eastAsia="仿宋"/>
          <w:bCs/>
          <w:sz w:val="30"/>
          <w:szCs w:val="30"/>
        </w:rPr>
        <w:t>成长为新兴现代化城市。</w:t>
      </w:r>
    </w:p>
    <w:p>
      <w:pPr>
        <w:spacing w:line="360" w:lineRule="auto"/>
        <w:ind w:firstLine="678" w:firstLineChars="225"/>
        <w:rPr>
          <w:rFonts w:ascii="仿宋" w:hAnsi="仿宋" w:eastAsia="仿宋"/>
          <w:b/>
          <w:bCs/>
          <w:sz w:val="30"/>
          <w:szCs w:val="30"/>
        </w:rPr>
      </w:pPr>
      <w:bookmarkStart w:id="1" w:name="_Toc13623_WPSOffice_Level2"/>
      <w:bookmarkStart w:id="2" w:name="_Toc3662_WPSOffice_Level2"/>
      <w:bookmarkStart w:id="3" w:name="_Toc536785384"/>
      <w:bookmarkStart w:id="4" w:name="_Toc6561"/>
      <w:bookmarkStart w:id="5" w:name="_Toc1369"/>
      <w:bookmarkStart w:id="6" w:name="_Toc31530"/>
      <w:r>
        <w:rPr>
          <w:rFonts w:hint="eastAsia" w:ascii="仿宋" w:hAnsi="仿宋" w:eastAsia="仿宋"/>
          <w:b/>
          <w:bCs/>
          <w:sz w:val="30"/>
          <w:szCs w:val="30"/>
        </w:rPr>
        <w:t>4</w:t>
      </w:r>
      <w:r>
        <w:rPr>
          <w:rFonts w:ascii="仿宋" w:hAnsi="仿宋" w:eastAsia="仿宋"/>
          <w:b/>
          <w:bCs/>
          <w:sz w:val="30"/>
          <w:szCs w:val="30"/>
        </w:rPr>
        <w:t>.</w:t>
      </w:r>
      <w:r>
        <w:rPr>
          <w:rFonts w:hint="eastAsia" w:ascii="仿宋" w:hAnsi="仿宋" w:eastAsia="仿宋"/>
          <w:b/>
          <w:bCs/>
          <w:sz w:val="30"/>
          <w:szCs w:val="30"/>
        </w:rPr>
        <w:t>社会效益目标</w:t>
      </w:r>
      <w:bookmarkEnd w:id="1"/>
      <w:bookmarkEnd w:id="2"/>
      <w:bookmarkEnd w:id="3"/>
      <w:bookmarkEnd w:id="4"/>
      <w:bookmarkEnd w:id="5"/>
      <w:bookmarkEnd w:id="6"/>
    </w:p>
    <w:p>
      <w:pPr>
        <w:spacing w:line="360" w:lineRule="auto"/>
        <w:ind w:firstLine="675" w:firstLineChars="225"/>
        <w:rPr>
          <w:rFonts w:ascii="仿宋" w:hAnsi="仿宋" w:eastAsia="仿宋"/>
          <w:bCs/>
          <w:sz w:val="30"/>
          <w:szCs w:val="30"/>
        </w:rPr>
      </w:pPr>
      <w:r>
        <w:rPr>
          <w:rFonts w:hint="eastAsia" w:ascii="仿宋" w:hAnsi="仿宋" w:eastAsia="仿宋"/>
          <w:bCs/>
          <w:sz w:val="30"/>
          <w:szCs w:val="30"/>
        </w:rPr>
        <w:t>本项目建成后将进一步优化国土空间布局，加强生态环境保护，加快城市绿地建设，是遂宁市深度融入“成渝双城经济圈建设”的需要，满足城区居民旅游休闲快速发展的需要。</w:t>
      </w:r>
    </w:p>
    <w:p>
      <w:pPr>
        <w:spacing w:line="360" w:lineRule="auto"/>
        <w:ind w:firstLine="678" w:firstLineChars="225"/>
        <w:rPr>
          <w:rFonts w:ascii="仿宋" w:hAnsi="仿宋" w:eastAsia="仿宋"/>
          <w:b/>
          <w:bCs/>
          <w:sz w:val="30"/>
          <w:szCs w:val="30"/>
        </w:rPr>
      </w:pPr>
      <w:bookmarkStart w:id="7" w:name="_Toc4946_WPSOffice_Level2"/>
      <w:bookmarkStart w:id="8" w:name="_Toc8127"/>
      <w:bookmarkStart w:id="9" w:name="_Toc23490"/>
      <w:bookmarkStart w:id="10" w:name="_Toc29749_WPSOffice_Level2"/>
      <w:bookmarkStart w:id="11" w:name="_Toc536785385"/>
      <w:bookmarkStart w:id="12" w:name="_Toc32244"/>
      <w:r>
        <w:rPr>
          <w:rFonts w:hint="eastAsia" w:ascii="仿宋" w:hAnsi="仿宋" w:eastAsia="仿宋"/>
          <w:b/>
          <w:bCs/>
          <w:sz w:val="30"/>
          <w:szCs w:val="30"/>
        </w:rPr>
        <w:t>5</w:t>
      </w:r>
      <w:r>
        <w:rPr>
          <w:rFonts w:ascii="仿宋" w:hAnsi="仿宋" w:eastAsia="仿宋"/>
          <w:b/>
          <w:bCs/>
          <w:sz w:val="30"/>
          <w:szCs w:val="30"/>
        </w:rPr>
        <w:t>.</w:t>
      </w:r>
      <w:r>
        <w:rPr>
          <w:rFonts w:hint="eastAsia" w:ascii="仿宋" w:hAnsi="仿宋" w:eastAsia="仿宋"/>
          <w:b/>
          <w:bCs/>
          <w:sz w:val="30"/>
          <w:szCs w:val="30"/>
        </w:rPr>
        <w:t>可持续影响目标</w:t>
      </w:r>
      <w:bookmarkEnd w:id="7"/>
      <w:bookmarkEnd w:id="8"/>
      <w:bookmarkEnd w:id="9"/>
      <w:bookmarkEnd w:id="10"/>
      <w:bookmarkEnd w:id="11"/>
      <w:bookmarkEnd w:id="12"/>
    </w:p>
    <w:p>
      <w:pPr>
        <w:spacing w:line="560" w:lineRule="exact"/>
        <w:ind w:firstLine="600" w:firstLineChars="200"/>
        <w:rPr>
          <w:rFonts w:hint="eastAsia" w:ascii="仿宋" w:hAnsi="仿宋" w:eastAsia="仿宋"/>
          <w:bCs/>
          <w:sz w:val="30"/>
          <w:szCs w:val="30"/>
        </w:rPr>
      </w:pPr>
      <w:r>
        <w:rPr>
          <w:rFonts w:hint="eastAsia" w:ascii="仿宋" w:hAnsi="仿宋" w:eastAsia="仿宋"/>
          <w:bCs/>
          <w:sz w:val="30"/>
          <w:szCs w:val="30"/>
        </w:rPr>
        <w:t>本项目选址合理，项目生产区周围无环境制约因素，符合“三线一单”的要求，即环境质量底线、生态红线、资源利用上线、环境负面清单，因此符合可持续发展的要求。</w:t>
      </w:r>
    </w:p>
    <w:p>
      <w:pPr>
        <w:spacing w:before="240" w:after="120" w:line="560" w:lineRule="exact"/>
        <w:ind w:firstLine="640" w:firstLineChars="200"/>
        <w:rPr>
          <w:rFonts w:hint="eastAsia" w:ascii="仿宋_GB2312" w:hAnsi="仿宋" w:eastAsia="仿宋_GB2312"/>
          <w:sz w:val="32"/>
          <w:szCs w:val="32"/>
        </w:rPr>
      </w:pPr>
      <w:r>
        <w:rPr>
          <w:rFonts w:hint="eastAsia" w:ascii="黑体" w:hAnsi="黑体" w:eastAsia="黑体"/>
          <w:sz w:val="32"/>
          <w:szCs w:val="32"/>
        </w:rPr>
        <w:t>六、潜在影响项目的风险评估</w:t>
      </w:r>
    </w:p>
    <w:p>
      <w:pPr>
        <w:spacing w:line="360" w:lineRule="auto"/>
        <w:ind w:firstLine="675" w:firstLineChars="225"/>
        <w:rPr>
          <w:rFonts w:hint="eastAsia" w:ascii="宋体" w:hAnsi="宋体" w:cs="宋体"/>
          <w:sz w:val="32"/>
          <w:szCs w:val="32"/>
        </w:rPr>
      </w:pPr>
      <w:r>
        <w:rPr>
          <w:rFonts w:hint="eastAsia" w:ascii="仿宋" w:hAnsi="仿宋" w:eastAsia="仿宋"/>
          <w:bCs/>
          <w:sz w:val="30"/>
          <w:szCs w:val="30"/>
        </w:rPr>
        <w:t>本项目存在的施工进度或正常运营的风险、项目收益的风险、影响融资平衡结果的风险等因素，通过实施单位采取合理可控的风险控制措施能够有效的规避、减轻相关风险的发生，经评估项目风险可控。</w:t>
      </w:r>
    </w:p>
    <w:p>
      <w:pPr>
        <w:spacing w:before="240" w:after="120" w:line="560" w:lineRule="exact"/>
        <w:ind w:firstLine="640" w:firstLineChars="200"/>
        <w:rPr>
          <w:rFonts w:hint="eastAsia" w:ascii="仿宋_GB2312" w:eastAsia="仿宋_GB2312"/>
          <w:sz w:val="32"/>
          <w:szCs w:val="32"/>
        </w:rPr>
      </w:pPr>
      <w:r>
        <w:rPr>
          <w:rFonts w:hint="eastAsia" w:ascii="黑体" w:hAnsi="黑体" w:eastAsia="黑体"/>
          <w:sz w:val="32"/>
          <w:szCs w:val="32"/>
        </w:rPr>
        <w:t>七、还款保障情况</w:t>
      </w:r>
    </w:p>
    <w:p>
      <w:pPr>
        <w:spacing w:line="360" w:lineRule="auto"/>
        <w:ind w:firstLine="675" w:firstLineChars="225"/>
        <w:rPr>
          <w:rFonts w:hint="eastAsia" w:ascii="仿宋_GB2312" w:hAnsi="仿宋" w:eastAsia="仿宋_GB2312"/>
          <w:sz w:val="32"/>
          <w:szCs w:val="32"/>
          <w:lang w:val="en-GB"/>
        </w:rPr>
      </w:pPr>
      <w:r>
        <w:rPr>
          <w:rFonts w:hint="eastAsia" w:ascii="仿宋" w:hAnsi="仿宋" w:eastAsia="仿宋"/>
          <w:bCs/>
          <w:sz w:val="30"/>
          <w:szCs w:val="30"/>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spacing w:before="240" w:after="120" w:line="560" w:lineRule="exact"/>
        <w:ind w:firstLine="640" w:firstLineChars="200"/>
        <w:rPr>
          <w:rFonts w:hint="eastAsia" w:ascii="黑体" w:hAnsi="黑体" w:eastAsia="黑体"/>
          <w:sz w:val="32"/>
          <w:szCs w:val="32"/>
        </w:rPr>
      </w:pPr>
      <w:r>
        <w:rPr>
          <w:rFonts w:hint="eastAsia" w:ascii="黑体" w:hAnsi="黑体" w:eastAsia="黑体"/>
          <w:sz w:val="32"/>
          <w:szCs w:val="32"/>
        </w:rPr>
        <w:t>八、主管部门职责</w:t>
      </w:r>
    </w:p>
    <w:p>
      <w:pPr>
        <w:spacing w:before="240" w:after="120" w:line="560" w:lineRule="exact"/>
        <w:ind w:firstLine="600" w:firstLineChars="200"/>
        <w:rPr>
          <w:rFonts w:hint="eastAsia" w:eastAsia="仿宋_GB2312"/>
          <w:sz w:val="30"/>
          <w:szCs w:val="30"/>
        </w:rPr>
      </w:pPr>
      <w:r>
        <w:rPr>
          <w:rFonts w:hint="eastAsia" w:eastAsia="仿宋_GB2312"/>
          <w:sz w:val="30"/>
          <w:szCs w:val="30"/>
        </w:rPr>
        <w:t>遂宁市河东新区管理委员会作为本项目的实施主体，主要负责成立本项目实施工作小组；根据项目实际情况，落实项目建设单位；协调落实各项目的财政配套资金和专项债券资金。遂宁东涪投资有限责任公司作为项目业主，应牵头对本项目工程建设统一管理；负责各项经济指标的统计、调研、分析、检查汇总和上报，跟踪目标任务完成情况，确保按期完成本项目建设任务。</w:t>
      </w:r>
    </w:p>
    <w:p>
      <w:pPr>
        <w:numPr>
          <w:ilvl w:val="0"/>
          <w:numId w:val="1"/>
        </w:numPr>
        <w:spacing w:before="240" w:after="120" w:line="560" w:lineRule="exact"/>
        <w:ind w:firstLine="640" w:firstLineChars="200"/>
        <w:rPr>
          <w:rFonts w:hint="eastAsia" w:ascii="黑体" w:hAnsi="黑体" w:eastAsia="黑体"/>
          <w:sz w:val="32"/>
          <w:szCs w:val="32"/>
        </w:rPr>
      </w:pPr>
      <w:r>
        <w:rPr>
          <w:rFonts w:hint="eastAsia" w:ascii="黑体" w:hAnsi="黑体" w:eastAsia="黑体"/>
          <w:sz w:val="32"/>
          <w:szCs w:val="32"/>
        </w:rPr>
        <w:t>补充说明</w:t>
      </w:r>
      <w:bookmarkStart w:id="13" w:name="_GoBack"/>
      <w:bookmarkEnd w:id="13"/>
    </w:p>
    <w:p>
      <w:pPr>
        <w:spacing w:before="240" w:after="120" w:line="560" w:lineRule="exact"/>
        <w:ind w:firstLine="600" w:firstLineChars="200"/>
        <w:rPr>
          <w:rFonts w:hint="eastAsia" w:ascii="仿宋_GB2312" w:hAnsi="仿宋_GB2312" w:eastAsia="仿宋_GB2312"/>
          <w:w w:val="99"/>
          <w:sz w:val="32"/>
          <w:szCs w:val="32"/>
        </w:rPr>
      </w:pPr>
      <w:r>
        <w:rPr>
          <w:rFonts w:hint="eastAsia" w:eastAsia="仿宋_GB2312"/>
          <w:sz w:val="30"/>
          <w:szCs w:val="30"/>
        </w:rPr>
        <w:t>此项目债券资金总需求15000万元，根据地方政府债务限额管理要求和项目实施进展情况，</w:t>
      </w:r>
      <w:r>
        <w:rPr>
          <w:rFonts w:hint="eastAsia" w:eastAsia="仿宋_GB2312"/>
          <w:color w:val="auto"/>
          <w:sz w:val="30"/>
          <w:szCs w:val="30"/>
          <w:highlight w:val="none"/>
          <w:shd w:val="clear" w:color="auto" w:fill="auto"/>
        </w:rPr>
        <w:t>2</w:t>
      </w:r>
      <w:r>
        <w:rPr>
          <w:rFonts w:eastAsia="仿宋_GB2312"/>
          <w:color w:val="auto"/>
          <w:sz w:val="30"/>
          <w:szCs w:val="30"/>
          <w:highlight w:val="none"/>
          <w:shd w:val="clear" w:color="auto" w:fill="auto"/>
        </w:rPr>
        <w:t>018-</w:t>
      </w:r>
      <w:r>
        <w:rPr>
          <w:rFonts w:hint="eastAsia" w:eastAsia="仿宋_GB2312"/>
          <w:color w:val="auto"/>
          <w:sz w:val="30"/>
          <w:szCs w:val="30"/>
          <w:highlight w:val="none"/>
          <w:shd w:val="clear" w:color="auto" w:fill="auto"/>
        </w:rPr>
        <w:t>202</w:t>
      </w:r>
      <w:r>
        <w:rPr>
          <w:rFonts w:eastAsia="仿宋_GB2312"/>
          <w:color w:val="auto"/>
          <w:sz w:val="30"/>
          <w:szCs w:val="30"/>
          <w:highlight w:val="none"/>
          <w:shd w:val="clear" w:color="auto" w:fill="auto"/>
        </w:rPr>
        <w:t>1</w:t>
      </w:r>
      <w:r>
        <w:rPr>
          <w:rFonts w:hint="eastAsia" w:eastAsia="仿宋_GB2312"/>
          <w:color w:val="auto"/>
          <w:sz w:val="30"/>
          <w:szCs w:val="30"/>
          <w:highlight w:val="none"/>
          <w:shd w:val="clear" w:color="auto" w:fill="auto"/>
        </w:rPr>
        <w:t>年已发行</w:t>
      </w:r>
      <w:r>
        <w:rPr>
          <w:rFonts w:hint="eastAsia" w:eastAsia="仿宋_GB2312"/>
          <w:color w:val="auto"/>
          <w:sz w:val="30"/>
          <w:szCs w:val="30"/>
          <w:highlight w:val="none"/>
          <w:shd w:val="clear" w:color="auto" w:fill="auto"/>
          <w:lang w:val="en-US" w:eastAsia="zh-CN"/>
        </w:rPr>
        <w:t>3000</w:t>
      </w:r>
      <w:r>
        <w:rPr>
          <w:rFonts w:hint="eastAsia" w:eastAsia="仿宋_GB2312"/>
          <w:color w:val="auto"/>
          <w:sz w:val="30"/>
          <w:szCs w:val="30"/>
          <w:highlight w:val="none"/>
          <w:shd w:val="clear" w:color="auto" w:fill="auto"/>
        </w:rPr>
        <w:t>万元。本</w:t>
      </w:r>
      <w:r>
        <w:rPr>
          <w:rFonts w:hint="eastAsia" w:eastAsia="仿宋_GB2312"/>
          <w:sz w:val="30"/>
          <w:szCs w:val="30"/>
        </w:rPr>
        <w:t>次拟继续发行2000万元，期限15年。该项目实施内容及收益来源未发生变动，在不超过项目债券总需求情况下，债券分批次跨年发行对项目整体融资平衡不构成实质影响。</w:t>
      </w:r>
    </w:p>
    <w:sectPr>
      <w:pgSz w:w="11906" w:h="16838"/>
      <w:pgMar w:top="2098" w:right="1418" w:bottom="1588" w:left="1644" w:header="851" w:footer="992"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Calibri"/>
      </w:rPr>
      <w:t>- 7 -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Calibri"/>
      </w:rPr>
      <w:t>- 8 -</w:t>
    </w:r>
    <w:r>
      <w:rPr>
        <w:rFonts w:ascii="宋体" w:hAnsi="宋体"/>
        <w:sz w:val="28"/>
        <w:szCs w:val="2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9"/>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4AC"/>
    <w:rsid w:val="000617DC"/>
    <w:rsid w:val="000F22A2"/>
    <w:rsid w:val="00220BA1"/>
    <w:rsid w:val="002628D5"/>
    <w:rsid w:val="002C334D"/>
    <w:rsid w:val="00383353"/>
    <w:rsid w:val="00427E03"/>
    <w:rsid w:val="00573B63"/>
    <w:rsid w:val="005954AD"/>
    <w:rsid w:val="005C4576"/>
    <w:rsid w:val="006A439B"/>
    <w:rsid w:val="0070617A"/>
    <w:rsid w:val="0081728C"/>
    <w:rsid w:val="008529BF"/>
    <w:rsid w:val="008D6788"/>
    <w:rsid w:val="008F32B8"/>
    <w:rsid w:val="0094293A"/>
    <w:rsid w:val="00954378"/>
    <w:rsid w:val="009778B3"/>
    <w:rsid w:val="00990BF9"/>
    <w:rsid w:val="009D70EF"/>
    <w:rsid w:val="00A73EC8"/>
    <w:rsid w:val="00AD4CD6"/>
    <w:rsid w:val="00AF23D7"/>
    <w:rsid w:val="00AF6192"/>
    <w:rsid w:val="00B255DD"/>
    <w:rsid w:val="00B84E51"/>
    <w:rsid w:val="00BA780C"/>
    <w:rsid w:val="00BC63FC"/>
    <w:rsid w:val="00C74C6C"/>
    <w:rsid w:val="00CC2792"/>
    <w:rsid w:val="00CD7437"/>
    <w:rsid w:val="00D156AD"/>
    <w:rsid w:val="00D34B90"/>
    <w:rsid w:val="00D4281F"/>
    <w:rsid w:val="00D94ECD"/>
    <w:rsid w:val="00DB4E35"/>
    <w:rsid w:val="00DD3115"/>
    <w:rsid w:val="00E67D39"/>
    <w:rsid w:val="00FA0A74"/>
    <w:rsid w:val="00FA386D"/>
    <w:rsid w:val="0BAB0551"/>
    <w:rsid w:val="64A164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Calibri"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3"/>
    <w:next w:val="3"/>
    <w:link w:val="17"/>
    <w:qFormat/>
    <w:uiPriority w:val="0"/>
    <w:pPr>
      <w:keepNext/>
      <w:keepLines/>
      <w:adjustRightInd w:val="0"/>
      <w:snapToGrid w:val="0"/>
      <w:spacing w:before="150" w:beforeLines="100" w:after="150" w:afterLines="50" w:line="360" w:lineRule="auto"/>
      <w:outlineLvl w:val="2"/>
    </w:pPr>
    <w:rPr>
      <w:rFonts w:ascii="华文楷体" w:hAnsi="华文楷体" w:eastAsia="仿宋_GB2312"/>
      <w:b/>
      <w:sz w:val="32"/>
      <w:lang w:val="en-GB" w:eastAsia="zh-CN"/>
    </w:rPr>
  </w:style>
  <w:style w:type="character" w:default="1" w:styleId="9">
    <w:name w:val="Default Paragraph Font"/>
    <w:uiPriority w:val="0"/>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5"/>
    <w:qFormat/>
    <w:uiPriority w:val="0"/>
    <w:pPr>
      <w:widowControl/>
      <w:spacing w:after="120" w:afterLines="0"/>
      <w:jc w:val="left"/>
    </w:pPr>
    <w:rPr>
      <w:rFonts w:ascii="Times New Roman" w:hAnsi="Times New Roman"/>
      <w:szCs w:val="24"/>
    </w:rPr>
  </w:style>
  <w:style w:type="paragraph" w:styleId="4">
    <w:name w:val="Plain Text"/>
    <w:basedOn w:val="1"/>
    <w:link w:val="13"/>
    <w:qFormat/>
    <w:uiPriority w:val="0"/>
    <w:rPr>
      <w:rFonts w:ascii="宋体" w:hAnsi="Courier New" w:eastAsia="仿宋_GB2312"/>
      <w:szCs w:val="21"/>
    </w:rPr>
  </w:style>
  <w:style w:type="paragraph" w:styleId="5">
    <w:name w:val="footer"/>
    <w:basedOn w:val="1"/>
    <w:link w:val="11"/>
    <w:qFormat/>
    <w:uiPriority w:val="0"/>
    <w:pPr>
      <w:tabs>
        <w:tab w:val="center" w:pos="4153"/>
        <w:tab w:val="right" w:pos="8306"/>
      </w:tabs>
      <w:snapToGrid w:val="0"/>
      <w:jc w:val="left"/>
    </w:pPr>
    <w:rPr>
      <w:rFonts w:ascii="仿宋_GB2312" w:eastAsia="仿宋_GB2312"/>
      <w:sz w:val="18"/>
      <w:szCs w:val="18"/>
    </w:rPr>
  </w:style>
  <w:style w:type="paragraph" w:styleId="6">
    <w:name w:val="header"/>
    <w:basedOn w:val="1"/>
    <w:link w:val="10"/>
    <w:qFormat/>
    <w:uiPriority w:val="0"/>
    <w:pPr>
      <w:tabs>
        <w:tab w:val="center" w:pos="4153"/>
        <w:tab w:val="right" w:pos="8306"/>
      </w:tabs>
      <w:snapToGrid w:val="0"/>
      <w:spacing w:line="620" w:lineRule="exact"/>
      <w:ind w:firstLine="200" w:firstLineChars="200"/>
      <w:jc w:val="center"/>
    </w:pPr>
    <w:rPr>
      <w:rFonts w:ascii="仿宋_GB2312" w:eastAsia="仿宋_GB2312"/>
      <w:sz w:val="18"/>
      <w:szCs w:val="18"/>
    </w:rPr>
  </w:style>
  <w:style w:type="paragraph" w:styleId="7">
    <w:name w:val="Subtitle"/>
    <w:basedOn w:val="1"/>
    <w:next w:val="1"/>
    <w:link w:val="12"/>
    <w:qFormat/>
    <w:uiPriority w:val="0"/>
    <w:pPr>
      <w:adjustRightInd w:val="0"/>
      <w:snapToGrid w:val="0"/>
      <w:spacing w:before="240" w:beforeLines="0" w:after="60" w:afterLines="0" w:line="312" w:lineRule="auto"/>
      <w:jc w:val="center"/>
    </w:pPr>
    <w:rPr>
      <w:rFonts w:ascii="Cambria" w:hAnsi="Cambria" w:eastAsia="黑体"/>
      <w:b/>
      <w:bCs/>
      <w:kern w:val="28"/>
      <w:sz w:val="24"/>
      <w:szCs w:val="32"/>
    </w:rPr>
  </w:style>
  <w:style w:type="character" w:customStyle="1" w:styleId="10">
    <w:name w:val="页眉 Char"/>
    <w:link w:val="6"/>
    <w:qFormat/>
    <w:uiPriority w:val="0"/>
    <w:rPr>
      <w:kern w:val="2"/>
      <w:sz w:val="18"/>
      <w:szCs w:val="18"/>
    </w:rPr>
  </w:style>
  <w:style w:type="character" w:customStyle="1" w:styleId="11">
    <w:name w:val="页脚 Char"/>
    <w:link w:val="5"/>
    <w:qFormat/>
    <w:uiPriority w:val="0"/>
    <w:rPr>
      <w:kern w:val="2"/>
      <w:sz w:val="18"/>
      <w:szCs w:val="18"/>
    </w:rPr>
  </w:style>
  <w:style w:type="character" w:customStyle="1" w:styleId="12">
    <w:name w:val="副标题 Char"/>
    <w:link w:val="7"/>
    <w:qFormat/>
    <w:uiPriority w:val="0"/>
    <w:rPr>
      <w:rFonts w:ascii="Cambria" w:hAnsi="Cambria" w:eastAsia="黑体"/>
      <w:b/>
      <w:bCs/>
      <w:kern w:val="28"/>
      <w:sz w:val="24"/>
      <w:szCs w:val="32"/>
    </w:rPr>
  </w:style>
  <w:style w:type="character" w:customStyle="1" w:styleId="13">
    <w:name w:val="纯文本 Char"/>
    <w:link w:val="4"/>
    <w:qFormat/>
    <w:uiPriority w:val="0"/>
    <w:rPr>
      <w:rFonts w:ascii="宋体" w:hAnsi="Courier New" w:cs="Courier New"/>
      <w:kern w:val="2"/>
      <w:sz w:val="21"/>
      <w:szCs w:val="21"/>
    </w:rPr>
  </w:style>
  <w:style w:type="character" w:customStyle="1" w:styleId="14">
    <w:name w:val="纯文本 字符1"/>
    <w:qFormat/>
    <w:uiPriority w:val="0"/>
    <w:rPr>
      <w:rFonts w:ascii="宋体" w:hAnsi="Courier New" w:eastAsia="宋体" w:cs="Courier New"/>
      <w:kern w:val="2"/>
      <w:sz w:val="21"/>
      <w:szCs w:val="21"/>
    </w:rPr>
  </w:style>
  <w:style w:type="character" w:customStyle="1" w:styleId="15">
    <w:name w:val="正文文本 Char"/>
    <w:link w:val="3"/>
    <w:qFormat/>
    <w:uiPriority w:val="0"/>
    <w:rPr>
      <w:rFonts w:ascii="Times New Roman" w:hAnsi="Times New Roman" w:eastAsia="宋体"/>
      <w:kern w:val="2"/>
      <w:sz w:val="21"/>
      <w:szCs w:val="24"/>
    </w:rPr>
  </w:style>
  <w:style w:type="character" w:customStyle="1" w:styleId="16">
    <w:name w:val="标题 3 Char"/>
    <w:semiHidden/>
    <w:qFormat/>
    <w:uiPriority w:val="9"/>
    <w:rPr>
      <w:rFonts w:ascii="Calibri" w:eastAsia="宋体"/>
      <w:b/>
      <w:bCs/>
      <w:kern w:val="2"/>
      <w:sz w:val="32"/>
      <w:szCs w:val="32"/>
    </w:rPr>
  </w:style>
  <w:style w:type="character" w:customStyle="1" w:styleId="17">
    <w:name w:val="标题 3 Char1"/>
    <w:link w:val="2"/>
    <w:qFormat/>
    <w:locked/>
    <w:uiPriority w:val="0"/>
    <w:rPr>
      <w:rFonts w:ascii="华文楷体" w:hAnsi="华文楷体"/>
      <w:b/>
      <w:kern w:val="2"/>
      <w:sz w:val="32"/>
      <w:szCs w:val="24"/>
      <w:lang w:val="en-GB"/>
    </w:rPr>
  </w:style>
  <w:style w:type="character" w:customStyle="1" w:styleId="18">
    <w:name w:val="font11"/>
    <w:qFormat/>
    <w:uiPriority w:val="0"/>
    <w:rPr>
      <w:rFonts w:hint="eastAsia" w:ascii="宋体" w:hAnsi="宋体" w:eastAsia="宋体" w:cs="宋体"/>
      <w:color w:val="000000"/>
      <w:sz w:val="16"/>
      <w:szCs w:val="16"/>
      <w:u w:val="none"/>
    </w:rPr>
  </w:style>
  <w:style w:type="character" w:customStyle="1" w:styleId="19">
    <w:name w:val="font31"/>
    <w:qFormat/>
    <w:uiPriority w:val="0"/>
    <w:rPr>
      <w:rFonts w:hint="default" w:ascii="Times New Roman" w:hAnsi="Times New Roman" w:cs="Times New Roman"/>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10</Pages>
  <Words>868</Words>
  <Characters>4948</Characters>
  <Lines>41</Lines>
  <Paragraphs>11</Paragraphs>
  <TotalTime>8</TotalTime>
  <ScaleCrop>false</ScaleCrop>
  <LinksUpToDate>false</LinksUpToDate>
  <CharactersWithSpaces>5805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2021-10-16T11:59:00Z</dcterms:created>
  <dc:creator>曾智强</dc:creator>
  <cp:lastModifiedBy>李小俊</cp:lastModifiedBy>
  <cp:lastPrinted>2022-01-28T06:49:49Z</cp:lastPrinted>
  <dcterms:modified xsi:type="dcterms:W3CDTF">2022-01-29T04:54:59Z</dcterms:modified>
  <dc:title>内江市市中区乐贤工业集中区</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244EA094D87C4D7AA994339A322ECB01</vt:lpwstr>
  </property>
</Properties>
</file>