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312" w:afterLines="100" w:line="560" w:lineRule="exact"/>
        <w:jc w:val="center"/>
        <w:rPr>
          <w:rFonts w:ascii="宋体" w:hAnsi="宋体"/>
          <w:b/>
          <w:sz w:val="36"/>
          <w:szCs w:val="44"/>
        </w:rPr>
      </w:pPr>
      <w:bookmarkStart w:id="60" w:name="_GoBack"/>
      <w:r>
        <w:rPr>
          <w:rFonts w:hint="eastAsia" w:ascii="宋体" w:hAnsi="宋体"/>
          <w:b/>
          <w:sz w:val="36"/>
          <w:szCs w:val="44"/>
          <w:lang w:eastAsia="zh-CN"/>
        </w:rPr>
        <w:t>遂宁市河东新区老旧小区改造项目</w:t>
      </w:r>
      <w:bookmarkEnd w:id="60"/>
      <w:r>
        <w:rPr>
          <w:rFonts w:hint="eastAsia" w:ascii="宋体" w:hAnsi="宋体"/>
          <w:b/>
          <w:sz w:val="36"/>
          <w:szCs w:val="44"/>
        </w:rPr>
        <w:t>情况</w:t>
      </w:r>
    </w:p>
    <w:p>
      <w:pPr>
        <w:spacing w:line="560" w:lineRule="exact"/>
        <w:ind w:firstLine="562" w:firstLineChars="200"/>
        <w:rPr>
          <w:rFonts w:ascii="宋体" w:hAnsi="宋体"/>
          <w:b/>
          <w:sz w:val="28"/>
          <w:szCs w:val="28"/>
        </w:rPr>
      </w:pPr>
      <w:r>
        <w:rPr>
          <w:rFonts w:ascii="宋体" w:hAnsi="宋体"/>
          <w:b/>
          <w:sz w:val="28"/>
          <w:szCs w:val="28"/>
        </w:rPr>
        <w:t>一、项目基本情况</w:t>
      </w:r>
    </w:p>
    <w:p>
      <w:pPr>
        <w:spacing w:line="560" w:lineRule="exact"/>
        <w:ind w:firstLine="562" w:firstLineChars="200"/>
        <w:outlineLvl w:val="0"/>
        <w:rPr>
          <w:rFonts w:ascii="宋体" w:hAnsi="宋体"/>
          <w:b/>
          <w:sz w:val="28"/>
          <w:szCs w:val="28"/>
        </w:rPr>
      </w:pPr>
      <w:bookmarkStart w:id="0" w:name="_Toc532070649"/>
      <w:bookmarkStart w:id="1" w:name="_Toc531335466"/>
      <w:bookmarkStart w:id="2" w:name="_Toc531545367"/>
      <w:bookmarkStart w:id="3" w:name="_Toc531349580"/>
      <w:r>
        <w:rPr>
          <w:rFonts w:ascii="宋体" w:hAnsi="宋体"/>
          <w:b/>
          <w:sz w:val="28"/>
          <w:szCs w:val="28"/>
        </w:rPr>
        <w:t>（一）市县及行业专项规划概况</w:t>
      </w:r>
      <w:bookmarkEnd w:id="0"/>
      <w:bookmarkEnd w:id="1"/>
      <w:bookmarkEnd w:id="2"/>
      <w:bookmarkEnd w:id="3"/>
    </w:p>
    <w:p>
      <w:pPr>
        <w:widowControl/>
        <w:adjustRightInd w:val="0"/>
        <w:snapToGrid w:val="0"/>
        <w:spacing w:line="580" w:lineRule="exact"/>
        <w:ind w:firstLine="560" w:firstLineChars="200"/>
        <w:rPr>
          <w:rFonts w:hint="eastAsia" w:ascii="宋体" w:hAnsi="宋体"/>
          <w:bCs/>
          <w:sz w:val="28"/>
          <w:szCs w:val="28"/>
          <w:lang w:eastAsia="zh-CN"/>
        </w:rPr>
      </w:pPr>
      <w:r>
        <w:rPr>
          <w:rFonts w:hint="eastAsia" w:ascii="宋体" w:hAnsi="宋体"/>
          <w:bCs/>
          <w:sz w:val="28"/>
          <w:szCs w:val="28"/>
          <w:lang w:eastAsia="zh-CN"/>
        </w:rPr>
        <w:t>《国务院办公厅关于全面推进城镇老旧小区改造工作的指导意见》（国办发〔2020〕23号）指出，城镇老旧小区改造是重大民生工程和发展工程，对满足人民群众美好生活需要、推动惠民生扩内需、推进城市更新和开发建设方式转型、促进经济高质量发展具有十分重要的意义。</w:t>
      </w:r>
    </w:p>
    <w:p>
      <w:pPr>
        <w:widowControl/>
        <w:adjustRightInd w:val="0"/>
        <w:snapToGrid w:val="0"/>
        <w:spacing w:line="580" w:lineRule="exact"/>
        <w:ind w:firstLine="560" w:firstLineChars="200"/>
        <w:rPr>
          <w:rFonts w:hint="eastAsia" w:ascii="宋体" w:hAnsi="宋体"/>
          <w:bCs/>
          <w:sz w:val="28"/>
          <w:szCs w:val="28"/>
          <w:lang w:eastAsia="zh-CN"/>
        </w:rPr>
      </w:pPr>
      <w:r>
        <w:rPr>
          <w:rFonts w:hint="eastAsia" w:ascii="宋体" w:hAnsi="宋体"/>
          <w:bCs/>
          <w:sz w:val="28"/>
          <w:szCs w:val="28"/>
          <w:lang w:eastAsia="zh-CN"/>
        </w:rPr>
        <w:t>《四川省人民政府办公厅关于全面推进城镇老旧小区改造工作的实施意见》（公开征求意见稿）2020年全省新开工改造城镇老旧小区4000个46万户，开展40个省级试点示范；至2022年，全省基本形成城镇老旧小区改造的制度框架、政策体系和工作机制；到“十四五”期末，力争基本完成我省2000年底前建成的需改造城镇老旧小区改造任务。</w:t>
      </w:r>
    </w:p>
    <w:p>
      <w:pPr>
        <w:widowControl/>
        <w:adjustRightInd w:val="0"/>
        <w:snapToGrid w:val="0"/>
        <w:spacing w:line="580" w:lineRule="exact"/>
        <w:ind w:firstLine="560" w:firstLineChars="200"/>
        <w:rPr>
          <w:rFonts w:ascii="宋体" w:hAnsi="宋体"/>
          <w:bCs/>
          <w:sz w:val="28"/>
          <w:szCs w:val="28"/>
          <w:lang w:eastAsia="zh-CN"/>
        </w:rPr>
      </w:pPr>
      <w:r>
        <w:rPr>
          <w:rFonts w:ascii="宋体" w:hAnsi="宋体"/>
          <w:bCs/>
          <w:sz w:val="28"/>
          <w:szCs w:val="28"/>
          <w:lang w:eastAsia="zh-CN"/>
        </w:rPr>
        <w:t>根据《遂宁市国民经济和社会发展第十三个五年规划纲要》，遂宁市总体发展定位：以建设绿色经济强市为总目标，加快建设四川省次级综合交通枢纽、西部重要现代产业基地、以“养心”文化为特色的现代生态花园城市，成为成渝经济区重要的区域性中心城市。</w:t>
      </w:r>
    </w:p>
    <w:p>
      <w:pPr>
        <w:widowControl/>
        <w:adjustRightInd w:val="0"/>
        <w:snapToGrid w:val="0"/>
        <w:spacing w:line="580" w:lineRule="exact"/>
        <w:ind w:firstLine="560" w:firstLineChars="200"/>
        <w:rPr>
          <w:rFonts w:ascii="宋体" w:hAnsi="宋体"/>
          <w:bCs/>
          <w:sz w:val="28"/>
          <w:szCs w:val="28"/>
          <w:lang w:eastAsia="zh-CN"/>
        </w:rPr>
      </w:pPr>
      <w:r>
        <w:rPr>
          <w:rFonts w:ascii="宋体" w:hAnsi="宋体"/>
          <w:bCs/>
          <w:sz w:val="28"/>
          <w:szCs w:val="28"/>
          <w:lang w:eastAsia="zh-CN"/>
        </w:rPr>
        <w:t>根据《遂宁市城市总体规划（2013-2030）》，遂宁市城市发展目标定位为成渝合作和区域合作的连接点、承接现代产业转移的理想地、具有遂宁特色的现代产业高地、现代生态田园城市、丘陵地区全面小康示范。</w:t>
      </w:r>
    </w:p>
    <w:p>
      <w:pPr>
        <w:widowControl/>
        <w:adjustRightInd w:val="0"/>
        <w:snapToGrid w:val="0"/>
        <w:spacing w:line="580" w:lineRule="exact"/>
        <w:ind w:firstLine="560" w:firstLineChars="200"/>
        <w:rPr>
          <w:rFonts w:hint="eastAsia" w:ascii="宋体" w:hAnsi="宋体"/>
          <w:bCs/>
          <w:sz w:val="28"/>
          <w:szCs w:val="28"/>
          <w:lang w:eastAsia="zh-CN"/>
        </w:rPr>
      </w:pPr>
      <w:r>
        <w:rPr>
          <w:rFonts w:hint="eastAsia" w:ascii="宋体" w:hAnsi="宋体"/>
          <w:bCs/>
          <w:sz w:val="28"/>
          <w:szCs w:val="28"/>
          <w:lang w:eastAsia="zh-CN"/>
        </w:rPr>
        <w:t>本项目建设将有助于遂宁市河东新区加快新型城镇化进程，助推区域经济社会快速发展，大幅改善老旧小区改造范围内居民的生活、居住、就业条件，完善配套基础设施建设，维护社会稳定、体现社会公平，建设和谐社会，促进遂宁市河东新区经济社会全面发展。</w:t>
      </w:r>
    </w:p>
    <w:p>
      <w:pPr>
        <w:spacing w:line="560" w:lineRule="exact"/>
        <w:ind w:left="0" w:leftChars="0" w:right="0" w:rightChars="0" w:firstLine="0" w:firstLineChars="0"/>
        <w:jc w:val="center"/>
        <w:rPr>
          <w:rFonts w:ascii="宋体" w:hAnsi="宋体"/>
          <w:sz w:val="28"/>
          <w:szCs w:val="28"/>
        </w:rPr>
      </w:pPr>
      <w:r>
        <w:rPr>
          <w:rFonts w:ascii="宋体" w:hAnsi="宋体"/>
          <w:bCs/>
          <w:sz w:val="28"/>
          <w:szCs w:val="28"/>
          <w:lang w:eastAsia="zh-CN"/>
        </w:rPr>
        <w:t>本项目的实施符合</w:t>
      </w:r>
      <w:r>
        <w:rPr>
          <w:rFonts w:hint="eastAsia" w:ascii="宋体" w:hAnsi="宋体"/>
          <w:bCs/>
          <w:sz w:val="28"/>
          <w:szCs w:val="28"/>
          <w:lang w:eastAsia="zh-CN"/>
        </w:rPr>
        <w:t>《国务院办公厅关于全面推进城镇老旧小区改造工作的指导意见》《四川省人民政府办公厅关于全面推进城镇老旧小区改造工作的实施意见》</w:t>
      </w:r>
      <w:r>
        <w:rPr>
          <w:rFonts w:ascii="宋体" w:hAnsi="宋体"/>
          <w:bCs/>
          <w:sz w:val="28"/>
          <w:szCs w:val="28"/>
          <w:lang w:eastAsia="zh-CN"/>
        </w:rPr>
        <w:t>《遂宁市国民经济和社会发展第十三个五年规划纲要》《遂宁市城市总体规划（2013-2030）》的要求，能够为</w:t>
      </w:r>
      <w:r>
        <w:rPr>
          <w:rFonts w:hint="eastAsia" w:ascii="宋体" w:hAnsi="宋体"/>
          <w:bCs/>
          <w:sz w:val="28"/>
          <w:szCs w:val="28"/>
          <w:lang w:val="en-US" w:eastAsia="zh-CN"/>
        </w:rPr>
        <w:t>老旧小</w:t>
      </w:r>
      <w:r>
        <w:rPr>
          <w:rFonts w:ascii="宋体" w:hAnsi="宋体"/>
          <w:bCs/>
          <w:sz w:val="28"/>
          <w:szCs w:val="28"/>
          <w:lang w:eastAsia="zh-CN"/>
        </w:rPr>
        <w:t>区的居民提供良好的生活质量，优化城市环境，促进</w:t>
      </w:r>
      <w:r>
        <w:rPr>
          <w:rFonts w:hint="eastAsia" w:ascii="宋体" w:hAnsi="宋体"/>
          <w:bCs/>
          <w:sz w:val="28"/>
          <w:szCs w:val="28"/>
          <w:lang w:val="en-US" w:eastAsia="zh-CN"/>
        </w:rPr>
        <w:t>河东新区</w:t>
      </w:r>
      <w:r>
        <w:rPr>
          <w:rFonts w:ascii="宋体" w:hAnsi="宋体"/>
          <w:bCs/>
          <w:sz w:val="28"/>
          <w:szCs w:val="28"/>
          <w:lang w:eastAsia="zh-CN"/>
        </w:rPr>
        <w:t>产业发展，推进城镇化建设进程，提升城镇发展质量和水平。</w:t>
      </w:r>
    </w:p>
    <w:p>
      <w:pPr>
        <w:spacing w:line="560" w:lineRule="exact"/>
        <w:ind w:firstLine="562" w:firstLineChars="200"/>
        <w:outlineLvl w:val="0"/>
        <w:rPr>
          <w:rFonts w:ascii="宋体" w:hAnsi="宋体"/>
          <w:b/>
          <w:sz w:val="28"/>
          <w:szCs w:val="28"/>
        </w:rPr>
      </w:pPr>
      <w:bookmarkStart w:id="4" w:name="_Toc531349581"/>
      <w:bookmarkStart w:id="5" w:name="_Toc531545368"/>
      <w:bookmarkStart w:id="6" w:name="_Toc532070650"/>
      <w:bookmarkStart w:id="7" w:name="_Toc531335467"/>
      <w:r>
        <w:rPr>
          <w:rFonts w:ascii="宋体" w:hAnsi="宋体"/>
          <w:b/>
          <w:sz w:val="28"/>
          <w:szCs w:val="28"/>
        </w:rPr>
        <w:t>（二）项目情况</w:t>
      </w:r>
      <w:bookmarkEnd w:id="4"/>
      <w:bookmarkEnd w:id="5"/>
      <w:bookmarkEnd w:id="6"/>
      <w:bookmarkEnd w:id="7"/>
    </w:p>
    <w:p>
      <w:pPr>
        <w:spacing w:line="560" w:lineRule="exact"/>
        <w:ind w:firstLine="562" w:firstLineChars="200"/>
        <w:rPr>
          <w:rFonts w:ascii="宋体" w:hAnsi="宋体"/>
          <w:b/>
          <w:sz w:val="28"/>
          <w:szCs w:val="28"/>
        </w:rPr>
      </w:pPr>
      <w:r>
        <w:rPr>
          <w:rFonts w:ascii="宋体" w:hAnsi="宋体"/>
          <w:b/>
          <w:sz w:val="28"/>
          <w:szCs w:val="28"/>
        </w:rPr>
        <w:t>1.参与主体</w:t>
      </w:r>
    </w:p>
    <w:p>
      <w:pPr>
        <w:spacing w:line="560" w:lineRule="exact"/>
        <w:ind w:firstLine="560" w:firstLineChars="200"/>
        <w:rPr>
          <w:rFonts w:hint="eastAsia" w:ascii="宋体" w:hAnsi="宋体" w:eastAsia="宋体"/>
          <w:sz w:val="28"/>
          <w:szCs w:val="28"/>
          <w:lang w:eastAsia="zh-CN"/>
        </w:rPr>
      </w:pPr>
      <w:r>
        <w:rPr>
          <w:rFonts w:ascii="宋体" w:hAnsi="宋体"/>
          <w:sz w:val="28"/>
          <w:szCs w:val="28"/>
        </w:rPr>
        <w:t>实施机构：</w:t>
      </w:r>
      <w:r>
        <w:rPr>
          <w:rFonts w:hint="eastAsia" w:ascii="宋体" w:hAnsi="宋体"/>
          <w:sz w:val="28"/>
          <w:szCs w:val="28"/>
          <w:lang w:eastAsia="zh-CN"/>
        </w:rPr>
        <w:t>遂宁市河东新区管理委员会</w:t>
      </w:r>
    </w:p>
    <w:p>
      <w:pPr>
        <w:spacing w:line="560" w:lineRule="exact"/>
        <w:ind w:firstLine="560" w:firstLineChars="200"/>
        <w:rPr>
          <w:rFonts w:hint="eastAsia" w:ascii="宋体" w:hAnsi="宋体" w:eastAsia="宋体"/>
          <w:sz w:val="28"/>
          <w:szCs w:val="28"/>
          <w:lang w:eastAsia="zh-CN"/>
        </w:rPr>
      </w:pPr>
      <w:r>
        <w:rPr>
          <w:rFonts w:ascii="宋体" w:hAnsi="宋体"/>
          <w:sz w:val="28"/>
          <w:szCs w:val="28"/>
        </w:rPr>
        <w:t>项目业主：</w:t>
      </w:r>
      <w:r>
        <w:rPr>
          <w:rFonts w:hint="eastAsia" w:ascii="宋体" w:hAnsi="宋体"/>
          <w:sz w:val="28"/>
          <w:szCs w:val="28"/>
          <w:lang w:eastAsia="zh-CN"/>
        </w:rPr>
        <w:t>遂宁市新合建设投资有限公司</w:t>
      </w:r>
    </w:p>
    <w:p>
      <w:pPr>
        <w:spacing w:line="560" w:lineRule="exact"/>
        <w:ind w:firstLine="562" w:firstLineChars="200"/>
        <w:rPr>
          <w:rFonts w:ascii="宋体" w:hAnsi="宋体"/>
          <w:b/>
          <w:sz w:val="28"/>
          <w:szCs w:val="28"/>
        </w:rPr>
      </w:pPr>
      <w:r>
        <w:rPr>
          <w:rFonts w:ascii="宋体" w:hAnsi="宋体"/>
          <w:b/>
          <w:sz w:val="28"/>
          <w:szCs w:val="28"/>
        </w:rPr>
        <w:t>2.项目概况</w:t>
      </w:r>
    </w:p>
    <w:p>
      <w:pPr>
        <w:spacing w:line="560" w:lineRule="exact"/>
        <w:ind w:firstLine="560" w:firstLineChars="200"/>
        <w:rPr>
          <w:rFonts w:ascii="宋体" w:hAnsi="宋体"/>
          <w:sz w:val="28"/>
          <w:szCs w:val="28"/>
        </w:rPr>
      </w:pPr>
      <w:r>
        <w:rPr>
          <w:rFonts w:ascii="宋体" w:hAnsi="宋体"/>
          <w:sz w:val="28"/>
          <w:szCs w:val="28"/>
        </w:rPr>
        <w:t>项目所属领域：</w:t>
      </w:r>
      <w:r>
        <w:rPr>
          <w:rFonts w:hint="eastAsia" w:ascii="宋体" w:hAnsi="宋体"/>
          <w:sz w:val="28"/>
          <w:szCs w:val="28"/>
          <w:lang w:eastAsia="zh-CN"/>
        </w:rPr>
        <w:t>老旧小区</w:t>
      </w:r>
    </w:p>
    <w:p>
      <w:pPr>
        <w:spacing w:line="560" w:lineRule="exact"/>
        <w:ind w:firstLine="560" w:firstLineChars="200"/>
        <w:rPr>
          <w:rFonts w:hint="eastAsia" w:ascii="宋体" w:hAnsi="宋体"/>
          <w:sz w:val="28"/>
          <w:szCs w:val="28"/>
          <w:lang w:eastAsia="zh-CN"/>
        </w:rPr>
      </w:pPr>
      <w:r>
        <w:rPr>
          <w:rFonts w:hint="eastAsia" w:ascii="宋体" w:hAnsi="宋体"/>
          <w:sz w:val="28"/>
          <w:szCs w:val="28"/>
          <w:lang w:eastAsia="zh-CN"/>
        </w:rPr>
        <w:t>产出说明：</w:t>
      </w:r>
      <w:bookmarkStart w:id="8" w:name="_Toc531349582"/>
      <w:bookmarkStart w:id="9" w:name="_Toc531335468"/>
      <w:r>
        <w:rPr>
          <w:rFonts w:hint="eastAsia" w:ascii="宋体" w:hAnsi="宋体"/>
          <w:sz w:val="28"/>
          <w:szCs w:val="28"/>
          <w:lang w:eastAsia="zh-CN"/>
        </w:rPr>
        <w:t>对小康小区、罐子口移民小区、仁里古镇花园小区、仁里古镇农贸小区、仁里古镇移民小区、僧家苑老旧小区、科教园区移民小区，共计1086户进行改造，面积为16.41万㎡，建设内容为：配套道路黑化、人行道海绵化、地下雨污管网改造、交通标识、路灯、绿道等，同时对小区楼顶防水改造、外墙修缮美化、水电气线路改造、场地硬化、电动车集中停车充电桩、新建泊车位、外墙修缮、小区道路、楼顶漏水，路灯改造等。</w:t>
      </w:r>
    </w:p>
    <w:p>
      <w:pPr>
        <w:spacing w:line="560" w:lineRule="exact"/>
        <w:ind w:firstLine="562" w:firstLineChars="200"/>
        <w:rPr>
          <w:rFonts w:ascii="宋体" w:hAnsi="宋体"/>
          <w:b/>
          <w:sz w:val="28"/>
          <w:szCs w:val="28"/>
        </w:rPr>
      </w:pPr>
      <w:r>
        <w:rPr>
          <w:rFonts w:ascii="宋体" w:hAnsi="宋体"/>
          <w:b/>
          <w:sz w:val="28"/>
          <w:szCs w:val="28"/>
        </w:rPr>
        <w:t>二、经济社会效益分析</w:t>
      </w:r>
      <w:bookmarkEnd w:id="8"/>
      <w:bookmarkEnd w:id="9"/>
    </w:p>
    <w:p>
      <w:pPr>
        <w:widowControl/>
        <w:adjustRightInd w:val="0"/>
        <w:snapToGrid w:val="0"/>
        <w:spacing w:line="580" w:lineRule="exact"/>
        <w:ind w:firstLine="560" w:firstLineChars="200"/>
        <w:rPr>
          <w:rFonts w:ascii="宋体" w:hAnsi="宋体"/>
          <w:bCs/>
          <w:sz w:val="28"/>
          <w:szCs w:val="28"/>
          <w:lang w:eastAsia="zh-CN"/>
        </w:rPr>
      </w:pPr>
      <w:bookmarkStart w:id="10" w:name="_Toc531349583"/>
      <w:bookmarkStart w:id="11" w:name="_Toc531335469"/>
      <w:r>
        <w:rPr>
          <w:rFonts w:hint="eastAsia" w:ascii="宋体" w:hAnsi="宋体"/>
          <w:bCs/>
          <w:sz w:val="28"/>
          <w:szCs w:val="28"/>
          <w:lang w:eastAsia="zh-CN"/>
        </w:rPr>
        <w:t>本项目通过老旧小区改造，可在生产、经营、管理、服务等领域产生巨大的效益，为城市发展带来直接和间接经济效益。项目运营计算期中，预计可实现不含税收入12498.68万元。专项债全部到期时，在偿还当年到期本息后，仍有2287.44万元的累计现金结余，不存在资金缺口。</w:t>
      </w:r>
    </w:p>
    <w:p>
      <w:pPr>
        <w:widowControl/>
        <w:adjustRightInd w:val="0"/>
        <w:snapToGrid w:val="0"/>
        <w:spacing w:line="580" w:lineRule="exact"/>
        <w:ind w:firstLine="560" w:firstLineChars="200"/>
        <w:rPr>
          <w:rFonts w:ascii="宋体" w:hAnsi="宋体"/>
          <w:bCs/>
          <w:sz w:val="28"/>
          <w:szCs w:val="28"/>
          <w:lang w:eastAsia="zh-CN"/>
        </w:rPr>
      </w:pPr>
      <w:r>
        <w:rPr>
          <w:rFonts w:hint="eastAsia" w:ascii="宋体" w:hAnsi="宋体"/>
          <w:bCs/>
          <w:sz w:val="28"/>
          <w:szCs w:val="28"/>
          <w:lang w:eastAsia="zh-CN"/>
        </w:rPr>
        <w:t>经测算，本项目用于专项债券部分的可偿债息前净现金流为8784.94万元，专项债券到期本息合计6700.00万元，本项目收入覆盖倍数为1.31倍。能较好的实现收益与融资自求平衡，且具备一定的抗风险能力。</w:t>
      </w:r>
    </w:p>
    <w:p>
      <w:pPr>
        <w:widowControl/>
        <w:adjustRightInd w:val="0"/>
        <w:snapToGrid w:val="0"/>
        <w:spacing w:line="580" w:lineRule="exact"/>
        <w:ind w:firstLine="560" w:firstLineChars="200"/>
        <w:rPr>
          <w:rFonts w:hint="eastAsia" w:ascii="宋体" w:hAnsi="宋体"/>
          <w:bCs/>
          <w:sz w:val="28"/>
          <w:szCs w:val="28"/>
          <w:lang w:eastAsia="zh-CN"/>
        </w:rPr>
      </w:pPr>
      <w:r>
        <w:rPr>
          <w:rFonts w:hint="eastAsia" w:ascii="宋体" w:hAnsi="宋体"/>
          <w:bCs/>
          <w:sz w:val="28"/>
          <w:szCs w:val="28"/>
          <w:lang w:eastAsia="zh-CN"/>
        </w:rPr>
        <w:t>本项目的建设可以提升和完善城市功能，改善城区落后面貌。老旧小区改造首先要解决的是脏乱差面貌和基础设施落后的现状，通过改造，统筹考虑了服务配套和基础条件的改善，可以加快城市基础设施建设步伐，改变城市基础设施条件，完善城市功能，提升城市品位，使原来落后的城市面貌得到改善，提高了居民的幸福指数，体现了党的执政能力，拉近了政府与居民的距离，增强了社会凝聚力，促进了社会的和谐发展。</w:t>
      </w:r>
    </w:p>
    <w:p>
      <w:pPr>
        <w:spacing w:line="560" w:lineRule="exact"/>
        <w:ind w:firstLine="562" w:firstLineChars="200"/>
        <w:outlineLvl w:val="0"/>
        <w:rPr>
          <w:rFonts w:ascii="宋体" w:hAnsi="宋体"/>
          <w:b/>
          <w:sz w:val="28"/>
          <w:szCs w:val="28"/>
        </w:rPr>
      </w:pPr>
      <w:bookmarkStart w:id="12" w:name="_Toc532070651"/>
      <w:bookmarkStart w:id="13" w:name="_Toc531545369"/>
      <w:r>
        <w:rPr>
          <w:rFonts w:ascii="宋体" w:hAnsi="宋体"/>
          <w:b/>
          <w:sz w:val="28"/>
          <w:szCs w:val="28"/>
        </w:rPr>
        <w:t>三、项目投资估算及资金筹措方案</w:t>
      </w:r>
      <w:bookmarkEnd w:id="10"/>
      <w:bookmarkEnd w:id="11"/>
      <w:bookmarkEnd w:id="12"/>
      <w:bookmarkEnd w:id="13"/>
    </w:p>
    <w:p>
      <w:pPr>
        <w:spacing w:line="560" w:lineRule="exact"/>
        <w:ind w:firstLine="562" w:firstLineChars="200"/>
        <w:outlineLvl w:val="0"/>
        <w:rPr>
          <w:rFonts w:ascii="宋体" w:hAnsi="宋体"/>
          <w:b/>
          <w:sz w:val="28"/>
          <w:szCs w:val="28"/>
        </w:rPr>
      </w:pPr>
      <w:bookmarkStart w:id="14" w:name="_Toc531349584"/>
      <w:bookmarkStart w:id="15" w:name="_Toc531335470"/>
      <w:bookmarkStart w:id="16" w:name="_Toc532070652"/>
      <w:bookmarkStart w:id="17" w:name="_Toc531545370"/>
      <w:r>
        <w:rPr>
          <w:rFonts w:ascii="宋体" w:hAnsi="宋体"/>
          <w:b/>
          <w:sz w:val="28"/>
          <w:szCs w:val="28"/>
        </w:rPr>
        <w:t>（一）投资估算</w:t>
      </w:r>
      <w:bookmarkEnd w:id="14"/>
      <w:bookmarkEnd w:id="15"/>
      <w:bookmarkEnd w:id="16"/>
      <w:bookmarkEnd w:id="17"/>
    </w:p>
    <w:p>
      <w:pPr>
        <w:spacing w:line="560" w:lineRule="exact"/>
        <w:ind w:firstLine="560" w:firstLineChars="200"/>
        <w:rPr>
          <w:rFonts w:ascii="宋体" w:hAnsi="宋体"/>
          <w:sz w:val="28"/>
          <w:szCs w:val="28"/>
        </w:rPr>
      </w:pPr>
      <w:r>
        <w:rPr>
          <w:rFonts w:hint="eastAsia" w:ascii="宋体" w:hAnsi="宋体"/>
          <w:sz w:val="28"/>
          <w:szCs w:val="28"/>
        </w:rPr>
        <w:t>经测算，本项目总投资为</w:t>
      </w:r>
      <w:r>
        <w:rPr>
          <w:rFonts w:hint="eastAsia" w:ascii="宋体" w:hAnsi="宋体"/>
          <w:sz w:val="28"/>
          <w:szCs w:val="28"/>
          <w:lang w:eastAsia="zh-CN"/>
        </w:rPr>
        <w:t>5300.00</w:t>
      </w:r>
      <w:r>
        <w:rPr>
          <w:rFonts w:hint="eastAsia" w:ascii="宋体" w:hAnsi="宋体"/>
          <w:sz w:val="28"/>
          <w:szCs w:val="28"/>
        </w:rPr>
        <w:t>万元。其中：工程费用为</w:t>
      </w:r>
      <w:r>
        <w:rPr>
          <w:rFonts w:hint="eastAsia" w:ascii="宋体" w:hAnsi="宋体"/>
          <w:sz w:val="28"/>
          <w:szCs w:val="28"/>
          <w:lang w:val="en-US" w:eastAsia="zh-CN"/>
        </w:rPr>
        <w:t>4,259.68</w:t>
      </w:r>
      <w:r>
        <w:rPr>
          <w:rFonts w:hint="eastAsia" w:ascii="宋体" w:hAnsi="宋体"/>
          <w:sz w:val="28"/>
          <w:szCs w:val="28"/>
        </w:rPr>
        <w:t>万元，占项目总投资</w:t>
      </w:r>
      <w:r>
        <w:rPr>
          <w:rFonts w:hint="default" w:ascii="宋体" w:hAnsi="宋体"/>
          <w:sz w:val="28"/>
          <w:szCs w:val="28"/>
          <w:lang w:val="en-US" w:eastAsia="zh-CN"/>
        </w:rPr>
        <w:t>80.37%</w:t>
      </w:r>
      <w:r>
        <w:rPr>
          <w:rFonts w:hint="eastAsia" w:ascii="宋体" w:hAnsi="宋体"/>
          <w:sz w:val="28"/>
          <w:szCs w:val="28"/>
          <w:lang w:eastAsia="zh-CN"/>
        </w:rPr>
        <w:t>；</w:t>
      </w:r>
      <w:r>
        <w:rPr>
          <w:rFonts w:hint="eastAsia" w:ascii="宋体" w:hAnsi="宋体"/>
          <w:sz w:val="28"/>
          <w:szCs w:val="28"/>
        </w:rPr>
        <w:t>工程建设其他费用</w:t>
      </w:r>
      <w:r>
        <w:rPr>
          <w:rFonts w:hint="default" w:ascii="宋体" w:hAnsi="宋体"/>
          <w:sz w:val="28"/>
          <w:szCs w:val="28"/>
          <w:lang w:val="en-US" w:eastAsia="zh-CN"/>
        </w:rPr>
        <w:t>456.52</w:t>
      </w:r>
      <w:r>
        <w:rPr>
          <w:rFonts w:hint="eastAsia" w:ascii="宋体" w:hAnsi="宋体"/>
          <w:sz w:val="28"/>
          <w:szCs w:val="28"/>
        </w:rPr>
        <w:t>万元，占项目总投资的</w:t>
      </w:r>
      <w:r>
        <w:rPr>
          <w:rFonts w:hint="default" w:ascii="宋体" w:hAnsi="宋体"/>
          <w:sz w:val="28"/>
          <w:szCs w:val="28"/>
          <w:lang w:val="en-US" w:eastAsia="zh-CN"/>
        </w:rPr>
        <w:t>8.61%</w:t>
      </w:r>
      <w:r>
        <w:rPr>
          <w:rFonts w:hint="eastAsia" w:ascii="宋体" w:hAnsi="宋体"/>
          <w:sz w:val="28"/>
          <w:szCs w:val="28"/>
          <w:lang w:eastAsia="zh-CN"/>
        </w:rPr>
        <w:t>；</w:t>
      </w:r>
      <w:r>
        <w:rPr>
          <w:rFonts w:hint="eastAsia" w:ascii="宋体" w:hAnsi="宋体"/>
          <w:sz w:val="28"/>
          <w:szCs w:val="28"/>
        </w:rPr>
        <w:t>预备费</w:t>
      </w:r>
      <w:r>
        <w:rPr>
          <w:rFonts w:hint="default" w:ascii="宋体" w:hAnsi="宋体"/>
          <w:sz w:val="28"/>
          <w:szCs w:val="28"/>
          <w:lang w:val="en-US" w:eastAsia="zh-CN"/>
        </w:rPr>
        <w:t>377.30</w:t>
      </w:r>
      <w:r>
        <w:rPr>
          <w:rFonts w:hint="eastAsia" w:ascii="宋体" w:hAnsi="宋体"/>
          <w:sz w:val="28"/>
          <w:szCs w:val="28"/>
        </w:rPr>
        <w:t>万元，占项目总投资的</w:t>
      </w:r>
      <w:r>
        <w:rPr>
          <w:rFonts w:hint="default" w:ascii="宋体" w:hAnsi="宋体"/>
          <w:sz w:val="28"/>
          <w:szCs w:val="28"/>
          <w:lang w:val="en-US" w:eastAsia="zh-CN"/>
        </w:rPr>
        <w:t>7.12%</w:t>
      </w:r>
      <w:r>
        <w:rPr>
          <w:rFonts w:hint="eastAsia" w:ascii="宋体" w:hAnsi="宋体"/>
          <w:sz w:val="28"/>
          <w:szCs w:val="28"/>
          <w:lang w:eastAsia="zh-CN"/>
        </w:rPr>
        <w:t>；</w:t>
      </w:r>
      <w:r>
        <w:rPr>
          <w:rFonts w:hint="eastAsia" w:ascii="宋体" w:hAnsi="宋体"/>
          <w:sz w:val="28"/>
          <w:szCs w:val="28"/>
        </w:rPr>
        <w:t>建设期利息</w:t>
      </w:r>
      <w:r>
        <w:rPr>
          <w:rFonts w:hint="eastAsia" w:ascii="宋体" w:hAnsi="宋体"/>
          <w:sz w:val="28"/>
          <w:szCs w:val="28"/>
          <w:lang w:val="en-US" w:eastAsia="zh-CN"/>
        </w:rPr>
        <w:t>202.50</w:t>
      </w:r>
      <w:r>
        <w:rPr>
          <w:rFonts w:hint="eastAsia" w:ascii="宋体" w:hAnsi="宋体"/>
          <w:sz w:val="28"/>
          <w:szCs w:val="28"/>
        </w:rPr>
        <w:t>万元，占项目总投资的</w:t>
      </w:r>
      <w:r>
        <w:rPr>
          <w:rFonts w:hint="eastAsia" w:ascii="宋体" w:hAnsi="宋体"/>
          <w:sz w:val="28"/>
          <w:szCs w:val="28"/>
          <w:lang w:val="en-US" w:eastAsia="zh-CN"/>
        </w:rPr>
        <w:t>3.82%</w:t>
      </w:r>
      <w:r>
        <w:rPr>
          <w:rFonts w:hint="eastAsia" w:ascii="宋体" w:hAnsi="宋体"/>
          <w:sz w:val="28"/>
          <w:szCs w:val="28"/>
          <w:lang w:eastAsia="zh-CN"/>
        </w:rPr>
        <w:t>；</w:t>
      </w:r>
      <w:r>
        <w:rPr>
          <w:rFonts w:hint="eastAsia" w:ascii="宋体" w:hAnsi="宋体"/>
          <w:sz w:val="28"/>
          <w:szCs w:val="28"/>
        </w:rPr>
        <w:t>债券发行费用</w:t>
      </w:r>
      <w:r>
        <w:rPr>
          <w:rFonts w:hint="eastAsia" w:ascii="宋体" w:hAnsi="宋体"/>
          <w:sz w:val="28"/>
          <w:szCs w:val="28"/>
          <w:lang w:val="en-US" w:eastAsia="zh-CN"/>
        </w:rPr>
        <w:t>4.00</w:t>
      </w:r>
      <w:r>
        <w:rPr>
          <w:rFonts w:hint="eastAsia" w:ascii="宋体" w:hAnsi="宋体"/>
          <w:sz w:val="28"/>
          <w:szCs w:val="28"/>
        </w:rPr>
        <w:t>万元，占项目总投资的</w:t>
      </w:r>
      <w:r>
        <w:rPr>
          <w:rFonts w:hint="default" w:ascii="宋体" w:hAnsi="宋体"/>
          <w:sz w:val="28"/>
          <w:szCs w:val="28"/>
          <w:lang w:val="en-US" w:eastAsia="zh-CN"/>
        </w:rPr>
        <w:t>0.08%</w:t>
      </w:r>
      <w:r>
        <w:rPr>
          <w:rFonts w:hint="eastAsia" w:ascii="宋体" w:hAnsi="宋体"/>
          <w:sz w:val="28"/>
          <w:szCs w:val="28"/>
          <w:lang w:val="en-US" w:eastAsia="zh-CN"/>
        </w:rPr>
        <w:t>。</w:t>
      </w:r>
    </w:p>
    <w:p>
      <w:pPr>
        <w:spacing w:line="560" w:lineRule="exact"/>
        <w:ind w:firstLine="562" w:firstLineChars="200"/>
        <w:outlineLvl w:val="0"/>
        <w:rPr>
          <w:rFonts w:ascii="宋体" w:hAnsi="宋体"/>
          <w:b/>
          <w:sz w:val="28"/>
          <w:szCs w:val="28"/>
        </w:rPr>
      </w:pPr>
      <w:bookmarkStart w:id="18" w:name="_Toc531335471"/>
      <w:bookmarkStart w:id="19" w:name="_Toc531349585"/>
      <w:bookmarkStart w:id="20" w:name="_Toc531545371"/>
      <w:bookmarkStart w:id="21" w:name="_Toc532070653"/>
      <w:r>
        <w:rPr>
          <w:rFonts w:ascii="宋体" w:hAnsi="宋体"/>
          <w:b/>
          <w:sz w:val="28"/>
          <w:szCs w:val="28"/>
        </w:rPr>
        <w:t>（二）资金筹措方案</w:t>
      </w:r>
      <w:bookmarkEnd w:id="18"/>
      <w:bookmarkEnd w:id="19"/>
      <w:bookmarkEnd w:id="20"/>
      <w:bookmarkEnd w:id="21"/>
    </w:p>
    <w:p>
      <w:pPr>
        <w:spacing w:line="560" w:lineRule="exact"/>
        <w:ind w:firstLine="562" w:firstLineChars="200"/>
        <w:outlineLvl w:val="0"/>
        <w:rPr>
          <w:rFonts w:ascii="宋体" w:hAnsi="宋体"/>
          <w:b/>
          <w:sz w:val="28"/>
          <w:szCs w:val="28"/>
        </w:rPr>
      </w:pPr>
      <w:bookmarkStart w:id="22" w:name="_Toc532070654"/>
      <w:bookmarkStart w:id="23" w:name="_Toc531335472"/>
      <w:bookmarkStart w:id="24" w:name="_Toc531349586"/>
      <w:bookmarkStart w:id="25" w:name="_Toc531545372"/>
      <w:r>
        <w:rPr>
          <w:rFonts w:ascii="宋体" w:hAnsi="宋体"/>
          <w:b/>
          <w:sz w:val="28"/>
          <w:szCs w:val="28"/>
        </w:rPr>
        <w:t>1.资金筹集情况</w:t>
      </w:r>
    </w:p>
    <w:p>
      <w:pPr>
        <w:spacing w:line="560" w:lineRule="exact"/>
        <w:ind w:firstLine="560" w:firstLineChars="200"/>
        <w:rPr>
          <w:rFonts w:ascii="宋体" w:hAnsi="宋体"/>
          <w:sz w:val="28"/>
          <w:szCs w:val="28"/>
        </w:rPr>
      </w:pPr>
      <w:r>
        <w:rPr>
          <w:rFonts w:hint="eastAsia" w:ascii="宋体" w:hAnsi="宋体"/>
          <w:sz w:val="28"/>
          <w:szCs w:val="28"/>
        </w:rPr>
        <w:t>本项目总投资</w:t>
      </w:r>
      <w:r>
        <w:rPr>
          <w:rFonts w:hint="eastAsia" w:ascii="宋体" w:hAnsi="宋体"/>
          <w:sz w:val="28"/>
          <w:szCs w:val="28"/>
          <w:lang w:eastAsia="zh-CN"/>
        </w:rPr>
        <w:t>5300.00</w:t>
      </w:r>
      <w:r>
        <w:rPr>
          <w:rFonts w:hint="eastAsia" w:ascii="宋体" w:hAnsi="宋体"/>
          <w:sz w:val="28"/>
          <w:szCs w:val="28"/>
        </w:rPr>
        <w:t>万元，资金来源为</w:t>
      </w:r>
      <w:r>
        <w:rPr>
          <w:rFonts w:hint="eastAsia" w:ascii="宋体" w:hAnsi="宋体"/>
          <w:sz w:val="28"/>
          <w:szCs w:val="28"/>
          <w:lang w:eastAsia="zh-CN"/>
        </w:rPr>
        <w:t>财政资金</w:t>
      </w:r>
      <w:r>
        <w:rPr>
          <w:rFonts w:hint="eastAsia" w:ascii="宋体" w:hAnsi="宋体"/>
          <w:sz w:val="28"/>
          <w:szCs w:val="28"/>
        </w:rPr>
        <w:t>和专项债资金。资本金来源主要为</w:t>
      </w:r>
      <w:r>
        <w:rPr>
          <w:rFonts w:hint="eastAsia" w:ascii="宋体" w:hAnsi="宋体"/>
          <w:sz w:val="28"/>
          <w:szCs w:val="28"/>
          <w:lang w:eastAsia="zh-CN"/>
        </w:rPr>
        <w:t>财政资金</w:t>
      </w:r>
      <w:r>
        <w:rPr>
          <w:rFonts w:hint="eastAsia" w:ascii="宋体" w:hAnsi="宋体"/>
          <w:sz w:val="28"/>
          <w:szCs w:val="28"/>
        </w:rPr>
        <w:t>。</w:t>
      </w:r>
    </w:p>
    <w:p>
      <w:pPr>
        <w:spacing w:line="560" w:lineRule="exact"/>
        <w:ind w:firstLine="560" w:firstLineChars="200"/>
        <w:rPr>
          <w:rFonts w:ascii="宋体" w:hAnsi="宋体"/>
          <w:sz w:val="28"/>
          <w:szCs w:val="28"/>
        </w:rPr>
      </w:pPr>
      <w:r>
        <w:rPr>
          <w:rFonts w:hint="eastAsia" w:ascii="宋体" w:hAnsi="宋体"/>
          <w:sz w:val="28"/>
          <w:szCs w:val="28"/>
        </w:rPr>
        <w:t>本项目资本金为</w:t>
      </w:r>
      <w:r>
        <w:rPr>
          <w:rFonts w:hint="eastAsia" w:ascii="宋体" w:hAnsi="宋体"/>
          <w:sz w:val="28"/>
          <w:szCs w:val="28"/>
          <w:lang w:val="en-US" w:eastAsia="zh-CN"/>
        </w:rPr>
        <w:t>1300.00</w:t>
      </w:r>
      <w:r>
        <w:rPr>
          <w:rFonts w:hint="eastAsia" w:ascii="宋体" w:hAnsi="宋体"/>
          <w:sz w:val="28"/>
          <w:szCs w:val="28"/>
        </w:rPr>
        <w:t>万元，占总投资的</w:t>
      </w:r>
      <w:r>
        <w:rPr>
          <w:rFonts w:hint="eastAsia" w:ascii="宋体" w:hAnsi="宋体"/>
          <w:sz w:val="28"/>
          <w:szCs w:val="28"/>
          <w:lang w:eastAsia="zh-CN"/>
        </w:rPr>
        <w:t>24.53</w:t>
      </w:r>
      <w:r>
        <w:rPr>
          <w:rFonts w:hint="eastAsia" w:ascii="宋体" w:hAnsi="宋体"/>
          <w:sz w:val="28"/>
          <w:szCs w:val="28"/>
        </w:rPr>
        <w:t>%。此次计划发行专项债券共计</w:t>
      </w:r>
      <w:r>
        <w:rPr>
          <w:rFonts w:hint="eastAsia" w:ascii="宋体" w:hAnsi="宋体"/>
          <w:sz w:val="28"/>
          <w:szCs w:val="28"/>
          <w:lang w:eastAsia="zh-CN"/>
        </w:rPr>
        <w:t>4,000.00</w:t>
      </w:r>
      <w:r>
        <w:rPr>
          <w:rFonts w:hint="eastAsia" w:ascii="宋体" w:hAnsi="宋体"/>
          <w:sz w:val="28"/>
          <w:szCs w:val="28"/>
        </w:rPr>
        <w:t>万元，占总投资的</w:t>
      </w:r>
      <w:r>
        <w:rPr>
          <w:rFonts w:hint="eastAsia" w:ascii="宋体" w:hAnsi="宋体"/>
          <w:sz w:val="28"/>
          <w:szCs w:val="28"/>
          <w:lang w:eastAsia="zh-CN"/>
        </w:rPr>
        <w:t>75.47</w:t>
      </w:r>
      <w:r>
        <w:rPr>
          <w:rFonts w:hint="eastAsia" w:ascii="宋体" w:hAnsi="宋体"/>
          <w:sz w:val="28"/>
          <w:szCs w:val="28"/>
        </w:rPr>
        <w:t>%。</w:t>
      </w:r>
    </w:p>
    <w:bookmarkEnd w:id="22"/>
    <w:bookmarkEnd w:id="23"/>
    <w:bookmarkEnd w:id="24"/>
    <w:bookmarkEnd w:id="25"/>
    <w:p>
      <w:pPr>
        <w:spacing w:line="560" w:lineRule="exact"/>
        <w:ind w:firstLine="562" w:firstLineChars="200"/>
        <w:outlineLvl w:val="0"/>
        <w:rPr>
          <w:rFonts w:ascii="宋体" w:hAnsi="宋体"/>
          <w:b/>
          <w:sz w:val="28"/>
          <w:szCs w:val="28"/>
        </w:rPr>
      </w:pPr>
      <w:bookmarkStart w:id="26" w:name="_Toc531545373"/>
      <w:bookmarkStart w:id="27" w:name="_Toc531349587"/>
      <w:bookmarkStart w:id="28" w:name="_Toc531335473"/>
      <w:bookmarkStart w:id="29" w:name="_Toc532070655"/>
      <w:r>
        <w:rPr>
          <w:rFonts w:ascii="宋体" w:hAnsi="宋体"/>
          <w:b/>
          <w:sz w:val="28"/>
          <w:szCs w:val="28"/>
        </w:rPr>
        <w:t>2.资金使用计划</w:t>
      </w:r>
      <w:bookmarkEnd w:id="26"/>
      <w:bookmarkEnd w:id="27"/>
      <w:bookmarkEnd w:id="28"/>
      <w:bookmarkEnd w:id="29"/>
    </w:p>
    <w:p>
      <w:pPr>
        <w:spacing w:line="560" w:lineRule="exact"/>
        <w:ind w:firstLine="560" w:firstLineChars="200"/>
        <w:rPr>
          <w:rFonts w:ascii="宋体" w:hAnsi="宋体"/>
          <w:sz w:val="28"/>
          <w:szCs w:val="28"/>
        </w:rPr>
      </w:pPr>
      <w:r>
        <w:rPr>
          <w:rFonts w:ascii="宋体" w:hAnsi="宋体"/>
          <w:sz w:val="28"/>
          <w:szCs w:val="28"/>
        </w:rPr>
        <w:t>投资使用计划和资金筹措情况如下表：</w:t>
      </w:r>
    </w:p>
    <w:p>
      <w:pPr>
        <w:spacing w:line="360" w:lineRule="auto"/>
        <w:ind w:firstLine="562" w:firstLineChars="200"/>
        <w:jc w:val="center"/>
        <w:rPr>
          <w:rFonts w:ascii="宋体" w:hAnsi="宋体"/>
          <w:b/>
          <w:sz w:val="28"/>
          <w:szCs w:val="28"/>
        </w:rPr>
      </w:pPr>
      <w:r>
        <w:rPr>
          <w:rFonts w:ascii="宋体" w:hAnsi="宋体"/>
          <w:b/>
          <w:sz w:val="28"/>
          <w:szCs w:val="28"/>
        </w:rPr>
        <w:t>投资使用计划和资金筹措表（单位：万元）</w:t>
      </w:r>
    </w:p>
    <w:tbl>
      <w:tblPr>
        <w:tblStyle w:val="13"/>
        <w:tblW w:w="7689" w:type="dxa"/>
        <w:jc w:val="center"/>
        <w:tblLayout w:type="fixed"/>
        <w:tblCellMar>
          <w:top w:w="0" w:type="dxa"/>
          <w:left w:w="108" w:type="dxa"/>
          <w:bottom w:w="0" w:type="dxa"/>
          <w:right w:w="108" w:type="dxa"/>
        </w:tblCellMar>
      </w:tblPr>
      <w:tblGrid>
        <w:gridCol w:w="1132"/>
        <w:gridCol w:w="4219"/>
        <w:gridCol w:w="2338"/>
      </w:tblGrid>
      <w:tr>
        <w:tblPrEx>
          <w:tblCellMar>
            <w:top w:w="0" w:type="dxa"/>
            <w:left w:w="108" w:type="dxa"/>
            <w:bottom w:w="0" w:type="dxa"/>
            <w:right w:w="108" w:type="dxa"/>
          </w:tblCellMar>
        </w:tblPrEx>
        <w:trPr>
          <w:trHeight w:val="454" w:hRule="atLeast"/>
          <w:jc w:val="center"/>
        </w:trPr>
        <w:tc>
          <w:tcPr>
            <w:tcW w:w="113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b/>
                <w:bCs/>
                <w:color w:val="000000" w:themeColor="text1"/>
                <w:kern w:val="0"/>
                <w:sz w:val="24"/>
                <w:szCs w:val="24"/>
                <w14:textFill>
                  <w14:solidFill>
                    <w14:schemeClr w14:val="tx1"/>
                  </w14:solidFill>
                </w14:textFill>
              </w:rPr>
            </w:pPr>
            <w:r>
              <w:rPr>
                <w:rFonts w:hint="eastAsia" w:cs="Times New Roman"/>
                <w:b/>
                <w:bCs/>
                <w:color w:val="000000" w:themeColor="text1"/>
                <w:kern w:val="0"/>
                <w:sz w:val="24"/>
                <w:szCs w:val="24"/>
                <w14:textFill>
                  <w14:solidFill>
                    <w14:schemeClr w14:val="tx1"/>
                  </w14:solidFill>
                </w14:textFill>
              </w:rPr>
              <w:t>序号</w:t>
            </w:r>
          </w:p>
        </w:tc>
        <w:tc>
          <w:tcPr>
            <w:tcW w:w="421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b/>
                <w:bCs/>
                <w:color w:val="000000" w:themeColor="text1"/>
                <w:kern w:val="0"/>
                <w:sz w:val="24"/>
                <w:szCs w:val="24"/>
                <w14:textFill>
                  <w14:solidFill>
                    <w14:schemeClr w14:val="tx1"/>
                  </w14:solidFill>
                </w14:textFill>
              </w:rPr>
            </w:pPr>
            <w:r>
              <w:rPr>
                <w:rFonts w:hint="eastAsia" w:cs="Times New Roman"/>
                <w:b/>
                <w:bCs/>
                <w:color w:val="000000" w:themeColor="text1"/>
                <w:kern w:val="0"/>
                <w:sz w:val="24"/>
                <w:szCs w:val="24"/>
                <w14:textFill>
                  <w14:solidFill>
                    <w14:schemeClr w14:val="tx1"/>
                  </w14:solidFill>
                </w14:textFill>
              </w:rPr>
              <w:t>项目类别</w:t>
            </w:r>
          </w:p>
        </w:tc>
        <w:tc>
          <w:tcPr>
            <w:tcW w:w="233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b/>
                <w:bCs/>
                <w:color w:val="000000" w:themeColor="text1"/>
                <w:kern w:val="0"/>
                <w:sz w:val="24"/>
                <w:szCs w:val="24"/>
                <w14:textFill>
                  <w14:solidFill>
                    <w14:schemeClr w14:val="tx1"/>
                  </w14:solidFill>
                </w14:textFill>
              </w:rPr>
            </w:pPr>
            <w:r>
              <w:rPr>
                <w:rFonts w:hint="eastAsia" w:cs="Times New Roman"/>
                <w:b/>
                <w:bCs/>
                <w:color w:val="000000" w:themeColor="text1"/>
                <w:kern w:val="0"/>
                <w:sz w:val="24"/>
                <w:szCs w:val="24"/>
                <w14:textFill>
                  <w14:solidFill>
                    <w14:schemeClr w14:val="tx1"/>
                  </w14:solidFill>
                </w14:textFill>
              </w:rPr>
              <w:t>合计</w:t>
            </w:r>
          </w:p>
        </w:tc>
      </w:tr>
      <w:tr>
        <w:tblPrEx>
          <w:tblCellMar>
            <w:top w:w="0" w:type="dxa"/>
            <w:left w:w="108" w:type="dxa"/>
            <w:bottom w:w="0" w:type="dxa"/>
            <w:right w:w="108" w:type="dxa"/>
          </w:tblCellMar>
        </w:tblPrEx>
        <w:trPr>
          <w:trHeight w:val="454" w:hRule="atLeast"/>
          <w:jc w:val="center"/>
        </w:trPr>
        <w:tc>
          <w:tcPr>
            <w:tcW w:w="113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14:textFill>
                  <w14:solidFill>
                    <w14:schemeClr w14:val="tx1"/>
                  </w14:solidFill>
                </w14:textFill>
              </w:rPr>
            </w:pPr>
            <w:r>
              <w:rPr>
                <w:rFonts w:hint="eastAsia" w:cs="Times New Roman"/>
                <w:color w:val="000000" w:themeColor="text1"/>
                <w:kern w:val="0"/>
                <w:sz w:val="24"/>
                <w:szCs w:val="24"/>
                <w14:textFill>
                  <w14:solidFill>
                    <w14:schemeClr w14:val="tx1"/>
                  </w14:solidFill>
                </w14:textFill>
              </w:rPr>
              <w:t>1</w:t>
            </w:r>
          </w:p>
        </w:tc>
        <w:tc>
          <w:tcPr>
            <w:tcW w:w="42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14:textFill>
                  <w14:solidFill>
                    <w14:schemeClr w14:val="tx1"/>
                  </w14:solidFill>
                </w14:textFill>
              </w:rPr>
            </w:pPr>
            <w:r>
              <w:rPr>
                <w:rFonts w:hint="eastAsia" w:cs="Times New Roman"/>
                <w:color w:val="000000" w:themeColor="text1"/>
                <w:kern w:val="0"/>
                <w:sz w:val="24"/>
                <w:szCs w:val="24"/>
                <w14:textFill>
                  <w14:solidFill>
                    <w14:schemeClr w14:val="tx1"/>
                  </w14:solidFill>
                </w14:textFill>
              </w:rPr>
              <w:t>总投资</w:t>
            </w:r>
          </w:p>
        </w:tc>
        <w:tc>
          <w:tcPr>
            <w:tcW w:w="233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lang w:eastAsia="zh-CN"/>
                <w14:textFill>
                  <w14:solidFill>
                    <w14:schemeClr w14:val="tx1"/>
                  </w14:solidFill>
                </w14:textFill>
              </w:rPr>
            </w:pPr>
            <w:r>
              <w:rPr>
                <w:rFonts w:hint="default" w:cs="Times New Roman"/>
                <w:color w:val="000000" w:themeColor="text1"/>
                <w:kern w:val="0"/>
                <w:sz w:val="24"/>
                <w:szCs w:val="24"/>
                <w:lang w:val="en-US" w:eastAsia="zh-CN"/>
                <w14:textFill>
                  <w14:solidFill>
                    <w14:schemeClr w14:val="tx1"/>
                  </w14:solidFill>
                </w14:textFill>
              </w:rPr>
              <w:t xml:space="preserve"> 5,300.00 </w:t>
            </w:r>
          </w:p>
        </w:tc>
      </w:tr>
      <w:tr>
        <w:tblPrEx>
          <w:tblCellMar>
            <w:top w:w="0" w:type="dxa"/>
            <w:left w:w="108" w:type="dxa"/>
            <w:bottom w:w="0" w:type="dxa"/>
            <w:right w:w="108" w:type="dxa"/>
          </w:tblCellMar>
        </w:tblPrEx>
        <w:trPr>
          <w:trHeight w:val="454" w:hRule="atLeast"/>
          <w:jc w:val="center"/>
        </w:trPr>
        <w:tc>
          <w:tcPr>
            <w:tcW w:w="113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14:textFill>
                  <w14:solidFill>
                    <w14:schemeClr w14:val="tx1"/>
                  </w14:solidFill>
                </w14:textFill>
              </w:rPr>
            </w:pPr>
            <w:r>
              <w:rPr>
                <w:rFonts w:hint="eastAsia" w:cs="Times New Roman"/>
                <w:color w:val="000000" w:themeColor="text1"/>
                <w:kern w:val="0"/>
                <w:sz w:val="24"/>
                <w:szCs w:val="24"/>
                <w14:textFill>
                  <w14:solidFill>
                    <w14:schemeClr w14:val="tx1"/>
                  </w14:solidFill>
                </w14:textFill>
              </w:rPr>
              <w:t>1.1</w:t>
            </w:r>
          </w:p>
        </w:tc>
        <w:tc>
          <w:tcPr>
            <w:tcW w:w="42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14:textFill>
                  <w14:solidFill>
                    <w14:schemeClr w14:val="tx1"/>
                  </w14:solidFill>
                </w14:textFill>
              </w:rPr>
            </w:pPr>
            <w:r>
              <w:rPr>
                <w:rFonts w:hint="eastAsia" w:cs="Times New Roman"/>
                <w:color w:val="000000" w:themeColor="text1"/>
                <w:kern w:val="0"/>
                <w:sz w:val="24"/>
                <w:szCs w:val="24"/>
                <w14:textFill>
                  <w14:solidFill>
                    <w14:schemeClr w14:val="tx1"/>
                  </w14:solidFill>
                </w14:textFill>
              </w:rPr>
              <w:t>建设投资</w:t>
            </w:r>
          </w:p>
        </w:tc>
        <w:tc>
          <w:tcPr>
            <w:tcW w:w="233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14:textFill>
                  <w14:solidFill>
                    <w14:schemeClr w14:val="tx1"/>
                  </w14:solidFill>
                </w14:textFill>
              </w:rPr>
            </w:pPr>
            <w:r>
              <w:rPr>
                <w:rFonts w:hint="default" w:cs="Times New Roman"/>
                <w:color w:val="000000" w:themeColor="text1"/>
                <w:kern w:val="0"/>
                <w:sz w:val="24"/>
                <w:szCs w:val="24"/>
                <w:lang w:val="en-US" w:eastAsia="zh-CN"/>
                <w14:textFill>
                  <w14:solidFill>
                    <w14:schemeClr w14:val="tx1"/>
                  </w14:solidFill>
                </w14:textFill>
              </w:rPr>
              <w:t xml:space="preserve"> 5,097.50 </w:t>
            </w:r>
          </w:p>
        </w:tc>
      </w:tr>
      <w:tr>
        <w:tblPrEx>
          <w:tblCellMar>
            <w:top w:w="0" w:type="dxa"/>
            <w:left w:w="108" w:type="dxa"/>
            <w:bottom w:w="0" w:type="dxa"/>
            <w:right w:w="108" w:type="dxa"/>
          </w:tblCellMar>
        </w:tblPrEx>
        <w:trPr>
          <w:trHeight w:val="454" w:hRule="atLeast"/>
          <w:jc w:val="center"/>
        </w:trPr>
        <w:tc>
          <w:tcPr>
            <w:tcW w:w="113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14:textFill>
                  <w14:solidFill>
                    <w14:schemeClr w14:val="tx1"/>
                  </w14:solidFill>
                </w14:textFill>
              </w:rPr>
            </w:pPr>
            <w:r>
              <w:rPr>
                <w:rFonts w:hint="eastAsia" w:cs="Times New Roman"/>
                <w:color w:val="000000" w:themeColor="text1"/>
                <w:kern w:val="0"/>
                <w:sz w:val="24"/>
                <w:szCs w:val="24"/>
                <w14:textFill>
                  <w14:solidFill>
                    <w14:schemeClr w14:val="tx1"/>
                  </w14:solidFill>
                </w14:textFill>
              </w:rPr>
              <w:t>1.2</w:t>
            </w:r>
          </w:p>
        </w:tc>
        <w:tc>
          <w:tcPr>
            <w:tcW w:w="42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14:textFill>
                  <w14:solidFill>
                    <w14:schemeClr w14:val="tx1"/>
                  </w14:solidFill>
                </w14:textFill>
              </w:rPr>
            </w:pPr>
            <w:r>
              <w:rPr>
                <w:rFonts w:hint="eastAsia" w:cs="Times New Roman"/>
                <w:color w:val="000000" w:themeColor="text1"/>
                <w:kern w:val="0"/>
                <w:sz w:val="24"/>
                <w:szCs w:val="24"/>
                <w14:textFill>
                  <w14:solidFill>
                    <w14:schemeClr w14:val="tx1"/>
                  </w14:solidFill>
                </w14:textFill>
              </w:rPr>
              <w:t>建设期利息</w:t>
            </w:r>
          </w:p>
        </w:tc>
        <w:tc>
          <w:tcPr>
            <w:tcW w:w="233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14:textFill>
                  <w14:solidFill>
                    <w14:schemeClr w14:val="tx1"/>
                  </w14:solidFill>
                </w14:textFill>
              </w:rPr>
            </w:pPr>
            <w:r>
              <w:rPr>
                <w:rFonts w:hint="default" w:cs="Times New Roman"/>
                <w:color w:val="000000" w:themeColor="text1"/>
                <w:kern w:val="0"/>
                <w:sz w:val="24"/>
                <w:szCs w:val="24"/>
                <w:lang w:val="en-US" w:eastAsia="zh-CN"/>
                <w14:textFill>
                  <w14:solidFill>
                    <w14:schemeClr w14:val="tx1"/>
                  </w14:solidFill>
                </w14:textFill>
              </w:rPr>
              <w:t xml:space="preserve"> 202.50 </w:t>
            </w:r>
          </w:p>
        </w:tc>
      </w:tr>
      <w:tr>
        <w:tblPrEx>
          <w:tblCellMar>
            <w:top w:w="0" w:type="dxa"/>
            <w:left w:w="108" w:type="dxa"/>
            <w:bottom w:w="0" w:type="dxa"/>
            <w:right w:w="108" w:type="dxa"/>
          </w:tblCellMar>
        </w:tblPrEx>
        <w:trPr>
          <w:trHeight w:val="454" w:hRule="atLeast"/>
          <w:jc w:val="center"/>
        </w:trPr>
        <w:tc>
          <w:tcPr>
            <w:tcW w:w="113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14:textFill>
                  <w14:solidFill>
                    <w14:schemeClr w14:val="tx1"/>
                  </w14:solidFill>
                </w14:textFill>
              </w:rPr>
            </w:pPr>
            <w:r>
              <w:rPr>
                <w:rFonts w:hint="eastAsia" w:cs="Times New Roman"/>
                <w:color w:val="000000" w:themeColor="text1"/>
                <w:kern w:val="0"/>
                <w:sz w:val="24"/>
                <w:szCs w:val="24"/>
                <w14:textFill>
                  <w14:solidFill>
                    <w14:schemeClr w14:val="tx1"/>
                  </w14:solidFill>
                </w14:textFill>
              </w:rPr>
              <w:t>2</w:t>
            </w:r>
          </w:p>
        </w:tc>
        <w:tc>
          <w:tcPr>
            <w:tcW w:w="42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14:textFill>
                  <w14:solidFill>
                    <w14:schemeClr w14:val="tx1"/>
                  </w14:solidFill>
                </w14:textFill>
              </w:rPr>
            </w:pPr>
            <w:r>
              <w:rPr>
                <w:rFonts w:hint="eastAsia" w:cs="Times New Roman"/>
                <w:color w:val="000000" w:themeColor="text1"/>
                <w:kern w:val="0"/>
                <w:sz w:val="24"/>
                <w:szCs w:val="24"/>
                <w14:textFill>
                  <w14:solidFill>
                    <w14:schemeClr w14:val="tx1"/>
                  </w14:solidFill>
                </w14:textFill>
              </w:rPr>
              <w:t>资金筹措</w:t>
            </w:r>
          </w:p>
        </w:tc>
        <w:tc>
          <w:tcPr>
            <w:tcW w:w="233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lang w:eastAsia="zh-CN"/>
                <w14:textFill>
                  <w14:solidFill>
                    <w14:schemeClr w14:val="tx1"/>
                  </w14:solidFill>
                </w14:textFill>
              </w:rPr>
            </w:pPr>
            <w:r>
              <w:rPr>
                <w:rFonts w:hint="default" w:cs="Times New Roman"/>
                <w:color w:val="000000" w:themeColor="text1"/>
                <w:kern w:val="0"/>
                <w:sz w:val="24"/>
                <w:szCs w:val="24"/>
                <w:lang w:val="en-US" w:eastAsia="zh-CN"/>
                <w14:textFill>
                  <w14:solidFill>
                    <w14:schemeClr w14:val="tx1"/>
                  </w14:solidFill>
                </w14:textFill>
              </w:rPr>
              <w:t xml:space="preserve"> 5,300.00 </w:t>
            </w:r>
          </w:p>
        </w:tc>
      </w:tr>
      <w:tr>
        <w:tblPrEx>
          <w:tblCellMar>
            <w:top w:w="0" w:type="dxa"/>
            <w:left w:w="108" w:type="dxa"/>
            <w:bottom w:w="0" w:type="dxa"/>
            <w:right w:w="108" w:type="dxa"/>
          </w:tblCellMar>
        </w:tblPrEx>
        <w:trPr>
          <w:trHeight w:val="454" w:hRule="atLeast"/>
          <w:jc w:val="center"/>
        </w:trPr>
        <w:tc>
          <w:tcPr>
            <w:tcW w:w="113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14:textFill>
                  <w14:solidFill>
                    <w14:schemeClr w14:val="tx1"/>
                  </w14:solidFill>
                </w14:textFill>
              </w:rPr>
            </w:pPr>
            <w:r>
              <w:rPr>
                <w:rFonts w:hint="eastAsia" w:cs="Times New Roman"/>
                <w:color w:val="000000" w:themeColor="text1"/>
                <w:kern w:val="0"/>
                <w:sz w:val="24"/>
                <w:szCs w:val="24"/>
                <w14:textFill>
                  <w14:solidFill>
                    <w14:schemeClr w14:val="tx1"/>
                  </w14:solidFill>
                </w14:textFill>
              </w:rPr>
              <w:t>2.1</w:t>
            </w:r>
          </w:p>
        </w:tc>
        <w:tc>
          <w:tcPr>
            <w:tcW w:w="42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14:textFill>
                  <w14:solidFill>
                    <w14:schemeClr w14:val="tx1"/>
                  </w14:solidFill>
                </w14:textFill>
              </w:rPr>
            </w:pPr>
            <w:r>
              <w:rPr>
                <w:rFonts w:hint="eastAsia" w:cs="Times New Roman"/>
                <w:color w:val="000000" w:themeColor="text1"/>
                <w:kern w:val="0"/>
                <w:sz w:val="24"/>
                <w:szCs w:val="24"/>
                <w14:textFill>
                  <w14:solidFill>
                    <w14:schemeClr w14:val="tx1"/>
                  </w14:solidFill>
                </w14:textFill>
              </w:rPr>
              <w:t>建设单位自有资金</w:t>
            </w:r>
          </w:p>
        </w:tc>
        <w:tc>
          <w:tcPr>
            <w:tcW w:w="233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14:textFill>
                  <w14:solidFill>
                    <w14:schemeClr w14:val="tx1"/>
                  </w14:solidFill>
                </w14:textFill>
              </w:rPr>
            </w:pPr>
            <w:r>
              <w:rPr>
                <w:rFonts w:hint="default" w:cs="Times New Roman"/>
                <w:color w:val="000000" w:themeColor="text1"/>
                <w:kern w:val="0"/>
                <w:sz w:val="24"/>
                <w:szCs w:val="24"/>
                <w:lang w:val="en-US" w:eastAsia="zh-CN"/>
                <w14:textFill>
                  <w14:solidFill>
                    <w14:schemeClr w14:val="tx1"/>
                  </w14:solidFill>
                </w14:textFill>
              </w:rPr>
              <w:t xml:space="preserve"> 1,300.00 </w:t>
            </w:r>
          </w:p>
        </w:tc>
      </w:tr>
      <w:tr>
        <w:tblPrEx>
          <w:tblCellMar>
            <w:top w:w="0" w:type="dxa"/>
            <w:left w:w="108" w:type="dxa"/>
            <w:bottom w:w="0" w:type="dxa"/>
            <w:right w:w="108" w:type="dxa"/>
          </w:tblCellMar>
        </w:tblPrEx>
        <w:trPr>
          <w:trHeight w:val="454" w:hRule="atLeast"/>
          <w:jc w:val="center"/>
        </w:trPr>
        <w:tc>
          <w:tcPr>
            <w:tcW w:w="113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14:textFill>
                  <w14:solidFill>
                    <w14:schemeClr w14:val="tx1"/>
                  </w14:solidFill>
                </w14:textFill>
              </w:rPr>
            </w:pPr>
            <w:r>
              <w:rPr>
                <w:rFonts w:hint="eastAsia" w:cs="Times New Roman"/>
                <w:color w:val="000000" w:themeColor="text1"/>
                <w:kern w:val="0"/>
                <w:sz w:val="24"/>
                <w:szCs w:val="24"/>
                <w14:textFill>
                  <w14:solidFill>
                    <w14:schemeClr w14:val="tx1"/>
                  </w14:solidFill>
                </w14:textFill>
              </w:rPr>
              <w:t>2.1.1</w:t>
            </w:r>
          </w:p>
        </w:tc>
        <w:tc>
          <w:tcPr>
            <w:tcW w:w="42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14:textFill>
                  <w14:solidFill>
                    <w14:schemeClr w14:val="tx1"/>
                  </w14:solidFill>
                </w14:textFill>
              </w:rPr>
            </w:pPr>
            <w:r>
              <w:rPr>
                <w:rFonts w:hint="eastAsia" w:cs="Times New Roman"/>
                <w:color w:val="000000" w:themeColor="text1"/>
                <w:kern w:val="0"/>
                <w:sz w:val="24"/>
                <w:szCs w:val="24"/>
                <w14:textFill>
                  <w14:solidFill>
                    <w14:schemeClr w14:val="tx1"/>
                  </w14:solidFill>
                </w14:textFill>
              </w:rPr>
              <w:t>用于建设投资</w:t>
            </w:r>
          </w:p>
        </w:tc>
        <w:tc>
          <w:tcPr>
            <w:tcW w:w="233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14:textFill>
                  <w14:solidFill>
                    <w14:schemeClr w14:val="tx1"/>
                  </w14:solidFill>
                </w14:textFill>
              </w:rPr>
            </w:pPr>
            <w:r>
              <w:rPr>
                <w:rFonts w:hint="default" w:cs="Times New Roman"/>
                <w:color w:val="000000" w:themeColor="text1"/>
                <w:kern w:val="0"/>
                <w:sz w:val="24"/>
                <w:szCs w:val="24"/>
                <w:lang w:val="en-US" w:eastAsia="zh-CN"/>
                <w14:textFill>
                  <w14:solidFill>
                    <w14:schemeClr w14:val="tx1"/>
                  </w14:solidFill>
                </w14:textFill>
              </w:rPr>
              <w:t xml:space="preserve"> 1,097.50 </w:t>
            </w:r>
          </w:p>
        </w:tc>
      </w:tr>
      <w:tr>
        <w:tblPrEx>
          <w:tblCellMar>
            <w:top w:w="0" w:type="dxa"/>
            <w:left w:w="108" w:type="dxa"/>
            <w:bottom w:w="0" w:type="dxa"/>
            <w:right w:w="108" w:type="dxa"/>
          </w:tblCellMar>
        </w:tblPrEx>
        <w:trPr>
          <w:trHeight w:val="454" w:hRule="atLeast"/>
          <w:jc w:val="center"/>
        </w:trPr>
        <w:tc>
          <w:tcPr>
            <w:tcW w:w="113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14:textFill>
                  <w14:solidFill>
                    <w14:schemeClr w14:val="tx1"/>
                  </w14:solidFill>
                </w14:textFill>
              </w:rPr>
            </w:pPr>
            <w:r>
              <w:rPr>
                <w:rFonts w:hint="eastAsia" w:cs="Times New Roman"/>
                <w:color w:val="000000" w:themeColor="text1"/>
                <w:kern w:val="0"/>
                <w:sz w:val="24"/>
                <w:szCs w:val="24"/>
                <w14:textFill>
                  <w14:solidFill>
                    <w14:schemeClr w14:val="tx1"/>
                  </w14:solidFill>
                </w14:textFill>
              </w:rPr>
              <w:t>2.1.2</w:t>
            </w:r>
          </w:p>
        </w:tc>
        <w:tc>
          <w:tcPr>
            <w:tcW w:w="42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14:textFill>
                  <w14:solidFill>
                    <w14:schemeClr w14:val="tx1"/>
                  </w14:solidFill>
                </w14:textFill>
              </w:rPr>
            </w:pPr>
            <w:r>
              <w:rPr>
                <w:rFonts w:hint="eastAsia" w:cs="Times New Roman"/>
                <w:color w:val="000000" w:themeColor="text1"/>
                <w:kern w:val="0"/>
                <w:sz w:val="24"/>
                <w:szCs w:val="24"/>
                <w14:textFill>
                  <w14:solidFill>
                    <w14:schemeClr w14:val="tx1"/>
                  </w14:solidFill>
                </w14:textFill>
              </w:rPr>
              <w:t>用于建设期利息</w:t>
            </w:r>
          </w:p>
        </w:tc>
        <w:tc>
          <w:tcPr>
            <w:tcW w:w="233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14:textFill>
                  <w14:solidFill>
                    <w14:schemeClr w14:val="tx1"/>
                  </w14:solidFill>
                </w14:textFill>
              </w:rPr>
            </w:pPr>
            <w:r>
              <w:rPr>
                <w:rFonts w:hint="default" w:cs="Times New Roman"/>
                <w:color w:val="000000" w:themeColor="text1"/>
                <w:kern w:val="0"/>
                <w:sz w:val="24"/>
                <w:szCs w:val="24"/>
                <w:lang w:val="en-US" w:eastAsia="zh-CN"/>
                <w14:textFill>
                  <w14:solidFill>
                    <w14:schemeClr w14:val="tx1"/>
                  </w14:solidFill>
                </w14:textFill>
              </w:rPr>
              <w:t xml:space="preserve"> 202.50 </w:t>
            </w:r>
          </w:p>
        </w:tc>
      </w:tr>
      <w:tr>
        <w:tblPrEx>
          <w:tblCellMar>
            <w:top w:w="0" w:type="dxa"/>
            <w:left w:w="108" w:type="dxa"/>
            <w:bottom w:w="0" w:type="dxa"/>
            <w:right w:w="108" w:type="dxa"/>
          </w:tblCellMar>
        </w:tblPrEx>
        <w:trPr>
          <w:trHeight w:val="454" w:hRule="atLeast"/>
          <w:jc w:val="center"/>
        </w:trPr>
        <w:tc>
          <w:tcPr>
            <w:tcW w:w="113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14:textFill>
                  <w14:solidFill>
                    <w14:schemeClr w14:val="tx1"/>
                  </w14:solidFill>
                </w14:textFill>
              </w:rPr>
            </w:pPr>
            <w:r>
              <w:rPr>
                <w:rFonts w:hint="eastAsia" w:cs="Times New Roman"/>
                <w:color w:val="000000" w:themeColor="text1"/>
                <w:kern w:val="0"/>
                <w:sz w:val="24"/>
                <w:szCs w:val="24"/>
                <w14:textFill>
                  <w14:solidFill>
                    <w14:schemeClr w14:val="tx1"/>
                  </w14:solidFill>
                </w14:textFill>
              </w:rPr>
              <w:t>2.2</w:t>
            </w:r>
          </w:p>
        </w:tc>
        <w:tc>
          <w:tcPr>
            <w:tcW w:w="42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14:textFill>
                  <w14:solidFill>
                    <w14:schemeClr w14:val="tx1"/>
                  </w14:solidFill>
                </w14:textFill>
              </w:rPr>
            </w:pPr>
            <w:r>
              <w:rPr>
                <w:rFonts w:hint="eastAsia" w:cs="Times New Roman"/>
                <w:color w:val="000000" w:themeColor="text1"/>
                <w:kern w:val="0"/>
                <w:sz w:val="24"/>
                <w:szCs w:val="24"/>
                <w14:textFill>
                  <w14:solidFill>
                    <w14:schemeClr w14:val="tx1"/>
                  </w14:solidFill>
                </w14:textFill>
              </w:rPr>
              <w:t>发行</w:t>
            </w:r>
            <w:r>
              <w:rPr>
                <w:rFonts w:hint="eastAsia" w:cs="Times New Roman"/>
                <w:color w:val="000000" w:themeColor="text1"/>
                <w:kern w:val="0"/>
                <w:sz w:val="24"/>
                <w:szCs w:val="24"/>
                <w:lang w:eastAsia="zh-CN"/>
                <w14:textFill>
                  <w14:solidFill>
                    <w14:schemeClr w14:val="tx1"/>
                  </w14:solidFill>
                </w14:textFill>
              </w:rPr>
              <w:t>专项</w:t>
            </w:r>
            <w:r>
              <w:rPr>
                <w:rFonts w:hint="eastAsia" w:cs="Times New Roman"/>
                <w:color w:val="000000" w:themeColor="text1"/>
                <w:kern w:val="0"/>
                <w:sz w:val="24"/>
                <w:szCs w:val="24"/>
                <w14:textFill>
                  <w14:solidFill>
                    <w14:schemeClr w14:val="tx1"/>
                  </w14:solidFill>
                </w14:textFill>
              </w:rPr>
              <w:t>债券</w:t>
            </w:r>
          </w:p>
        </w:tc>
        <w:tc>
          <w:tcPr>
            <w:tcW w:w="233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Lines="0" w:beforeAutospacing="0" w:after="0" w:afterLines="0" w:afterAutospacing="0" w:line="240" w:lineRule="auto"/>
              <w:ind w:left="0" w:right="0" w:firstLine="0" w:firstLineChars="0"/>
              <w:jc w:val="center"/>
              <w:rPr>
                <w:rFonts w:hint="eastAsia" w:cs="Times New Roman"/>
                <w:color w:val="000000" w:themeColor="text1"/>
                <w:kern w:val="0"/>
                <w:sz w:val="24"/>
                <w:szCs w:val="24"/>
                <w:lang w:eastAsia="zh-CN"/>
                <w14:textFill>
                  <w14:solidFill>
                    <w14:schemeClr w14:val="tx1"/>
                  </w14:solidFill>
                </w14:textFill>
              </w:rPr>
            </w:pPr>
            <w:r>
              <w:rPr>
                <w:rFonts w:hint="default" w:cs="Times New Roman"/>
                <w:color w:val="000000" w:themeColor="text1"/>
                <w:kern w:val="0"/>
                <w:sz w:val="24"/>
                <w:szCs w:val="24"/>
                <w:lang w:val="en-US" w:eastAsia="zh-CN"/>
                <w14:textFill>
                  <w14:solidFill>
                    <w14:schemeClr w14:val="tx1"/>
                  </w14:solidFill>
                </w14:textFill>
              </w:rPr>
              <w:t xml:space="preserve"> 4,000.00 </w:t>
            </w:r>
          </w:p>
        </w:tc>
      </w:tr>
    </w:tbl>
    <w:p>
      <w:pPr>
        <w:spacing w:line="560" w:lineRule="exact"/>
        <w:ind w:firstLine="562" w:firstLineChars="200"/>
        <w:outlineLvl w:val="0"/>
        <w:rPr>
          <w:rFonts w:ascii="宋体" w:hAnsi="宋体"/>
          <w:b/>
          <w:sz w:val="28"/>
          <w:szCs w:val="28"/>
        </w:rPr>
      </w:pPr>
      <w:bookmarkStart w:id="30" w:name="_Toc531335474"/>
      <w:bookmarkStart w:id="31" w:name="_Toc531545374"/>
      <w:bookmarkStart w:id="32" w:name="_Toc531349588"/>
      <w:bookmarkStart w:id="33" w:name="_Toc532070656"/>
      <w:r>
        <w:rPr>
          <w:rFonts w:ascii="宋体" w:hAnsi="宋体"/>
          <w:b/>
          <w:sz w:val="28"/>
          <w:szCs w:val="28"/>
        </w:rPr>
        <w:t>四、项目预期收益、成本及融资平衡情况</w:t>
      </w:r>
      <w:bookmarkEnd w:id="30"/>
      <w:bookmarkEnd w:id="31"/>
      <w:bookmarkEnd w:id="32"/>
      <w:bookmarkEnd w:id="33"/>
    </w:p>
    <w:p>
      <w:pPr>
        <w:spacing w:line="560" w:lineRule="exact"/>
        <w:ind w:firstLine="562" w:firstLineChars="200"/>
        <w:outlineLvl w:val="0"/>
        <w:rPr>
          <w:rFonts w:ascii="宋体" w:hAnsi="宋体"/>
          <w:b/>
          <w:sz w:val="28"/>
          <w:szCs w:val="28"/>
        </w:rPr>
      </w:pPr>
      <w:bookmarkStart w:id="34" w:name="_Toc531349589"/>
      <w:bookmarkStart w:id="35" w:name="_Toc531545375"/>
      <w:bookmarkStart w:id="36" w:name="_Toc532070657"/>
      <w:bookmarkStart w:id="37" w:name="_Toc531335475"/>
      <w:r>
        <w:rPr>
          <w:rFonts w:ascii="宋体" w:hAnsi="宋体"/>
          <w:b/>
          <w:sz w:val="28"/>
          <w:szCs w:val="28"/>
        </w:rPr>
        <w:t>（一）预期收益</w:t>
      </w:r>
      <w:bookmarkEnd w:id="34"/>
      <w:bookmarkEnd w:id="35"/>
      <w:bookmarkEnd w:id="36"/>
      <w:bookmarkEnd w:id="37"/>
    </w:p>
    <w:p>
      <w:pPr>
        <w:spacing w:line="560" w:lineRule="exact"/>
        <w:ind w:firstLine="562" w:firstLineChars="200"/>
        <w:rPr>
          <w:rFonts w:ascii="宋体" w:hAnsi="宋体"/>
          <w:b/>
          <w:sz w:val="28"/>
          <w:szCs w:val="28"/>
        </w:rPr>
      </w:pPr>
      <w:r>
        <w:rPr>
          <w:rFonts w:ascii="宋体" w:hAnsi="宋体"/>
          <w:b/>
          <w:sz w:val="28"/>
          <w:szCs w:val="28"/>
        </w:rPr>
        <w:t>1.项目收入</w:t>
      </w:r>
    </w:p>
    <w:p>
      <w:pPr>
        <w:widowControl/>
        <w:adjustRightInd w:val="0"/>
        <w:snapToGrid w:val="0"/>
        <w:spacing w:line="580" w:lineRule="exact"/>
        <w:ind w:firstLine="560" w:firstLineChars="200"/>
        <w:rPr>
          <w:rFonts w:hint="eastAsia" w:ascii="宋体" w:hAnsi="宋体"/>
          <w:bCs/>
          <w:sz w:val="28"/>
          <w:szCs w:val="28"/>
          <w:lang w:eastAsia="zh-CN"/>
        </w:rPr>
      </w:pPr>
      <w:r>
        <w:rPr>
          <w:rFonts w:hint="eastAsia" w:ascii="宋体" w:hAnsi="宋体"/>
          <w:bCs/>
          <w:sz w:val="28"/>
          <w:szCs w:val="28"/>
          <w:lang w:eastAsia="zh-CN"/>
        </w:rPr>
        <w:t>根据财政部关于印发《地方政府专项债券发行管理暂行办法》的通知（财库﹝2015﹞83号）的规定：专项债务纳入政府性基金预算管理，通过对应的政府性基金或专项收入偿还。本期债券偿付资金主要来自于项目专项收入，根据可研报告中预测的运营成本、税费等作为财务测算分析基础，并结合现行政策及项目实际预测项目收益情况。</w:t>
      </w:r>
    </w:p>
    <w:p>
      <w:pPr>
        <w:widowControl/>
        <w:adjustRightInd w:val="0"/>
        <w:snapToGrid w:val="0"/>
        <w:spacing w:line="580" w:lineRule="exact"/>
        <w:ind w:firstLine="560" w:firstLineChars="200"/>
        <w:rPr>
          <w:rFonts w:hint="eastAsia" w:ascii="宋体" w:hAnsi="宋体"/>
          <w:bCs/>
          <w:sz w:val="28"/>
          <w:szCs w:val="28"/>
          <w:lang w:eastAsia="zh-CN"/>
        </w:rPr>
      </w:pPr>
      <w:r>
        <w:rPr>
          <w:rFonts w:hint="eastAsia" w:ascii="宋体" w:hAnsi="宋体"/>
          <w:bCs/>
          <w:sz w:val="28"/>
          <w:szCs w:val="28"/>
          <w:lang w:eastAsia="zh-CN"/>
        </w:rPr>
        <w:t>本项目为老旧小区改造项目，按规定收取相应的物业管理费；另外配套设置停车场、充电桩、广告位等，增加停车费、充电桩、广告费等收入，故本项目收入是可行的。项目的实施符合政策导向，相关收费按照国家有关政策规定和价格政策，并参照国家、四川省、遂宁市相关行业收费标准进行测算，项目收入具有较强的可行性。</w:t>
      </w:r>
    </w:p>
    <w:p>
      <w:pPr>
        <w:widowControl/>
        <w:adjustRightInd w:val="0"/>
        <w:snapToGrid w:val="0"/>
        <w:spacing w:line="580" w:lineRule="exact"/>
        <w:ind w:firstLine="560" w:firstLineChars="200"/>
        <w:rPr>
          <w:rFonts w:hint="eastAsia" w:ascii="宋体" w:hAnsi="宋体"/>
          <w:bCs/>
          <w:sz w:val="28"/>
          <w:szCs w:val="28"/>
          <w:lang w:eastAsia="zh-CN"/>
        </w:rPr>
      </w:pPr>
      <w:r>
        <w:rPr>
          <w:rFonts w:hint="eastAsia" w:ascii="宋体" w:hAnsi="宋体"/>
          <w:bCs/>
          <w:sz w:val="28"/>
          <w:szCs w:val="28"/>
          <w:lang w:eastAsia="zh-CN"/>
        </w:rPr>
        <w:t>根据上述分析可对本项目债权期限内项目收入进行测算，预测总含税收入为13623.57万元，不含税收入为12498.68万元。</w:t>
      </w:r>
    </w:p>
    <w:p>
      <w:pPr>
        <w:spacing w:line="560" w:lineRule="exact"/>
        <w:ind w:firstLine="560" w:firstLineChars="200"/>
        <w:rPr>
          <w:rFonts w:ascii="宋体" w:hAnsi="宋体"/>
          <w:sz w:val="28"/>
          <w:szCs w:val="28"/>
        </w:rPr>
      </w:pPr>
      <w:r>
        <w:rPr>
          <w:rFonts w:ascii="宋体" w:hAnsi="宋体"/>
          <w:sz w:val="28"/>
          <w:szCs w:val="28"/>
        </w:rPr>
        <w:t>2.项目成本</w:t>
      </w:r>
    </w:p>
    <w:p>
      <w:pPr>
        <w:widowControl/>
        <w:adjustRightInd w:val="0"/>
        <w:snapToGrid w:val="0"/>
        <w:spacing w:line="580" w:lineRule="exact"/>
        <w:ind w:firstLine="560" w:firstLineChars="200"/>
        <w:rPr>
          <w:rFonts w:hint="eastAsia" w:ascii="宋体" w:hAnsi="宋体"/>
          <w:bCs/>
          <w:sz w:val="28"/>
          <w:szCs w:val="28"/>
          <w:lang w:eastAsia="zh-CN"/>
        </w:rPr>
      </w:pPr>
      <w:r>
        <w:rPr>
          <w:rFonts w:hint="eastAsia" w:ascii="宋体" w:hAnsi="宋体"/>
          <w:bCs/>
          <w:sz w:val="28"/>
          <w:szCs w:val="28"/>
          <w:lang w:eastAsia="zh-CN"/>
        </w:rPr>
        <w:t>项目成本主要有工资福利费用、燃料动力费、维修费、管理费用、折旧摊销费、财务费用、税金及附加等。项目经营期内总成本费用为</w:t>
      </w:r>
      <w:r>
        <w:rPr>
          <w:rFonts w:hint="eastAsia" w:ascii="宋体" w:hAnsi="宋体"/>
          <w:bCs/>
          <w:sz w:val="28"/>
          <w:szCs w:val="28"/>
          <w:lang w:val="en-US" w:eastAsia="zh-CN"/>
        </w:rPr>
        <w:t>2304.17</w:t>
      </w:r>
      <w:r>
        <w:rPr>
          <w:rFonts w:hint="eastAsia" w:ascii="宋体" w:hAnsi="宋体"/>
          <w:bCs/>
          <w:sz w:val="28"/>
          <w:szCs w:val="28"/>
          <w:lang w:eastAsia="zh-CN"/>
        </w:rPr>
        <w:t>万元。</w:t>
      </w:r>
    </w:p>
    <w:p>
      <w:pPr>
        <w:spacing w:line="560" w:lineRule="exact"/>
        <w:ind w:firstLine="562" w:firstLineChars="200"/>
        <w:outlineLvl w:val="0"/>
        <w:rPr>
          <w:rFonts w:ascii="宋体" w:hAnsi="宋体"/>
          <w:b/>
          <w:sz w:val="28"/>
          <w:szCs w:val="28"/>
        </w:rPr>
      </w:pPr>
      <w:bookmarkStart w:id="38" w:name="_Toc531335476"/>
      <w:bookmarkStart w:id="39" w:name="_Toc532070658"/>
      <w:bookmarkStart w:id="40" w:name="_Toc531349590"/>
      <w:bookmarkStart w:id="41" w:name="_Toc531545376"/>
      <w:r>
        <w:rPr>
          <w:rFonts w:ascii="宋体" w:hAnsi="宋体"/>
          <w:b/>
          <w:sz w:val="28"/>
          <w:szCs w:val="28"/>
        </w:rPr>
        <w:t>（二）资金测算平衡情况</w:t>
      </w:r>
      <w:bookmarkEnd w:id="38"/>
      <w:bookmarkEnd w:id="39"/>
      <w:bookmarkEnd w:id="40"/>
      <w:bookmarkEnd w:id="41"/>
    </w:p>
    <w:p>
      <w:pPr>
        <w:spacing w:line="560" w:lineRule="exact"/>
        <w:ind w:firstLine="560" w:firstLineChars="200"/>
        <w:rPr>
          <w:rFonts w:hint="eastAsia" w:ascii="宋体" w:hAnsi="宋体"/>
          <w:bCs/>
          <w:sz w:val="28"/>
          <w:szCs w:val="28"/>
          <w:lang w:eastAsia="zh-CN"/>
        </w:rPr>
      </w:pPr>
      <w:r>
        <w:rPr>
          <w:rFonts w:hint="eastAsia" w:ascii="宋体" w:hAnsi="宋体"/>
          <w:bCs/>
          <w:sz w:val="28"/>
          <w:szCs w:val="28"/>
          <w:lang w:eastAsia="zh-CN"/>
        </w:rPr>
        <w:t>该项目未来预期收入主要为项目对应并纳入政府性基金预算管理的物业管理费、停车场、充电桩、广告位等。项目收入进行测算，预测总含税收入为13623.57万元，不含税收入为12498.68万元。</w:t>
      </w:r>
    </w:p>
    <w:p>
      <w:pPr>
        <w:spacing w:line="560" w:lineRule="exact"/>
        <w:ind w:firstLine="560" w:firstLineChars="200"/>
        <w:rPr>
          <w:rFonts w:hint="eastAsia" w:ascii="宋体" w:hAnsi="宋体"/>
          <w:bCs/>
          <w:sz w:val="28"/>
          <w:szCs w:val="28"/>
          <w:lang w:eastAsia="zh-CN"/>
        </w:rPr>
      </w:pPr>
      <w:r>
        <w:rPr>
          <w:rFonts w:hint="eastAsia" w:ascii="宋体" w:hAnsi="宋体"/>
          <w:bCs/>
          <w:sz w:val="28"/>
          <w:szCs w:val="28"/>
          <w:lang w:eastAsia="zh-CN"/>
        </w:rPr>
        <w:t>本项目到2037年，项目净收益为8784.94万元，偿还债券本息为6700.00万元，本息覆盖倍数1.31倍，项目具备可延续性，具有较强的资金平衡能力。</w:t>
      </w:r>
    </w:p>
    <w:p>
      <w:pPr>
        <w:pStyle w:val="18"/>
        <w:rPr>
          <w:rFonts w:hint="eastAsia" w:ascii="宋体" w:hAnsi="宋体" w:eastAsia="宋体"/>
          <w:lang w:eastAsia="zh-CN"/>
        </w:rPr>
        <w:sectPr>
          <w:footerReference r:id="rId3" w:type="default"/>
          <w:pgSz w:w="11906" w:h="16838"/>
          <w:pgMar w:top="1440" w:right="1800" w:bottom="1440" w:left="1800" w:header="851" w:footer="992" w:gutter="0"/>
          <w:cols w:space="425" w:num="1"/>
          <w:docGrid w:type="lines" w:linePitch="312" w:charSpace="0"/>
        </w:sectPr>
      </w:pPr>
    </w:p>
    <w:p>
      <w:pPr>
        <w:pStyle w:val="18"/>
        <w:rPr>
          <w:rFonts w:ascii="宋体" w:hAnsi="宋体" w:eastAsia="宋体"/>
          <w:lang w:eastAsia="zh-CN"/>
        </w:rPr>
      </w:pPr>
      <w:r>
        <w:rPr>
          <w:rFonts w:hint="eastAsia" w:ascii="宋体" w:hAnsi="宋体" w:eastAsia="宋体"/>
          <w:lang w:eastAsia="zh-CN"/>
        </w:rPr>
        <w:t>遂宁市河东新区老旧小区改造项目资金测算平衡表</w:t>
      </w:r>
      <w:r>
        <w:rPr>
          <w:rFonts w:ascii="宋体" w:hAnsi="宋体" w:eastAsia="宋体"/>
          <w:lang w:eastAsia="zh-CN"/>
        </w:rPr>
        <w:t>（单位：万元）</w:t>
      </w:r>
    </w:p>
    <w:tbl>
      <w:tblPr>
        <w:tblStyle w:val="13"/>
        <w:tblW w:w="0" w:type="auto"/>
        <w:tblInd w:w="-508" w:type="dxa"/>
        <w:tblLayout w:type="fixed"/>
        <w:tblCellMar>
          <w:top w:w="0" w:type="dxa"/>
          <w:left w:w="0" w:type="dxa"/>
          <w:bottom w:w="0" w:type="dxa"/>
          <w:right w:w="0" w:type="dxa"/>
        </w:tblCellMar>
      </w:tblPr>
      <w:tblGrid>
        <w:gridCol w:w="352"/>
        <w:gridCol w:w="1310"/>
        <w:gridCol w:w="750"/>
        <w:gridCol w:w="670"/>
        <w:gridCol w:w="670"/>
        <w:gridCol w:w="510"/>
        <w:gridCol w:w="510"/>
        <w:gridCol w:w="510"/>
        <w:gridCol w:w="670"/>
        <w:gridCol w:w="670"/>
        <w:gridCol w:w="670"/>
        <w:gridCol w:w="670"/>
        <w:gridCol w:w="670"/>
        <w:gridCol w:w="670"/>
        <w:gridCol w:w="670"/>
        <w:gridCol w:w="670"/>
        <w:gridCol w:w="744"/>
        <w:gridCol w:w="915"/>
        <w:gridCol w:w="1050"/>
        <w:gridCol w:w="1020"/>
      </w:tblGrid>
      <w:tr>
        <w:tblPrEx>
          <w:tblCellMar>
            <w:top w:w="0" w:type="dxa"/>
            <w:left w:w="0" w:type="dxa"/>
            <w:bottom w:w="0" w:type="dxa"/>
            <w:right w:w="0" w:type="dxa"/>
          </w:tblCellMar>
        </w:tblPrEx>
        <w:trPr>
          <w:trHeight w:val="315" w:hRule="atLeast"/>
        </w:trPr>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阶段</w:t>
            </w:r>
          </w:p>
        </w:tc>
        <w:tc>
          <w:tcPr>
            <w:tcW w:w="131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项目</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合计</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建设期</w:t>
            </w:r>
          </w:p>
        </w:tc>
        <w:tc>
          <w:tcPr>
            <w:tcW w:w="10619" w:type="dxa"/>
            <w:gridSpan w:val="15"/>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运营期</w:t>
            </w:r>
          </w:p>
        </w:tc>
      </w:tr>
      <w:tr>
        <w:tblPrEx>
          <w:tblCellMar>
            <w:top w:w="0" w:type="dxa"/>
            <w:left w:w="0" w:type="dxa"/>
            <w:bottom w:w="0" w:type="dxa"/>
            <w:right w:w="0" w:type="dxa"/>
          </w:tblCellMar>
        </w:tblPrEx>
        <w:trPr>
          <w:trHeight w:val="275" w:hRule="atLeast"/>
        </w:trPr>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序号</w:t>
            </w:r>
          </w:p>
        </w:tc>
        <w:tc>
          <w:tcPr>
            <w:tcW w:w="13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1</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2</w:t>
            </w:r>
          </w:p>
        </w:tc>
        <w:tc>
          <w:tcPr>
            <w:tcW w:w="51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3</w:t>
            </w:r>
          </w:p>
        </w:tc>
        <w:tc>
          <w:tcPr>
            <w:tcW w:w="51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4</w:t>
            </w:r>
          </w:p>
        </w:tc>
        <w:tc>
          <w:tcPr>
            <w:tcW w:w="51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5</w:t>
            </w:r>
          </w:p>
        </w:tc>
        <w:tc>
          <w:tcPr>
            <w:tcW w:w="67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6</w:t>
            </w:r>
          </w:p>
        </w:tc>
        <w:tc>
          <w:tcPr>
            <w:tcW w:w="67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7</w:t>
            </w:r>
          </w:p>
        </w:tc>
        <w:tc>
          <w:tcPr>
            <w:tcW w:w="67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8</w:t>
            </w:r>
          </w:p>
        </w:tc>
        <w:tc>
          <w:tcPr>
            <w:tcW w:w="67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9</w:t>
            </w:r>
          </w:p>
        </w:tc>
        <w:tc>
          <w:tcPr>
            <w:tcW w:w="67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10</w:t>
            </w:r>
          </w:p>
        </w:tc>
        <w:tc>
          <w:tcPr>
            <w:tcW w:w="67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11</w:t>
            </w:r>
          </w:p>
        </w:tc>
        <w:tc>
          <w:tcPr>
            <w:tcW w:w="67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12</w:t>
            </w:r>
          </w:p>
        </w:tc>
        <w:tc>
          <w:tcPr>
            <w:tcW w:w="67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13</w:t>
            </w:r>
          </w:p>
        </w:tc>
        <w:tc>
          <w:tcPr>
            <w:tcW w:w="744"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14</w:t>
            </w:r>
          </w:p>
        </w:tc>
        <w:tc>
          <w:tcPr>
            <w:tcW w:w="915"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15</w:t>
            </w:r>
          </w:p>
        </w:tc>
        <w:tc>
          <w:tcPr>
            <w:tcW w:w="105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16</w:t>
            </w:r>
          </w:p>
        </w:tc>
        <w:tc>
          <w:tcPr>
            <w:tcW w:w="102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17</w:t>
            </w:r>
          </w:p>
        </w:tc>
      </w:tr>
      <w:tr>
        <w:tblPrEx>
          <w:tblCellMar>
            <w:top w:w="0" w:type="dxa"/>
            <w:left w:w="0" w:type="dxa"/>
            <w:bottom w:w="0" w:type="dxa"/>
            <w:right w:w="0" w:type="dxa"/>
          </w:tblCellMar>
        </w:tblPrEx>
        <w:trPr>
          <w:trHeight w:val="300" w:hRule="atLeast"/>
        </w:trPr>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年份</w:t>
            </w:r>
          </w:p>
        </w:tc>
        <w:tc>
          <w:tcPr>
            <w:tcW w:w="13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2021</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2022</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2023</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2024</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2025</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2026</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2027</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2028</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2029</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2030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2031</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2032</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2033</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2034</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2035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2036</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b/>
                <w:bCs/>
                <w:color w:val="000000" w:themeColor="text1"/>
                <w:sz w:val="16"/>
                <w:szCs w:val="16"/>
                <w14:textFill>
                  <w14:solidFill>
                    <w14:schemeClr w14:val="tx1"/>
                  </w14:solidFill>
                </w14:textFill>
              </w:rPr>
            </w:pPr>
            <w:r>
              <w:rPr>
                <w:rFonts w:hint="eastAsia" w:ascii="仿宋" w:hAnsi="仿宋" w:cs="仿宋"/>
                <w:b/>
                <w:bCs/>
                <w:color w:val="000000" w:themeColor="text1"/>
                <w:sz w:val="16"/>
                <w:szCs w:val="16"/>
                <w14:textFill>
                  <w14:solidFill>
                    <w14:schemeClr w14:val="tx1"/>
                  </w14:solidFill>
                </w14:textFill>
              </w:rPr>
              <w:t>2037</w:t>
            </w:r>
          </w:p>
        </w:tc>
      </w:tr>
      <w:tr>
        <w:tblPrEx>
          <w:tblCellMar>
            <w:top w:w="0" w:type="dxa"/>
            <w:left w:w="0" w:type="dxa"/>
            <w:bottom w:w="0" w:type="dxa"/>
            <w:right w:w="0" w:type="dxa"/>
          </w:tblCellMar>
        </w:tblPrEx>
        <w:trPr>
          <w:trHeight w:val="285" w:hRule="atLeast"/>
        </w:trPr>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一</w:t>
            </w: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现金流入</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lang w:eastAsia="zh-CN"/>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18,923.57</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3,350.00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1,950.00</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728.21</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774.87</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821.54</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877.61</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889.10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918.79</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957.34</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957.34</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957.34</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996.96</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1,031.01</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1,031.01</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1,072.98</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1,072.98</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536.49</w:t>
            </w:r>
          </w:p>
        </w:tc>
      </w:tr>
      <w:tr>
        <w:tblPrEx>
          <w:tblCellMar>
            <w:top w:w="0" w:type="dxa"/>
            <w:left w:w="0" w:type="dxa"/>
            <w:bottom w:w="0" w:type="dxa"/>
            <w:right w:w="0" w:type="dxa"/>
          </w:tblCellMar>
        </w:tblPrEx>
        <w:trPr>
          <w:trHeight w:val="285" w:hRule="atLeast"/>
        </w:trPr>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1</w:t>
            </w: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资本金流入</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1,300.00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850.00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450.00</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r>
      <w:tr>
        <w:tblPrEx>
          <w:tblCellMar>
            <w:top w:w="0" w:type="dxa"/>
            <w:left w:w="0" w:type="dxa"/>
            <w:bottom w:w="0" w:type="dxa"/>
            <w:right w:w="0" w:type="dxa"/>
          </w:tblCellMar>
        </w:tblPrEx>
        <w:trPr>
          <w:trHeight w:val="285" w:hRule="atLeast"/>
        </w:trPr>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2</w:t>
            </w: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融资资金流入</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r>
      <w:tr>
        <w:tblPrEx>
          <w:tblCellMar>
            <w:top w:w="0" w:type="dxa"/>
            <w:left w:w="0" w:type="dxa"/>
            <w:bottom w:w="0" w:type="dxa"/>
            <w:right w:w="0" w:type="dxa"/>
          </w:tblCellMar>
        </w:tblPrEx>
        <w:trPr>
          <w:trHeight w:val="285" w:hRule="atLeast"/>
        </w:trPr>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3</w:t>
            </w: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专项债券</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lang w:eastAsia="zh-CN"/>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4,000.00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2,500.00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1,500.00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r>
      <w:tr>
        <w:tblPrEx>
          <w:tblCellMar>
            <w:top w:w="0" w:type="dxa"/>
            <w:left w:w="0" w:type="dxa"/>
            <w:bottom w:w="0" w:type="dxa"/>
            <w:right w:w="0" w:type="dxa"/>
          </w:tblCellMar>
        </w:tblPrEx>
        <w:trPr>
          <w:trHeight w:val="285" w:hRule="atLeast"/>
        </w:trPr>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4</w:t>
            </w: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运营期现金流入</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13,623.57</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0.00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728.21</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774.87</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821.54</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877.61</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889.10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918.79</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957.34</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957.34</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957.34</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996.96</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1031.01</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1031.01</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1072.98</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1072.98</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536.49</w:t>
            </w:r>
          </w:p>
        </w:tc>
      </w:tr>
      <w:tr>
        <w:tblPrEx>
          <w:tblCellMar>
            <w:top w:w="0" w:type="dxa"/>
            <w:left w:w="0" w:type="dxa"/>
            <w:bottom w:w="0" w:type="dxa"/>
            <w:right w:w="0" w:type="dxa"/>
          </w:tblCellMar>
        </w:tblPrEx>
        <w:trPr>
          <w:trHeight w:val="285" w:hRule="atLeast"/>
        </w:trPr>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二</w:t>
            </w: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现金流出</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16,636.12</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3,350.00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1,950.00</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436.87</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452.26</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467.64</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488.75</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492.29</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501.85</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517.48</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517.48</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517.48</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533.62</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544.56</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544.56</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561.62</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3,019.43</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1,740.24</w:t>
            </w:r>
          </w:p>
        </w:tc>
      </w:tr>
      <w:tr>
        <w:tblPrEx>
          <w:tblCellMar>
            <w:top w:w="0" w:type="dxa"/>
            <w:left w:w="0" w:type="dxa"/>
            <w:bottom w:w="0" w:type="dxa"/>
            <w:right w:w="0" w:type="dxa"/>
          </w:tblCellMar>
        </w:tblPrEx>
        <w:trPr>
          <w:trHeight w:val="285" w:hRule="atLeast"/>
        </w:trPr>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1</w:t>
            </w: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建设期资金流出</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5,093.50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3,289.75</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1,803.75</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r>
      <w:tr>
        <w:tblPrEx>
          <w:tblCellMar>
            <w:top w:w="0" w:type="dxa"/>
            <w:left w:w="0" w:type="dxa"/>
            <w:bottom w:w="0" w:type="dxa"/>
            <w:right w:w="0" w:type="dxa"/>
          </w:tblCellMar>
        </w:tblPrEx>
        <w:trPr>
          <w:trHeight w:val="285" w:hRule="atLeast"/>
        </w:trPr>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2</w:t>
            </w: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运营期资金流出</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4,838.62</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256.87</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272.26</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287.64</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308.75</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312.29</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321.85</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337.48</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337.48</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337.48</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353.62</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364.56</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364.56</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381.62</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395.68</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206.49</w:t>
            </w:r>
          </w:p>
        </w:tc>
      </w:tr>
      <w:tr>
        <w:tblPrEx>
          <w:tblCellMar>
            <w:top w:w="0" w:type="dxa"/>
            <w:left w:w="0" w:type="dxa"/>
            <w:bottom w:w="0" w:type="dxa"/>
            <w:right w:w="0" w:type="dxa"/>
          </w:tblCellMar>
        </w:tblPrEx>
        <w:trPr>
          <w:trHeight w:val="285" w:hRule="atLeast"/>
        </w:trPr>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3</w:t>
            </w: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融资还本付息</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6,700.00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56.25</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146.25</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180.00</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180.00</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180.00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180.00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180.00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180.00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180.00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180.00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180.00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180.00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180.00</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180.00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180.00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2,623.75</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1,533.75</w:t>
            </w:r>
          </w:p>
        </w:tc>
      </w:tr>
      <w:tr>
        <w:tblPrEx>
          <w:tblCellMar>
            <w:top w:w="0" w:type="dxa"/>
            <w:left w:w="0" w:type="dxa"/>
            <w:bottom w:w="0" w:type="dxa"/>
            <w:right w:w="0" w:type="dxa"/>
          </w:tblCellMar>
        </w:tblPrEx>
        <w:trPr>
          <w:trHeight w:val="285" w:hRule="atLeast"/>
        </w:trPr>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4</w:t>
            </w: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债券发行费用</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4.00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4.00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p>
        </w:tc>
      </w:tr>
      <w:tr>
        <w:tblPrEx>
          <w:tblCellMar>
            <w:top w:w="0" w:type="dxa"/>
            <w:left w:w="0" w:type="dxa"/>
            <w:bottom w:w="0" w:type="dxa"/>
            <w:right w:w="0" w:type="dxa"/>
          </w:tblCellMar>
        </w:tblPrEx>
        <w:trPr>
          <w:trHeight w:val="285" w:hRule="atLeast"/>
        </w:trPr>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三</w:t>
            </w: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现金净流量</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lang w:eastAsia="zh-CN"/>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2,287.44</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291.33</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322.62</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353.90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388.86</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396.81</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416.93</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439.86</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439.86</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439.86</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463.34</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486.45</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486.45</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511.37</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-1,946.45</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-1,203.75</w:t>
            </w:r>
          </w:p>
        </w:tc>
      </w:tr>
      <w:tr>
        <w:tblPrEx>
          <w:tblCellMar>
            <w:top w:w="0" w:type="dxa"/>
            <w:left w:w="0" w:type="dxa"/>
            <w:bottom w:w="0" w:type="dxa"/>
            <w:right w:w="0" w:type="dxa"/>
          </w:tblCellMar>
        </w:tblPrEx>
        <w:trPr>
          <w:trHeight w:val="285" w:hRule="atLeast"/>
        </w:trPr>
        <w:tc>
          <w:tcPr>
            <w:tcW w:w="3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四</w:t>
            </w: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14:textFill>
                  <w14:solidFill>
                    <w14:schemeClr w14:val="tx1"/>
                  </w14:solidFill>
                </w14:textFill>
              </w:rPr>
              <w:t>期末累计现金结存</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lang w:val="en-US" w:eastAsia="zh-CN"/>
                <w14:textFill>
                  <w14:solidFill>
                    <w14:schemeClr w14:val="tx1"/>
                  </w14:solidFill>
                </w14:textFill>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0</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0</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291.33</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613.95</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967.85</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1,356.71</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1,753.52</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2,170.45</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2,610.31</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3,050.17</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3,490.03</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3,953.37</w:t>
            </w:r>
          </w:p>
        </w:tc>
        <w:tc>
          <w:tcPr>
            <w:tcW w:w="6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4,439.82</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4,926.27</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5,437.64</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3,491.19</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keepNext w:val="0"/>
              <w:keepLines w:val="0"/>
              <w:suppressLineNumbers w:val="0"/>
              <w:adjustRightInd w:val="0"/>
              <w:snapToGrid w:val="0"/>
              <w:spacing w:before="0" w:beforeLines="0" w:beforeAutospacing="0" w:after="0" w:afterLines="0" w:afterAutospacing="0" w:line="200" w:lineRule="exact"/>
              <w:ind w:left="0" w:right="0" w:firstLine="0" w:firstLineChars="0"/>
              <w:jc w:val="center"/>
              <w:rPr>
                <w:rFonts w:hint="eastAsia" w:ascii="仿宋" w:hAnsi="仿宋" w:cs="仿宋"/>
                <w:color w:val="000000" w:themeColor="text1"/>
                <w:sz w:val="16"/>
                <w:szCs w:val="16"/>
                <w:lang w:eastAsia="zh-CN"/>
                <w14:textFill>
                  <w14:solidFill>
                    <w14:schemeClr w14:val="tx1"/>
                  </w14:solidFill>
                </w14:textFill>
              </w:rPr>
            </w:pPr>
            <w:r>
              <w:rPr>
                <w:rFonts w:hint="eastAsia" w:ascii="仿宋" w:hAnsi="仿宋" w:cs="仿宋"/>
                <w:color w:val="000000" w:themeColor="text1"/>
                <w:sz w:val="16"/>
                <w:szCs w:val="16"/>
                <w:lang w:val="en-US" w:eastAsia="zh-CN"/>
                <w14:textFill>
                  <w14:solidFill>
                    <w14:schemeClr w14:val="tx1"/>
                  </w14:solidFill>
                </w14:textFill>
              </w:rPr>
              <w:t>2,287.44</w:t>
            </w:r>
          </w:p>
        </w:tc>
      </w:tr>
    </w:tbl>
    <w:p>
      <w:pPr>
        <w:pStyle w:val="18"/>
        <w:rPr>
          <w:rFonts w:ascii="宋体" w:hAnsi="宋体" w:eastAsia="宋体"/>
          <w:lang w:eastAsia="zh-CN"/>
        </w:rPr>
        <w:sectPr>
          <w:pgSz w:w="16838" w:h="11906" w:orient="landscape"/>
          <w:pgMar w:top="1800" w:right="1440" w:bottom="1800" w:left="1440" w:header="851" w:footer="992" w:gutter="0"/>
          <w:cols w:space="425" w:num="1"/>
          <w:docGrid w:type="lines" w:linePitch="312" w:charSpace="0"/>
        </w:sectPr>
      </w:pPr>
    </w:p>
    <w:p>
      <w:pPr>
        <w:spacing w:line="560" w:lineRule="exact"/>
        <w:ind w:firstLine="562" w:firstLineChars="200"/>
        <w:outlineLvl w:val="0"/>
        <w:rPr>
          <w:rFonts w:ascii="宋体" w:hAnsi="宋体"/>
          <w:b/>
          <w:sz w:val="28"/>
          <w:szCs w:val="28"/>
        </w:rPr>
      </w:pPr>
      <w:r>
        <w:rPr>
          <w:rFonts w:hint="eastAsia" w:ascii="宋体" w:hAnsi="宋体"/>
          <w:b/>
          <w:sz w:val="28"/>
          <w:szCs w:val="28"/>
        </w:rPr>
        <w:t>五、</w:t>
      </w:r>
      <w:r>
        <w:rPr>
          <w:rFonts w:ascii="宋体" w:hAnsi="宋体"/>
          <w:b/>
          <w:sz w:val="28"/>
          <w:szCs w:val="28"/>
        </w:rPr>
        <w:t>项目绩效目标</w:t>
      </w:r>
    </w:p>
    <w:p>
      <w:pPr>
        <w:widowControl/>
        <w:adjustRightInd w:val="0"/>
        <w:snapToGrid w:val="0"/>
        <w:spacing w:line="580" w:lineRule="exact"/>
        <w:ind w:firstLine="560" w:firstLineChars="200"/>
        <w:rPr>
          <w:rFonts w:ascii="宋体" w:hAnsi="宋体"/>
          <w:bCs/>
          <w:sz w:val="28"/>
          <w:szCs w:val="28"/>
          <w:lang w:eastAsia="zh-CN"/>
        </w:rPr>
      </w:pPr>
      <w:r>
        <w:rPr>
          <w:rFonts w:ascii="宋体" w:hAnsi="宋体"/>
          <w:bCs/>
          <w:sz w:val="28"/>
          <w:szCs w:val="28"/>
          <w:lang w:eastAsia="zh-CN"/>
        </w:rPr>
        <w:t>本项目的</w:t>
      </w:r>
      <w:r>
        <w:rPr>
          <w:rFonts w:hint="eastAsia" w:ascii="宋体" w:hAnsi="宋体"/>
          <w:bCs/>
          <w:sz w:val="28"/>
          <w:szCs w:val="28"/>
        </w:rPr>
        <w:t>绩效目标为</w:t>
      </w:r>
      <w:r>
        <w:rPr>
          <w:rFonts w:hint="eastAsia" w:ascii="宋体" w:hAnsi="宋体"/>
          <w:bCs/>
          <w:sz w:val="28"/>
          <w:szCs w:val="28"/>
          <w:lang w:eastAsia="zh-CN"/>
        </w:rPr>
        <w:t>改变困难群众恶劣的居住和生活条件，改</w:t>
      </w:r>
      <w:r>
        <w:rPr>
          <w:rFonts w:hint="eastAsia" w:ascii="宋体" w:hAnsi="宋体"/>
          <w:bCs/>
          <w:sz w:val="28"/>
          <w:szCs w:val="28"/>
        </w:rPr>
        <w:t>善</w:t>
      </w:r>
      <w:r>
        <w:rPr>
          <w:rFonts w:hint="eastAsia" w:ascii="宋体" w:hAnsi="宋体"/>
          <w:bCs/>
          <w:sz w:val="28"/>
          <w:szCs w:val="28"/>
          <w:lang w:eastAsia="zh-CN"/>
        </w:rPr>
        <w:t>城市面貌，提升项目所在</w:t>
      </w:r>
      <w:r>
        <w:rPr>
          <w:rFonts w:hint="eastAsia" w:ascii="宋体" w:hAnsi="宋体"/>
          <w:bCs/>
          <w:sz w:val="28"/>
          <w:szCs w:val="28"/>
        </w:rPr>
        <w:t>区域</w:t>
      </w:r>
      <w:r>
        <w:rPr>
          <w:rFonts w:hint="eastAsia" w:ascii="宋体" w:hAnsi="宋体"/>
          <w:bCs/>
          <w:sz w:val="28"/>
          <w:szCs w:val="28"/>
          <w:lang w:eastAsia="zh-CN"/>
        </w:rPr>
        <w:t>的区位条件，完善基础设施建设，</w:t>
      </w:r>
      <w:r>
        <w:rPr>
          <w:rFonts w:hint="eastAsia" w:ascii="宋体" w:hAnsi="宋体"/>
          <w:bCs/>
          <w:sz w:val="28"/>
          <w:szCs w:val="28"/>
        </w:rPr>
        <w:t>构建和谐社会</w:t>
      </w:r>
      <w:r>
        <w:rPr>
          <w:rFonts w:ascii="宋体" w:hAnsi="宋体"/>
          <w:bCs/>
          <w:sz w:val="28"/>
          <w:szCs w:val="28"/>
          <w:lang w:eastAsia="zh-CN"/>
        </w:rPr>
        <w:t>。</w:t>
      </w:r>
    </w:p>
    <w:p>
      <w:pPr>
        <w:spacing w:line="560" w:lineRule="exact"/>
        <w:ind w:firstLine="562" w:firstLineChars="200"/>
        <w:outlineLvl w:val="0"/>
        <w:rPr>
          <w:rFonts w:hint="default" w:ascii="宋体" w:hAnsi="宋体"/>
          <w:b/>
          <w:sz w:val="28"/>
          <w:szCs w:val="28"/>
          <w:lang w:val="en-US" w:eastAsia="zh-CN"/>
        </w:rPr>
      </w:pPr>
      <w:r>
        <w:rPr>
          <w:rFonts w:hint="eastAsia" w:ascii="宋体" w:hAnsi="宋体"/>
          <w:b/>
          <w:sz w:val="28"/>
          <w:szCs w:val="28"/>
          <w:lang w:val="en-US" w:eastAsia="zh-CN"/>
        </w:rPr>
        <w:t>（一）</w:t>
      </w:r>
      <w:r>
        <w:rPr>
          <w:rFonts w:hint="default" w:ascii="宋体" w:hAnsi="宋体"/>
          <w:b/>
          <w:sz w:val="28"/>
          <w:szCs w:val="28"/>
          <w:lang w:val="en-US" w:eastAsia="zh-CN"/>
        </w:rPr>
        <w:t>项目总体建设目标</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目标1：对小康小区、罐子口移民小区、仁里古镇花园小区、仁里古镇农贸小区、仁里古镇移民小区、僧家苑老旧小区、科教园区移民小区，共计1086户进行改造，面积为16.41万㎡，建设内容为：配套道路黑化、人行道海绵化、地下雨污管网改造、交通标识、路灯、绿道等，同时对小区楼顶防水改造、外墙修缮美化、水电气线路改造、场地硬化、电动车集中停车充电桩、新建泊车位、外墙修缮、小区道路、楼顶漏水，路灯改造等。</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目标2：按时完成项目竣工验收</w:t>
      </w:r>
      <w:r>
        <w:rPr>
          <w:rFonts w:hint="eastAsia" w:ascii="宋体" w:hAnsi="宋体"/>
          <w:bCs/>
          <w:sz w:val="28"/>
          <w:szCs w:val="28"/>
          <w:lang w:val="en-US" w:eastAsia="zh-CN"/>
        </w:rPr>
        <w:t>。</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目标3：债券存续期内实现年度收支平衡和总体收支平衡</w:t>
      </w:r>
      <w:r>
        <w:rPr>
          <w:rFonts w:hint="eastAsia" w:ascii="宋体" w:hAnsi="宋体"/>
          <w:bCs/>
          <w:sz w:val="28"/>
          <w:szCs w:val="28"/>
          <w:lang w:val="en-US" w:eastAsia="zh-CN"/>
        </w:rPr>
        <w:t>。</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目标4：带动区域协同发展，改善老旧小区现状状况</w:t>
      </w:r>
      <w:r>
        <w:rPr>
          <w:rFonts w:hint="eastAsia" w:ascii="宋体" w:hAnsi="宋体"/>
          <w:bCs/>
          <w:sz w:val="28"/>
          <w:szCs w:val="28"/>
          <w:lang w:val="en-US" w:eastAsia="zh-CN"/>
        </w:rPr>
        <w:t>。</w:t>
      </w:r>
    </w:p>
    <w:p>
      <w:pPr>
        <w:spacing w:line="560" w:lineRule="exact"/>
        <w:ind w:firstLine="562" w:firstLineChars="200"/>
        <w:outlineLvl w:val="0"/>
        <w:rPr>
          <w:rFonts w:hint="default" w:ascii="宋体" w:hAnsi="宋体"/>
          <w:b/>
          <w:sz w:val="28"/>
          <w:szCs w:val="28"/>
          <w:lang w:val="en-US" w:eastAsia="zh-CN"/>
        </w:rPr>
      </w:pPr>
      <w:r>
        <w:rPr>
          <w:rFonts w:hint="eastAsia" w:ascii="宋体" w:hAnsi="宋体"/>
          <w:b/>
          <w:sz w:val="28"/>
          <w:szCs w:val="28"/>
          <w:lang w:val="en-US" w:eastAsia="zh-CN"/>
        </w:rPr>
        <w:t>（二）</w:t>
      </w:r>
      <w:r>
        <w:rPr>
          <w:rFonts w:hint="default" w:ascii="宋体" w:hAnsi="宋体"/>
          <w:b/>
          <w:sz w:val="28"/>
          <w:szCs w:val="28"/>
          <w:lang w:val="en-US" w:eastAsia="zh-CN"/>
        </w:rPr>
        <w:t>项目年度建设目标</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目标1：完成施工前的前期准备工作，开始实施部分改造工作，完成200户以上的改造。</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目标2：按时完成项目竣工验收</w:t>
      </w:r>
      <w:r>
        <w:rPr>
          <w:rFonts w:hint="eastAsia" w:ascii="宋体" w:hAnsi="宋体"/>
          <w:bCs/>
          <w:sz w:val="28"/>
          <w:szCs w:val="28"/>
          <w:lang w:val="en-US" w:eastAsia="zh-CN"/>
        </w:rPr>
        <w:t>。</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目标3：债券存续期内实现年度收支平衡和总体收支平衡</w:t>
      </w:r>
      <w:r>
        <w:rPr>
          <w:rFonts w:hint="eastAsia" w:ascii="宋体" w:hAnsi="宋体"/>
          <w:bCs/>
          <w:sz w:val="28"/>
          <w:szCs w:val="28"/>
          <w:lang w:val="en-US" w:eastAsia="zh-CN"/>
        </w:rPr>
        <w:t>。</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目标4：带动区域协同发展，改善老旧小区现状状况</w:t>
      </w:r>
      <w:r>
        <w:rPr>
          <w:rFonts w:hint="eastAsia" w:ascii="宋体" w:hAnsi="宋体"/>
          <w:bCs/>
          <w:sz w:val="28"/>
          <w:szCs w:val="28"/>
          <w:lang w:val="en-US" w:eastAsia="zh-CN"/>
        </w:rPr>
        <w:t>。</w:t>
      </w:r>
    </w:p>
    <w:p>
      <w:pPr>
        <w:spacing w:line="560" w:lineRule="exact"/>
        <w:ind w:firstLine="562" w:firstLineChars="200"/>
        <w:outlineLvl w:val="0"/>
        <w:rPr>
          <w:rFonts w:hint="default" w:ascii="宋体" w:hAnsi="宋体"/>
          <w:b/>
          <w:sz w:val="28"/>
          <w:szCs w:val="28"/>
          <w:lang w:val="en-US" w:eastAsia="zh-CN"/>
        </w:rPr>
      </w:pPr>
      <w:r>
        <w:rPr>
          <w:rFonts w:hint="default" w:ascii="宋体" w:hAnsi="宋体"/>
          <w:b/>
          <w:sz w:val="28"/>
          <w:szCs w:val="28"/>
          <w:lang w:val="en-US" w:eastAsia="zh-CN"/>
        </w:rPr>
        <w:t>（</w:t>
      </w:r>
      <w:r>
        <w:rPr>
          <w:rFonts w:hint="eastAsia" w:ascii="宋体" w:hAnsi="宋体"/>
          <w:b/>
          <w:sz w:val="28"/>
          <w:szCs w:val="28"/>
          <w:lang w:val="en-US" w:eastAsia="zh-CN"/>
        </w:rPr>
        <w:t>三</w:t>
      </w:r>
      <w:r>
        <w:rPr>
          <w:rFonts w:hint="default" w:ascii="宋体" w:hAnsi="宋体"/>
          <w:b/>
          <w:sz w:val="28"/>
          <w:szCs w:val="28"/>
          <w:lang w:val="en-US" w:eastAsia="zh-CN"/>
        </w:rPr>
        <w:t>）项目必要性</w:t>
      </w:r>
    </w:p>
    <w:p>
      <w:pPr>
        <w:widowControl/>
        <w:adjustRightInd w:val="0"/>
        <w:snapToGrid w:val="0"/>
        <w:spacing w:line="580" w:lineRule="exact"/>
        <w:ind w:firstLine="560" w:firstLineChars="200"/>
        <w:rPr>
          <w:rFonts w:hint="eastAsia" w:ascii="宋体" w:hAnsi="宋体"/>
          <w:bCs/>
          <w:sz w:val="28"/>
          <w:szCs w:val="28"/>
          <w:lang w:val="en-US" w:eastAsia="zh-CN"/>
        </w:rPr>
      </w:pPr>
      <w:r>
        <w:rPr>
          <w:rFonts w:hint="eastAsia" w:ascii="宋体" w:hAnsi="宋体"/>
          <w:bCs/>
          <w:sz w:val="28"/>
          <w:szCs w:val="28"/>
          <w:lang w:val="en-US" w:eastAsia="zh-CN"/>
        </w:rPr>
        <w:t>1）老旧小区改造符合国家、省市相关</w:t>
      </w:r>
      <w:r>
        <w:rPr>
          <w:rFonts w:hint="default" w:ascii="宋体" w:hAnsi="宋体"/>
          <w:bCs/>
          <w:sz w:val="28"/>
          <w:szCs w:val="28"/>
          <w:lang w:val="en-US" w:eastAsia="zh-CN"/>
        </w:rPr>
        <w:t>政策</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国务院办公厅关于全面推进城镇老旧小区改造工作的指导意见》（国办发〔2020〕23号）指出，城镇老旧小区改造是重大民生工程和发展工程，对满足人民群众美好生活需要、推动惠民生扩内需、推进城市更新和开发建设方式转型、促进经济高质量发展具有十分重要的意义。老旧小区改造要以习近平新时代中国特色社会主义思想为指导，全面贯彻党的十九大和十九届二中、三中、四中全会精神，按照党中央、国务院决策部署，坚持以人民为中心的发展思想，坚持新发展理念，按照高质量发展要求，大力改造提升城镇老旧小区，改善居民居住条件，推动构建“纵向到底、横向到边、共建共治共享”的社区治理体系，让人民群众生活更方便、更舒心、更美好。</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四川省人民政府办公厅关于全面推进城镇老旧小区改造工作的实施意见》（公开征求意见稿）提出，老旧小区改造以习近平新时代中国特色社会主义思想为指导，深入贯彻落实党的十九大和十九届二中、三中、四中全会以及省委十一届六次、七次全会精神，坚持以人民为中心的发展思想，大力改造提升城镇老旧小区，改善居民居住条件，推动构建“纵向到底、横向到边、共建共治共享”的社区治理新格局。树立“存量”思维，坚持新发展理念，推进城市更新和开发建设方式转型、促进经济高质量发展、建设高品质生活宜居地，不断满足人民日益增长的美好生活需要。</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为进一步改善我区城镇老旧小区市政基础设施老化、公共服务不全等问题，满足居民安全需要，丰富社会服务供给，提高人居环境，根据中、省、市关于加快推进城镇老旧小区改造工作部署，</w:t>
      </w:r>
      <w:r>
        <w:rPr>
          <w:rFonts w:hint="eastAsia" w:ascii="宋体" w:hAnsi="宋体"/>
          <w:bCs/>
          <w:sz w:val="28"/>
          <w:szCs w:val="28"/>
          <w:lang w:val="en-US" w:eastAsia="zh-CN"/>
        </w:rPr>
        <w:t>遂宁市</w:t>
      </w:r>
      <w:r>
        <w:rPr>
          <w:rFonts w:hint="default" w:ascii="宋体" w:hAnsi="宋体"/>
          <w:bCs/>
          <w:sz w:val="28"/>
          <w:szCs w:val="28"/>
          <w:lang w:val="en-US" w:eastAsia="zh-CN"/>
        </w:rPr>
        <w:t>制定了《</w:t>
      </w:r>
      <w:r>
        <w:rPr>
          <w:rFonts w:hint="eastAsia" w:ascii="宋体" w:hAnsi="宋体"/>
          <w:bCs/>
          <w:sz w:val="28"/>
          <w:szCs w:val="28"/>
          <w:lang w:val="en-US" w:eastAsia="zh-CN"/>
        </w:rPr>
        <w:t>遂宁市城镇老旧小区改造实施方案（征求意见稿）</w:t>
      </w:r>
      <w:r>
        <w:rPr>
          <w:rFonts w:hint="default" w:ascii="宋体" w:hAnsi="宋体"/>
          <w:bCs/>
          <w:sz w:val="28"/>
          <w:szCs w:val="28"/>
          <w:lang w:val="en-US" w:eastAsia="zh-CN"/>
        </w:rPr>
        <w:t>》。《</w:t>
      </w:r>
      <w:r>
        <w:rPr>
          <w:rFonts w:hint="eastAsia" w:ascii="宋体" w:hAnsi="宋体"/>
          <w:bCs/>
          <w:sz w:val="28"/>
          <w:szCs w:val="28"/>
          <w:lang w:val="en-US" w:eastAsia="zh-CN"/>
        </w:rPr>
        <w:t>遂宁市城镇老旧小区改造实施方案（征求意见稿）</w:t>
      </w:r>
      <w:r>
        <w:rPr>
          <w:rFonts w:hint="default" w:ascii="宋体" w:hAnsi="宋体"/>
          <w:bCs/>
          <w:sz w:val="28"/>
          <w:szCs w:val="28"/>
          <w:lang w:val="en-US" w:eastAsia="zh-CN"/>
        </w:rPr>
        <w:t>实施方案》指出，</w:t>
      </w:r>
      <w:r>
        <w:rPr>
          <w:rFonts w:hint="eastAsia" w:ascii="宋体" w:hAnsi="宋体"/>
          <w:bCs/>
          <w:sz w:val="28"/>
          <w:szCs w:val="28"/>
          <w:lang w:val="en-US" w:eastAsia="zh-CN"/>
        </w:rPr>
        <w:t>坚持以习近平新时代中国特色社会主义思想为指导</w:t>
      </w:r>
      <w:r>
        <w:rPr>
          <w:rFonts w:hint="default" w:ascii="宋体" w:hAnsi="宋体"/>
          <w:bCs/>
          <w:sz w:val="28"/>
          <w:szCs w:val="28"/>
          <w:lang w:val="en-US" w:eastAsia="zh-CN"/>
        </w:rPr>
        <w:t>, 全面</w:t>
      </w:r>
      <w:r>
        <w:rPr>
          <w:rFonts w:hint="eastAsia" w:ascii="宋体" w:hAnsi="宋体"/>
          <w:bCs/>
          <w:sz w:val="28"/>
          <w:szCs w:val="28"/>
          <w:lang w:val="en-US" w:eastAsia="zh-CN"/>
        </w:rPr>
        <w:t>贯彻落实党的十九大和十九届二中、三中、四中全会精神，以及省委十一届六次全会和市委七届八次、九次全会精神，践行以人民为中心的发展思想，按照高质量发展要求，运用“美好环境与幸福生活共同缔造”的理念和方法</w:t>
      </w:r>
      <w:r>
        <w:rPr>
          <w:rFonts w:hint="default" w:ascii="宋体" w:hAnsi="宋体"/>
          <w:bCs/>
          <w:sz w:val="28"/>
          <w:szCs w:val="28"/>
          <w:lang w:val="en-US" w:eastAsia="zh-CN"/>
        </w:rPr>
        <w:t>,构建党建引领下居民小区治</w:t>
      </w:r>
      <w:r>
        <w:rPr>
          <w:rFonts w:hint="eastAsia" w:ascii="宋体" w:hAnsi="宋体"/>
          <w:bCs/>
          <w:sz w:val="28"/>
          <w:szCs w:val="28"/>
          <w:lang w:val="en-US" w:eastAsia="zh-CN"/>
        </w:rPr>
        <w:t>理机制，以城市更新为契机做好老旧小区改造，使老旧小区居民的居住条件和生活品质得到提升，让人民群众在城市生活得更方便、更舒心、更美好。</w:t>
      </w:r>
    </w:p>
    <w:p>
      <w:pPr>
        <w:widowControl/>
        <w:adjustRightInd w:val="0"/>
        <w:snapToGrid w:val="0"/>
        <w:spacing w:line="580" w:lineRule="exact"/>
        <w:ind w:firstLine="560" w:firstLineChars="200"/>
        <w:rPr>
          <w:rFonts w:hint="default" w:ascii="宋体" w:hAnsi="宋体"/>
          <w:bCs/>
          <w:sz w:val="28"/>
          <w:szCs w:val="28"/>
          <w:lang w:val="en-US" w:eastAsia="zh-CN"/>
        </w:rPr>
      </w:pPr>
      <w:bookmarkStart w:id="42" w:name="_Toc273210891"/>
      <w:r>
        <w:rPr>
          <w:rFonts w:hint="eastAsia" w:ascii="宋体" w:hAnsi="宋体"/>
          <w:bCs/>
          <w:sz w:val="28"/>
          <w:szCs w:val="28"/>
          <w:lang w:val="en-US" w:eastAsia="zh-CN"/>
        </w:rPr>
        <w:t>2）可以塑造城市形象，提升城市知名度</w:t>
      </w:r>
    </w:p>
    <w:p>
      <w:pPr>
        <w:widowControl/>
        <w:adjustRightInd w:val="0"/>
        <w:snapToGrid w:val="0"/>
        <w:spacing w:line="580" w:lineRule="exact"/>
        <w:ind w:firstLine="560" w:firstLineChars="200"/>
        <w:rPr>
          <w:rFonts w:hint="eastAsia" w:ascii="宋体" w:hAnsi="宋体"/>
          <w:bCs/>
          <w:sz w:val="28"/>
          <w:szCs w:val="28"/>
          <w:lang w:val="en-US" w:eastAsia="zh-CN"/>
        </w:rPr>
      </w:pPr>
      <w:r>
        <w:rPr>
          <w:rFonts w:hint="eastAsia" w:ascii="宋体" w:hAnsi="宋体"/>
          <w:bCs/>
          <w:sz w:val="28"/>
          <w:szCs w:val="28"/>
          <w:lang w:val="en-US" w:eastAsia="zh-CN"/>
        </w:rPr>
        <w:t>随着城市建设步伐的加快，环境优美、功能齐全、管理先进的新建住宅小区如雨后春笋般涌现出来，给居民们带来强大的视觉冲击和心理感受，已经成为城市建设和管理水平的重要窗口，相比之下一些老旧小区就显得黯然失色。</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eastAsia" w:ascii="宋体" w:hAnsi="宋体"/>
          <w:bCs/>
          <w:sz w:val="28"/>
          <w:szCs w:val="28"/>
          <w:lang w:val="en-US" w:eastAsia="zh-CN"/>
        </w:rPr>
        <w:t>通过老旧小区改造并实行规范管理，能够达到整洁干净、亮化美化的要求，较好地融入现代化城市格局，不仅增强了城市的吸引力和辐射力，实现了物业的保值增值，而且提升了展示城市形象。</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eastAsia" w:ascii="宋体" w:hAnsi="宋体"/>
          <w:bCs/>
          <w:sz w:val="28"/>
          <w:szCs w:val="28"/>
          <w:lang w:val="en-US" w:eastAsia="zh-CN"/>
        </w:rPr>
        <w:t>河东新区城市定位为文化旅游产业区、现代生态田园城。近年来，在区委、区政府的高度重视下，旧城更新改造工作持续</w:t>
      </w:r>
      <w:r>
        <w:rPr>
          <w:rFonts w:hint="default" w:ascii="宋体" w:hAnsi="宋体"/>
          <w:bCs/>
          <w:sz w:val="28"/>
          <w:szCs w:val="28"/>
          <w:lang w:val="en-US" w:eastAsia="zh-CN"/>
        </w:rPr>
        <w:t>进行</w:t>
      </w:r>
      <w:r>
        <w:rPr>
          <w:rFonts w:hint="eastAsia" w:ascii="宋体" w:hAnsi="宋体"/>
          <w:bCs/>
          <w:sz w:val="28"/>
          <w:szCs w:val="28"/>
          <w:lang w:val="en-US" w:eastAsia="zh-CN"/>
        </w:rPr>
        <w:t>。该项目建成后，将提升河东新区的</w:t>
      </w:r>
      <w:r>
        <w:rPr>
          <w:rFonts w:hint="default" w:ascii="宋体" w:hAnsi="宋体"/>
          <w:bCs/>
          <w:sz w:val="28"/>
          <w:szCs w:val="28"/>
          <w:lang w:val="en-US" w:eastAsia="zh-CN"/>
        </w:rPr>
        <w:t>城市形象</w:t>
      </w:r>
      <w:r>
        <w:rPr>
          <w:rFonts w:hint="eastAsia" w:ascii="宋体" w:hAnsi="宋体"/>
          <w:bCs/>
          <w:sz w:val="28"/>
          <w:szCs w:val="28"/>
          <w:lang w:val="en-US" w:eastAsia="zh-CN"/>
        </w:rPr>
        <w:t>，提升城市竞争力。</w:t>
      </w:r>
    </w:p>
    <w:bookmarkEnd w:id="42"/>
    <w:p>
      <w:pPr>
        <w:widowControl/>
        <w:adjustRightInd w:val="0"/>
        <w:snapToGrid w:val="0"/>
        <w:spacing w:line="580" w:lineRule="exact"/>
        <w:ind w:firstLine="560" w:firstLineChars="200"/>
        <w:rPr>
          <w:rFonts w:hint="default" w:ascii="宋体" w:hAnsi="宋体"/>
          <w:bCs/>
          <w:sz w:val="28"/>
          <w:szCs w:val="28"/>
          <w:lang w:val="en-US" w:eastAsia="zh-CN"/>
        </w:rPr>
      </w:pPr>
      <w:bookmarkStart w:id="43" w:name="_Toc298750142"/>
      <w:bookmarkStart w:id="44" w:name="_Toc274837648"/>
      <w:bookmarkStart w:id="45" w:name="_Toc298750464"/>
      <w:r>
        <w:rPr>
          <w:rFonts w:hint="eastAsia" w:ascii="宋体" w:hAnsi="宋体"/>
          <w:bCs/>
          <w:sz w:val="28"/>
          <w:szCs w:val="28"/>
          <w:lang w:val="en-US" w:eastAsia="zh-CN"/>
        </w:rPr>
        <w:t>3）可以改善河东新区老旧小区</w:t>
      </w:r>
      <w:r>
        <w:rPr>
          <w:rFonts w:hint="default" w:ascii="宋体" w:hAnsi="宋体"/>
          <w:bCs/>
          <w:sz w:val="28"/>
          <w:szCs w:val="28"/>
          <w:lang w:val="en-US" w:eastAsia="zh-CN"/>
        </w:rPr>
        <w:t>居民生活环境</w:t>
      </w:r>
      <w:bookmarkEnd w:id="43"/>
      <w:bookmarkEnd w:id="44"/>
      <w:bookmarkEnd w:id="45"/>
    </w:p>
    <w:p>
      <w:pPr>
        <w:widowControl/>
        <w:adjustRightInd w:val="0"/>
        <w:snapToGrid w:val="0"/>
        <w:spacing w:line="580" w:lineRule="exact"/>
        <w:ind w:firstLine="560" w:firstLineChars="200"/>
        <w:rPr>
          <w:rFonts w:hint="default" w:ascii="宋体" w:hAnsi="宋体"/>
          <w:bCs/>
          <w:sz w:val="28"/>
          <w:szCs w:val="28"/>
          <w:lang w:val="en-US" w:eastAsia="zh-CN"/>
        </w:rPr>
      </w:pPr>
      <w:r>
        <w:rPr>
          <w:rFonts w:hint="eastAsia" w:ascii="宋体" w:hAnsi="宋体"/>
          <w:bCs/>
          <w:sz w:val="28"/>
          <w:szCs w:val="28"/>
          <w:lang w:val="en-US" w:eastAsia="zh-CN"/>
        </w:rPr>
        <w:t>老旧小区大多建于上世纪,由于当时建筑工艺水平所限小区总体环境较差,加之年久失修,普遍存在楼院地面破损、地下管网老化,基础设施陈旧,停车位缺乏等问题,成为制约城市提升、街道发展和群众满意度的瓶颈因素。</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2020年</w:t>
      </w:r>
      <w:r>
        <w:rPr>
          <w:rFonts w:hint="eastAsia" w:ascii="宋体" w:hAnsi="宋体"/>
          <w:bCs/>
          <w:sz w:val="28"/>
          <w:szCs w:val="28"/>
          <w:lang w:val="en-US" w:eastAsia="zh-CN"/>
        </w:rPr>
        <w:t>，提出对河东新区</w:t>
      </w:r>
      <w:r>
        <w:rPr>
          <w:rFonts w:hint="default" w:ascii="宋体" w:hAnsi="宋体"/>
          <w:bCs/>
          <w:sz w:val="28"/>
          <w:szCs w:val="28"/>
          <w:lang w:val="en-US" w:eastAsia="zh-CN"/>
        </w:rPr>
        <w:t>7个</w:t>
      </w:r>
      <w:r>
        <w:rPr>
          <w:rFonts w:hint="eastAsia" w:ascii="宋体" w:hAnsi="宋体"/>
          <w:bCs/>
          <w:sz w:val="28"/>
          <w:szCs w:val="28"/>
          <w:lang w:val="en-US" w:eastAsia="zh-CN"/>
        </w:rPr>
        <w:t>老旧</w:t>
      </w:r>
      <w:r>
        <w:rPr>
          <w:rFonts w:hint="default" w:ascii="宋体" w:hAnsi="宋体"/>
          <w:bCs/>
          <w:sz w:val="28"/>
          <w:szCs w:val="28"/>
          <w:lang w:val="en-US" w:eastAsia="zh-CN"/>
        </w:rPr>
        <w:t>小区</w:t>
      </w:r>
      <w:r>
        <w:rPr>
          <w:rFonts w:hint="eastAsia" w:ascii="宋体" w:hAnsi="宋体"/>
          <w:bCs/>
          <w:sz w:val="28"/>
          <w:szCs w:val="28"/>
          <w:lang w:val="en-US" w:eastAsia="zh-CN"/>
        </w:rPr>
        <w:t>及</w:t>
      </w:r>
      <w:r>
        <w:rPr>
          <w:rFonts w:hint="default" w:ascii="宋体" w:hAnsi="宋体"/>
          <w:bCs/>
          <w:sz w:val="28"/>
          <w:szCs w:val="28"/>
          <w:lang w:val="en-US" w:eastAsia="zh-CN"/>
        </w:rPr>
        <w:t>周边基础设施</w:t>
      </w:r>
      <w:r>
        <w:rPr>
          <w:rFonts w:hint="eastAsia" w:ascii="宋体" w:hAnsi="宋体"/>
          <w:bCs/>
          <w:sz w:val="28"/>
          <w:szCs w:val="28"/>
          <w:lang w:val="en-US" w:eastAsia="zh-CN"/>
        </w:rPr>
        <w:t>进行</w:t>
      </w:r>
      <w:r>
        <w:rPr>
          <w:rFonts w:hint="default" w:ascii="宋体" w:hAnsi="宋体"/>
          <w:bCs/>
          <w:sz w:val="28"/>
          <w:szCs w:val="28"/>
          <w:lang w:val="en-US" w:eastAsia="zh-CN"/>
        </w:rPr>
        <w:t>改造</w:t>
      </w:r>
      <w:r>
        <w:rPr>
          <w:rFonts w:hint="eastAsia" w:ascii="宋体" w:hAnsi="宋体"/>
          <w:bCs/>
          <w:sz w:val="28"/>
          <w:szCs w:val="28"/>
          <w:lang w:val="en-US" w:eastAsia="zh-CN"/>
        </w:rPr>
        <w:t>升级。进行老旧小区改造后，这</w:t>
      </w:r>
      <w:r>
        <w:rPr>
          <w:rFonts w:hint="default" w:ascii="宋体" w:hAnsi="宋体"/>
          <w:bCs/>
          <w:sz w:val="28"/>
          <w:szCs w:val="28"/>
          <w:lang w:val="en-US" w:eastAsia="zh-CN"/>
        </w:rPr>
        <w:t>7</w:t>
      </w:r>
      <w:r>
        <w:rPr>
          <w:rFonts w:hint="eastAsia" w:ascii="宋体" w:hAnsi="宋体"/>
          <w:bCs/>
          <w:sz w:val="28"/>
          <w:szCs w:val="28"/>
          <w:lang w:val="en-US" w:eastAsia="zh-CN"/>
        </w:rPr>
        <w:t>个小区</w:t>
      </w:r>
      <w:r>
        <w:rPr>
          <w:rFonts w:hint="default" w:ascii="宋体" w:hAnsi="宋体"/>
          <w:bCs/>
          <w:sz w:val="28"/>
          <w:szCs w:val="28"/>
          <w:lang w:val="en-US" w:eastAsia="zh-CN"/>
        </w:rPr>
        <w:t>的</w:t>
      </w:r>
      <w:r>
        <w:rPr>
          <w:rFonts w:hint="eastAsia" w:ascii="宋体" w:hAnsi="宋体"/>
          <w:bCs/>
          <w:sz w:val="28"/>
          <w:szCs w:val="28"/>
          <w:lang w:val="en-US" w:eastAsia="zh-CN"/>
        </w:rPr>
        <w:t>整体环境将极大改善，居民的</w:t>
      </w:r>
      <w:r>
        <w:rPr>
          <w:rFonts w:hint="default" w:ascii="宋体" w:hAnsi="宋体"/>
          <w:bCs/>
          <w:sz w:val="28"/>
          <w:szCs w:val="28"/>
          <w:lang w:val="en-US" w:eastAsia="zh-CN"/>
        </w:rPr>
        <w:t>生活环境</w:t>
      </w:r>
      <w:r>
        <w:rPr>
          <w:rFonts w:hint="eastAsia" w:ascii="宋体" w:hAnsi="宋体"/>
          <w:bCs/>
          <w:sz w:val="28"/>
          <w:szCs w:val="28"/>
          <w:lang w:val="en-US" w:eastAsia="zh-CN"/>
        </w:rPr>
        <w:t>将会进一步改善，同时</w:t>
      </w:r>
      <w:r>
        <w:rPr>
          <w:rFonts w:hint="default" w:ascii="宋体" w:hAnsi="宋体"/>
          <w:bCs/>
          <w:sz w:val="28"/>
          <w:szCs w:val="28"/>
          <w:lang w:val="en-US" w:eastAsia="zh-CN"/>
        </w:rPr>
        <w:t>将提升</w:t>
      </w:r>
      <w:r>
        <w:rPr>
          <w:rFonts w:hint="eastAsia" w:ascii="宋体" w:hAnsi="宋体"/>
          <w:bCs/>
          <w:sz w:val="28"/>
          <w:szCs w:val="28"/>
          <w:lang w:val="en-US" w:eastAsia="zh-CN"/>
        </w:rPr>
        <w:t>居民</w:t>
      </w:r>
      <w:r>
        <w:rPr>
          <w:rFonts w:hint="default" w:ascii="宋体" w:hAnsi="宋体"/>
          <w:bCs/>
          <w:sz w:val="28"/>
          <w:szCs w:val="28"/>
          <w:lang w:val="en-US" w:eastAsia="zh-CN"/>
        </w:rPr>
        <w:t>的</w:t>
      </w:r>
      <w:r>
        <w:rPr>
          <w:rFonts w:hint="eastAsia" w:ascii="宋体" w:hAnsi="宋体"/>
          <w:bCs/>
          <w:sz w:val="28"/>
          <w:szCs w:val="28"/>
          <w:lang w:val="en-US" w:eastAsia="zh-CN"/>
        </w:rPr>
        <w:t>幸福</w:t>
      </w:r>
      <w:r>
        <w:rPr>
          <w:rFonts w:hint="default" w:ascii="宋体" w:hAnsi="宋体"/>
          <w:bCs/>
          <w:sz w:val="28"/>
          <w:szCs w:val="28"/>
          <w:lang w:val="en-US" w:eastAsia="zh-CN"/>
        </w:rPr>
        <w:t>感</w:t>
      </w:r>
      <w:r>
        <w:rPr>
          <w:rFonts w:hint="eastAsia" w:ascii="宋体" w:hAnsi="宋体"/>
          <w:bCs/>
          <w:sz w:val="28"/>
          <w:szCs w:val="28"/>
          <w:lang w:val="en-US" w:eastAsia="zh-CN"/>
        </w:rPr>
        <w:t>。</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eastAsia" w:ascii="宋体" w:hAnsi="宋体"/>
          <w:bCs/>
          <w:sz w:val="28"/>
          <w:szCs w:val="28"/>
          <w:lang w:val="en-US" w:eastAsia="zh-CN"/>
        </w:rPr>
        <w:t>因此，老旧小区改造具有重要的意义，势在必行。</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eastAsia" w:ascii="宋体" w:hAnsi="宋体"/>
          <w:bCs/>
          <w:sz w:val="28"/>
          <w:szCs w:val="28"/>
          <w:lang w:val="en-US" w:eastAsia="zh-CN"/>
        </w:rPr>
        <w:t>4）</w:t>
      </w:r>
      <w:r>
        <w:rPr>
          <w:rFonts w:hint="default" w:ascii="宋体" w:hAnsi="宋体"/>
          <w:bCs/>
          <w:sz w:val="28"/>
          <w:szCs w:val="28"/>
          <w:lang w:val="en-US" w:eastAsia="zh-CN"/>
        </w:rPr>
        <w:t>有利于完善市政基础设施和公共配套设施建设</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在</w:t>
      </w:r>
      <w:r>
        <w:rPr>
          <w:rFonts w:hint="eastAsia" w:ascii="宋体" w:hAnsi="宋体"/>
          <w:bCs/>
          <w:sz w:val="28"/>
          <w:szCs w:val="28"/>
          <w:lang w:val="en-US" w:eastAsia="zh-CN"/>
        </w:rPr>
        <w:t>河东新区</w:t>
      </w:r>
      <w:r>
        <w:rPr>
          <w:rFonts w:hint="default" w:ascii="宋体" w:hAnsi="宋体"/>
          <w:bCs/>
          <w:sz w:val="28"/>
          <w:szCs w:val="28"/>
          <w:lang w:val="en-US" w:eastAsia="zh-CN"/>
        </w:rPr>
        <w:t>范围内，本项目拟改造的这些</w:t>
      </w:r>
      <w:r>
        <w:rPr>
          <w:rFonts w:hint="eastAsia" w:ascii="宋体" w:hAnsi="宋体"/>
          <w:bCs/>
          <w:sz w:val="28"/>
          <w:szCs w:val="28"/>
          <w:lang w:val="en-US" w:eastAsia="zh-CN"/>
        </w:rPr>
        <w:t>老旧小区</w:t>
      </w:r>
      <w:r>
        <w:rPr>
          <w:rFonts w:hint="default" w:ascii="宋体" w:hAnsi="宋体"/>
          <w:bCs/>
          <w:sz w:val="28"/>
          <w:szCs w:val="28"/>
          <w:lang w:val="en-US" w:eastAsia="zh-CN"/>
        </w:rPr>
        <w:t>，往往是区域内城市基础设施和公共配套设施建设最为滞后的区域。而这些区域又往往是城市早起发展的地区，在城市地理结构上的重要作用与其相对滞后的基础设施建设水平不相符合。这种局面带来最突出的问题是造成区域内</w:t>
      </w:r>
      <w:r>
        <w:rPr>
          <w:rFonts w:hint="eastAsia" w:ascii="宋体" w:hAnsi="宋体"/>
          <w:bCs/>
          <w:sz w:val="28"/>
          <w:szCs w:val="28"/>
          <w:lang w:val="en-US" w:eastAsia="zh-CN"/>
        </w:rPr>
        <w:t>周边</w:t>
      </w:r>
      <w:r>
        <w:rPr>
          <w:rFonts w:hint="default" w:ascii="宋体" w:hAnsi="宋体"/>
          <w:bCs/>
          <w:sz w:val="28"/>
          <w:szCs w:val="28"/>
          <w:lang w:val="en-US" w:eastAsia="zh-CN"/>
        </w:rPr>
        <w:t>交通路</w:t>
      </w:r>
      <w:r>
        <w:rPr>
          <w:rFonts w:hint="eastAsia" w:ascii="宋体" w:hAnsi="宋体"/>
          <w:bCs/>
          <w:sz w:val="28"/>
          <w:szCs w:val="28"/>
          <w:lang w:val="en-US" w:eastAsia="zh-CN"/>
        </w:rPr>
        <w:t>面破损</w:t>
      </w:r>
      <w:r>
        <w:rPr>
          <w:rFonts w:hint="default" w:ascii="宋体" w:hAnsi="宋体"/>
          <w:bCs/>
          <w:sz w:val="28"/>
          <w:szCs w:val="28"/>
          <w:lang w:val="en-US" w:eastAsia="zh-CN"/>
        </w:rPr>
        <w:t>严重。由于</w:t>
      </w:r>
      <w:r>
        <w:rPr>
          <w:rFonts w:hint="eastAsia" w:ascii="宋体" w:hAnsi="宋体"/>
          <w:bCs/>
          <w:sz w:val="28"/>
          <w:szCs w:val="28"/>
          <w:lang w:val="en-US" w:eastAsia="zh-CN"/>
        </w:rPr>
        <w:t>老旧小</w:t>
      </w:r>
      <w:r>
        <w:rPr>
          <w:rFonts w:hint="default" w:ascii="宋体" w:hAnsi="宋体"/>
          <w:bCs/>
          <w:sz w:val="28"/>
          <w:szCs w:val="28"/>
          <w:lang w:val="en-US" w:eastAsia="zh-CN"/>
        </w:rPr>
        <w:t>区内建筑密度大，乱搭乱建现象严重，小商贩和流动菜农等也经常摆摊占用交通通道，使得这些地区往往成为区域内的交通节点，阻碍连接道路的运行通畅。另一方面，这些地区的地下管网系统年代久远，雨污水收集和输送能力都不能满足城市现实需求，日常过程中管道堵塞，污水横流的情况经常出现，遭遇大量降雨后，排水不及时，造成管网上游城市区域同样排水不畅，最终形成城市内涝。像这样因为这些区域基础设施建设滞后，房屋建设缺乏合理规划造成的负面影响还有很多，对城市发展影响很大。</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本次改造，在改善</w:t>
      </w:r>
      <w:r>
        <w:rPr>
          <w:rFonts w:hint="eastAsia" w:ascii="宋体" w:hAnsi="宋体"/>
          <w:bCs/>
          <w:sz w:val="28"/>
          <w:szCs w:val="28"/>
          <w:lang w:val="en-US" w:eastAsia="zh-CN"/>
        </w:rPr>
        <w:t>老旧小</w:t>
      </w:r>
      <w:r>
        <w:rPr>
          <w:rFonts w:hint="default" w:ascii="宋体" w:hAnsi="宋体"/>
          <w:bCs/>
          <w:sz w:val="28"/>
          <w:szCs w:val="28"/>
          <w:lang w:val="en-US" w:eastAsia="zh-CN"/>
        </w:rPr>
        <w:t>区居民住房条件的同时，将下大力气对这些区域的城市基础设施和公共配套设施进行整治，在改善居住环境的同时，梳理周边的交通，完善地下</w:t>
      </w:r>
      <w:r>
        <w:rPr>
          <w:rFonts w:hint="eastAsia" w:ascii="宋体" w:hAnsi="宋体"/>
          <w:bCs/>
          <w:sz w:val="28"/>
          <w:szCs w:val="28"/>
          <w:lang w:val="en-US" w:eastAsia="zh-CN"/>
        </w:rPr>
        <w:t>排水</w:t>
      </w:r>
      <w:r>
        <w:rPr>
          <w:rFonts w:hint="default" w:ascii="宋体" w:hAnsi="宋体"/>
          <w:bCs/>
          <w:sz w:val="28"/>
          <w:szCs w:val="28"/>
          <w:lang w:val="en-US" w:eastAsia="zh-CN"/>
        </w:rPr>
        <w:t>系统，消除排水节点，完善配套的公共服务设施。</w:t>
      </w:r>
    </w:p>
    <w:p>
      <w:pPr>
        <w:widowControl/>
        <w:adjustRightInd w:val="0"/>
        <w:snapToGrid w:val="0"/>
        <w:spacing w:line="580" w:lineRule="exact"/>
        <w:ind w:firstLine="560" w:firstLineChars="200"/>
        <w:rPr>
          <w:rFonts w:hint="default" w:ascii="宋体" w:hAnsi="宋体"/>
          <w:bCs/>
          <w:sz w:val="28"/>
          <w:szCs w:val="28"/>
          <w:lang w:val="en-US" w:eastAsia="zh-CN"/>
        </w:rPr>
      </w:pPr>
      <w:bookmarkStart w:id="46" w:name="_Toc49115210"/>
      <w:bookmarkStart w:id="47" w:name="_Toc22556"/>
      <w:bookmarkStart w:id="48" w:name="_Toc48245282"/>
      <w:bookmarkStart w:id="49" w:name="_Toc48244744"/>
      <w:bookmarkStart w:id="50" w:name="_Toc57214911"/>
      <w:bookmarkStart w:id="51" w:name="_Toc49115532"/>
      <w:bookmarkStart w:id="52" w:name="_Hlk48044135"/>
      <w:bookmarkStart w:id="53" w:name="_Toc56969126"/>
      <w:r>
        <w:rPr>
          <w:rFonts w:hint="eastAsia" w:ascii="宋体" w:hAnsi="宋体"/>
          <w:bCs/>
          <w:sz w:val="28"/>
          <w:szCs w:val="28"/>
          <w:lang w:val="en-US" w:eastAsia="zh-CN"/>
        </w:rPr>
        <w:t>5）</w:t>
      </w:r>
      <w:r>
        <w:rPr>
          <w:rFonts w:hint="default" w:ascii="宋体" w:hAnsi="宋体"/>
          <w:bCs/>
          <w:sz w:val="28"/>
          <w:szCs w:val="28"/>
          <w:lang w:val="en-US" w:eastAsia="zh-CN"/>
        </w:rPr>
        <w:t>项目建设是加快遂宁市</w:t>
      </w:r>
      <w:r>
        <w:rPr>
          <w:rFonts w:hint="eastAsia" w:ascii="宋体" w:hAnsi="宋体"/>
          <w:bCs/>
          <w:sz w:val="28"/>
          <w:szCs w:val="28"/>
          <w:lang w:val="en-US" w:eastAsia="zh-CN"/>
        </w:rPr>
        <w:t>河东新区</w:t>
      </w:r>
      <w:r>
        <w:rPr>
          <w:rFonts w:hint="default" w:ascii="宋体" w:hAnsi="宋体"/>
          <w:bCs/>
          <w:sz w:val="28"/>
          <w:szCs w:val="28"/>
          <w:lang w:val="en-US" w:eastAsia="zh-CN"/>
        </w:rPr>
        <w:t>经济发展，促进经济增长的需要</w:t>
      </w:r>
      <w:bookmarkEnd w:id="46"/>
      <w:bookmarkEnd w:id="47"/>
      <w:bookmarkEnd w:id="48"/>
      <w:bookmarkEnd w:id="49"/>
      <w:bookmarkEnd w:id="50"/>
      <w:bookmarkEnd w:id="51"/>
      <w:bookmarkEnd w:id="52"/>
      <w:bookmarkEnd w:id="53"/>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近年来，遂宁市</w:t>
      </w:r>
      <w:r>
        <w:rPr>
          <w:rFonts w:hint="eastAsia" w:ascii="宋体" w:hAnsi="宋体"/>
          <w:bCs/>
          <w:sz w:val="28"/>
          <w:szCs w:val="28"/>
          <w:lang w:val="en-US" w:eastAsia="zh-CN"/>
        </w:rPr>
        <w:t>河东新区</w:t>
      </w:r>
      <w:r>
        <w:rPr>
          <w:rFonts w:hint="default" w:ascii="宋体" w:hAnsi="宋体"/>
          <w:bCs/>
          <w:sz w:val="28"/>
          <w:szCs w:val="28"/>
          <w:lang w:val="en-US" w:eastAsia="zh-CN"/>
        </w:rPr>
        <w:t>大力发展城区基础设施建设，在发展房地产业和提高人民生活水平的同时，有力地拉动了遂宁市</w:t>
      </w:r>
      <w:r>
        <w:rPr>
          <w:rFonts w:hint="eastAsia" w:ascii="宋体" w:hAnsi="宋体"/>
          <w:bCs/>
          <w:sz w:val="28"/>
          <w:szCs w:val="28"/>
          <w:lang w:val="en-US" w:eastAsia="zh-CN"/>
        </w:rPr>
        <w:t>河东新区</w:t>
      </w:r>
      <w:r>
        <w:rPr>
          <w:rFonts w:hint="default" w:ascii="宋体" w:hAnsi="宋体"/>
          <w:bCs/>
          <w:sz w:val="28"/>
          <w:szCs w:val="28"/>
          <w:lang w:val="en-US" w:eastAsia="zh-CN"/>
        </w:rPr>
        <w:t>建筑业、建材业、交通运输业等相关产业的发展。城市面貌改变与配套设施建设，使城市土地成倍升值。本项目通过老旧小区彻底改造，建成一个布局合理配套齐全、人居环境优良的新社区，改善了经济结构，促进了社会经济和人文环境的和谐发展。</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项目的建设内容主要是</w:t>
      </w:r>
      <w:r>
        <w:rPr>
          <w:rFonts w:hint="eastAsia" w:ascii="宋体" w:hAnsi="宋体"/>
          <w:bCs/>
          <w:sz w:val="28"/>
          <w:szCs w:val="28"/>
          <w:lang w:val="en-US" w:eastAsia="zh-CN"/>
        </w:rPr>
        <w:t>对小康小区、罐子口移民小区、仁里古镇花园小区、仁里古镇农贸小区、仁里古镇移民小区、僧家苑老旧小区、科教园区移民小区，共计1086户进行改造，面积为16.41万㎡，建设内容为：配套道路黑化、人行道海绵化、地下雨污管网改造、交通标识、路灯、绿道等，同时对小区楼顶防水改造、外墙修缮美化、水电气线路改造、场地硬化、电动车集中停车充电桩、新建泊车位、外墙修缮、小区道路、楼顶漏水，路灯改造等。建设内容</w:t>
      </w:r>
      <w:r>
        <w:rPr>
          <w:rFonts w:hint="default" w:ascii="宋体" w:hAnsi="宋体"/>
          <w:bCs/>
          <w:sz w:val="28"/>
          <w:szCs w:val="28"/>
          <w:lang w:val="en-US" w:eastAsia="zh-CN"/>
        </w:rPr>
        <w:t>与实施单位职责以及工作内容密切相关。同时根据实施单位对本项目的资金安排，项目存在一定的债券资金需求。通过对项目的收入成本测算，项目自身收益能覆盖债券资金的还本付息，财务上存在可行性。</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综上所述，本项目的实施有利于遂宁市</w:t>
      </w:r>
      <w:r>
        <w:rPr>
          <w:rFonts w:hint="eastAsia" w:ascii="宋体" w:hAnsi="宋体"/>
          <w:bCs/>
          <w:sz w:val="28"/>
          <w:szCs w:val="28"/>
          <w:lang w:val="en-US" w:eastAsia="zh-CN"/>
        </w:rPr>
        <w:t>河东新区</w:t>
      </w:r>
      <w:r>
        <w:rPr>
          <w:rFonts w:hint="default" w:ascii="宋体" w:hAnsi="宋体"/>
          <w:bCs/>
          <w:sz w:val="28"/>
          <w:szCs w:val="28"/>
          <w:lang w:val="en-US" w:eastAsia="zh-CN"/>
        </w:rPr>
        <w:t>各个方面的稳步发展，符合遂宁市老旧小区改造规划，是落实党和国家政策的重要基础。项目的建设是贯彻落实党中央、国务院关于改善老旧小区的具体行动，是解决和改善人民群众最直接、最现实问题的重要举措，对于保持遂宁市</w:t>
      </w:r>
      <w:r>
        <w:rPr>
          <w:rFonts w:hint="eastAsia" w:ascii="宋体" w:hAnsi="宋体"/>
          <w:bCs/>
          <w:sz w:val="28"/>
          <w:szCs w:val="28"/>
          <w:lang w:val="en-US" w:eastAsia="zh-CN"/>
        </w:rPr>
        <w:t>河东新区</w:t>
      </w:r>
      <w:r>
        <w:rPr>
          <w:rFonts w:hint="default" w:ascii="宋体" w:hAnsi="宋体"/>
          <w:bCs/>
          <w:sz w:val="28"/>
          <w:szCs w:val="28"/>
          <w:lang w:val="en-US" w:eastAsia="zh-CN"/>
        </w:rPr>
        <w:t>经济持续发展、社会和谐稳定具有重要意义。同时根据实施单位对本项目的资金安排，项目存在一定的债券资金需求</w:t>
      </w:r>
      <w:r>
        <w:rPr>
          <w:rFonts w:hint="eastAsia" w:ascii="宋体" w:hAnsi="宋体"/>
          <w:bCs/>
          <w:sz w:val="28"/>
          <w:szCs w:val="28"/>
          <w:lang w:val="en-US" w:eastAsia="zh-CN"/>
        </w:rPr>
        <w:t>，</w:t>
      </w:r>
      <w:r>
        <w:rPr>
          <w:rFonts w:hint="default" w:ascii="宋体" w:hAnsi="宋体"/>
          <w:bCs/>
          <w:sz w:val="28"/>
          <w:szCs w:val="28"/>
          <w:lang w:val="en-US" w:eastAsia="zh-CN"/>
        </w:rPr>
        <w:t>通过对项目的收入成本测算，项目自身收益能覆盖债券资金的还本付息，财务上存在可行性</w:t>
      </w:r>
      <w:r>
        <w:rPr>
          <w:rFonts w:hint="eastAsia" w:ascii="宋体" w:hAnsi="宋体"/>
          <w:bCs/>
          <w:sz w:val="28"/>
          <w:szCs w:val="28"/>
          <w:lang w:val="en-US" w:eastAsia="zh-CN"/>
        </w:rPr>
        <w:t>。</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综上，本项目的实施非常必要。</w:t>
      </w:r>
    </w:p>
    <w:p>
      <w:pPr>
        <w:spacing w:line="560" w:lineRule="exact"/>
        <w:ind w:firstLine="562" w:firstLineChars="200"/>
        <w:outlineLvl w:val="0"/>
        <w:rPr>
          <w:rFonts w:hint="default" w:ascii="宋体" w:hAnsi="宋体"/>
          <w:b/>
          <w:sz w:val="28"/>
          <w:szCs w:val="28"/>
          <w:lang w:val="en-US" w:eastAsia="zh-CN"/>
        </w:rPr>
      </w:pPr>
      <w:r>
        <w:rPr>
          <w:rFonts w:hint="default" w:ascii="宋体" w:hAnsi="宋体"/>
          <w:b/>
          <w:sz w:val="28"/>
          <w:szCs w:val="28"/>
          <w:lang w:val="en-US" w:eastAsia="zh-CN"/>
        </w:rPr>
        <w:t>（</w:t>
      </w:r>
      <w:r>
        <w:rPr>
          <w:rFonts w:hint="eastAsia" w:ascii="宋体" w:hAnsi="宋体"/>
          <w:b/>
          <w:sz w:val="28"/>
          <w:szCs w:val="28"/>
          <w:lang w:val="en-US" w:eastAsia="zh-CN"/>
        </w:rPr>
        <w:t>四</w:t>
      </w:r>
      <w:r>
        <w:rPr>
          <w:rFonts w:hint="default" w:ascii="宋体" w:hAnsi="宋体"/>
          <w:b/>
          <w:sz w:val="28"/>
          <w:szCs w:val="28"/>
          <w:lang w:val="en-US" w:eastAsia="zh-CN"/>
        </w:rPr>
        <w:t>）项目可行性</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项目已经取得项目可行性研究报告批复、项目规划许可证</w:t>
      </w:r>
      <w:r>
        <w:rPr>
          <w:rFonts w:hint="eastAsia" w:ascii="宋体" w:hAnsi="宋体"/>
          <w:bCs/>
          <w:sz w:val="28"/>
          <w:szCs w:val="28"/>
          <w:lang w:val="en-US" w:eastAsia="zh-CN"/>
        </w:rPr>
        <w:t>、环评意见</w:t>
      </w:r>
      <w:r>
        <w:rPr>
          <w:rFonts w:hint="default" w:ascii="宋体" w:hAnsi="宋体"/>
          <w:bCs/>
          <w:sz w:val="28"/>
          <w:szCs w:val="28"/>
          <w:lang w:val="en-US" w:eastAsia="zh-CN"/>
        </w:rPr>
        <w:t>等前期合规性手续，并通过公开招投标签订施工合同。故项目立项依据充分，已完成项目立项且立项程序合规。同时项目建设存在资金需求，适合适度举债，且</w:t>
      </w:r>
      <w:r>
        <w:rPr>
          <w:rFonts w:hint="eastAsia" w:ascii="宋体" w:hAnsi="宋体"/>
          <w:bCs/>
          <w:sz w:val="28"/>
          <w:szCs w:val="28"/>
          <w:lang w:val="en-US" w:eastAsia="zh-CN"/>
        </w:rPr>
        <w:t>遂宁市河东新区</w:t>
      </w:r>
      <w:r>
        <w:rPr>
          <w:rFonts w:hint="default" w:ascii="宋体" w:hAnsi="宋体"/>
          <w:bCs/>
          <w:sz w:val="28"/>
          <w:szCs w:val="28"/>
          <w:lang w:val="en-US" w:eastAsia="zh-CN"/>
        </w:rPr>
        <w:t>不存在超限额举债的情况，举债需求与</w:t>
      </w:r>
      <w:r>
        <w:rPr>
          <w:rFonts w:hint="eastAsia" w:ascii="宋体" w:hAnsi="宋体"/>
          <w:bCs/>
          <w:sz w:val="28"/>
          <w:szCs w:val="28"/>
          <w:lang w:val="en-US" w:eastAsia="zh-CN"/>
        </w:rPr>
        <w:t>遂宁市河东新区</w:t>
      </w:r>
      <w:r>
        <w:rPr>
          <w:rFonts w:hint="default" w:ascii="宋体" w:hAnsi="宋体"/>
          <w:bCs/>
          <w:sz w:val="28"/>
          <w:szCs w:val="28"/>
          <w:lang w:val="en-US" w:eastAsia="zh-CN"/>
        </w:rPr>
        <w:t>举债能力相匹配。</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项目合规性手续如下：</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1）</w:t>
      </w:r>
      <w:r>
        <w:rPr>
          <w:rFonts w:hint="eastAsia" w:ascii="宋体" w:hAnsi="宋体"/>
          <w:bCs/>
          <w:sz w:val="28"/>
          <w:szCs w:val="28"/>
          <w:lang w:val="en-US" w:eastAsia="zh-CN"/>
        </w:rPr>
        <w:t>关于遂宁市河东新区老旧小区改造项目可行性研究报告（代项目建议书）的批复（遂东区发投﹝2020﹞075号）</w:t>
      </w:r>
      <w:r>
        <w:rPr>
          <w:rFonts w:hint="default" w:ascii="宋体" w:hAnsi="宋体"/>
          <w:bCs/>
          <w:sz w:val="28"/>
          <w:szCs w:val="28"/>
          <w:lang w:val="en-US" w:eastAsia="zh-CN"/>
        </w:rPr>
        <w:t>；</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2）</w:t>
      </w:r>
      <w:r>
        <w:rPr>
          <w:rFonts w:hint="eastAsia" w:ascii="宋体" w:hAnsi="宋体"/>
          <w:bCs/>
          <w:sz w:val="28"/>
          <w:szCs w:val="28"/>
          <w:lang w:val="en-US" w:eastAsia="zh-CN"/>
        </w:rPr>
        <w:t>关于遂宁市河东新区老旧小区改造项目环评意见</w:t>
      </w:r>
      <w:r>
        <w:rPr>
          <w:rFonts w:hint="default" w:ascii="宋体" w:hAnsi="宋体"/>
          <w:bCs/>
          <w:sz w:val="28"/>
          <w:szCs w:val="28"/>
          <w:lang w:val="en-US" w:eastAsia="zh-CN"/>
        </w:rPr>
        <w:t>；</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3）</w:t>
      </w:r>
      <w:r>
        <w:rPr>
          <w:rFonts w:hint="eastAsia" w:ascii="宋体" w:hAnsi="宋体"/>
          <w:bCs/>
          <w:sz w:val="28"/>
          <w:szCs w:val="28"/>
          <w:lang w:val="en-US" w:eastAsia="zh-CN"/>
        </w:rPr>
        <w:t>项目规划许可</w:t>
      </w:r>
      <w:r>
        <w:rPr>
          <w:rFonts w:hint="default" w:ascii="宋体" w:hAnsi="宋体"/>
          <w:bCs/>
          <w:sz w:val="28"/>
          <w:szCs w:val="28"/>
          <w:lang w:val="en-US" w:eastAsia="zh-CN"/>
        </w:rPr>
        <w:t>；</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4）</w:t>
      </w:r>
      <w:r>
        <w:rPr>
          <w:rFonts w:hint="eastAsia" w:ascii="宋体" w:hAnsi="宋体"/>
          <w:bCs/>
          <w:sz w:val="28"/>
          <w:szCs w:val="28"/>
          <w:lang w:val="en-US" w:eastAsia="zh-CN"/>
        </w:rPr>
        <w:t>关于遂宁市河东新区老旧小区改造项目用地预审及选址意见的函。</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综上，项目比较成熟，可行性较高。</w:t>
      </w:r>
    </w:p>
    <w:p>
      <w:pPr>
        <w:spacing w:line="560" w:lineRule="exact"/>
        <w:ind w:firstLine="562" w:firstLineChars="200"/>
        <w:outlineLvl w:val="0"/>
        <w:rPr>
          <w:rFonts w:hint="default" w:ascii="宋体" w:hAnsi="宋体"/>
          <w:b/>
          <w:sz w:val="28"/>
          <w:szCs w:val="28"/>
          <w:lang w:val="en-US" w:eastAsia="zh-CN"/>
        </w:rPr>
      </w:pPr>
      <w:r>
        <w:rPr>
          <w:rFonts w:hint="default" w:ascii="宋体" w:hAnsi="宋体"/>
          <w:b/>
          <w:sz w:val="28"/>
          <w:szCs w:val="28"/>
          <w:lang w:val="en-US" w:eastAsia="zh-CN"/>
        </w:rPr>
        <w:t>（</w:t>
      </w:r>
      <w:r>
        <w:rPr>
          <w:rFonts w:hint="eastAsia" w:ascii="宋体" w:hAnsi="宋体"/>
          <w:b/>
          <w:sz w:val="28"/>
          <w:szCs w:val="28"/>
          <w:lang w:val="en-US" w:eastAsia="zh-CN"/>
        </w:rPr>
        <w:t>五</w:t>
      </w:r>
      <w:r>
        <w:rPr>
          <w:rFonts w:hint="default" w:ascii="宋体" w:hAnsi="宋体"/>
          <w:b/>
          <w:sz w:val="28"/>
          <w:szCs w:val="28"/>
          <w:lang w:val="en-US" w:eastAsia="zh-CN"/>
        </w:rPr>
        <w:t>）项目公益性</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按照《财政部关于试点发展项目收益与融资自求平衡的地方政府专项债券品种的通知》（财预〔2017〕89号）、《财政部 发展改革委 人民银行 银监会关于贯彻国务院关于加强地方政府融资平台公司管理有关问题的通知相关事项的通知》（财预〔2010〕412号）有关要求，结合本地区实际情况，优先选择党中央、国务院和省委、省政府确定的重大战略领域及重点项目发行项目收益专项债券，重点考虑在重大区域发展以及乡村振兴、脱贫攻坚、生态环保、水电气热等公用事业、公立医院、公立学校、交通、水利、文化旅游、工业园区、市政基础设施等领域选择符合条件的新建、在建和改建项目。</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2019年9月4日，国务院常务会议提出扩大地方政府专项债券使用范围，重点用于铁路、轨道交通、城市停车场等交通基础设施，城乡电网、天然气管网和储气设施等能源项目，农林水利，城镇污水垃圾处理等生态环保项目，职业教育和托幼、医疗、养老等民生服务，冷链物流设施，水电气热等市政和产业园区基础设施。</w:t>
      </w:r>
      <w:r>
        <w:rPr>
          <w:rFonts w:hint="eastAsia" w:ascii="宋体" w:hAnsi="宋体"/>
          <w:bCs/>
          <w:sz w:val="28"/>
          <w:szCs w:val="28"/>
          <w:lang w:val="en-US" w:eastAsia="zh-CN"/>
        </w:rPr>
        <w:t>老旧小区改造也是近年来专项债主要支持的领域的方向。</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财政部关于报送2020年地方政府债券需求的通知》（财预〔2019〕212号）强调：专项债券必须用于有一定收益的重大项目，融资规模要保持与项目收益相平衡，生态环保类项目属于重点支持领域。项目不属于《财政部发展改革委关于印发&lt;地方政府专项债券资金投向领域禁止类项目清单&gt;的通知》（财预〔2021〕115号）</w:t>
      </w:r>
      <w:r>
        <w:rPr>
          <w:rFonts w:hint="eastAsia" w:ascii="宋体" w:hAnsi="宋体"/>
          <w:bCs/>
          <w:sz w:val="28"/>
          <w:szCs w:val="28"/>
          <w:lang w:val="en-US" w:eastAsia="zh-CN"/>
        </w:rPr>
        <w:t>规定的情形</w:t>
      </w:r>
      <w:r>
        <w:rPr>
          <w:rFonts w:hint="default" w:ascii="宋体" w:hAnsi="宋体"/>
          <w:bCs/>
          <w:sz w:val="28"/>
          <w:szCs w:val="28"/>
          <w:lang w:val="en-US" w:eastAsia="zh-CN"/>
        </w:rPr>
        <w:t>，</w:t>
      </w:r>
      <w:r>
        <w:rPr>
          <w:rFonts w:hint="eastAsia" w:ascii="宋体" w:hAnsi="宋体"/>
          <w:bCs/>
          <w:sz w:val="28"/>
          <w:szCs w:val="28"/>
          <w:lang w:val="en-US" w:eastAsia="zh-CN"/>
        </w:rPr>
        <w:t>符合专项债发行领域</w:t>
      </w:r>
      <w:r>
        <w:rPr>
          <w:rFonts w:hint="default" w:ascii="宋体" w:hAnsi="宋体"/>
          <w:bCs/>
          <w:sz w:val="28"/>
          <w:szCs w:val="28"/>
          <w:lang w:val="en-US" w:eastAsia="zh-CN"/>
        </w:rPr>
        <w:t>。</w:t>
      </w:r>
    </w:p>
    <w:p>
      <w:pPr>
        <w:widowControl/>
        <w:adjustRightInd w:val="0"/>
        <w:snapToGrid w:val="0"/>
        <w:spacing w:line="580" w:lineRule="exact"/>
        <w:ind w:firstLine="560" w:firstLineChars="200"/>
        <w:rPr>
          <w:rFonts w:hint="default" w:ascii="宋体" w:hAnsi="宋体"/>
          <w:bCs/>
          <w:sz w:val="28"/>
          <w:szCs w:val="28"/>
          <w:lang w:val="en-US" w:eastAsia="zh-CN"/>
        </w:rPr>
      </w:pPr>
      <w:r>
        <w:rPr>
          <w:rFonts w:hint="default" w:ascii="宋体" w:hAnsi="宋体"/>
          <w:bCs/>
          <w:sz w:val="28"/>
          <w:szCs w:val="28"/>
          <w:lang w:val="en-US" w:eastAsia="zh-CN"/>
        </w:rPr>
        <w:t>本项目属于</w:t>
      </w:r>
      <w:r>
        <w:rPr>
          <w:rFonts w:hint="eastAsia" w:ascii="宋体" w:hAnsi="宋体"/>
          <w:bCs/>
          <w:sz w:val="28"/>
          <w:szCs w:val="28"/>
          <w:lang w:val="en-US" w:eastAsia="zh-CN"/>
        </w:rPr>
        <w:t>老旧小区改造类</w:t>
      </w:r>
      <w:r>
        <w:rPr>
          <w:rFonts w:hint="default" w:ascii="宋体" w:hAnsi="宋体"/>
          <w:bCs/>
          <w:sz w:val="28"/>
          <w:szCs w:val="28"/>
          <w:lang w:val="en-US" w:eastAsia="zh-CN"/>
        </w:rPr>
        <w:t>项目，是</w:t>
      </w:r>
      <w:r>
        <w:rPr>
          <w:rFonts w:hint="eastAsia" w:ascii="宋体" w:hAnsi="宋体"/>
          <w:bCs/>
          <w:sz w:val="28"/>
          <w:szCs w:val="28"/>
          <w:lang w:val="en-US" w:eastAsia="zh-CN"/>
        </w:rPr>
        <w:t>四川省省级</w:t>
      </w:r>
      <w:r>
        <w:rPr>
          <w:rFonts w:hint="default" w:ascii="宋体" w:hAnsi="宋体"/>
          <w:bCs/>
          <w:sz w:val="28"/>
          <w:szCs w:val="28"/>
          <w:lang w:val="en-US" w:eastAsia="zh-CN"/>
        </w:rPr>
        <w:t>重点项目，本项目在财政部及四川省地方政府专项债项目重点支持范围之内，本项目为符合《地方政府专项债券发行管理暂行办法》、财政部发展改革委关于印发&lt;地方政府专项债券资金投向领域禁止类项目清单&gt;的通知》（财预〔2021〕115号）要求的项目，不属于专项债券负面清单，属于有一定收益的公益性项目。</w:t>
      </w:r>
    </w:p>
    <w:p>
      <w:pPr>
        <w:spacing w:line="560" w:lineRule="exact"/>
        <w:ind w:firstLine="562" w:firstLineChars="200"/>
        <w:outlineLvl w:val="0"/>
        <w:rPr>
          <w:rFonts w:ascii="宋体" w:hAnsi="宋体"/>
          <w:b/>
          <w:sz w:val="28"/>
          <w:szCs w:val="28"/>
        </w:rPr>
      </w:pPr>
      <w:bookmarkStart w:id="54" w:name="_Toc532070659"/>
      <w:bookmarkStart w:id="55" w:name="_Toc531545377"/>
      <w:r>
        <w:rPr>
          <w:rFonts w:ascii="宋体" w:hAnsi="宋体"/>
          <w:b/>
          <w:sz w:val="28"/>
          <w:szCs w:val="28"/>
        </w:rPr>
        <w:t>六、潜在影响项目的风险评估</w:t>
      </w:r>
      <w:bookmarkEnd w:id="54"/>
      <w:bookmarkEnd w:id="55"/>
    </w:p>
    <w:p>
      <w:pPr>
        <w:widowControl/>
        <w:adjustRightInd w:val="0"/>
        <w:snapToGrid w:val="0"/>
        <w:spacing w:line="580" w:lineRule="exact"/>
        <w:ind w:firstLine="560" w:firstLineChars="200"/>
        <w:rPr>
          <w:rFonts w:ascii="宋体" w:hAnsi="宋体"/>
          <w:bCs/>
          <w:sz w:val="28"/>
          <w:szCs w:val="28"/>
          <w:lang w:eastAsia="zh-CN"/>
        </w:rPr>
      </w:pPr>
      <w:r>
        <w:rPr>
          <w:rFonts w:ascii="宋体" w:hAnsi="宋体"/>
          <w:bCs/>
          <w:sz w:val="28"/>
          <w:szCs w:val="28"/>
          <w:lang w:eastAsia="zh-CN"/>
        </w:rPr>
        <w:t>项目可能存在施工、运营、投资测算不准确等影响项目收益或者融资平衡结果的风险等因素，通过实施机构采取合理可控的风险控制措施能够有效的规避、减轻相关风险的发生，经评估，项目风险可控。</w:t>
      </w:r>
    </w:p>
    <w:p>
      <w:pPr>
        <w:spacing w:line="560" w:lineRule="exact"/>
        <w:ind w:firstLine="562" w:firstLineChars="200"/>
        <w:outlineLvl w:val="0"/>
        <w:rPr>
          <w:rFonts w:ascii="宋体" w:hAnsi="宋体"/>
          <w:b/>
          <w:sz w:val="28"/>
          <w:szCs w:val="28"/>
        </w:rPr>
      </w:pPr>
      <w:bookmarkStart w:id="56" w:name="_Toc532070660"/>
      <w:bookmarkStart w:id="57" w:name="_Toc531349592"/>
      <w:bookmarkStart w:id="58" w:name="_Toc531545378"/>
      <w:bookmarkStart w:id="59" w:name="_Toc531335478"/>
      <w:r>
        <w:rPr>
          <w:rFonts w:ascii="宋体" w:hAnsi="宋体"/>
          <w:b/>
          <w:sz w:val="28"/>
          <w:szCs w:val="28"/>
        </w:rPr>
        <w:t>七、还款保障情况</w:t>
      </w:r>
      <w:bookmarkEnd w:id="56"/>
      <w:bookmarkEnd w:id="57"/>
      <w:bookmarkEnd w:id="58"/>
      <w:bookmarkEnd w:id="59"/>
    </w:p>
    <w:p>
      <w:pPr>
        <w:widowControl/>
        <w:adjustRightInd w:val="0"/>
        <w:snapToGrid w:val="0"/>
        <w:spacing w:line="580" w:lineRule="exact"/>
        <w:ind w:firstLine="560" w:firstLineChars="200"/>
        <w:rPr>
          <w:rFonts w:ascii="宋体" w:hAnsi="宋体"/>
          <w:bCs/>
          <w:sz w:val="28"/>
          <w:szCs w:val="28"/>
          <w:lang w:eastAsia="zh-CN"/>
        </w:rPr>
      </w:pPr>
      <w:r>
        <w:rPr>
          <w:rFonts w:ascii="宋体" w:hAnsi="宋体"/>
          <w:bCs/>
          <w:sz w:val="28"/>
          <w:szCs w:val="28"/>
          <w:lang w:eastAsia="zh-CN"/>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w:t>
      </w:r>
      <w:r>
        <w:rPr>
          <w:rFonts w:hint="eastAsia" w:ascii="宋体" w:hAnsi="宋体"/>
          <w:bCs/>
          <w:sz w:val="28"/>
          <w:szCs w:val="28"/>
          <w:lang w:eastAsia="zh-CN"/>
        </w:rPr>
        <w:t>，</w:t>
      </w:r>
      <w:r>
        <w:rPr>
          <w:rFonts w:ascii="宋体" w:hAnsi="宋体"/>
          <w:bCs/>
          <w:sz w:val="28"/>
          <w:szCs w:val="28"/>
          <w:lang w:eastAsia="zh-CN"/>
        </w:rPr>
        <w:t>省财政采取适当方式扣回。</w:t>
      </w:r>
    </w:p>
    <w:p>
      <w:pPr>
        <w:spacing w:line="560" w:lineRule="exact"/>
        <w:ind w:firstLine="562" w:firstLineChars="200"/>
        <w:outlineLvl w:val="0"/>
        <w:rPr>
          <w:rFonts w:ascii="宋体" w:hAnsi="宋体"/>
          <w:b/>
          <w:sz w:val="28"/>
          <w:szCs w:val="28"/>
        </w:rPr>
      </w:pPr>
      <w:r>
        <w:rPr>
          <w:rFonts w:hint="eastAsia" w:ascii="宋体" w:hAnsi="宋体"/>
          <w:b/>
          <w:sz w:val="28"/>
          <w:szCs w:val="28"/>
        </w:rPr>
        <w:t>八、主管部门</w:t>
      </w:r>
      <w:r>
        <w:rPr>
          <w:rFonts w:hint="eastAsia" w:ascii="宋体" w:hAnsi="宋体"/>
          <w:b/>
          <w:sz w:val="28"/>
          <w:szCs w:val="28"/>
          <w:lang w:eastAsia="zh-CN"/>
        </w:rPr>
        <w:t>和项目单位</w:t>
      </w:r>
      <w:r>
        <w:rPr>
          <w:rFonts w:hint="eastAsia" w:ascii="宋体" w:hAnsi="宋体"/>
          <w:b/>
          <w:sz w:val="28"/>
          <w:szCs w:val="28"/>
        </w:rPr>
        <w:t>责任</w:t>
      </w:r>
    </w:p>
    <w:p>
      <w:pPr>
        <w:widowControl/>
        <w:adjustRightInd w:val="0"/>
        <w:snapToGrid w:val="0"/>
        <w:spacing w:line="580" w:lineRule="exact"/>
        <w:ind w:firstLine="560" w:firstLineChars="200"/>
        <w:rPr>
          <w:rFonts w:ascii="宋体" w:hAnsi="宋体"/>
          <w:bCs/>
          <w:sz w:val="28"/>
          <w:szCs w:val="28"/>
          <w:lang w:eastAsia="zh-CN"/>
        </w:rPr>
      </w:pPr>
      <w:r>
        <w:rPr>
          <w:rFonts w:hint="eastAsia" w:ascii="宋体" w:hAnsi="宋体"/>
          <w:sz w:val="28"/>
          <w:szCs w:val="28"/>
          <w:lang w:eastAsia="zh-CN"/>
        </w:rPr>
        <w:t>遂宁市河东新区管理委员会</w:t>
      </w:r>
      <w:r>
        <w:rPr>
          <w:rFonts w:ascii="宋体" w:hAnsi="宋体"/>
          <w:bCs/>
          <w:sz w:val="28"/>
          <w:szCs w:val="28"/>
          <w:lang w:eastAsia="zh-CN"/>
        </w:rPr>
        <w:t>将规范项目资金的使用，加强项目的审计和监督，对项目实施过程中的违规、违纪、违法行为及时整改、处理，并追究有关责任人的责任。</w:t>
      </w:r>
      <w:r>
        <w:rPr>
          <w:rFonts w:hint="eastAsia" w:ascii="宋体" w:hAnsi="宋体"/>
          <w:bCs/>
          <w:sz w:val="28"/>
          <w:szCs w:val="28"/>
          <w:lang w:val="en-US" w:eastAsia="zh-CN"/>
        </w:rPr>
        <w:t>河东新区</w:t>
      </w:r>
      <w:r>
        <w:rPr>
          <w:rFonts w:ascii="宋体" w:hAnsi="宋体"/>
          <w:bCs/>
          <w:sz w:val="28"/>
          <w:szCs w:val="28"/>
          <w:lang w:eastAsia="zh-CN"/>
        </w:rPr>
        <w:t>财政局将会同</w:t>
      </w:r>
      <w:r>
        <w:rPr>
          <w:rFonts w:hint="eastAsia" w:ascii="宋体" w:hAnsi="宋体"/>
          <w:sz w:val="28"/>
          <w:szCs w:val="28"/>
          <w:lang w:eastAsia="zh-CN"/>
        </w:rPr>
        <w:t>遂宁市河东新区管理委员会</w:t>
      </w:r>
      <w:r>
        <w:rPr>
          <w:rFonts w:ascii="宋体" w:hAnsi="宋体"/>
          <w:bCs/>
          <w:sz w:val="28"/>
          <w:szCs w:val="28"/>
          <w:lang w:eastAsia="zh-CN"/>
        </w:rPr>
        <w:t>建立和完善相关制度，加强对本地区专项债券发行、使用、偿还的管理和监督工作。</w:t>
      </w:r>
    </w:p>
    <w:p>
      <w:pPr>
        <w:widowControl/>
        <w:adjustRightInd w:val="0"/>
        <w:snapToGrid w:val="0"/>
        <w:spacing w:line="580" w:lineRule="exact"/>
        <w:ind w:firstLine="560" w:firstLineChars="200"/>
        <w:rPr>
          <w:rFonts w:ascii="宋体" w:hAnsi="宋体"/>
          <w:bCs/>
          <w:sz w:val="28"/>
          <w:szCs w:val="28"/>
          <w:lang w:eastAsia="zh-CN"/>
        </w:rPr>
      </w:pPr>
      <w:r>
        <w:rPr>
          <w:rFonts w:hint="eastAsia" w:ascii="宋体" w:hAnsi="宋体"/>
          <w:bCs/>
          <w:sz w:val="28"/>
          <w:szCs w:val="28"/>
          <w:lang w:val="en-US" w:eastAsia="zh-CN"/>
        </w:rPr>
        <w:t>本项目项目单位为遂宁市新合建设投资有限公司，项目单位承担项目具体实施运营工作，保障项目资产在债券存续期内均能得到有效的使用和管理，发挥项目应有的公益性和经济性，按预期实现项目收益，保障专项债的还本付息。运营期资金实行统一管理，由财务单独立帐、核算，资金使用严格按计划进行，并接受上级有关部门的监督和检查。项目单位强化企业管理，创建现代化管理模式，从细节上规范、约束企业，使企业的管理体制逐步走上科学化的轨道，创造较好的企业效益和社会效益。从管理、技术、安全、生产等四个方面细化业务流程和标准，量化考核指标。通过推行精、准的规范和加强细、严的控制，运用科学管理方法和科技手段，全面推进项目规范化管理升级。项目单位认真分析有关单价变化的政策，不断挖掘项目自身的开发潜力，有效规避市场风险。抓好经营工作，实现互利共赢和取得良好的经济效益。项目单位做好记账、核算等基础工作，正确、及时、全面、真实地反映企业的经济活动，财产资金变化、成本费用开支和经营成果。通过建立和健全各种手续制度，如实反映资金活动的情况，按期进行财产清查，做到账账相符、账实相符。通过会计信息，不断改善经营管理，促进企业合理使用资金，降低费用水平，提高经济效益。</w:t>
      </w:r>
    </w:p>
    <w:p>
      <w:pPr>
        <w:spacing w:line="560" w:lineRule="exact"/>
        <w:ind w:firstLine="562" w:firstLineChars="200"/>
        <w:outlineLvl w:val="0"/>
        <w:rPr>
          <w:rFonts w:ascii="宋体" w:hAnsi="宋体"/>
          <w:b/>
          <w:sz w:val="28"/>
          <w:szCs w:val="28"/>
        </w:rPr>
      </w:pPr>
      <w:r>
        <w:rPr>
          <w:rFonts w:hint="eastAsia" w:ascii="宋体" w:hAnsi="宋体"/>
          <w:b/>
          <w:sz w:val="28"/>
          <w:szCs w:val="28"/>
        </w:rPr>
        <w:t>九、补充说明</w:t>
      </w:r>
    </w:p>
    <w:p>
      <w:pPr>
        <w:widowControl/>
        <w:adjustRightInd w:val="0"/>
        <w:snapToGrid w:val="0"/>
        <w:spacing w:line="580" w:lineRule="exact"/>
        <w:ind w:firstLine="560" w:firstLineChars="200"/>
        <w:rPr>
          <w:rFonts w:hint="eastAsia" w:ascii="宋体" w:hAnsi="宋体"/>
          <w:bCs/>
          <w:sz w:val="28"/>
          <w:szCs w:val="28"/>
          <w:lang w:val="en-US" w:eastAsia="zh-CN"/>
        </w:rPr>
      </w:pPr>
      <w:r>
        <w:rPr>
          <w:rFonts w:hint="eastAsia" w:ascii="宋体" w:hAnsi="宋体"/>
          <w:bCs/>
          <w:sz w:val="28"/>
          <w:szCs w:val="28"/>
          <w:lang w:val="en-US" w:eastAsia="zh-CN"/>
        </w:rPr>
        <w:t>此项目债券资金总需求4,000.00万元。根据原发行计划及额度安排, 此项目计划于2021年申请发行专项债2,500.00万元，2022年申请发行专项债券为1,500.00万元，因地方政府债务限额管理要求和项目实施进展情况等原因未发行。调整后本次拟发行2,000.00万元，期限15年，该项目实施内容及收益来源未发生变动，在不超过项目债券总需求情况下，债券跨年发行对项目整体融资平衡不构成实质影响。</w:t>
      </w:r>
    </w:p>
    <w:p>
      <w:pPr>
        <w:widowControl/>
        <w:adjustRightInd w:val="0"/>
        <w:snapToGrid w:val="0"/>
        <w:spacing w:line="580" w:lineRule="exact"/>
        <w:ind w:firstLine="560" w:firstLineChars="200"/>
        <w:rPr>
          <w:rFonts w:ascii="宋体" w:hAnsi="宋体"/>
          <w:bCs/>
          <w:sz w:val="28"/>
          <w:szCs w:val="28"/>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006EFC"/>
    <w:multiLevelType w:val="multilevel"/>
    <w:tmpl w:val="C4006EFC"/>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
    <w:nsid w:val="DE9F0478"/>
    <w:multiLevelType w:val="singleLevel"/>
    <w:tmpl w:val="DE9F0478"/>
    <w:lvl w:ilvl="0" w:tentative="0">
      <w:start w:val="1"/>
      <w:numFmt w:val="chineseCounting"/>
      <w:pStyle w:val="3"/>
      <w:suff w:val="nothing"/>
      <w:lvlText w:val="%1、"/>
      <w:lvlJc w:val="left"/>
      <w:pPr>
        <w:ind w:left="0" w:firstLine="397"/>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A82"/>
    <w:rsid w:val="00085A82"/>
    <w:rsid w:val="000D6987"/>
    <w:rsid w:val="00252EDA"/>
    <w:rsid w:val="002B7172"/>
    <w:rsid w:val="003C0F28"/>
    <w:rsid w:val="004134C8"/>
    <w:rsid w:val="004E4659"/>
    <w:rsid w:val="0056171F"/>
    <w:rsid w:val="006B49D0"/>
    <w:rsid w:val="00716770"/>
    <w:rsid w:val="00797C07"/>
    <w:rsid w:val="007D1E5F"/>
    <w:rsid w:val="00855111"/>
    <w:rsid w:val="00894A8C"/>
    <w:rsid w:val="009809AA"/>
    <w:rsid w:val="00A51D7E"/>
    <w:rsid w:val="00B54A14"/>
    <w:rsid w:val="00CA5B17"/>
    <w:rsid w:val="00DB41C8"/>
    <w:rsid w:val="00DF70A8"/>
    <w:rsid w:val="00E7570C"/>
    <w:rsid w:val="00E82E67"/>
    <w:rsid w:val="00F0736A"/>
    <w:rsid w:val="00F80BE9"/>
    <w:rsid w:val="03044080"/>
    <w:rsid w:val="0A39239F"/>
    <w:rsid w:val="0D0262E0"/>
    <w:rsid w:val="10F143F1"/>
    <w:rsid w:val="1BB92AA9"/>
    <w:rsid w:val="24C25D9C"/>
    <w:rsid w:val="2948585A"/>
    <w:rsid w:val="2D5875AE"/>
    <w:rsid w:val="43CE1E5F"/>
    <w:rsid w:val="447B296B"/>
    <w:rsid w:val="69FA1031"/>
    <w:rsid w:val="7D64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semiHidden/>
    <w:unhideWhenUsed/>
    <w:qFormat/>
    <w:uiPriority w:val="9"/>
    <w:pPr>
      <w:keepNext/>
      <w:keepLines/>
      <w:numPr>
        <w:ilvl w:val="0"/>
        <w:numId w:val="1"/>
      </w:numPr>
      <w:tabs>
        <w:tab w:val="left" w:pos="140"/>
      </w:tabs>
      <w:kinsoku w:val="0"/>
      <w:adjustRightInd w:val="0"/>
      <w:snapToGrid w:val="0"/>
      <w:spacing w:line="560" w:lineRule="exact"/>
      <w:ind w:left="0" w:firstLine="0" w:firstLineChars="0"/>
      <w:outlineLvl w:val="1"/>
    </w:pPr>
    <w:rPr>
      <w:rFonts w:ascii="Times New Roman" w:hAnsi="Times New Roman" w:eastAsia="楷体" w:cstheme="majorBidi"/>
      <w:b/>
      <w:bCs/>
      <w:szCs w:val="32"/>
    </w:rPr>
  </w:style>
  <w:style w:type="paragraph" w:styleId="4">
    <w:name w:val="heading 3"/>
    <w:basedOn w:val="1"/>
    <w:next w:val="1"/>
    <w:semiHidden/>
    <w:unhideWhenUsed/>
    <w:qFormat/>
    <w:uiPriority w:val="9"/>
    <w:pPr>
      <w:numPr>
        <w:ilvl w:val="2"/>
        <w:numId w:val="2"/>
      </w:numPr>
      <w:spacing w:line="360" w:lineRule="auto"/>
      <w:ind w:left="0" w:firstLine="0" w:firstLineChars="0"/>
      <w:outlineLvl w:val="2"/>
    </w:pPr>
    <w:rPr>
      <w:bCs/>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1"/>
    <w:semiHidden/>
    <w:unhideWhenUsed/>
    <w:qFormat/>
    <w:uiPriority w:val="99"/>
    <w:pPr>
      <w:tabs>
        <w:tab w:val="left" w:pos="140"/>
      </w:tabs>
      <w:spacing w:after="120"/>
      <w:ind w:firstLine="964"/>
    </w:pPr>
  </w:style>
  <w:style w:type="paragraph" w:styleId="5">
    <w:name w:val="annotation text"/>
    <w:basedOn w:val="1"/>
    <w:link w:val="23"/>
    <w:semiHidden/>
    <w:unhideWhenUsed/>
    <w:qFormat/>
    <w:uiPriority w:val="99"/>
    <w:pPr>
      <w:jc w:val="left"/>
    </w:pPr>
  </w:style>
  <w:style w:type="paragraph" w:styleId="6">
    <w:name w:val="Body Text"/>
    <w:basedOn w:val="1"/>
    <w:next w:val="7"/>
    <w:unhideWhenUsed/>
    <w:qFormat/>
    <w:uiPriority w:val="99"/>
    <w:pPr>
      <w:spacing w:before="100" w:beforeAutospacing="1" w:after="120"/>
    </w:pPr>
  </w:style>
  <w:style w:type="paragraph" w:styleId="7">
    <w:name w:val="toc 1"/>
    <w:basedOn w:val="1"/>
    <w:next w:val="1"/>
    <w:unhideWhenUsed/>
    <w:qFormat/>
    <w:uiPriority w:val="39"/>
    <w:pPr>
      <w:tabs>
        <w:tab w:val="right" w:leader="dot" w:pos="8296"/>
      </w:tabs>
      <w:jc w:val="center"/>
    </w:pPr>
    <w:rPr>
      <w:rFonts w:ascii="仿宋" w:hAnsi="仿宋" w:eastAsia="仿宋"/>
      <w:b/>
      <w:bCs/>
      <w:sz w:val="22"/>
      <w:szCs w:val="28"/>
    </w:rPr>
  </w:style>
  <w:style w:type="paragraph" w:styleId="8">
    <w:name w:val="Body Text Indent 2"/>
    <w:basedOn w:val="1"/>
    <w:qFormat/>
    <w:uiPriority w:val="0"/>
    <w:pPr>
      <w:spacing w:line="360" w:lineRule="auto"/>
      <w:ind w:firstLine="570"/>
    </w:pPr>
    <w:rPr>
      <w:rFonts w:ascii="宋体" w:hAnsi="宋体"/>
      <w:sz w:val="24"/>
      <w:szCs w:val="20"/>
    </w:rPr>
  </w:style>
  <w:style w:type="paragraph" w:styleId="9">
    <w:name w:val="Balloon Text"/>
    <w:basedOn w:val="1"/>
    <w:link w:val="25"/>
    <w:semiHidden/>
    <w:unhideWhenUsed/>
    <w:qFormat/>
    <w:uiPriority w:val="99"/>
    <w:rPr>
      <w:sz w:val="18"/>
      <w:szCs w:val="18"/>
    </w:rPr>
  </w:style>
  <w:style w:type="paragraph" w:styleId="10">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4"/>
    <w:semiHidden/>
    <w:unhideWhenUsed/>
    <w:qFormat/>
    <w:uiPriority w:val="99"/>
    <w:rPr>
      <w:b/>
      <w:bCs/>
    </w:rPr>
  </w:style>
  <w:style w:type="character" w:styleId="15">
    <w:name w:val="annotation reference"/>
    <w:basedOn w:val="14"/>
    <w:semiHidden/>
    <w:unhideWhenUsed/>
    <w:qFormat/>
    <w:uiPriority w:val="99"/>
    <w:rPr>
      <w:sz w:val="21"/>
      <w:szCs w:val="21"/>
    </w:rPr>
  </w:style>
  <w:style w:type="character" w:customStyle="1" w:styleId="16">
    <w:name w:val="页脚 字符1"/>
    <w:link w:val="10"/>
    <w:qFormat/>
    <w:uiPriority w:val="99"/>
    <w:rPr>
      <w:sz w:val="18"/>
      <w:szCs w:val="18"/>
    </w:rPr>
  </w:style>
  <w:style w:type="character" w:customStyle="1" w:styleId="17">
    <w:name w:val="页脚 字符"/>
    <w:basedOn w:val="14"/>
    <w:semiHidden/>
    <w:qFormat/>
    <w:uiPriority w:val="99"/>
    <w:rPr>
      <w:rFonts w:ascii="Times New Roman" w:hAnsi="Times New Roman" w:eastAsia="宋体" w:cs="Times New Roman"/>
      <w:sz w:val="18"/>
      <w:szCs w:val="18"/>
    </w:rPr>
  </w:style>
  <w:style w:type="paragraph" w:customStyle="1" w:styleId="18">
    <w:name w:val="图表标题"/>
    <w:basedOn w:val="1"/>
    <w:link w:val="19"/>
    <w:qFormat/>
    <w:uiPriority w:val="0"/>
    <w:pPr>
      <w:widowControl/>
      <w:adjustRightInd w:val="0"/>
      <w:snapToGrid w:val="0"/>
      <w:spacing w:before="150" w:after="150" w:line="560" w:lineRule="exact"/>
      <w:jc w:val="center"/>
    </w:pPr>
    <w:rPr>
      <w:rFonts w:ascii="仿宋" w:hAnsi="仿宋" w:eastAsia="仿宋"/>
      <w:b/>
      <w:bCs/>
      <w:sz w:val="28"/>
      <w:szCs w:val="28"/>
      <w:lang w:val="zh-CN" w:eastAsia="zh-CN"/>
    </w:rPr>
  </w:style>
  <w:style w:type="character" w:customStyle="1" w:styleId="19">
    <w:name w:val="图表标题 字符"/>
    <w:link w:val="18"/>
    <w:qFormat/>
    <w:uiPriority w:val="0"/>
    <w:rPr>
      <w:rFonts w:ascii="仿宋" w:hAnsi="仿宋" w:eastAsia="仿宋" w:cs="Times New Roman"/>
      <w:b/>
      <w:bCs/>
      <w:sz w:val="28"/>
      <w:szCs w:val="28"/>
      <w:lang w:val="zh-CN" w:eastAsia="zh-CN"/>
    </w:rPr>
  </w:style>
  <w:style w:type="character" w:customStyle="1" w:styleId="20">
    <w:name w:val="大纲正文 Char"/>
    <w:link w:val="21"/>
    <w:qFormat/>
    <w:uiPriority w:val="0"/>
    <w:rPr>
      <w:sz w:val="32"/>
    </w:rPr>
  </w:style>
  <w:style w:type="paragraph" w:customStyle="1" w:styleId="21">
    <w:name w:val="大纲正文"/>
    <w:basedOn w:val="1"/>
    <w:link w:val="20"/>
    <w:qFormat/>
    <w:uiPriority w:val="0"/>
    <w:pPr>
      <w:spacing w:before="156" w:beforeLines="50" w:after="156" w:afterLines="50" w:line="520" w:lineRule="exact"/>
      <w:ind w:firstLine="640" w:firstLineChars="200"/>
    </w:pPr>
    <w:rPr>
      <w:rFonts w:asciiTheme="minorHAnsi" w:hAnsiTheme="minorHAnsi" w:eastAsiaTheme="minorEastAsia" w:cstheme="minorBidi"/>
      <w:sz w:val="32"/>
    </w:rPr>
  </w:style>
  <w:style w:type="character" w:customStyle="1" w:styleId="22">
    <w:name w:val="页眉 字符"/>
    <w:basedOn w:val="14"/>
    <w:link w:val="11"/>
    <w:qFormat/>
    <w:uiPriority w:val="99"/>
    <w:rPr>
      <w:rFonts w:ascii="Times New Roman" w:hAnsi="Times New Roman" w:eastAsia="宋体" w:cs="Times New Roman"/>
      <w:sz w:val="18"/>
      <w:szCs w:val="18"/>
    </w:rPr>
  </w:style>
  <w:style w:type="character" w:customStyle="1" w:styleId="23">
    <w:name w:val="批注文字 字符"/>
    <w:basedOn w:val="14"/>
    <w:link w:val="5"/>
    <w:semiHidden/>
    <w:qFormat/>
    <w:uiPriority w:val="99"/>
    <w:rPr>
      <w:rFonts w:ascii="Times New Roman" w:hAnsi="Times New Roman" w:eastAsia="宋体" w:cs="Times New Roman"/>
    </w:rPr>
  </w:style>
  <w:style w:type="character" w:customStyle="1" w:styleId="24">
    <w:name w:val="批注主题 字符"/>
    <w:basedOn w:val="23"/>
    <w:link w:val="12"/>
    <w:semiHidden/>
    <w:qFormat/>
    <w:uiPriority w:val="99"/>
    <w:rPr>
      <w:rFonts w:ascii="Times New Roman" w:hAnsi="Times New Roman" w:eastAsia="宋体" w:cs="Times New Roman"/>
      <w:b/>
      <w:bCs/>
    </w:rPr>
  </w:style>
  <w:style w:type="character" w:customStyle="1" w:styleId="25">
    <w:name w:val="批注框文本 字符"/>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703</Words>
  <Characters>4011</Characters>
  <Lines>33</Lines>
  <Paragraphs>9</Paragraphs>
  <TotalTime>6</TotalTime>
  <ScaleCrop>false</ScaleCrop>
  <LinksUpToDate>false</LinksUpToDate>
  <CharactersWithSpaces>4705</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2018-12-23T08:04:00Z</dcterms:created>
  <dc:creator>Cui</dc:creator>
  <cp:lastModifiedBy>李小俊</cp:lastModifiedBy>
  <cp:lastPrinted>2022-01-28T06:37:36Z</cp:lastPrinted>
  <dcterms:modified xsi:type="dcterms:W3CDTF">2022-01-28T06:40:06Z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080754BF0E064AA1A1EC9DCE755A9F4D</vt:lpwstr>
  </property>
</Properties>
</file>