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color w:val="auto"/>
          <w:sz w:val="36"/>
          <w:szCs w:val="36"/>
          <w:lang w:val="en-US" w:eastAsia="zh-CN"/>
        </w:rPr>
      </w:pPr>
      <w:r>
        <w:rPr>
          <w:rFonts w:hint="eastAsia" w:ascii="黑体" w:hAnsi="黑体" w:eastAsia="黑体" w:cs="黑体"/>
          <w:b w:val="0"/>
          <w:bCs w:val="0"/>
          <w:color w:val="auto"/>
          <w:sz w:val="36"/>
          <w:szCs w:val="36"/>
          <w:lang w:val="en-US" w:eastAsia="zh-CN"/>
        </w:rPr>
        <w:t>遂宁经济技术开发区南片区老旧小区配套基础设施建设项目情况</w:t>
      </w:r>
    </w:p>
    <w:p>
      <w:pPr>
        <w:pageBreakBefore w:val="0"/>
        <w:numPr>
          <w:ilvl w:val="0"/>
          <w:numId w:val="1"/>
        </w:numPr>
        <w:kinsoku/>
        <w:wordWrap/>
        <w:overflowPunct/>
        <w:topLinePunct w:val="0"/>
        <w:autoSpaceDE/>
        <w:autoSpaceDN/>
        <w:bidi w:val="0"/>
        <w:adjustRightInd/>
        <w:snapToGrid/>
        <w:spacing w:beforeAutospacing="0" w:line="360" w:lineRule="auto"/>
        <w:ind w:left="0" w:leftChars="0" w:right="0" w:rightChars="0" w:firstLine="643" w:firstLineChars="200"/>
        <w:jc w:val="both"/>
        <w:outlineLvl w:val="0"/>
        <w:rPr>
          <w:rFonts w:hint="eastAsia" w:ascii="仿宋" w:hAnsi="仿宋" w:eastAsia="仿宋"/>
          <w:b/>
          <w:bCs/>
          <w:color w:val="auto"/>
          <w:sz w:val="32"/>
          <w:szCs w:val="32"/>
        </w:rPr>
      </w:pPr>
      <w:bookmarkStart w:id="0" w:name="_Toc9880"/>
      <w:bookmarkStart w:id="1" w:name="_Toc28110"/>
      <w:r>
        <w:rPr>
          <w:rFonts w:hint="eastAsia" w:ascii="仿宋" w:hAnsi="仿宋" w:eastAsia="仿宋"/>
          <w:b/>
          <w:bCs/>
          <w:color w:val="auto"/>
          <w:sz w:val="32"/>
          <w:szCs w:val="32"/>
        </w:rPr>
        <w:t>项目基本情况</w:t>
      </w:r>
      <w:bookmarkEnd w:id="0"/>
      <w:bookmarkEnd w:id="1"/>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lang w:val="en-US"/>
        </w:rPr>
      </w:pPr>
      <w:bookmarkStart w:id="2" w:name="_Toc498385045"/>
      <w:bookmarkStart w:id="3" w:name="_Toc498385714"/>
      <w:bookmarkStart w:id="4" w:name="_Toc29907"/>
      <w:bookmarkStart w:id="5" w:name="_Toc29323"/>
      <w:r>
        <w:rPr>
          <w:rFonts w:hint="eastAsia" w:ascii="仿宋" w:hAnsi="仿宋" w:eastAsia="仿宋"/>
          <w:b/>
          <w:bCs/>
          <w:color w:val="auto"/>
          <w:sz w:val="32"/>
          <w:szCs w:val="32"/>
          <w:lang w:val="en-US"/>
        </w:rPr>
        <w:t>（一）</w:t>
      </w:r>
      <w:bookmarkEnd w:id="2"/>
      <w:bookmarkEnd w:id="3"/>
      <w:r>
        <w:rPr>
          <w:rFonts w:hint="eastAsia" w:ascii="仿宋" w:hAnsi="仿宋" w:eastAsia="仿宋"/>
          <w:b/>
          <w:bCs/>
          <w:color w:val="auto"/>
          <w:sz w:val="32"/>
          <w:szCs w:val="32"/>
          <w:lang w:val="en-US"/>
        </w:rPr>
        <w:t>市县及级行业专项规划概况</w:t>
      </w:r>
      <w:bookmarkEnd w:id="4"/>
      <w:bookmarkEnd w:id="5"/>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 w:hAnsi="仿宋" w:eastAsia="仿宋" w:cs="仿宋"/>
          <w:color w:val="auto"/>
          <w:kern w:val="0"/>
          <w:sz w:val="32"/>
          <w:szCs w:val="32"/>
          <w:lang w:val="en-US" w:eastAsia="zh-CN" w:bidi="ar"/>
        </w:rPr>
      </w:pPr>
      <w:bookmarkStart w:id="6" w:name="_Toc9205"/>
      <w:bookmarkStart w:id="7" w:name="_Toc14591"/>
      <w:r>
        <w:rPr>
          <w:rFonts w:hint="eastAsia" w:ascii="仿宋" w:hAnsi="仿宋" w:eastAsia="仿宋" w:cs="仿宋"/>
          <w:color w:val="auto"/>
          <w:kern w:val="0"/>
          <w:sz w:val="32"/>
          <w:szCs w:val="32"/>
          <w:lang w:val="en-US" w:eastAsia="zh-CN" w:bidi="ar"/>
        </w:rPr>
        <w:t>遂宁市位于四川盆地中部腹心，涪江中游，地处成都和重庆两座特大城市的中心节点，介于东经105°03′-106°59′，北纬30°10′-31°10′之间。东西宽90.3公里，南北长108.9公里，城区平坦，东邻重庆、广安、南充，西连成都，南接内江、资阳，北靠德阳、绵气候。遂宁市地处亚洲季风区，属四川盆地亚热带湿润季风气候。气候温和，雨量充沛，四季分明，季风气候显著。冬暖春早，无霜期长。夏季炎热，雨热同季为大春作物提供了较为充足的光、热、水条件，但旱涝交错。秋多绵雨，冬多云雾，日照较少，湿度较大。无霜期长达283~300天。涪江河谷与丘陵山地的气候差异较为明显。</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2020年7月20日，国务院办公厅印发《关于全面推进城镇老旧小区改造工作的指导意见》（国办发〔2020〕23号，以下简称《指导意见》），对全国城镇老旧小区改造工作进行了总体部署，坚持以人民为中心的发展思想，坚持新发展理念，按照高质量发展要求，大力改造提升城镇老旧小区，改善居民居住条件，推动构建“纵向到底、横向到边、共建共治共享”的社区治理体系，让人民群众生活更方便、更舒心、更美好。</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四川省人民政府办公厅《关于全面推进城镇老旧小区改造工作的实施意见》（川办发〔2020〕63号）提出：“2020年全省新开工改造城镇老旧小区4193个，涉及居民近46.2万户，开展40个省级试点示范；到2022年，全省基本形成城镇老旧小区改造的制度框架、政策体系和工作机制；到“十四五”期末，力争基本完成我省2000年底前建成的需改造城镇老旧小区改造任务。”</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遂宁市国民经济和社会发展第十三个五年规划纲要》提出：调优城市结构，统筹新老城区发展。按照“产城一体”理念，建设集约高效、品味高雅、活力迸发、宜居宜业、文明和谐的现代化新区。推进城镇低效用地再开发，加大旧城改造力度，提升老城区发展品质，增强城市产业集聚、人口承载和辐射带动能力。提高城市治理能力，着力解决城市病等突出问题，不断提升城市环境质量、人民生活质量、城市竞争力。改善城镇防洪、排涝、人防、消防、抗震减灾等城镇防灾设施，以及供排水、供气、电力、废弃物处理、充电电桩等市政基础设施。</w:t>
      </w: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lang w:val="en-US"/>
        </w:rPr>
      </w:pPr>
      <w:r>
        <w:rPr>
          <w:rFonts w:hint="eastAsia" w:ascii="仿宋" w:hAnsi="仿宋" w:eastAsia="仿宋"/>
          <w:b/>
          <w:bCs/>
          <w:color w:val="auto"/>
          <w:sz w:val="32"/>
          <w:szCs w:val="32"/>
          <w:lang w:val="en-US"/>
        </w:rPr>
        <w:t>（二）项目情况</w:t>
      </w:r>
      <w:bookmarkEnd w:id="6"/>
      <w:bookmarkEnd w:id="7"/>
    </w:p>
    <w:p>
      <w:pPr>
        <w:keepNext w:val="0"/>
        <w:keepLines w:val="0"/>
        <w:pageBreakBefore w:val="0"/>
        <w:widowControl w:val="0"/>
        <w:kinsoku/>
        <w:wordWrap/>
        <w:overflowPunct/>
        <w:topLinePunct w:val="0"/>
        <w:autoSpaceDE/>
        <w:autoSpaceDN/>
        <w:bidi w:val="0"/>
        <w:adjustRightInd/>
        <w:snapToGrid w:val="0"/>
        <w:spacing w:beforeAutospacing="0" w:line="360" w:lineRule="auto"/>
        <w:ind w:left="0" w:leftChars="0" w:right="0" w:rightChars="0" w:firstLine="643" w:firstLineChars="200"/>
        <w:textAlignment w:val="auto"/>
        <w:rPr>
          <w:rFonts w:hint="eastAsia" w:ascii="仿宋" w:hAnsi="仿宋" w:eastAsia="仿宋" w:cs="仿宋"/>
          <w:b/>
          <w:bCs/>
          <w:sz w:val="32"/>
          <w:szCs w:val="32"/>
        </w:rPr>
      </w:pPr>
      <w:bookmarkStart w:id="8" w:name="_Toc533440320"/>
      <w:bookmarkStart w:id="9" w:name="_Toc522211063"/>
      <w:bookmarkStart w:id="10" w:name="_Toc476"/>
      <w:bookmarkStart w:id="11" w:name="_Toc523481532"/>
      <w:bookmarkStart w:id="12" w:name="_Toc1720129"/>
      <w:bookmarkStart w:id="13" w:name="_Toc30423"/>
      <w:r>
        <w:rPr>
          <w:rFonts w:hint="eastAsia" w:ascii="仿宋" w:hAnsi="仿宋" w:eastAsia="仿宋" w:cs="仿宋"/>
          <w:b/>
          <w:bCs/>
          <w:sz w:val="32"/>
          <w:szCs w:val="32"/>
        </w:rPr>
        <w:t>1.参与主体</w:t>
      </w:r>
      <w:bookmarkEnd w:id="8"/>
      <w:bookmarkEnd w:id="9"/>
      <w:bookmarkEnd w:id="10"/>
      <w:bookmarkEnd w:id="11"/>
      <w:bookmarkEnd w:id="12"/>
      <w:bookmarkEnd w:id="13"/>
    </w:p>
    <w:p>
      <w:pPr>
        <w:keepNext w:val="0"/>
        <w:keepLines w:val="0"/>
        <w:pageBreakBefore w:val="0"/>
        <w:widowControl w:val="0"/>
        <w:kinsoku/>
        <w:wordWrap/>
        <w:overflowPunct/>
        <w:topLinePunct w:val="0"/>
        <w:autoSpaceDE/>
        <w:autoSpaceDN/>
        <w:bidi w:val="0"/>
        <w:adjustRightInd/>
        <w:snapToGrid w:val="0"/>
        <w:spacing w:line="360" w:lineRule="auto"/>
        <w:ind w:firstLine="643" w:firstLineChars="200"/>
        <w:textAlignment w:val="auto"/>
        <w:rPr>
          <w:rFonts w:hint="eastAsia" w:ascii="仿宋" w:hAnsi="仿宋" w:eastAsia="仿宋"/>
          <w:color w:val="auto"/>
          <w:sz w:val="32"/>
          <w:szCs w:val="32"/>
          <w:lang w:val="en-US" w:eastAsia="zh-CN"/>
        </w:rPr>
      </w:pPr>
      <w:r>
        <w:rPr>
          <w:rFonts w:hint="eastAsia" w:ascii="仿宋" w:hAnsi="仿宋" w:eastAsia="仿宋"/>
          <w:b/>
          <w:color w:val="auto"/>
          <w:sz w:val="32"/>
          <w:szCs w:val="32"/>
        </w:rPr>
        <w:t>实施机构:</w:t>
      </w:r>
      <w:r>
        <w:rPr>
          <w:rFonts w:hint="eastAsia" w:ascii="仿宋" w:hAnsi="仿宋" w:eastAsia="仿宋"/>
          <w:color w:val="auto"/>
          <w:sz w:val="32"/>
          <w:szCs w:val="32"/>
          <w:lang w:val="en-US" w:eastAsia="zh-CN"/>
        </w:rPr>
        <w:t>遂宁经济技术开发区建设与交通运输局</w:t>
      </w:r>
    </w:p>
    <w:p>
      <w:pPr>
        <w:keepNext w:val="0"/>
        <w:keepLines w:val="0"/>
        <w:pageBreakBefore w:val="0"/>
        <w:widowControl w:val="0"/>
        <w:kinsoku/>
        <w:wordWrap/>
        <w:overflowPunct/>
        <w:topLinePunct w:val="0"/>
        <w:autoSpaceDE/>
        <w:autoSpaceDN/>
        <w:bidi w:val="0"/>
        <w:adjustRightInd/>
        <w:snapToGrid w:val="0"/>
        <w:spacing w:line="360" w:lineRule="auto"/>
        <w:ind w:firstLine="643" w:firstLineChars="200"/>
        <w:textAlignment w:val="auto"/>
        <w:rPr>
          <w:rFonts w:hint="eastAsia" w:ascii="仿宋" w:hAnsi="仿宋" w:eastAsia="仿宋"/>
          <w:color w:val="auto"/>
          <w:sz w:val="32"/>
          <w:szCs w:val="32"/>
          <w:lang w:val="en-US" w:eastAsia="zh-CN"/>
        </w:rPr>
      </w:pPr>
      <w:r>
        <w:rPr>
          <w:rFonts w:hint="eastAsia" w:ascii="仿宋" w:hAnsi="仿宋" w:eastAsia="仿宋"/>
          <w:b/>
          <w:color w:val="auto"/>
          <w:sz w:val="32"/>
          <w:szCs w:val="32"/>
        </w:rPr>
        <w:t>项目业主</w:t>
      </w:r>
      <w:r>
        <w:rPr>
          <w:rFonts w:hint="eastAsia" w:ascii="仿宋" w:hAnsi="仿宋" w:eastAsia="仿宋"/>
          <w:color w:val="auto"/>
          <w:sz w:val="32"/>
          <w:szCs w:val="32"/>
        </w:rPr>
        <w:t>：</w:t>
      </w:r>
      <w:r>
        <w:rPr>
          <w:rFonts w:hint="default" w:ascii="仿宋" w:hAnsi="仿宋" w:eastAsia="仿宋"/>
          <w:color w:val="auto"/>
          <w:sz w:val="32"/>
          <w:szCs w:val="32"/>
          <w:lang w:val="en-US" w:eastAsia="zh-CN"/>
        </w:rPr>
        <w:t>遂宁市富源实业有限公司</w:t>
      </w:r>
    </w:p>
    <w:p>
      <w:pPr>
        <w:keepNext w:val="0"/>
        <w:keepLines w:val="0"/>
        <w:pageBreakBefore w:val="0"/>
        <w:widowControl w:val="0"/>
        <w:kinsoku/>
        <w:wordWrap/>
        <w:overflowPunct/>
        <w:topLinePunct w:val="0"/>
        <w:autoSpaceDE/>
        <w:autoSpaceDN/>
        <w:bidi w:val="0"/>
        <w:adjustRightInd/>
        <w:snapToGrid w:val="0"/>
        <w:spacing w:beforeAutospacing="0" w:line="360" w:lineRule="auto"/>
        <w:ind w:left="0" w:leftChars="0" w:right="0" w:rightChars="0" w:firstLine="643" w:firstLineChars="200"/>
        <w:textAlignment w:val="auto"/>
        <w:rPr>
          <w:rFonts w:hint="eastAsia" w:ascii="仿宋" w:hAnsi="仿宋" w:eastAsia="仿宋" w:cs="仿宋"/>
          <w:b/>
          <w:bCs/>
          <w:sz w:val="32"/>
          <w:szCs w:val="32"/>
          <w:lang w:val="en-US" w:eastAsia="zh-CN"/>
        </w:rPr>
      </w:pPr>
      <w:bookmarkStart w:id="14" w:name="_Toc1720130"/>
      <w:bookmarkStart w:id="15" w:name="_Toc22662"/>
      <w:bookmarkStart w:id="16" w:name="_Toc533440321"/>
      <w:bookmarkStart w:id="17" w:name="_Toc522211064"/>
      <w:bookmarkStart w:id="18" w:name="_Toc12405"/>
      <w:bookmarkStart w:id="19" w:name="_Toc523481533"/>
      <w:r>
        <w:rPr>
          <w:rFonts w:hint="eastAsia" w:ascii="仿宋" w:hAnsi="仿宋" w:eastAsia="仿宋" w:cs="仿宋"/>
          <w:b/>
          <w:bCs/>
          <w:sz w:val="32"/>
          <w:szCs w:val="32"/>
        </w:rPr>
        <w:t>2.项目概况</w:t>
      </w:r>
      <w:bookmarkEnd w:id="14"/>
      <w:bookmarkEnd w:id="15"/>
      <w:bookmarkEnd w:id="16"/>
      <w:bookmarkEnd w:id="17"/>
      <w:bookmarkEnd w:id="18"/>
      <w:bookmarkEnd w:id="19"/>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项目名称：</w:t>
      </w:r>
      <w:r>
        <w:rPr>
          <w:rFonts w:hint="eastAsia" w:ascii="仿宋" w:hAnsi="仿宋" w:eastAsia="仿宋"/>
          <w:color w:val="auto"/>
          <w:sz w:val="32"/>
          <w:szCs w:val="32"/>
          <w:lang w:val="en-US" w:eastAsia="zh-CN"/>
        </w:rPr>
        <w:t>遂宁经济技术开发区南片区老旧小区配套基础设施建设项目</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项目所属领域：城镇老旧小区改造</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建设期：36个月</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项目性质：新建</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项目建设地址：开善东路以南，渠河路以东，中环线以北，滨江路以西</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项目说明：本项目资产无抵押或质押情况</w:t>
      </w:r>
    </w:p>
    <w:p>
      <w:pPr>
        <w:pStyle w:val="10"/>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bCs/>
          <w:color w:val="auto"/>
          <w:kern w:val="2"/>
          <w:sz w:val="32"/>
          <w:szCs w:val="32"/>
          <w:lang w:val="en-US" w:eastAsia="zh-CN"/>
        </w:rPr>
        <w:t>建设内容与规模：</w:t>
      </w:r>
      <w:r>
        <w:rPr>
          <w:rFonts w:hint="eastAsia" w:ascii="仿宋" w:hAnsi="仿宋" w:eastAsia="仿宋" w:cs="仿宋"/>
          <w:color w:val="auto"/>
          <w:sz w:val="32"/>
          <w:szCs w:val="32"/>
          <w:lang w:val="en-US" w:eastAsia="zh-CN"/>
        </w:rPr>
        <w:t>对经开区南片区南城靓居、建安小区、兴文小区、石油南苑、机场小区、清净寺等小区道路、供排水、供电、供气、供热、绿化、照明、围墙等基础设施的更新改造，以及小区内配套养老、无障碍设施等服务设施的建设，同时配建商业、市场、停车场等便民服务设施。</w:t>
      </w: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rPr>
      </w:pPr>
      <w:bookmarkStart w:id="20" w:name="_Toc1720132"/>
      <w:bookmarkStart w:id="21" w:name="_Toc522211065"/>
      <w:bookmarkStart w:id="22" w:name="_Toc523481534"/>
      <w:bookmarkStart w:id="23" w:name="_Toc1403"/>
      <w:bookmarkStart w:id="24" w:name="_Toc533440322"/>
      <w:r>
        <w:rPr>
          <w:rFonts w:hint="eastAsia" w:ascii="仿宋" w:hAnsi="仿宋" w:eastAsia="仿宋"/>
          <w:b/>
          <w:bCs/>
          <w:color w:val="auto"/>
          <w:sz w:val="32"/>
          <w:szCs w:val="32"/>
        </w:rPr>
        <w:t>二、经济社会效益分析</w:t>
      </w:r>
      <w:bookmarkEnd w:id="20"/>
      <w:bookmarkEnd w:id="21"/>
      <w:bookmarkEnd w:id="22"/>
      <w:bookmarkEnd w:id="23"/>
      <w:bookmarkEnd w:id="24"/>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lang w:val="en-US"/>
        </w:rPr>
      </w:pPr>
      <w:bookmarkStart w:id="25" w:name="_Toc1720133"/>
      <w:bookmarkStart w:id="26" w:name="_Toc522211066"/>
      <w:bookmarkStart w:id="27" w:name="_Toc523481535"/>
      <w:bookmarkStart w:id="28" w:name="_Toc17794"/>
      <w:bookmarkStart w:id="29" w:name="_Toc533440323"/>
      <w:r>
        <w:rPr>
          <w:rFonts w:hint="eastAsia" w:ascii="仿宋" w:hAnsi="仿宋" w:eastAsia="仿宋"/>
          <w:b/>
          <w:bCs/>
          <w:color w:val="auto"/>
          <w:sz w:val="32"/>
          <w:szCs w:val="32"/>
          <w:lang w:val="en-US"/>
        </w:rPr>
        <w:t>（一）经济效益分析</w:t>
      </w:r>
      <w:bookmarkEnd w:id="25"/>
      <w:bookmarkEnd w:id="26"/>
      <w:bookmarkEnd w:id="27"/>
      <w:bookmarkEnd w:id="28"/>
      <w:bookmarkEnd w:id="29"/>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auto"/>
        <w:outlineLvl w:val="9"/>
        <w:rPr>
          <w:rFonts w:hint="eastAsia" w:ascii="仿宋" w:hAnsi="仿宋" w:eastAsia="仿宋" w:cs="仿宋"/>
          <w:color w:val="auto"/>
          <w:sz w:val="32"/>
          <w:szCs w:val="32"/>
          <w:lang w:val="en-US" w:eastAsia="zh-CN"/>
        </w:rPr>
      </w:pPr>
      <w:bookmarkStart w:id="30" w:name="_Toc523481538"/>
      <w:bookmarkStart w:id="31" w:name="_Toc533440326"/>
      <w:bookmarkStart w:id="32" w:name="_Toc523157055"/>
      <w:bookmarkStart w:id="33" w:name="_Toc1720136"/>
      <w:bookmarkStart w:id="34" w:name="_Toc23271"/>
      <w:r>
        <w:rPr>
          <w:rFonts w:hint="eastAsia" w:ascii="仿宋" w:hAnsi="仿宋" w:eastAsia="仿宋" w:cs="仿宋"/>
          <w:color w:val="auto"/>
          <w:sz w:val="32"/>
          <w:szCs w:val="32"/>
          <w:lang w:val="en-US" w:eastAsia="zh-CN"/>
        </w:rPr>
        <w:t>项目建设和运营的直接收入效应主要通过两个方面体现：一是项目基础设施投资运营时需雇佣本地大量的劳动力，这一收入效应在项目投资建设周期和运营周期中通过劳动力成本体现出来。二是项目的建设增大了该区域招商引资的吸引力，为当地居民提供就业岗位而获得收入，该部分投资的直接收入效应也可分为两部分，其一是固定资产投资（不包括设备投资）增加时带来的收入效应，其二是项目的实施将拉动该片区经济社会发展，可吸纳部分剩余劳动力，为当地群众解困和劳动力转移提供了就业机会，有效地减轻了就业压力。该项目建成后通过改建南翠一路（明星大道至南津路段）、光明路、机场东二路可有效改善南片区城市主干路的通行能力，提高车辆行驶速度，改善交通状况，降低运输成本，合理分配交通量，减少交通拥堵，提高经济发展中地域的物资运输能力，促进地域经济的发展。同时，通过海绵城市建设和低影响开发雨水系统的建设，可以间接带来巨大的经济效益。通过对老旧小区外部市政基础设施的提升改造，为下一步老旧小区的内部改造建设提供了实施的建设必要条件。</w:t>
      </w: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rPr>
      </w:pPr>
      <w:r>
        <w:rPr>
          <w:rFonts w:hint="eastAsia" w:ascii="仿宋" w:hAnsi="仿宋" w:eastAsia="仿宋"/>
          <w:b/>
          <w:bCs/>
          <w:color w:val="auto"/>
          <w:sz w:val="32"/>
          <w:szCs w:val="32"/>
          <w:lang w:val="en-US" w:eastAsia="zh-CN"/>
        </w:rPr>
        <w:t>（二）</w:t>
      </w:r>
      <w:r>
        <w:rPr>
          <w:rFonts w:hint="eastAsia" w:ascii="仿宋" w:hAnsi="仿宋" w:eastAsia="仿宋"/>
          <w:b/>
          <w:bCs/>
          <w:color w:val="auto"/>
          <w:sz w:val="32"/>
          <w:szCs w:val="32"/>
        </w:rPr>
        <w:t>社会效益分析</w:t>
      </w:r>
      <w:bookmarkEnd w:id="30"/>
      <w:bookmarkEnd w:id="31"/>
      <w:bookmarkEnd w:id="32"/>
      <w:bookmarkEnd w:id="33"/>
      <w:bookmarkEnd w:id="34"/>
    </w:p>
    <w:p>
      <w:pPr>
        <w:keepNext w:val="0"/>
        <w:keepLines w:val="0"/>
        <w:pageBreakBefore w:val="0"/>
        <w:widowControl w:val="0"/>
        <w:numPr>
          <w:ilvl w:val="0"/>
          <w:numId w:val="0"/>
        </w:numPr>
        <w:kinsoku/>
        <w:wordWrap/>
        <w:overflowPunct/>
        <w:topLinePunct w:val="0"/>
        <w:autoSpaceDE/>
        <w:autoSpaceDN/>
        <w:bidi w:val="0"/>
        <w:adjustRightInd/>
        <w:snapToGrid/>
        <w:spacing w:beforeAutospacing="0" w:line="360" w:lineRule="auto"/>
        <w:ind w:lef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随着综合交通枢纽等重大基础设施项目建设对遂宁带来的深远影响，根据城市的总体规划，南片区定位为“遂宁市城市副中心，是提供产业服务的核心地区，是推动绿色生产生活的展示地区”。南片区已经形成一定规模的机械制造、食品加工和生物医药产业基础。以高强度开发为主，</w:t>
      </w:r>
      <w:r>
        <w:rPr>
          <w:rFonts w:hint="eastAsia" w:ascii="仿宋" w:hAnsi="仿宋" w:eastAsia="仿宋" w:cs="仿宋"/>
          <w:sz w:val="32"/>
          <w:szCs w:val="32"/>
          <w:lang w:val="en-US" w:eastAsia="zh-CN"/>
        </w:rPr>
        <w:t>吸引高素质的创意人员、商业商务人群聚集。本项目的建设是进一步完善经开区南片区基础设施，改善投资环境，吸引投资和人才，积极促进南片区经济的发展，带动遂宁社会经济的增长的重要举措。</w:t>
      </w:r>
    </w:p>
    <w:p>
      <w:pPr>
        <w:pStyle w:val="2"/>
        <w:keepNext w:val="0"/>
        <w:keepLines w:val="0"/>
        <w:pageBreakBefore w:val="0"/>
        <w:widowControl w:val="0"/>
        <w:kinsoku/>
        <w:wordWrap/>
        <w:overflowPunct/>
        <w:topLinePunct w:val="0"/>
        <w:autoSpaceDE/>
        <w:autoSpaceDN/>
        <w:bidi w:val="0"/>
        <w:adjustRightInd/>
        <w:snapToGrid/>
        <w:spacing w:before="0" w:beforeAutospacing="0" w:after="0"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项目的建设可以提升南片区地块的价值，完善了南城靓居、清净寺小区（一期）、石油南苑、机场小区周边道路网络、雨污排水管网、交通照明、景观绿化和道路“海绵化”基础设施的建设，使该片区交通更加便利、基础配套设施齐全、环境优良、生活舒适，从而对项目沿线周边房地产的发展有十分积极的意义，对南片区土地增值，带动土地市场和推动房地产业的快速发展有着不可低估的影响。</w:t>
      </w: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rPr>
      </w:pPr>
      <w:r>
        <w:rPr>
          <w:rFonts w:hint="eastAsia" w:ascii="仿宋" w:hAnsi="仿宋" w:eastAsia="仿宋"/>
          <w:b/>
          <w:bCs/>
          <w:color w:val="auto"/>
          <w:sz w:val="32"/>
          <w:szCs w:val="32"/>
          <w:lang w:eastAsia="zh-CN"/>
        </w:rPr>
        <w:t>三、</w:t>
      </w:r>
      <w:r>
        <w:rPr>
          <w:rFonts w:hint="eastAsia" w:ascii="仿宋" w:hAnsi="仿宋" w:eastAsia="仿宋"/>
          <w:b/>
          <w:bCs/>
          <w:color w:val="auto"/>
          <w:sz w:val="32"/>
          <w:szCs w:val="32"/>
        </w:rPr>
        <w:t>项目投资估算与资金筹措方案</w:t>
      </w:r>
    </w:p>
    <w:p>
      <w:pPr>
        <w:pStyle w:val="11"/>
        <w:keepNext w:val="0"/>
        <w:keepLines w:val="0"/>
        <w:pageBreakBefore w:val="0"/>
        <w:widowControl w:val="0"/>
        <w:numPr>
          <w:ilvl w:val="0"/>
          <w:numId w:val="0"/>
        </w:numPr>
        <w:kinsoku/>
        <w:wordWrap/>
        <w:overflowPunct/>
        <w:topLinePunct w:val="0"/>
        <w:autoSpaceDE/>
        <w:autoSpaceDN/>
        <w:bidi w:val="0"/>
        <w:adjustRightInd/>
        <w:snapToGrid/>
        <w:ind w:leftChars="0" w:firstLine="643" w:firstLineChars="200"/>
        <w:textAlignment w:val="auto"/>
        <w:rPr>
          <w:rFonts w:hint="eastAsia" w:ascii="仿宋" w:hAnsi="仿宋" w:eastAsia="仿宋" w:cs="Times New Roman"/>
          <w:b/>
          <w:bCs/>
          <w:color w:val="auto"/>
          <w:kern w:val="2"/>
          <w:sz w:val="32"/>
          <w:szCs w:val="32"/>
          <w:lang w:val="en-US" w:eastAsia="zh-CN" w:bidi="ar-SA"/>
        </w:rPr>
      </w:pPr>
      <w:r>
        <w:rPr>
          <w:rFonts w:hint="eastAsia" w:ascii="仿宋" w:hAnsi="仿宋" w:eastAsia="仿宋" w:cs="Times New Roman"/>
          <w:b/>
          <w:bCs/>
          <w:color w:val="auto"/>
          <w:kern w:val="2"/>
          <w:sz w:val="32"/>
          <w:szCs w:val="32"/>
          <w:lang w:val="en-US" w:eastAsia="zh-CN" w:bidi="ar-SA"/>
        </w:rPr>
        <w:t>（一）投资估算</w:t>
      </w:r>
    </w:p>
    <w:p>
      <w:pPr>
        <w:pStyle w:val="11"/>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本项目建设动态投资总额为</w:t>
      </w:r>
      <w:r>
        <w:rPr>
          <w:rFonts w:hint="eastAsia" w:ascii="仿宋" w:hAnsi="仿宋" w:eastAsia="仿宋" w:cs="仿宋"/>
          <w:color w:val="auto"/>
          <w:sz w:val="32"/>
          <w:szCs w:val="32"/>
          <w:lang w:val="en-US" w:eastAsia="zh-CN"/>
        </w:rPr>
        <w:t>35</w:t>
      </w:r>
      <w:r>
        <w:rPr>
          <w:rFonts w:hint="eastAsia" w:ascii="仿宋" w:hAnsi="仿宋" w:eastAsia="仿宋" w:cs="仿宋"/>
          <w:color w:val="auto"/>
          <w:sz w:val="32"/>
          <w:szCs w:val="32"/>
        </w:rPr>
        <w:t>000.00万元，静态总投资为</w:t>
      </w:r>
      <w:r>
        <w:rPr>
          <w:rFonts w:hint="eastAsia" w:ascii="仿宋" w:hAnsi="仿宋" w:eastAsia="仿宋" w:cs="仿宋"/>
          <w:color w:val="auto"/>
          <w:sz w:val="32"/>
          <w:szCs w:val="32"/>
          <w:lang w:val="en-US" w:eastAsia="zh-CN"/>
        </w:rPr>
        <w:t>33188.67</w:t>
      </w:r>
      <w:r>
        <w:rPr>
          <w:rFonts w:hint="eastAsia" w:ascii="仿宋" w:hAnsi="仿宋" w:eastAsia="仿宋" w:cs="仿宋"/>
          <w:color w:val="auto"/>
          <w:sz w:val="32"/>
          <w:szCs w:val="32"/>
        </w:rPr>
        <w:t>万元，建设期利息</w:t>
      </w:r>
      <w:r>
        <w:rPr>
          <w:rFonts w:hint="eastAsia" w:ascii="仿宋" w:hAnsi="仿宋" w:eastAsia="仿宋" w:cs="仿宋"/>
          <w:color w:val="auto"/>
          <w:sz w:val="32"/>
          <w:szCs w:val="32"/>
          <w:lang w:val="en-US" w:eastAsia="zh-CN"/>
        </w:rPr>
        <w:t>1793.33</w:t>
      </w:r>
      <w:r>
        <w:rPr>
          <w:rFonts w:hint="eastAsia" w:ascii="仿宋" w:hAnsi="仿宋" w:eastAsia="仿宋" w:cs="仿宋"/>
          <w:color w:val="auto"/>
          <w:sz w:val="32"/>
          <w:szCs w:val="32"/>
        </w:rPr>
        <w:t>万元，债券发行费用</w:t>
      </w:r>
      <w:r>
        <w:rPr>
          <w:rFonts w:hint="eastAsia" w:ascii="仿宋" w:hAnsi="仿宋" w:eastAsia="仿宋" w:cs="仿宋"/>
          <w:color w:val="auto"/>
          <w:sz w:val="32"/>
          <w:szCs w:val="32"/>
          <w:lang w:val="en-US" w:eastAsia="zh-CN"/>
        </w:rPr>
        <w:t>18</w:t>
      </w:r>
      <w:r>
        <w:rPr>
          <w:rFonts w:hint="eastAsia" w:ascii="仿宋" w:hAnsi="仿宋" w:eastAsia="仿宋" w:cs="仿宋"/>
          <w:color w:val="auto"/>
          <w:sz w:val="32"/>
          <w:szCs w:val="32"/>
        </w:rPr>
        <w:t>万元。</w:t>
      </w:r>
    </w:p>
    <w:p>
      <w:pPr>
        <w:pStyle w:val="11"/>
        <w:keepNext w:val="0"/>
        <w:keepLines w:val="0"/>
        <w:pageBreakBefore w:val="0"/>
        <w:widowControl w:val="0"/>
        <w:numPr>
          <w:ilvl w:val="0"/>
          <w:numId w:val="0"/>
        </w:numPr>
        <w:kinsoku/>
        <w:wordWrap/>
        <w:overflowPunct/>
        <w:topLinePunct w:val="0"/>
        <w:autoSpaceDE/>
        <w:autoSpaceDN/>
        <w:bidi w:val="0"/>
        <w:adjustRightInd/>
        <w:snapToGrid/>
        <w:ind w:left="0" w:leftChars="0" w:firstLine="643" w:firstLineChars="200"/>
        <w:textAlignment w:val="auto"/>
        <w:rPr>
          <w:rFonts w:hint="eastAsia" w:ascii="仿宋" w:hAnsi="仿宋" w:eastAsia="仿宋" w:cs="Times New Roman"/>
          <w:b/>
          <w:bCs/>
          <w:color w:val="auto"/>
          <w:kern w:val="2"/>
          <w:sz w:val="32"/>
          <w:szCs w:val="32"/>
          <w:lang w:val="en-US" w:eastAsia="zh-CN" w:bidi="ar-SA"/>
        </w:rPr>
      </w:pPr>
      <w:r>
        <w:rPr>
          <w:rFonts w:hint="eastAsia" w:ascii="仿宋" w:hAnsi="仿宋" w:eastAsia="仿宋" w:cs="Times New Roman"/>
          <w:b/>
          <w:bCs/>
          <w:color w:val="auto"/>
          <w:kern w:val="2"/>
          <w:sz w:val="32"/>
          <w:szCs w:val="32"/>
          <w:lang w:val="en-US" w:eastAsia="zh-CN" w:bidi="ar-SA"/>
        </w:rPr>
        <w:t>(二)资金筹措方案</w:t>
      </w:r>
    </w:p>
    <w:p>
      <w:pPr>
        <w:keepNext w:val="0"/>
        <w:keepLines w:val="0"/>
        <w:pageBreakBefore w:val="0"/>
        <w:widowControl w:val="0"/>
        <w:kinsoku/>
        <w:wordWrap/>
        <w:overflowPunct/>
        <w:topLinePunct w:val="0"/>
        <w:autoSpaceDE/>
        <w:autoSpaceDN/>
        <w:bidi w:val="0"/>
        <w:adjustRightInd/>
        <w:snapToGrid w:val="0"/>
        <w:spacing w:beforeAutospacing="0" w:line="360" w:lineRule="auto"/>
        <w:ind w:left="0" w:leftChars="0" w:right="0" w:rightChars="0" w:firstLine="643" w:firstLineChars="200"/>
        <w:textAlignment w:val="auto"/>
        <w:rPr>
          <w:rFonts w:hint="eastAsia" w:ascii="仿宋" w:hAnsi="仿宋" w:eastAsia="仿宋" w:cs="仿宋"/>
          <w:b/>
          <w:bCs/>
          <w:sz w:val="32"/>
          <w:szCs w:val="32"/>
          <w:lang w:val="en-US" w:eastAsia="zh-CN"/>
        </w:rPr>
      </w:pPr>
      <w:bookmarkStart w:id="35" w:name="_Toc522211083"/>
      <w:bookmarkStart w:id="36" w:name="_Toc20821"/>
      <w:bookmarkStart w:id="37" w:name="_Toc19703"/>
      <w:bookmarkStart w:id="38" w:name="_Toc1720150"/>
      <w:bookmarkStart w:id="39" w:name="_Toc523481547"/>
      <w:bookmarkStart w:id="40" w:name="_Toc533440340"/>
      <w:bookmarkStart w:id="41" w:name="_Toc523157067"/>
      <w:r>
        <w:rPr>
          <w:rFonts w:hint="eastAsia" w:ascii="仿宋" w:hAnsi="仿宋" w:eastAsia="仿宋" w:cs="仿宋"/>
          <w:b/>
          <w:bCs/>
          <w:sz w:val="32"/>
          <w:szCs w:val="32"/>
          <w:lang w:val="en-US" w:eastAsia="zh-CN"/>
        </w:rPr>
        <w:t>1.资金来源</w:t>
      </w:r>
      <w:bookmarkEnd w:id="35"/>
      <w:bookmarkEnd w:id="36"/>
      <w:bookmarkEnd w:id="37"/>
      <w:bookmarkEnd w:id="38"/>
      <w:bookmarkEnd w:id="39"/>
      <w:bookmarkEnd w:id="40"/>
      <w:bookmarkEnd w:id="41"/>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color w:val="auto"/>
          <w:kern w:val="2"/>
          <w:sz w:val="32"/>
          <w:szCs w:val="32"/>
          <w:lang w:val="en-US"/>
        </w:rPr>
      </w:pPr>
      <w:bookmarkStart w:id="42" w:name="_Toc523481549"/>
      <w:bookmarkStart w:id="43" w:name="_Toc25776"/>
      <w:bookmarkStart w:id="44" w:name="_Toc523157069"/>
      <w:bookmarkStart w:id="45" w:name="_Toc1720152"/>
      <w:bookmarkStart w:id="46" w:name="_Toc533440342"/>
      <w:r>
        <w:rPr>
          <w:rFonts w:hint="eastAsia" w:ascii="仿宋" w:hAnsi="仿宋" w:eastAsia="仿宋" w:cs="仿宋"/>
          <w:color w:val="auto"/>
          <w:kern w:val="2"/>
          <w:sz w:val="32"/>
          <w:szCs w:val="32"/>
          <w:lang w:val="en-US"/>
        </w:rPr>
        <w:t>本项目资本金来源：资本金均来源于业主自筹，项目资本金1</w:t>
      </w:r>
      <w:r>
        <w:rPr>
          <w:rFonts w:hint="eastAsia" w:ascii="仿宋" w:hAnsi="仿宋" w:eastAsia="仿宋" w:cs="仿宋"/>
          <w:color w:val="auto"/>
          <w:kern w:val="2"/>
          <w:sz w:val="32"/>
          <w:szCs w:val="32"/>
          <w:lang w:val="en-US" w:eastAsia="zh-CN"/>
        </w:rPr>
        <w:t>7</w:t>
      </w:r>
      <w:r>
        <w:rPr>
          <w:rFonts w:hint="eastAsia" w:ascii="仿宋" w:hAnsi="仿宋" w:eastAsia="仿宋" w:cs="仿宋"/>
          <w:color w:val="auto"/>
          <w:kern w:val="2"/>
          <w:sz w:val="32"/>
          <w:szCs w:val="32"/>
          <w:lang w:val="en-US"/>
        </w:rPr>
        <w:t>000.00万元，占项目总投资的</w:t>
      </w:r>
      <w:r>
        <w:rPr>
          <w:rFonts w:hint="eastAsia" w:ascii="仿宋" w:hAnsi="仿宋" w:eastAsia="仿宋" w:cs="仿宋"/>
          <w:color w:val="auto"/>
          <w:kern w:val="2"/>
          <w:sz w:val="32"/>
          <w:szCs w:val="32"/>
          <w:lang w:val="en-US" w:eastAsia="zh-CN"/>
        </w:rPr>
        <w:t>48.57</w:t>
      </w:r>
      <w:r>
        <w:rPr>
          <w:rFonts w:hint="eastAsia" w:ascii="仿宋" w:hAnsi="仿宋" w:eastAsia="仿宋" w:cs="仿宋"/>
          <w:color w:val="auto"/>
          <w:kern w:val="2"/>
          <w:sz w:val="32"/>
          <w:szCs w:val="32"/>
          <w:lang w:val="en-US"/>
        </w:rPr>
        <w:t>%，将按照项目进度及时拨付到位。</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rPr>
        <w:t>融资来源：本项目拟发行15年期政府专项债券总额为1</w:t>
      </w:r>
      <w:r>
        <w:rPr>
          <w:rFonts w:hint="eastAsia" w:ascii="仿宋" w:hAnsi="仿宋" w:eastAsia="仿宋" w:cs="仿宋"/>
          <w:color w:val="auto"/>
          <w:kern w:val="2"/>
          <w:sz w:val="32"/>
          <w:szCs w:val="32"/>
          <w:lang w:val="en-US" w:eastAsia="zh-CN"/>
        </w:rPr>
        <w:t>8</w:t>
      </w:r>
      <w:r>
        <w:rPr>
          <w:rFonts w:hint="eastAsia" w:ascii="仿宋" w:hAnsi="仿宋" w:eastAsia="仿宋" w:cs="仿宋"/>
          <w:color w:val="auto"/>
          <w:kern w:val="2"/>
          <w:sz w:val="32"/>
          <w:szCs w:val="32"/>
          <w:lang w:val="en-US"/>
        </w:rPr>
        <w:t>000.00万元，占总投资的</w:t>
      </w:r>
      <w:r>
        <w:rPr>
          <w:rFonts w:hint="eastAsia" w:ascii="仿宋" w:hAnsi="仿宋" w:eastAsia="仿宋" w:cs="仿宋"/>
          <w:color w:val="auto"/>
          <w:kern w:val="2"/>
          <w:sz w:val="32"/>
          <w:szCs w:val="32"/>
          <w:lang w:val="en-US" w:eastAsia="zh-CN"/>
        </w:rPr>
        <w:t>51.43</w:t>
      </w:r>
      <w:r>
        <w:rPr>
          <w:rFonts w:hint="eastAsia" w:ascii="仿宋" w:hAnsi="仿宋" w:eastAsia="仿宋" w:cs="仿宋"/>
          <w:color w:val="auto"/>
          <w:kern w:val="2"/>
          <w:sz w:val="32"/>
          <w:szCs w:val="32"/>
          <w:lang w:val="en-US"/>
        </w:rPr>
        <w:t>%</w:t>
      </w:r>
      <w:r>
        <w:rPr>
          <w:rFonts w:hint="eastAsia" w:ascii="仿宋" w:hAnsi="仿宋" w:eastAsia="仿宋" w:cs="仿宋"/>
          <w:color w:val="auto"/>
          <w:kern w:val="2"/>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beforeAutospacing="0" w:line="360" w:lineRule="auto"/>
        <w:ind w:left="0" w:leftChars="0" w:right="0" w:rightChars="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2.资金使用计划</w:t>
      </w:r>
      <w:bookmarkEnd w:id="42"/>
      <w:bookmarkEnd w:id="43"/>
      <w:bookmarkEnd w:id="44"/>
      <w:bookmarkEnd w:id="45"/>
      <w:bookmarkEnd w:id="46"/>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b/>
          <w:bCs/>
          <w:color w:val="auto"/>
          <w:sz w:val="28"/>
          <w:szCs w:val="28"/>
        </w:rPr>
      </w:pPr>
      <w:r>
        <w:rPr>
          <w:rFonts w:hint="eastAsia" w:ascii="仿宋" w:hAnsi="仿宋" w:eastAsia="仿宋" w:cs="仿宋"/>
          <w:sz w:val="32"/>
          <w:szCs w:val="32"/>
        </w:rPr>
        <w:t>项目所筹资金将根据项目实施计划和实时建设进度来进行合理分配，且将全部投资于本项目，具体数额应当根据进度支出。在保证项目工程投资资金充足的情况下，充分利用且不浪费当年度专项债券融资额度。按照建设进度，总投资计划分</w:t>
      </w:r>
      <w:r>
        <w:rPr>
          <w:rFonts w:hint="eastAsia" w:ascii="仿宋" w:hAnsi="仿宋" w:eastAsia="仿宋" w:cs="仿宋"/>
          <w:sz w:val="32"/>
          <w:szCs w:val="32"/>
          <w:lang w:val="en-US" w:eastAsia="zh-CN"/>
        </w:rPr>
        <w:t>4</w:t>
      </w:r>
      <w:r>
        <w:rPr>
          <w:rFonts w:hint="eastAsia" w:ascii="仿宋" w:hAnsi="仿宋" w:eastAsia="仿宋" w:cs="仿宋"/>
          <w:sz w:val="32"/>
          <w:szCs w:val="32"/>
        </w:rPr>
        <w:t>个年度投入</w:t>
      </w:r>
      <w:r>
        <w:rPr>
          <w:rFonts w:hint="eastAsia" w:ascii="仿宋" w:hAnsi="仿宋" w:eastAsia="仿宋" w:cs="仿宋"/>
          <w:sz w:val="32"/>
          <w:szCs w:val="32"/>
          <w:lang w:eastAsia="zh-CN"/>
        </w:rPr>
        <w:t>。</w:t>
      </w: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rPr>
      </w:pPr>
      <w:bookmarkStart w:id="47" w:name="_Toc11843"/>
      <w:bookmarkStart w:id="48" w:name="_Toc18388"/>
      <w:r>
        <w:rPr>
          <w:rFonts w:hint="eastAsia" w:ascii="仿宋" w:hAnsi="仿宋" w:eastAsia="仿宋"/>
          <w:b/>
          <w:bCs/>
          <w:color w:val="auto"/>
          <w:sz w:val="32"/>
          <w:szCs w:val="32"/>
        </w:rPr>
        <w:t>四、项目预期收益、成本及融资平衡情况</w:t>
      </w:r>
      <w:bookmarkEnd w:id="47"/>
      <w:bookmarkEnd w:id="48"/>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（一）</w:t>
      </w:r>
      <w:r>
        <w:rPr>
          <w:rFonts w:hint="eastAsia" w:ascii="仿宋" w:hAnsi="仿宋" w:eastAsia="仿宋"/>
          <w:b/>
          <w:bCs/>
          <w:color w:val="auto"/>
          <w:sz w:val="32"/>
          <w:szCs w:val="32"/>
        </w:rPr>
        <w:t>预期收益</w:t>
      </w:r>
    </w:p>
    <w:p>
      <w:pPr>
        <w:keepNext w:val="0"/>
        <w:keepLines w:val="0"/>
        <w:pageBreakBefore w:val="0"/>
        <w:widowControl w:val="0"/>
        <w:kinsoku/>
        <w:wordWrap/>
        <w:overflowPunct/>
        <w:topLinePunct w:val="0"/>
        <w:autoSpaceDE/>
        <w:autoSpaceDN/>
        <w:bidi w:val="0"/>
        <w:adjustRightInd/>
        <w:snapToGrid w:val="0"/>
        <w:spacing w:beforeAutospacing="0" w:line="360" w:lineRule="auto"/>
        <w:ind w:left="0" w:leftChars="0" w:right="0" w:rightChars="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1.项目收入</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Times New Roman" w:eastAsia="仿宋_GB2312" w:cs="Times New Roman"/>
          <w:sz w:val="32"/>
          <w:szCs w:val="32"/>
          <w:lang w:val="en-GB" w:eastAsia="zh-CN"/>
        </w:rPr>
      </w:pPr>
      <w:r>
        <w:rPr>
          <w:rFonts w:hint="eastAsia" w:ascii="仿宋_GB2312" w:hAnsi="Times New Roman" w:eastAsia="仿宋_GB2312" w:cs="Times New Roman"/>
          <w:sz w:val="32"/>
          <w:szCs w:val="32"/>
          <w:lang w:val="en-GB" w:eastAsia="zh-CN"/>
        </w:rPr>
        <w:t>本项目收入全部为项目本身产生的专项收入，项目收入主要包括停车场收入、家政服务收入、自动售货点售货收入、广告位出租收入、养老日间照料中心收入、物业服务收入。</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Times New Roman" w:eastAsia="仿宋_GB2312" w:cs="Times New Roman"/>
          <w:sz w:val="32"/>
          <w:szCs w:val="32"/>
          <w:lang w:val="en-GB" w:eastAsia="zh-CN"/>
        </w:rPr>
      </w:pPr>
      <w:r>
        <w:rPr>
          <w:rFonts w:hint="eastAsia" w:ascii="仿宋_GB2312" w:hAnsi="Times New Roman" w:eastAsia="仿宋_GB2312" w:cs="Times New Roman"/>
          <w:sz w:val="32"/>
          <w:szCs w:val="32"/>
          <w:lang w:val="en-GB" w:eastAsia="zh-CN"/>
        </w:rPr>
        <w:t>经计算，项目计算期内预计总收入为</w:t>
      </w:r>
      <w:r>
        <w:rPr>
          <w:rFonts w:hint="eastAsia" w:ascii="仿宋" w:hAnsi="仿宋" w:eastAsia="仿宋" w:cs="仿宋"/>
          <w:b w:val="0"/>
          <w:bCs/>
          <w:color w:val="auto"/>
          <w:sz w:val="32"/>
          <w:szCs w:val="32"/>
          <w:lang w:val="en-US" w:eastAsia="zh-CN"/>
        </w:rPr>
        <w:t>58637.25</w:t>
      </w:r>
      <w:r>
        <w:rPr>
          <w:rFonts w:hint="eastAsia" w:ascii="仿宋_GB2312" w:hAnsi="Times New Roman" w:eastAsia="仿宋_GB2312" w:cs="Times New Roman"/>
          <w:sz w:val="32"/>
          <w:szCs w:val="32"/>
          <w:lang w:val="en-GB" w:eastAsia="zh-CN"/>
        </w:rPr>
        <w:t>万元。</w:t>
      </w:r>
    </w:p>
    <w:p>
      <w:pPr>
        <w:keepNext w:val="0"/>
        <w:keepLines w:val="0"/>
        <w:pageBreakBefore w:val="0"/>
        <w:widowControl w:val="0"/>
        <w:kinsoku/>
        <w:wordWrap/>
        <w:overflowPunct/>
        <w:topLinePunct w:val="0"/>
        <w:autoSpaceDE/>
        <w:autoSpaceDN/>
        <w:bidi w:val="0"/>
        <w:adjustRightInd/>
        <w:snapToGrid w:val="0"/>
        <w:spacing w:beforeAutospacing="0" w:line="360" w:lineRule="auto"/>
        <w:ind w:left="0" w:leftChars="0" w:right="0" w:rightChars="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2、项目成本</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本项目成本包括经营成本、固定资产折旧费、无形资产摊销费、财务费用、税金及附加。</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综上所述，经计算可知，本项目预测期成本费用为53221.46万元。</w:t>
      </w: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rPr>
      </w:pPr>
      <w:r>
        <w:rPr>
          <w:rFonts w:hint="eastAsia" w:ascii="仿宋" w:hAnsi="仿宋" w:eastAsia="仿宋"/>
          <w:b/>
          <w:bCs/>
          <w:color w:val="auto"/>
          <w:sz w:val="32"/>
          <w:szCs w:val="32"/>
          <w:lang w:eastAsia="zh-CN"/>
        </w:rPr>
        <w:t>（</w:t>
      </w:r>
      <w:r>
        <w:rPr>
          <w:rFonts w:hint="eastAsia" w:ascii="仿宋" w:hAnsi="仿宋" w:eastAsia="仿宋"/>
          <w:b/>
          <w:bCs/>
          <w:color w:val="auto"/>
          <w:sz w:val="32"/>
          <w:szCs w:val="32"/>
          <w:lang w:val="en-US" w:eastAsia="zh-CN"/>
        </w:rPr>
        <w:t>二</w:t>
      </w:r>
      <w:r>
        <w:rPr>
          <w:rFonts w:hint="eastAsia" w:ascii="仿宋" w:hAnsi="仿宋" w:eastAsia="仿宋"/>
          <w:b/>
          <w:bCs/>
          <w:color w:val="auto"/>
          <w:sz w:val="32"/>
          <w:szCs w:val="32"/>
          <w:lang w:eastAsia="zh-CN"/>
        </w:rPr>
        <w:t>）</w:t>
      </w:r>
      <w:r>
        <w:rPr>
          <w:rFonts w:hint="eastAsia" w:ascii="仿宋" w:hAnsi="仿宋" w:eastAsia="仿宋"/>
          <w:b/>
          <w:bCs/>
          <w:color w:val="auto"/>
          <w:sz w:val="32"/>
          <w:szCs w:val="32"/>
        </w:rPr>
        <w:t>资金测算平衡情况</w:t>
      </w:r>
    </w:p>
    <w:p>
      <w:pPr>
        <w:ind w:firstLine="640" w:firstLineChars="200"/>
        <w:rPr>
          <w:rFonts w:hint="eastAsia" w:ascii="Times New Roman" w:hAnsi="Times New Roman" w:eastAsia="仿宋"/>
          <w:color w:val="auto"/>
          <w:kern w:val="2"/>
          <w:sz w:val="32"/>
          <w:szCs w:val="32"/>
          <w:lang w:val="en-US" w:eastAsia="zh-CN"/>
        </w:rPr>
        <w:sectPr>
          <w:headerReference r:id="rId3" w:type="default"/>
          <w:pgSz w:w="11906" w:h="16838"/>
          <w:pgMar w:top="1440" w:right="1803" w:bottom="1440" w:left="1803" w:header="964" w:footer="992" w:gutter="0"/>
          <w:pgBorders>
            <w:top w:val="none" w:sz="0" w:space="0"/>
            <w:left w:val="none" w:sz="0" w:space="0"/>
            <w:bottom w:val="none" w:sz="0" w:space="0"/>
            <w:right w:val="none" w:sz="0" w:space="0"/>
          </w:pgBorders>
          <w:pgNumType w:fmt="decimal"/>
          <w:cols w:space="720" w:num="1"/>
          <w:docGrid w:type="lines" w:linePitch="381" w:charSpace="0"/>
        </w:sectPr>
      </w:pPr>
      <w:r>
        <w:rPr>
          <w:rFonts w:hint="eastAsia" w:ascii="仿宋" w:hAnsi="仿宋" w:eastAsia="仿宋" w:cs="仿宋"/>
          <w:b w:val="0"/>
          <w:bCs/>
          <w:color w:val="auto"/>
          <w:kern w:val="2"/>
          <w:sz w:val="32"/>
          <w:szCs w:val="32"/>
          <w:lang w:val="en-US"/>
        </w:rPr>
        <w:t>若项目在满足上述资金筹集计划、项目实施计划、资金使用计划及预期收益的的假设前提下，本项目截止政府专项债到期日累计资金结余</w:t>
      </w:r>
      <w:r>
        <w:rPr>
          <w:rFonts w:hint="eastAsia" w:ascii="仿宋" w:hAnsi="仿宋" w:eastAsia="仿宋" w:cs="仿宋"/>
          <w:b w:val="0"/>
          <w:bCs/>
          <w:color w:val="auto"/>
          <w:kern w:val="2"/>
          <w:sz w:val="32"/>
          <w:szCs w:val="32"/>
          <w:lang w:val="en-US" w:eastAsia="zh-CN"/>
        </w:rPr>
        <w:t>8019.34</w:t>
      </w:r>
      <w:r>
        <w:rPr>
          <w:rFonts w:hint="eastAsia" w:ascii="仿宋" w:hAnsi="仿宋" w:eastAsia="仿宋" w:cs="仿宋"/>
          <w:b w:val="0"/>
          <w:bCs/>
          <w:color w:val="auto"/>
          <w:kern w:val="2"/>
          <w:sz w:val="32"/>
          <w:szCs w:val="32"/>
          <w:lang w:val="en-US"/>
        </w:rPr>
        <w:t>万元，期间不存在资金缺口。</w:t>
      </w:r>
    </w:p>
    <w:p>
      <w:pPr>
        <w:keepNext w:val="0"/>
        <w:keepLines w:val="0"/>
        <w:pageBreakBefore w:val="0"/>
        <w:widowControl w:val="0"/>
        <w:kinsoku/>
        <w:wordWrap/>
        <w:overflowPunct/>
        <w:topLinePunct w:val="0"/>
        <w:autoSpaceDE/>
        <w:autoSpaceDN/>
        <w:bidi w:val="0"/>
        <w:adjustRightInd/>
        <w:snapToGrid w:val="0"/>
        <w:spacing w:line="0" w:lineRule="atLeast"/>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rPr>
        <w:t>资金测算平衡表</w:t>
      </w:r>
    </w:p>
    <w:p>
      <w:pPr>
        <w:keepNext w:val="0"/>
        <w:keepLines w:val="0"/>
        <w:pageBreakBefore w:val="0"/>
        <w:widowControl w:val="0"/>
        <w:kinsoku/>
        <w:wordWrap/>
        <w:overflowPunct/>
        <w:topLinePunct w:val="0"/>
        <w:autoSpaceDE/>
        <w:autoSpaceDN/>
        <w:bidi w:val="0"/>
        <w:adjustRightInd/>
        <w:snapToGrid w:val="0"/>
        <w:spacing w:line="0" w:lineRule="atLeast"/>
        <w:jc w:val="right"/>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单位：万元</w:t>
      </w:r>
    </w:p>
    <w:tbl>
      <w:tblPr>
        <w:tblStyle w:val="12"/>
        <w:tblW w:w="4998" w:type="pct"/>
        <w:tblInd w:w="0" w:type="dxa"/>
        <w:shd w:val="clear" w:color="auto" w:fill="auto"/>
        <w:tblLayout w:type="autofit"/>
        <w:tblCellMar>
          <w:top w:w="0" w:type="dxa"/>
          <w:left w:w="108" w:type="dxa"/>
          <w:bottom w:w="0" w:type="dxa"/>
          <w:right w:w="108" w:type="dxa"/>
        </w:tblCellMar>
      </w:tblPr>
      <w:tblGrid>
        <w:gridCol w:w="634"/>
        <w:gridCol w:w="3516"/>
        <w:gridCol w:w="1049"/>
        <w:gridCol w:w="1827"/>
        <w:gridCol w:w="1049"/>
        <w:gridCol w:w="884"/>
        <w:gridCol w:w="1283"/>
        <w:gridCol w:w="1827"/>
        <w:gridCol w:w="884"/>
        <w:gridCol w:w="884"/>
        <w:gridCol w:w="884"/>
        <w:gridCol w:w="887"/>
      </w:tblGrid>
      <w:tr>
        <w:tblPrEx>
          <w:shd w:val="clear" w:color="auto" w:fill="auto"/>
          <w:tblCellMar>
            <w:top w:w="0" w:type="dxa"/>
            <w:left w:w="108" w:type="dxa"/>
            <w:bottom w:w="0" w:type="dxa"/>
            <w:right w:w="108" w:type="dxa"/>
          </w:tblCellMar>
        </w:tblPrEx>
        <w:trPr>
          <w:trHeight w:val="113" w:hRule="atLeast"/>
        </w:trPr>
        <w:tc>
          <w:tcPr>
            <w:tcW w:w="20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序号</w:t>
            </w:r>
          </w:p>
        </w:tc>
        <w:tc>
          <w:tcPr>
            <w:tcW w:w="11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w:t>
            </w:r>
          </w:p>
        </w:tc>
        <w:tc>
          <w:tcPr>
            <w:tcW w:w="33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合计</w:t>
            </w:r>
          </w:p>
        </w:tc>
        <w:tc>
          <w:tcPr>
            <w:tcW w:w="1615" w:type="pct"/>
            <w:gridSpan w:val="4"/>
            <w:tcBorders>
              <w:top w:val="single" w:color="000000" w:sz="8" w:space="0"/>
              <w:left w:val="single" w:color="000000" w:sz="8" w:space="0"/>
              <w:bottom w:val="single" w:color="000000" w:sz="8"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建设期</w:t>
            </w:r>
          </w:p>
        </w:tc>
        <w:tc>
          <w:tcPr>
            <w:tcW w:w="1718" w:type="pct"/>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运营期</w:t>
            </w:r>
          </w:p>
        </w:tc>
      </w:tr>
      <w:tr>
        <w:tblPrEx>
          <w:shd w:val="clear" w:color="auto" w:fill="auto"/>
          <w:tblCellMar>
            <w:top w:w="0" w:type="dxa"/>
            <w:left w:w="108" w:type="dxa"/>
            <w:bottom w:w="0" w:type="dxa"/>
            <w:right w:w="108" w:type="dxa"/>
          </w:tblCellMar>
        </w:tblPrEx>
        <w:trPr>
          <w:trHeight w:val="113" w:hRule="atLeast"/>
        </w:trPr>
        <w:tc>
          <w:tcPr>
            <w:tcW w:w="20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11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2021年2月-12月</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2022年</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2023年</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2024年1月</w:t>
            </w:r>
          </w:p>
        </w:tc>
        <w:tc>
          <w:tcPr>
            <w:tcW w:w="585"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2024年2月-12月</w:t>
            </w:r>
          </w:p>
        </w:tc>
        <w:tc>
          <w:tcPr>
            <w:tcW w:w="283"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2025年</w:t>
            </w:r>
          </w:p>
        </w:tc>
        <w:tc>
          <w:tcPr>
            <w:tcW w:w="283"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2026年</w:t>
            </w:r>
          </w:p>
        </w:tc>
        <w:tc>
          <w:tcPr>
            <w:tcW w:w="283"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2027年</w:t>
            </w:r>
          </w:p>
        </w:tc>
        <w:tc>
          <w:tcPr>
            <w:tcW w:w="283"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2028年</w:t>
            </w: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一</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经营活动产生的净现金流量（1-2）</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35026.01</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1886.59</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2315.05</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2429.71</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2584.66</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2670.33</w:t>
            </w: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现金流入</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58637.25</w:t>
            </w:r>
          </w:p>
        </w:tc>
        <w:tc>
          <w:tcPr>
            <w:tcW w:w="58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3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58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3281.73</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3889.57</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4026.67</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4289.72</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4426.02</w:t>
            </w: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经营收入</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58637.25</w:t>
            </w:r>
          </w:p>
        </w:tc>
        <w:tc>
          <w:tcPr>
            <w:tcW w:w="58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3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58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3281.73</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3889.57</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4026.67</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4289.72</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4426.02</w:t>
            </w: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补贴收入</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3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58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现金流出</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23611.24</w:t>
            </w:r>
          </w:p>
        </w:tc>
        <w:tc>
          <w:tcPr>
            <w:tcW w:w="58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3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58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1395.14</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1574.52</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1596.96</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1705.06</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1755.69</w:t>
            </w: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经营成本</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16196.70</w:t>
            </w:r>
          </w:p>
        </w:tc>
        <w:tc>
          <w:tcPr>
            <w:tcW w:w="58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3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58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1054.73</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1174.39</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1184.37</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1215.96</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1226.00</w:t>
            </w: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相关税费（税金及附加+企业所得税）</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7414.54</w:t>
            </w:r>
          </w:p>
        </w:tc>
        <w:tc>
          <w:tcPr>
            <w:tcW w:w="58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3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58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340.41</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400.13</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412.59</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489.10</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529.69</w:t>
            </w: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二</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投资活动净现金流量（1-2）</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-33188.67</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-14698.67</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-18170.00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-280.00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-40.00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现金流入</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处置投资物</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收到其他投资</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现金流出</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33188.67</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14698.67</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18170.00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280.00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40.00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建设投资（静态总投资）</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33188.67</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14698.67</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18170.00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280.00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维持运营投资</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三</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筹措活动净现金流量（1-2）</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26768.67</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14698.67</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18170.00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280.00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40.00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-660.00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-720.00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-720.00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-720.00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-720.00</w:t>
            </w: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现金流入</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35000.00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15000.00</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18900.00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1000.00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100.00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项目资本金投入</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17000.00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7000.00</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8900.00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专项债券资金</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18000.00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8000.00</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市场化融资</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现金流出</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28818.00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301.33</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730.00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660.00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市场化融资利息</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支付债券利息</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10800.00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293.33</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660.00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支付债券发行费用</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18.00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8.00</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支付市场化融资发行费用</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支付专项债券本金</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18000.00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支付市场化融资本金</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四</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现金流量总计</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5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2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项目期的期初资金</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58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33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1226.59</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2821.64</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4531.35</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6396.01</w:t>
            </w: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项目期内现金变动（一+二+三）</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8019.34</w:t>
            </w:r>
          </w:p>
        </w:tc>
        <w:tc>
          <w:tcPr>
            <w:tcW w:w="58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33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1226.59</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1595.05</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1709.71</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1864.66</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1950.33</w:t>
            </w:r>
          </w:p>
        </w:tc>
      </w:tr>
      <w:tr>
        <w:tblPrEx>
          <w:shd w:val="clear" w:color="auto" w:fill="auto"/>
          <w:tblCellMar>
            <w:top w:w="0" w:type="dxa"/>
            <w:left w:w="108" w:type="dxa"/>
            <w:bottom w:w="0" w:type="dxa"/>
            <w:right w:w="108" w:type="dxa"/>
          </w:tblCellMar>
        </w:tblPrEx>
        <w:trPr>
          <w:trHeight w:val="113" w:hRule="atLeast"/>
        </w:trPr>
        <w:tc>
          <w:tcPr>
            <w:tcW w:w="2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w:t>
            </w:r>
          </w:p>
        </w:tc>
        <w:tc>
          <w:tcPr>
            <w:tcW w:w="112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项目期的期末资金</w:t>
            </w:r>
          </w:p>
        </w:tc>
        <w:tc>
          <w:tcPr>
            <w:tcW w:w="3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58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33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41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8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1226.59</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2821.64</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4531.35</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6396.01</w:t>
            </w:r>
          </w:p>
        </w:tc>
        <w:tc>
          <w:tcPr>
            <w:tcW w:w="2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8346.34</w:t>
            </w:r>
          </w:p>
        </w:tc>
      </w:tr>
    </w:tbl>
    <w:p>
      <w:pPr>
        <w:rPr>
          <w:rFonts w:hint="eastAsia"/>
          <w:lang w:val="en-US" w:eastAsia="zh-CN"/>
        </w:rPr>
      </w:pPr>
      <w:r>
        <w:rPr>
          <w:rFonts w:hint="eastAsia"/>
          <w:lang w:val="en-US" w:eastAsia="zh-CN"/>
        </w:rPr>
        <w:br w:type="page"/>
      </w:r>
    </w:p>
    <w:p>
      <w:pPr>
        <w:keepNext w:val="0"/>
        <w:keepLines w:val="0"/>
        <w:pageBreakBefore w:val="0"/>
        <w:widowControl w:val="0"/>
        <w:kinsoku/>
        <w:wordWrap/>
        <w:overflowPunct/>
        <w:topLinePunct w:val="0"/>
        <w:autoSpaceDE/>
        <w:autoSpaceDN/>
        <w:bidi w:val="0"/>
        <w:adjustRightInd/>
        <w:snapToGrid w:val="0"/>
        <w:spacing w:line="0" w:lineRule="atLeast"/>
        <w:jc w:val="center"/>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rPr>
        <w:t>资金测算平衡表</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续表）</w:t>
      </w:r>
    </w:p>
    <w:p>
      <w:pPr>
        <w:keepNext w:val="0"/>
        <w:keepLines w:val="0"/>
        <w:pageBreakBefore w:val="0"/>
        <w:widowControl w:val="0"/>
        <w:kinsoku/>
        <w:wordWrap/>
        <w:overflowPunct/>
        <w:topLinePunct w:val="0"/>
        <w:autoSpaceDE/>
        <w:autoSpaceDN/>
        <w:bidi w:val="0"/>
        <w:adjustRightInd/>
        <w:snapToGrid w:val="0"/>
        <w:spacing w:line="0" w:lineRule="atLeast"/>
        <w:jc w:val="right"/>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单位：万元</w:t>
      </w:r>
    </w:p>
    <w:tbl>
      <w:tblPr>
        <w:tblStyle w:val="12"/>
        <w:tblW w:w="4998" w:type="pct"/>
        <w:tblInd w:w="0" w:type="dxa"/>
        <w:shd w:val="clear" w:color="auto" w:fill="auto"/>
        <w:tblLayout w:type="fixed"/>
        <w:tblCellMar>
          <w:top w:w="0" w:type="dxa"/>
          <w:left w:w="108" w:type="dxa"/>
          <w:bottom w:w="0" w:type="dxa"/>
          <w:right w:w="108" w:type="dxa"/>
        </w:tblCellMar>
      </w:tblPr>
      <w:tblGrid>
        <w:gridCol w:w="724"/>
        <w:gridCol w:w="4288"/>
        <w:gridCol w:w="1240"/>
        <w:gridCol w:w="1155"/>
        <w:gridCol w:w="1155"/>
        <w:gridCol w:w="1155"/>
        <w:gridCol w:w="1155"/>
        <w:gridCol w:w="1155"/>
        <w:gridCol w:w="1156"/>
        <w:gridCol w:w="1450"/>
        <w:gridCol w:w="975"/>
      </w:tblGrid>
      <w:tr>
        <w:tblPrEx>
          <w:tblCellMar>
            <w:top w:w="0" w:type="dxa"/>
            <w:left w:w="108" w:type="dxa"/>
            <w:bottom w:w="0" w:type="dxa"/>
            <w:right w:w="108" w:type="dxa"/>
          </w:tblCellMar>
        </w:tblPrEx>
        <w:trPr>
          <w:trHeight w:val="57" w:hRule="atLeast"/>
        </w:trPr>
        <w:tc>
          <w:tcPr>
            <w:tcW w:w="23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序号</w:t>
            </w:r>
          </w:p>
        </w:tc>
        <w:tc>
          <w:tcPr>
            <w:tcW w:w="137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w:t>
            </w:r>
          </w:p>
        </w:tc>
        <w:tc>
          <w:tcPr>
            <w:tcW w:w="397" w:type="pct"/>
            <w:vMerge w:val="restart"/>
            <w:tcBorders>
              <w:top w:val="single" w:color="000000" w:sz="8" w:space="0"/>
              <w:left w:val="single" w:color="000000" w:sz="8" w:space="0"/>
              <w:bottom w:val="single" w:color="000000" w:sz="8"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合计</w:t>
            </w:r>
          </w:p>
        </w:tc>
        <w:tc>
          <w:tcPr>
            <w:tcW w:w="2997"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z w:val="18"/>
                <w:szCs w:val="18"/>
                <w:u w:val="none"/>
                <w:lang w:val="en-US" w:eastAsia="zh-CN"/>
              </w:rPr>
              <w:t>运营期</w:t>
            </w:r>
          </w:p>
        </w:tc>
      </w:tr>
      <w:tr>
        <w:tblPrEx>
          <w:tblCellMar>
            <w:top w:w="0" w:type="dxa"/>
            <w:left w:w="108" w:type="dxa"/>
            <w:bottom w:w="0" w:type="dxa"/>
            <w:right w:w="108" w:type="dxa"/>
          </w:tblCellMar>
        </w:tblPrEx>
        <w:trPr>
          <w:trHeight w:val="57" w:hRule="atLeast"/>
        </w:trPr>
        <w:tc>
          <w:tcPr>
            <w:tcW w:w="23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137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9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70"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2029年</w:t>
            </w:r>
          </w:p>
        </w:tc>
        <w:tc>
          <w:tcPr>
            <w:tcW w:w="370"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2030年</w:t>
            </w:r>
          </w:p>
        </w:tc>
        <w:tc>
          <w:tcPr>
            <w:tcW w:w="370"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2031年</w:t>
            </w:r>
          </w:p>
        </w:tc>
        <w:tc>
          <w:tcPr>
            <w:tcW w:w="370"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2032年</w:t>
            </w:r>
          </w:p>
        </w:tc>
        <w:tc>
          <w:tcPr>
            <w:tcW w:w="370"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2033年</w:t>
            </w:r>
          </w:p>
        </w:tc>
        <w:tc>
          <w:tcPr>
            <w:tcW w:w="370"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2034年</w:t>
            </w:r>
          </w:p>
        </w:tc>
        <w:tc>
          <w:tcPr>
            <w:tcW w:w="464"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2035年</w:t>
            </w:r>
          </w:p>
        </w:tc>
        <w:tc>
          <w:tcPr>
            <w:tcW w:w="312"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2036年</w:t>
            </w:r>
          </w:p>
        </w:tc>
      </w:tr>
      <w:tr>
        <w:tblPrEx>
          <w:shd w:val="clear" w:color="auto" w:fill="auto"/>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一</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经营活动产生的净现金流量（1-2）</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35026.01</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2678.22</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2885.91</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2882.30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2878.65</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2955.71</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2952.00</w:t>
            </w:r>
          </w:p>
        </w:tc>
        <w:tc>
          <w:tcPr>
            <w:tcW w:w="46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2948.25</w:t>
            </w:r>
          </w:p>
        </w:tc>
        <w:tc>
          <w:tcPr>
            <w:tcW w:w="31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2958.64</w:t>
            </w:r>
          </w:p>
        </w:tc>
      </w:tr>
      <w:tr>
        <w:tblPrEx>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现金流入</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58637.25</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4445.39</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4791.10</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4791.10</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4791.10</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4936.95</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4936.95</w:t>
            </w: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4936.95</w:t>
            </w: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5094.00</w:t>
            </w:r>
          </w:p>
        </w:tc>
      </w:tr>
      <w:tr>
        <w:tblPrEx>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经营收入</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58637.25</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4445.39</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4791.10</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4791.10</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4791.10</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4936.95</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4936.95</w:t>
            </w: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4936.95</w:t>
            </w: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5094.00</w:t>
            </w:r>
          </w:p>
        </w:tc>
      </w:tr>
      <w:tr>
        <w:tblPrEx>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补贴收入</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现金流出</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23611.24</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1767.17</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1905.19</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1908.80</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1912.45</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1981.24</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1984.95</w:t>
            </w: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1988.70</w:t>
            </w: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2135.36</w:t>
            </w:r>
          </w:p>
        </w:tc>
      </w:tr>
      <w:tr>
        <w:tblPrEx>
          <w:shd w:val="clear" w:color="auto" w:fill="auto"/>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经营成本</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16196.70</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1233.62</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1269.38</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1274.19</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1279.05</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1307.59</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1312.54</w:t>
            </w: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1317.54</w:t>
            </w: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1347.34</w:t>
            </w:r>
          </w:p>
        </w:tc>
      </w:tr>
      <w:tr>
        <w:tblPrEx>
          <w:shd w:val="clear" w:color="auto" w:fill="auto"/>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相关税费（税金及附加+企业所得税）</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7414.54</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533.55</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635.81</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634.61</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633.40</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673.65</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672.41</w:t>
            </w: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671.16</w:t>
            </w: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788.02</w:t>
            </w:r>
          </w:p>
        </w:tc>
      </w:tr>
      <w:tr>
        <w:tblPrEx>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二</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投资活动净现金流量（1-2）</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-33188.67</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现金流入</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处置投资物</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收到其他投资</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现金流出</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33188.67</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建设投资（静态总投资）</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33188.67</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维持运营投资</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三</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筹措活动净现金流量（1-2）</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26768.67</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-720.00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-720.00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-720.00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-720.00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-720.00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-720.00</w:t>
            </w:r>
          </w:p>
        </w:tc>
        <w:tc>
          <w:tcPr>
            <w:tcW w:w="46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-720.00</w:t>
            </w:r>
          </w:p>
        </w:tc>
        <w:tc>
          <w:tcPr>
            <w:tcW w:w="31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-18426.67</w:t>
            </w:r>
          </w:p>
        </w:tc>
      </w:tr>
      <w:tr>
        <w:tblPrEx>
          <w:shd w:val="clear" w:color="auto" w:fill="auto"/>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现金流入</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35000.00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项目资本金投入</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17000.00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专项债券资金</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18000.00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市场化融资</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现金流出</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28818.00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46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31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18426.67</w:t>
            </w:r>
          </w:p>
        </w:tc>
      </w:tr>
      <w:tr>
        <w:tblPrEx>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市场化融资利息</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46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31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支付债券利息</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10800.00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46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720.00</w:t>
            </w:r>
          </w:p>
        </w:tc>
        <w:tc>
          <w:tcPr>
            <w:tcW w:w="31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426.67</w:t>
            </w:r>
          </w:p>
        </w:tc>
      </w:tr>
      <w:tr>
        <w:tblPrEx>
          <w:shd w:val="clear" w:color="auto" w:fill="auto"/>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支付债券发行费用</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18.00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支付市场化融资发行费用</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支付专项债券本金</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18000.00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6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1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18000.00</w:t>
            </w:r>
          </w:p>
        </w:tc>
      </w:tr>
      <w:tr>
        <w:tblPrEx>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支付市场化融资本金</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46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31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01"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四</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现金流量总计</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i w:val="0"/>
                <w:iCs w:val="0"/>
                <w:color w:val="000000"/>
                <w:sz w:val="18"/>
                <w:szCs w:val="18"/>
                <w:u w:val="none"/>
              </w:rPr>
            </w:pPr>
          </w:p>
        </w:tc>
      </w:tr>
      <w:tr>
        <w:tblPrEx>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项目期的期初资金</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8346.34</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10304.55</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12470.46</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14632.76</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16791.41</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19027.12</w:t>
            </w: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21259.12</w:t>
            </w: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23487.37</w:t>
            </w:r>
          </w:p>
        </w:tc>
      </w:tr>
      <w:tr>
        <w:tblPrEx>
          <w:tblCellMar>
            <w:top w:w="0" w:type="dxa"/>
            <w:left w:w="108" w:type="dxa"/>
            <w:bottom w:w="0" w:type="dxa"/>
            <w:right w:w="108" w:type="dxa"/>
          </w:tblCellMar>
        </w:tblPrEx>
        <w:trPr>
          <w:trHeight w:val="116"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项目期内现金变动（一+二+三）</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8019.34</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1958.22</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2165.91</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2162.30</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2158.65</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2235.71</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2232.00</w:t>
            </w: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2228.25</w:t>
            </w: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-15468.03</w:t>
            </w:r>
          </w:p>
        </w:tc>
      </w:tr>
      <w:tr>
        <w:tblPrEx>
          <w:tblCellMar>
            <w:top w:w="0" w:type="dxa"/>
            <w:left w:w="108" w:type="dxa"/>
            <w:bottom w:w="0" w:type="dxa"/>
            <w:right w:w="108" w:type="dxa"/>
          </w:tblCellMar>
        </w:tblPrEx>
        <w:trPr>
          <w:trHeight w:val="57" w:hRule="atLeast"/>
        </w:trPr>
        <w:tc>
          <w:tcPr>
            <w:tcW w:w="23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w:t>
            </w:r>
          </w:p>
        </w:tc>
        <w:tc>
          <w:tcPr>
            <w:tcW w:w="137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项目期的期末资金</w:t>
            </w:r>
          </w:p>
        </w:tc>
        <w:tc>
          <w:tcPr>
            <w:tcW w:w="3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8019.34</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10304.55</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12470.46</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14632.76</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16791.41</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19027.12</w:t>
            </w:r>
          </w:p>
        </w:tc>
        <w:tc>
          <w:tcPr>
            <w:tcW w:w="37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21259.12</w:t>
            </w:r>
          </w:p>
        </w:tc>
        <w:tc>
          <w:tcPr>
            <w:tcW w:w="46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23487.37</w:t>
            </w:r>
          </w:p>
        </w:tc>
        <w:tc>
          <w:tcPr>
            <w:tcW w:w="3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8019.34</w:t>
            </w:r>
          </w:p>
        </w:tc>
      </w:tr>
    </w:tbl>
    <w:p>
      <w:pPr>
        <w:pStyle w:val="2"/>
        <w:rPr>
          <w:rFonts w:hint="eastAsia"/>
          <w:lang w:val="en-US" w:eastAsia="zh-CN"/>
        </w:rPr>
      </w:pPr>
    </w:p>
    <w:p>
      <w:pPr>
        <w:pStyle w:val="11"/>
        <w:ind w:left="0" w:leftChars="0" w:firstLine="0" w:firstLineChars="0"/>
        <w:rPr>
          <w:rFonts w:hint="default" w:eastAsia="宋体"/>
          <w:lang w:val="en-US" w:eastAsia="zh-CN"/>
        </w:rPr>
        <w:sectPr>
          <w:pgSz w:w="16838" w:h="11906" w:orient="landscape"/>
          <w:pgMar w:top="720" w:right="720" w:bottom="720" w:left="720" w:header="851" w:footer="992" w:gutter="0"/>
          <w:cols w:space="720" w:num="1"/>
          <w:docGrid w:type="lines" w:linePitch="312" w:charSpace="0"/>
        </w:sectPr>
      </w:pP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rPr>
      </w:pPr>
      <w:r>
        <w:rPr>
          <w:rFonts w:hint="eastAsia" w:ascii="仿宋" w:hAnsi="仿宋" w:eastAsia="仿宋"/>
          <w:b/>
          <w:bCs/>
          <w:color w:val="auto"/>
          <w:sz w:val="32"/>
          <w:szCs w:val="32"/>
        </w:rPr>
        <w:t>五、项目绩效目标</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 w:hAnsi="仿宋" w:eastAsia="仿宋" w:cs="仿宋"/>
          <w:sz w:val="32"/>
          <w:szCs w:val="32"/>
          <w:lang w:val="en-US" w:eastAsia="zh-CN"/>
        </w:rPr>
      </w:pPr>
      <w:bookmarkStart w:id="49" w:name="_Toc22004_WPSOffice_Level2"/>
      <w:r>
        <w:rPr>
          <w:rFonts w:hint="eastAsia" w:ascii="仿宋" w:hAnsi="仿宋" w:eastAsia="仿宋" w:cs="仿宋"/>
          <w:sz w:val="32"/>
          <w:szCs w:val="32"/>
          <w:lang w:val="en-US" w:eastAsia="zh-CN"/>
        </w:rPr>
        <w:t>时效</w:t>
      </w:r>
      <w:bookmarkEnd w:id="49"/>
      <w:r>
        <w:rPr>
          <w:rFonts w:hint="eastAsia" w:ascii="仿宋" w:hAnsi="仿宋" w:eastAsia="仿宋" w:cs="仿宋"/>
          <w:sz w:val="32"/>
          <w:szCs w:val="32"/>
          <w:lang w:val="en-US" w:eastAsia="zh-CN"/>
        </w:rPr>
        <w:t>目标：债券发行期为15年。债券15年内还本付息，遂宁市政府可根据项目实施及收益情况提前还本付息。</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 w:hAnsi="仿宋" w:eastAsia="仿宋" w:cs="仿宋"/>
          <w:sz w:val="32"/>
          <w:szCs w:val="32"/>
          <w:lang w:val="en-US" w:eastAsia="zh-CN"/>
        </w:rPr>
      </w:pPr>
      <w:bookmarkStart w:id="50" w:name="_Toc6776_WPSOffice_Level2"/>
      <w:r>
        <w:rPr>
          <w:rFonts w:hint="eastAsia" w:ascii="仿宋" w:hAnsi="仿宋" w:eastAsia="仿宋" w:cs="仿宋"/>
          <w:sz w:val="32"/>
          <w:szCs w:val="32"/>
          <w:lang w:val="en-US" w:eastAsia="zh-CN"/>
        </w:rPr>
        <w:t>经济效益</w:t>
      </w:r>
      <w:bookmarkEnd w:id="50"/>
      <w:r>
        <w:rPr>
          <w:rFonts w:hint="eastAsia" w:ascii="仿宋" w:hAnsi="仿宋" w:eastAsia="仿宋" w:cs="仿宋"/>
          <w:sz w:val="32"/>
          <w:szCs w:val="32"/>
          <w:lang w:val="en-US" w:eastAsia="zh-CN"/>
        </w:rPr>
        <w:t>目标：通过获取项目收入，实现收益和融资自求平衡，增加地方财政收入，提升财政支出能力。</w:t>
      </w:r>
      <w:bookmarkStart w:id="51" w:name="_Toc14310_WPSOffice_Level2"/>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社</w:t>
      </w:r>
      <w:r>
        <w:rPr>
          <w:rFonts w:hint="eastAsia" w:ascii="仿宋" w:hAnsi="仿宋" w:eastAsia="仿宋" w:cs="仿宋"/>
          <w:color w:val="auto"/>
          <w:sz w:val="32"/>
          <w:szCs w:val="32"/>
          <w:lang w:val="en-US" w:eastAsia="zh-CN"/>
        </w:rPr>
        <w:t>会效益</w:t>
      </w:r>
      <w:bookmarkEnd w:id="51"/>
      <w:r>
        <w:rPr>
          <w:rFonts w:hint="eastAsia" w:ascii="仿宋" w:hAnsi="仿宋" w:eastAsia="仿宋" w:cs="仿宋"/>
          <w:color w:val="auto"/>
          <w:sz w:val="32"/>
          <w:szCs w:val="32"/>
          <w:lang w:val="en-US" w:eastAsia="zh-CN"/>
        </w:rPr>
        <w:t>目标：</w:t>
      </w:r>
      <w:bookmarkStart w:id="52" w:name="_Toc5082_WPSOffice_Level2"/>
      <w:r>
        <w:rPr>
          <w:rFonts w:hint="eastAsia" w:ascii="仿宋" w:hAnsi="仿宋" w:eastAsia="仿宋" w:cs="仿宋"/>
          <w:sz w:val="32"/>
          <w:szCs w:val="32"/>
          <w:lang w:val="en-US" w:eastAsia="zh-CN"/>
        </w:rPr>
        <w:t>本次的实施是提升老旧小区居民的居住条件和生活品质，改善城市人居环境，更提升城市宜居品质，完善南片区城市道路网，打通道路微循环，提高道路通达性；本项目可以进一步推进南片区公共交通设施建设，改善南片区步行、自行车的出行环境，形成合理的居民出行方式结构，营造遂宁安全、高效、低碳的城市交通环境。</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可持续影响</w:t>
      </w:r>
      <w:bookmarkEnd w:id="52"/>
      <w:r>
        <w:rPr>
          <w:rFonts w:hint="eastAsia" w:ascii="仿宋" w:hAnsi="仿宋" w:eastAsia="仿宋" w:cs="仿宋"/>
          <w:b w:val="0"/>
          <w:bCs w:val="0"/>
          <w:color w:val="auto"/>
          <w:sz w:val="32"/>
          <w:szCs w:val="32"/>
          <w:lang w:val="en-US" w:eastAsia="zh-CN"/>
        </w:rPr>
        <w:t>目标：本项目的实施能够带来南片区甚至遂宁劳动力转移的加快，增加社会消费需求量，促进服务行业的繁荣发展，以及城市化步伐的加快。</w:t>
      </w: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rPr>
      </w:pPr>
      <w:r>
        <w:rPr>
          <w:rFonts w:hint="eastAsia" w:ascii="仿宋" w:hAnsi="仿宋" w:eastAsia="仿宋"/>
          <w:b/>
          <w:bCs/>
          <w:color w:val="auto"/>
          <w:sz w:val="32"/>
          <w:szCs w:val="32"/>
        </w:rPr>
        <w:t>六、潜在影响项目的风险评估</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outlineLvl w:val="9"/>
        <w:rPr>
          <w:rFonts w:hint="eastAsia" w:ascii="仿宋" w:hAnsi="仿宋" w:eastAsia="仿宋" w:cs="仿宋"/>
          <w:sz w:val="32"/>
          <w:szCs w:val="32"/>
          <w:lang w:val="en-US" w:eastAsia="zh-CN"/>
        </w:rPr>
      </w:pPr>
      <w:bookmarkStart w:id="53" w:name="_Toc522211123"/>
      <w:bookmarkStart w:id="54" w:name="_Toc15343"/>
      <w:r>
        <w:rPr>
          <w:rFonts w:hint="eastAsia" w:ascii="仿宋" w:hAnsi="仿宋" w:eastAsia="仿宋" w:cs="仿宋"/>
          <w:sz w:val="32"/>
          <w:szCs w:val="32"/>
          <w:lang w:val="en-US" w:eastAsia="zh-CN"/>
        </w:rPr>
        <w:t>1.经营风险</w:t>
      </w:r>
      <w:bookmarkEnd w:id="53"/>
      <w:bookmarkEnd w:id="54"/>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风险识别：经营风险是指生产经营的不确定性带来的风险。若项目投入运营后的停车场收入、广告位出租收入、家政服务收入、物业服务费收入未能达到预测值，将影响项目整体收益，对债券还本付息产生影响。</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风险控制措施：</w:t>
      </w:r>
      <w:bookmarkStart w:id="55" w:name="_Toc522211124"/>
      <w:bookmarkStart w:id="56" w:name="_Toc4440"/>
      <w:r>
        <w:rPr>
          <w:rFonts w:hint="eastAsia" w:ascii="仿宋" w:hAnsi="仿宋" w:eastAsia="仿宋" w:cs="仿宋"/>
          <w:sz w:val="32"/>
          <w:szCs w:val="32"/>
          <w:lang w:val="en-US" w:eastAsia="zh-CN"/>
        </w:rPr>
        <w:t>要求项目管理单位密切关注相关收费情况，根据实际停车场收费、家政服务费、物业服务费等进行调整单价或政府补贴，保证还本付息资金。</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2.市场风险</w:t>
      </w:r>
      <w:bookmarkEnd w:id="55"/>
      <w:bookmarkEnd w:id="56"/>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风险识别：在专项债券存续期内，国际、国内宏观经济环境的变化，国家经济政策变动等因素会引起债务资本市场利率的波动，市场利率波动将会对本项目的财务成本产生一定影响，进而影响项目投资收益的平衡。</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风险控制措施：要求项目单位合理安排债券发行金额和债券期限，做好债券的期限配比、还款计划和资金准备。密切关注宏观经济市场，充分与市场机构沟通，选择合适的发行窗口，降低财务成本，保证项目收益与融资平衡。</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outlineLvl w:val="9"/>
        <w:rPr>
          <w:rFonts w:hint="eastAsia" w:ascii="仿宋" w:hAnsi="仿宋" w:eastAsia="仿宋" w:cs="仿宋"/>
          <w:sz w:val="32"/>
          <w:szCs w:val="32"/>
          <w:lang w:val="en-US" w:eastAsia="zh-CN"/>
        </w:rPr>
      </w:pPr>
      <w:bookmarkStart w:id="57" w:name="_Toc15747"/>
      <w:bookmarkStart w:id="58" w:name="_Toc522211125"/>
      <w:r>
        <w:rPr>
          <w:rFonts w:hint="eastAsia" w:ascii="仿宋" w:hAnsi="仿宋" w:eastAsia="仿宋" w:cs="仿宋"/>
          <w:sz w:val="32"/>
          <w:szCs w:val="32"/>
          <w:lang w:val="en-US" w:eastAsia="zh-CN"/>
        </w:rPr>
        <w:t>3.财务风险</w:t>
      </w:r>
      <w:bookmarkEnd w:id="57"/>
      <w:bookmarkEnd w:id="58"/>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风险识别：由于项目建设周期较长，如果在项目建设过程中，受市场因素影响，项目施工所需的原材料价格上涨，将导致项目施工成本增加，财务负担加重，进而影响项目建设进度，以及项目建设期内专项债券的利息兑付，因此面临一定财务风险。</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风险控制措施：项目可行性研究报告编制过程中，在测算项目总投资时已考虑相关风险。同时，在项目建设过程中，加强项目施工预算管理、招标及合同管理，尽可能控制建设成本。</w:t>
      </w: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rPr>
      </w:pPr>
      <w:r>
        <w:rPr>
          <w:rFonts w:hint="eastAsia" w:ascii="仿宋" w:hAnsi="仿宋" w:eastAsia="仿宋"/>
          <w:b/>
          <w:bCs/>
          <w:color w:val="auto"/>
          <w:sz w:val="32"/>
          <w:szCs w:val="32"/>
        </w:rPr>
        <w:t>七、还款保障情况</w:t>
      </w:r>
    </w:p>
    <w:p>
      <w:pPr>
        <w:keepNext w:val="0"/>
        <w:keepLines w:val="0"/>
        <w:pageBreakBefore w:val="0"/>
        <w:widowControl w:val="0"/>
        <w:kinsoku/>
        <w:wordWrap/>
        <w:overflowPunct/>
        <w:topLinePunct w:val="0"/>
        <w:autoSpaceDE/>
        <w:autoSpaceDN/>
        <w:bidi w:val="0"/>
        <w:adjustRightInd/>
        <w:snapToGrid w:val="0"/>
        <w:spacing w:line="360" w:lineRule="auto"/>
        <w:ind w:firstLine="640"/>
        <w:textAlignment w:val="auto"/>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若调整的专项债券期限与项目期限不匹配，将通过已形成的项目收益、本级财政调度资金等方式及时偿还到期专项债券本息。</w:t>
      </w: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rPr>
      </w:pPr>
      <w:r>
        <w:rPr>
          <w:rFonts w:hint="eastAsia" w:ascii="仿宋" w:hAnsi="仿宋" w:eastAsia="仿宋"/>
          <w:b/>
          <w:bCs/>
          <w:color w:val="auto"/>
          <w:sz w:val="32"/>
          <w:szCs w:val="32"/>
        </w:rPr>
        <w:t>八、主管部门责任</w:t>
      </w:r>
    </w:p>
    <w:p>
      <w:pPr>
        <w:keepNext w:val="0"/>
        <w:keepLines w:val="0"/>
        <w:pageBreakBefore w:val="0"/>
        <w:widowControl w:val="0"/>
        <w:kinsoku/>
        <w:wordWrap/>
        <w:overflowPunct/>
        <w:topLinePunct w:val="0"/>
        <w:autoSpaceDE/>
        <w:autoSpaceDN/>
        <w:bidi w:val="0"/>
        <w:adjustRightInd/>
        <w:snapToGrid w:val="0"/>
        <w:spacing w:beforeLines="50" w:afterLines="50"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u w:val="none"/>
          <w:lang w:val="en-US" w:eastAsia="zh-CN"/>
        </w:rPr>
        <w:t>遂宁经济技术开发区南片区老旧小区配套基础设施建设项目的主管部门为遂宁经济技术开发区管理委员会，</w:t>
      </w:r>
      <w:r>
        <w:rPr>
          <w:rFonts w:hint="eastAsia" w:ascii="仿宋" w:hAnsi="仿宋" w:eastAsia="仿宋" w:cs="仿宋"/>
          <w:sz w:val="32"/>
          <w:szCs w:val="32"/>
          <w:lang w:val="en-US" w:eastAsia="zh-CN"/>
        </w:rPr>
        <w:t>主管部门将会配合做好本地区项目收益专项债券发行准备工作，及时准确提供相关资料，配合做好信息披露、信用评级、资产评估等工作。项目运行过程中，主管部门将主动披露项目施工期间的施工进度、项目收益专项债券资金使用情况、项目运营期间的收支情况等信息。在债券资金管理方面，行业主管部门将会履行项目建设运营管理责任，加强成本控制，确保项目形成的专项收入应收尽收，并按照规定及时足额上交。年终时，行业主管部门配合财政部门编制项目收益债券收支决算，在政府性基金预算报告中全面、准确反映项目收益专项债券收入、支出、还本付息、发行费用、取得的收入等情况。债券对应资产管理方面，主管部门将会协同财政部门将各类项目收益专项债券对应项目形成的资产纳入国有资产管理，建立相应的资产登记和统计报告制度，加强资产日常统计和动态监控。</w:t>
      </w:r>
    </w:p>
    <w:p>
      <w:pPr>
        <w:keepNext w:val="0"/>
        <w:keepLines w:val="0"/>
        <w:pageBreakBefore w:val="0"/>
        <w:widowControl w:val="0"/>
        <w:kinsoku/>
        <w:wordWrap/>
        <w:overflowPunct/>
        <w:topLinePunct w:val="0"/>
        <w:autoSpaceDE/>
        <w:autoSpaceDN/>
        <w:bidi w:val="0"/>
        <w:adjustRightInd/>
        <w:snapToGrid w:val="0"/>
        <w:spacing w:beforeLines="50" w:afterLines="50"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本项目项目单位为遂宁市富源实业有限公司，项目单位</w:t>
      </w:r>
      <w:r>
        <w:rPr>
          <w:rFonts w:hint="default" w:ascii="仿宋" w:hAnsi="仿宋" w:eastAsia="仿宋" w:cs="仿宋"/>
          <w:sz w:val="32"/>
          <w:szCs w:val="32"/>
          <w:lang w:val="en-US" w:eastAsia="zh-CN"/>
        </w:rPr>
        <w:t>承担</w:t>
      </w:r>
      <w:r>
        <w:rPr>
          <w:rFonts w:hint="eastAsia" w:ascii="仿宋" w:hAnsi="仿宋" w:eastAsia="仿宋" w:cs="仿宋"/>
          <w:sz w:val="32"/>
          <w:szCs w:val="32"/>
          <w:lang w:val="en-US" w:eastAsia="zh-CN"/>
        </w:rPr>
        <w:t>项目具体实施运营</w:t>
      </w:r>
      <w:r>
        <w:rPr>
          <w:rFonts w:hint="default" w:ascii="仿宋" w:hAnsi="仿宋" w:eastAsia="仿宋" w:cs="仿宋"/>
          <w:sz w:val="32"/>
          <w:szCs w:val="32"/>
          <w:lang w:val="en-US" w:eastAsia="zh-CN"/>
        </w:rPr>
        <w:t>工作，保障项目资产在债券存续期内均能得到有效的使用和管理，发挥项目应有的公益性和经济性，按预期实现项目收益，保障专项债的还本付息</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运营期资金实行统一管理，由财务单独立帐、核算，资金使用严格按计划进行，并接受上级有关部门的监督和检查。</w:t>
      </w:r>
      <w:r>
        <w:rPr>
          <w:rFonts w:hint="eastAsia" w:ascii="仿宋" w:hAnsi="仿宋" w:eastAsia="仿宋" w:cs="仿宋"/>
          <w:sz w:val="32"/>
          <w:szCs w:val="32"/>
          <w:lang w:val="en-US" w:eastAsia="zh-CN"/>
        </w:rPr>
        <w:t>项目单位</w:t>
      </w:r>
      <w:r>
        <w:rPr>
          <w:rFonts w:hint="default" w:ascii="仿宋" w:hAnsi="仿宋" w:eastAsia="仿宋" w:cs="仿宋"/>
          <w:sz w:val="32"/>
          <w:szCs w:val="32"/>
          <w:lang w:val="en-US" w:eastAsia="zh-CN"/>
        </w:rPr>
        <w:t>强化企业管理，创建现代化管理模式，从细节上规范、约束企业，使企业的管理体制逐步走上科学化的轨道，创造较好的企业效益和社会效益。从管理、技术、安全、生产等四个方面细化业务流程和标准，量化考核指标。通过推行精、准的规范和加强细、严的控制，运用科学管理方法和科技手段，全面推进项目规范化管理升级。项目单位认真分析有关单价变化的政策，不断挖掘项目自身的开发潜力，有效规避市场风险。抓好经营工作，实现互利共赢和取得良好的经济效益。项目单位做好记账、核算等基础工作，正确、及时、全面、真实地反映企业的经济活动，财产资金变化、成本费用开支和经营成果。通过建立和健全各种手续制度，如实反映资金活动的情况，按期进行财产清查，做到账账相符、账实相符。通过会计信息，不断改善经营管理，促进企业合理使用资金，降低费用水平，提高经济效益。</w:t>
      </w: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rPr>
      </w:pPr>
      <w:r>
        <w:rPr>
          <w:rFonts w:hint="eastAsia" w:ascii="仿宋" w:hAnsi="仿宋" w:eastAsia="仿宋"/>
          <w:b/>
          <w:bCs/>
          <w:color w:val="auto"/>
          <w:sz w:val="32"/>
          <w:szCs w:val="32"/>
        </w:rPr>
        <w:t>九</w:t>
      </w:r>
      <w:r>
        <w:rPr>
          <w:rFonts w:hint="eastAsia" w:ascii="仿宋" w:hAnsi="仿宋" w:eastAsia="仿宋"/>
          <w:b/>
          <w:bCs/>
          <w:color w:val="auto"/>
          <w:sz w:val="32"/>
          <w:szCs w:val="32"/>
          <w:lang w:eastAsia="zh-CN"/>
        </w:rPr>
        <w:t>、</w:t>
      </w:r>
      <w:r>
        <w:rPr>
          <w:rFonts w:hint="eastAsia" w:ascii="仿宋" w:hAnsi="仿宋" w:eastAsia="仿宋"/>
          <w:b/>
          <w:bCs/>
          <w:color w:val="auto"/>
          <w:sz w:val="32"/>
          <w:szCs w:val="32"/>
        </w:rPr>
        <w:t>补充说明</w:t>
      </w:r>
    </w:p>
    <w:p>
      <w:pPr>
        <w:spacing w:line="560" w:lineRule="exact"/>
        <w:ind w:firstLine="632" w:firstLineChars="200"/>
        <w:rPr>
          <w:rFonts w:hint="eastAsia" w:ascii="仿宋_GB2312" w:hAnsi="仿宋_GB2312" w:eastAsia="仿宋_GB2312"/>
          <w:b w:val="0"/>
          <w:bCs w:val="0"/>
          <w:color w:val="auto"/>
          <w:w w:val="99"/>
          <w:sz w:val="32"/>
          <w:szCs w:val="32"/>
        </w:rPr>
      </w:pPr>
      <w:r>
        <w:rPr>
          <w:rFonts w:hint="eastAsia" w:ascii="仿宋_GB2312" w:hAnsi="仿宋_GB2312" w:eastAsia="仿宋_GB2312"/>
          <w:b w:val="0"/>
          <w:bCs w:val="0"/>
          <w:color w:val="auto"/>
          <w:w w:val="99"/>
          <w:sz w:val="32"/>
          <w:szCs w:val="32"/>
        </w:rPr>
        <w:t>根据原发行计划及额度安排,此项目计划于202</w:t>
      </w:r>
      <w:r>
        <w:rPr>
          <w:rFonts w:hint="eastAsia" w:ascii="仿宋_GB2312" w:hAnsi="仿宋_GB2312" w:eastAsia="仿宋_GB2312"/>
          <w:b w:val="0"/>
          <w:bCs w:val="0"/>
          <w:color w:val="auto"/>
          <w:w w:val="99"/>
          <w:sz w:val="32"/>
          <w:szCs w:val="32"/>
          <w:lang w:val="en-US" w:eastAsia="zh-CN"/>
        </w:rPr>
        <w:t>1</w:t>
      </w:r>
      <w:r>
        <w:rPr>
          <w:rFonts w:hint="eastAsia" w:ascii="仿宋_GB2312" w:hAnsi="仿宋_GB2312" w:eastAsia="仿宋_GB2312"/>
          <w:b w:val="0"/>
          <w:bCs w:val="0"/>
          <w:color w:val="auto"/>
          <w:w w:val="99"/>
          <w:sz w:val="32"/>
          <w:szCs w:val="32"/>
        </w:rPr>
        <w:t>年发行</w:t>
      </w:r>
      <w:r>
        <w:rPr>
          <w:rFonts w:hint="eastAsia" w:ascii="仿宋_GB2312" w:hAnsi="仿宋_GB2312" w:eastAsia="仿宋_GB2312"/>
          <w:b w:val="0"/>
          <w:bCs w:val="0"/>
          <w:color w:val="auto"/>
          <w:w w:val="99"/>
          <w:sz w:val="32"/>
          <w:szCs w:val="32"/>
          <w:lang w:val="en-US" w:eastAsia="zh-CN"/>
        </w:rPr>
        <w:t>8000.00</w:t>
      </w:r>
      <w:r>
        <w:rPr>
          <w:rFonts w:hint="eastAsia" w:ascii="仿宋_GB2312" w:hAnsi="仿宋_GB2312" w:eastAsia="仿宋_GB2312"/>
          <w:b w:val="0"/>
          <w:bCs w:val="0"/>
          <w:color w:val="auto"/>
          <w:w w:val="99"/>
          <w:sz w:val="32"/>
          <w:szCs w:val="32"/>
        </w:rPr>
        <w:t>万元，因地方政府债务限额管理要求和项目实施进展情况等原因未发行。调整后本次拟发行</w:t>
      </w:r>
      <w:r>
        <w:rPr>
          <w:rFonts w:hint="eastAsia" w:ascii="仿宋_GB2312" w:hAnsi="仿宋_GB2312" w:eastAsia="仿宋_GB2312"/>
          <w:b w:val="0"/>
          <w:bCs w:val="0"/>
          <w:color w:val="auto"/>
          <w:w w:val="99"/>
          <w:sz w:val="32"/>
          <w:szCs w:val="32"/>
          <w:lang w:val="en-US" w:eastAsia="zh-CN"/>
        </w:rPr>
        <w:t>1500.00</w:t>
      </w:r>
      <w:r>
        <w:rPr>
          <w:rFonts w:hint="eastAsia" w:ascii="仿宋_GB2312" w:hAnsi="仿宋_GB2312" w:eastAsia="仿宋_GB2312"/>
          <w:b w:val="0"/>
          <w:bCs w:val="0"/>
          <w:color w:val="auto"/>
          <w:w w:val="99"/>
          <w:sz w:val="32"/>
          <w:szCs w:val="32"/>
        </w:rPr>
        <w:t>万元，期限</w:t>
      </w:r>
      <w:r>
        <w:rPr>
          <w:rFonts w:hint="eastAsia" w:ascii="仿宋_GB2312" w:hAnsi="仿宋_GB2312" w:eastAsia="仿宋_GB2312"/>
          <w:b w:val="0"/>
          <w:bCs w:val="0"/>
          <w:color w:val="auto"/>
          <w:w w:val="99"/>
          <w:sz w:val="32"/>
          <w:szCs w:val="32"/>
          <w:lang w:val="en-US" w:eastAsia="zh-CN"/>
        </w:rPr>
        <w:t>15</w:t>
      </w:r>
      <w:r>
        <w:rPr>
          <w:rFonts w:hint="eastAsia" w:ascii="仿宋_GB2312" w:hAnsi="仿宋_GB2312" w:eastAsia="仿宋_GB2312"/>
          <w:b w:val="0"/>
          <w:bCs w:val="0"/>
          <w:color w:val="auto"/>
          <w:w w:val="99"/>
          <w:sz w:val="32"/>
          <w:szCs w:val="32"/>
        </w:rPr>
        <w:t>年，该项目实施内容及收益来源未发生变动，在不超过项目债券总需求情况下，债券跨年发行对项目整体融资平衡不构成实质影响。</w:t>
      </w:r>
    </w:p>
    <w:p>
      <w:pPr>
        <w:pStyle w:val="11"/>
        <w:keepNext w:val="0"/>
        <w:keepLines w:val="0"/>
        <w:pageBreakBefore w:val="0"/>
        <w:widowControl w:val="0"/>
        <w:kinsoku/>
        <w:wordWrap/>
        <w:overflowPunct/>
        <w:topLinePunct w:val="0"/>
        <w:autoSpaceDE/>
        <w:autoSpaceDN/>
        <w:bidi w:val="0"/>
        <w:adjustRightInd/>
        <w:snapToGrid w:val="0"/>
        <w:spacing w:after="0" w:line="360" w:lineRule="auto"/>
        <w:ind w:left="0" w:leftChars="0" w:firstLine="420" w:firstLineChars="200"/>
        <w:textAlignment w:val="auto"/>
        <w:rPr>
          <w:rFonts w:hint="default" w:eastAsia="宋体"/>
          <w:lang w:val="en-US" w:eastAsia="zh-CN"/>
        </w:rPr>
      </w:pPr>
      <w:bookmarkStart w:id="59" w:name="_GoBack"/>
      <w:bookmarkEnd w:id="59"/>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9AD43B"/>
    <w:multiLevelType w:val="singleLevel"/>
    <w:tmpl w:val="669AD43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D86938"/>
    <w:rsid w:val="00420598"/>
    <w:rsid w:val="03211E2F"/>
    <w:rsid w:val="04331E06"/>
    <w:rsid w:val="0458615D"/>
    <w:rsid w:val="0508651B"/>
    <w:rsid w:val="065F2511"/>
    <w:rsid w:val="07367AC5"/>
    <w:rsid w:val="07E00DAD"/>
    <w:rsid w:val="0ABC6649"/>
    <w:rsid w:val="0B9710C8"/>
    <w:rsid w:val="0C050820"/>
    <w:rsid w:val="0C28576D"/>
    <w:rsid w:val="0C9F71DB"/>
    <w:rsid w:val="0CF310B2"/>
    <w:rsid w:val="0E9F5D49"/>
    <w:rsid w:val="10AD361E"/>
    <w:rsid w:val="10C67AB8"/>
    <w:rsid w:val="14000243"/>
    <w:rsid w:val="142F3A0C"/>
    <w:rsid w:val="143C5CE9"/>
    <w:rsid w:val="149E359F"/>
    <w:rsid w:val="14BE72F1"/>
    <w:rsid w:val="14F21B11"/>
    <w:rsid w:val="16273273"/>
    <w:rsid w:val="16C373AC"/>
    <w:rsid w:val="17045D7E"/>
    <w:rsid w:val="174B3736"/>
    <w:rsid w:val="17794E9A"/>
    <w:rsid w:val="18F37790"/>
    <w:rsid w:val="1AEB2BCB"/>
    <w:rsid w:val="1B655074"/>
    <w:rsid w:val="1C3168BB"/>
    <w:rsid w:val="1D447F7C"/>
    <w:rsid w:val="1F813244"/>
    <w:rsid w:val="20015D2E"/>
    <w:rsid w:val="20362411"/>
    <w:rsid w:val="20494647"/>
    <w:rsid w:val="20882AE2"/>
    <w:rsid w:val="20F11B4B"/>
    <w:rsid w:val="21012DB7"/>
    <w:rsid w:val="21883F0B"/>
    <w:rsid w:val="22580D98"/>
    <w:rsid w:val="226749C5"/>
    <w:rsid w:val="267C63A9"/>
    <w:rsid w:val="27B063AD"/>
    <w:rsid w:val="27B277B4"/>
    <w:rsid w:val="28D9664C"/>
    <w:rsid w:val="28EA4015"/>
    <w:rsid w:val="29EA2A61"/>
    <w:rsid w:val="2ACF56D1"/>
    <w:rsid w:val="2AE3617C"/>
    <w:rsid w:val="2BEC4EBD"/>
    <w:rsid w:val="2CB30B5F"/>
    <w:rsid w:val="2CF81A8F"/>
    <w:rsid w:val="307E6B40"/>
    <w:rsid w:val="308B2FE5"/>
    <w:rsid w:val="30A10848"/>
    <w:rsid w:val="31D3603B"/>
    <w:rsid w:val="32927CCD"/>
    <w:rsid w:val="32C24A76"/>
    <w:rsid w:val="33221A86"/>
    <w:rsid w:val="33714496"/>
    <w:rsid w:val="33AA0A59"/>
    <w:rsid w:val="34C31017"/>
    <w:rsid w:val="34C41CA1"/>
    <w:rsid w:val="35AB4A69"/>
    <w:rsid w:val="3CF4354C"/>
    <w:rsid w:val="3D774A5E"/>
    <w:rsid w:val="3D845780"/>
    <w:rsid w:val="3E183E08"/>
    <w:rsid w:val="3EE40DF5"/>
    <w:rsid w:val="3F30796D"/>
    <w:rsid w:val="3FCD59F0"/>
    <w:rsid w:val="41763C09"/>
    <w:rsid w:val="41784F1A"/>
    <w:rsid w:val="419826B8"/>
    <w:rsid w:val="42053E63"/>
    <w:rsid w:val="435B4E62"/>
    <w:rsid w:val="43D0094B"/>
    <w:rsid w:val="44717283"/>
    <w:rsid w:val="447A0DE1"/>
    <w:rsid w:val="44831B58"/>
    <w:rsid w:val="45322949"/>
    <w:rsid w:val="453612E4"/>
    <w:rsid w:val="457D7FA4"/>
    <w:rsid w:val="459845A2"/>
    <w:rsid w:val="463013DA"/>
    <w:rsid w:val="46430415"/>
    <w:rsid w:val="46FC37FB"/>
    <w:rsid w:val="47DC4947"/>
    <w:rsid w:val="48D86938"/>
    <w:rsid w:val="492D4146"/>
    <w:rsid w:val="49B9783E"/>
    <w:rsid w:val="4C2C03C5"/>
    <w:rsid w:val="4C6805C4"/>
    <w:rsid w:val="4D5452D4"/>
    <w:rsid w:val="4E7F7BA9"/>
    <w:rsid w:val="50892D33"/>
    <w:rsid w:val="51434005"/>
    <w:rsid w:val="51577184"/>
    <w:rsid w:val="52DF6E63"/>
    <w:rsid w:val="54EE5EC9"/>
    <w:rsid w:val="55BD1873"/>
    <w:rsid w:val="55E346F9"/>
    <w:rsid w:val="57704141"/>
    <w:rsid w:val="57D77DF3"/>
    <w:rsid w:val="58B113F0"/>
    <w:rsid w:val="593135F3"/>
    <w:rsid w:val="5935490D"/>
    <w:rsid w:val="599A5D1A"/>
    <w:rsid w:val="5A683D4C"/>
    <w:rsid w:val="5AA165B5"/>
    <w:rsid w:val="5B326D82"/>
    <w:rsid w:val="5C4A7489"/>
    <w:rsid w:val="5CA36E02"/>
    <w:rsid w:val="5DB87EAF"/>
    <w:rsid w:val="5EFF5AAC"/>
    <w:rsid w:val="609303C9"/>
    <w:rsid w:val="626C39CB"/>
    <w:rsid w:val="63B65809"/>
    <w:rsid w:val="63EB07B5"/>
    <w:rsid w:val="66222E0C"/>
    <w:rsid w:val="66441FBE"/>
    <w:rsid w:val="668A1EEA"/>
    <w:rsid w:val="66E24808"/>
    <w:rsid w:val="687D425F"/>
    <w:rsid w:val="6A1A7C8F"/>
    <w:rsid w:val="6C2378EC"/>
    <w:rsid w:val="6DDB126D"/>
    <w:rsid w:val="6DEA4C9E"/>
    <w:rsid w:val="6EB35A2C"/>
    <w:rsid w:val="70547C0E"/>
    <w:rsid w:val="70570603"/>
    <w:rsid w:val="70D25977"/>
    <w:rsid w:val="71816A39"/>
    <w:rsid w:val="724333A2"/>
    <w:rsid w:val="73572443"/>
    <w:rsid w:val="739437C0"/>
    <w:rsid w:val="73C619CE"/>
    <w:rsid w:val="746E217E"/>
    <w:rsid w:val="74BF5585"/>
    <w:rsid w:val="75022A58"/>
    <w:rsid w:val="76130E08"/>
    <w:rsid w:val="767A7AC9"/>
    <w:rsid w:val="76EB4CB7"/>
    <w:rsid w:val="77B25D4B"/>
    <w:rsid w:val="78413722"/>
    <w:rsid w:val="792475D8"/>
    <w:rsid w:val="792E7798"/>
    <w:rsid w:val="79371441"/>
    <w:rsid w:val="79A51F73"/>
    <w:rsid w:val="7A323F95"/>
    <w:rsid w:val="7A5E34C4"/>
    <w:rsid w:val="7B360CB0"/>
    <w:rsid w:val="7B8B136B"/>
    <w:rsid w:val="7BCF0E93"/>
    <w:rsid w:val="7C02759D"/>
    <w:rsid w:val="7C1A27EF"/>
    <w:rsid w:val="7C565B43"/>
    <w:rsid w:val="7D546E9B"/>
    <w:rsid w:val="7E6C267F"/>
    <w:rsid w:val="7FB57784"/>
    <w:rsid w:val="7FC10B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before="100" w:beforeAutospacing="1" w:after="120"/>
    </w:pPr>
  </w:style>
  <w:style w:type="paragraph" w:styleId="3">
    <w:name w:val="toc 1"/>
    <w:basedOn w:val="1"/>
    <w:next w:val="1"/>
    <w:unhideWhenUsed/>
    <w:qFormat/>
    <w:uiPriority w:val="39"/>
    <w:pPr>
      <w:tabs>
        <w:tab w:val="right" w:leader="dot" w:pos="8296"/>
      </w:tabs>
      <w:jc w:val="center"/>
    </w:pPr>
    <w:rPr>
      <w:rFonts w:ascii="仿宋" w:hAnsi="仿宋" w:eastAsia="仿宋"/>
      <w:b/>
      <w:bCs/>
      <w:sz w:val="22"/>
      <w:szCs w:val="28"/>
    </w:rPr>
  </w:style>
  <w:style w:type="paragraph" w:styleId="6">
    <w:name w:val="Body Text Indent"/>
    <w:basedOn w:val="1"/>
    <w:unhideWhenUsed/>
    <w:qFormat/>
    <w:uiPriority w:val="99"/>
    <w:pPr>
      <w:spacing w:after="120"/>
      <w:ind w:left="420" w:leftChars="200"/>
    </w:pPr>
  </w:style>
  <w:style w:type="paragraph" w:styleId="7">
    <w:name w:val="Block Text"/>
    <w:basedOn w:val="1"/>
    <w:qFormat/>
    <w:uiPriority w:val="99"/>
    <w:pPr>
      <w:spacing w:line="300" w:lineRule="exact"/>
      <w:ind w:left="-105" w:leftChars="-50" w:right="-105" w:rightChars="-50" w:firstLine="0" w:firstLineChars="0"/>
      <w:jc w:val="center"/>
    </w:pPr>
    <w:rPr>
      <w:rFonts w:ascii="宋体" w:hAnsi="宋体"/>
      <w:sz w:val="18"/>
      <w:szCs w:val="20"/>
    </w:rPr>
  </w:style>
  <w:style w:type="paragraph" w:styleId="8">
    <w:name w:val="footer"/>
    <w:basedOn w:val="1"/>
    <w:unhideWhenUsed/>
    <w:qFormat/>
    <w:uiPriority w:val="99"/>
    <w:pPr>
      <w:tabs>
        <w:tab w:val="center" w:pos="4153"/>
        <w:tab w:val="right" w:pos="8306"/>
      </w:tabs>
      <w:snapToGrid w:val="0"/>
    </w:pPr>
    <w:rPr>
      <w:sz w:val="18"/>
      <w:szCs w:val="18"/>
    </w:rPr>
  </w:style>
  <w:style w:type="paragraph" w:styleId="9">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2"/>
    <w:basedOn w:val="6"/>
    <w:qFormat/>
    <w:uiPriority w:val="0"/>
    <w:pPr>
      <w:ind w:firstLine="420" w:firstLineChars="200"/>
    </w:pPr>
  </w:style>
  <w:style w:type="character" w:styleId="14">
    <w:name w:val="Strong"/>
    <w:basedOn w:val="13"/>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2020-08-10T02:22:00Z</dcterms:created>
  <dc:creator>浪漫是一种病</dc:creator>
  <cp:lastModifiedBy>LLLYT</cp:lastModifiedBy>
  <dcterms:modified xsi:type="dcterms:W3CDTF">2022-01-29T06:09:03Z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FFAB5FD0535D421499989C7F92376A40</vt:lpwstr>
  </property>
</Properties>
</file>