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color w:val="auto"/>
          <w:sz w:val="36"/>
          <w:szCs w:val="36"/>
          <w:lang w:val="en-US" w:eastAsia="zh-CN"/>
        </w:rPr>
      </w:pPr>
      <w:r>
        <w:rPr>
          <w:rFonts w:hint="eastAsia" w:ascii="黑体" w:hAnsi="黑体" w:eastAsia="黑体" w:cs="黑体"/>
          <w:b w:val="0"/>
          <w:bCs w:val="0"/>
          <w:color w:val="auto"/>
          <w:sz w:val="36"/>
          <w:szCs w:val="36"/>
          <w:lang w:val="en-US" w:eastAsia="zh-CN"/>
        </w:rPr>
        <w:t>遂宁经济技术开发区成渝双城经济PCB产业园配套基础设施建设项目情况</w:t>
      </w:r>
    </w:p>
    <w:p>
      <w:pPr>
        <w:pageBreakBefore w:val="0"/>
        <w:numPr>
          <w:ilvl w:val="0"/>
          <w:numId w:val="1"/>
        </w:numPr>
        <w:kinsoku/>
        <w:wordWrap/>
        <w:overflowPunct/>
        <w:topLinePunct w:val="0"/>
        <w:autoSpaceDE/>
        <w:autoSpaceDN/>
        <w:bidi w:val="0"/>
        <w:adjustRightInd/>
        <w:snapToGrid/>
        <w:spacing w:beforeAutospacing="0" w:line="360" w:lineRule="auto"/>
        <w:ind w:left="0" w:leftChars="0" w:right="0" w:rightChars="0" w:firstLine="643" w:firstLineChars="200"/>
        <w:jc w:val="both"/>
        <w:outlineLvl w:val="0"/>
        <w:rPr>
          <w:rFonts w:hint="eastAsia" w:ascii="仿宋" w:hAnsi="仿宋" w:eastAsia="仿宋"/>
          <w:b/>
          <w:bCs/>
          <w:color w:val="auto"/>
          <w:sz w:val="32"/>
          <w:szCs w:val="32"/>
        </w:rPr>
      </w:pPr>
      <w:bookmarkStart w:id="0" w:name="_Toc9880"/>
      <w:bookmarkStart w:id="1" w:name="_Toc28110"/>
      <w:r>
        <w:rPr>
          <w:rFonts w:hint="eastAsia" w:ascii="仿宋" w:hAnsi="仿宋" w:eastAsia="仿宋"/>
          <w:b/>
          <w:bCs/>
          <w:color w:val="auto"/>
          <w:sz w:val="32"/>
          <w:szCs w:val="32"/>
        </w:rPr>
        <w:t>项目基本情况</w:t>
      </w:r>
      <w:bookmarkEnd w:id="0"/>
      <w:bookmarkEnd w:id="1"/>
    </w:p>
    <w:p>
      <w:pPr>
        <w:pageBreakBefore w:val="0"/>
        <w:widowControl w:val="0"/>
        <w:kinsoku/>
        <w:wordWrap/>
        <w:overflowPunct/>
        <w:topLinePunct w:val="0"/>
        <w:autoSpaceDE/>
        <w:autoSpaceDN/>
        <w:bidi w:val="0"/>
        <w:adjustRightInd/>
        <w:snapToGrid/>
        <w:spacing w:beforeAutospacing="0" w:line="360" w:lineRule="auto"/>
        <w:ind w:left="0" w:leftChars="0" w:right="0" w:rightChars="0" w:firstLine="643" w:firstLineChars="200"/>
        <w:jc w:val="both"/>
        <w:textAlignment w:val="auto"/>
        <w:outlineLvl w:val="9"/>
        <w:rPr>
          <w:rFonts w:hint="eastAsia" w:ascii="仿宋" w:hAnsi="仿宋" w:eastAsia="仿宋" w:cs="仿宋"/>
          <w:b/>
          <w:bCs/>
          <w:color w:val="auto"/>
          <w:sz w:val="32"/>
          <w:szCs w:val="32"/>
          <w:lang w:val="en-US"/>
        </w:rPr>
      </w:pPr>
      <w:bookmarkStart w:id="2" w:name="_Toc498385045"/>
      <w:bookmarkStart w:id="3" w:name="_Toc498385714"/>
      <w:bookmarkStart w:id="4" w:name="_Toc29907"/>
      <w:bookmarkStart w:id="5" w:name="_Toc29323"/>
      <w:r>
        <w:rPr>
          <w:rFonts w:hint="eastAsia" w:ascii="仿宋" w:hAnsi="仿宋" w:eastAsia="仿宋" w:cs="仿宋"/>
          <w:b/>
          <w:bCs/>
          <w:color w:val="auto"/>
          <w:sz w:val="32"/>
          <w:szCs w:val="32"/>
          <w:lang w:val="en-US"/>
        </w:rPr>
        <w:t>（一）</w:t>
      </w:r>
      <w:bookmarkEnd w:id="2"/>
      <w:bookmarkEnd w:id="3"/>
      <w:r>
        <w:rPr>
          <w:rFonts w:hint="eastAsia" w:ascii="仿宋" w:hAnsi="仿宋" w:eastAsia="仿宋" w:cs="仿宋"/>
          <w:b/>
          <w:bCs/>
          <w:color w:val="auto"/>
          <w:sz w:val="32"/>
          <w:szCs w:val="32"/>
          <w:lang w:val="en-US"/>
        </w:rPr>
        <w:t>市县及级行业专项规划概况</w:t>
      </w:r>
      <w:bookmarkEnd w:id="4"/>
      <w:bookmarkEnd w:id="5"/>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bookmarkStart w:id="6" w:name="_Toc14591"/>
      <w:bookmarkStart w:id="7" w:name="_Toc9205"/>
      <w:r>
        <w:rPr>
          <w:rFonts w:hint="eastAsia" w:ascii="仿宋" w:hAnsi="仿宋" w:eastAsia="仿宋" w:cs="仿宋"/>
          <w:color w:val="auto"/>
          <w:kern w:val="0"/>
          <w:sz w:val="32"/>
          <w:szCs w:val="32"/>
          <w:lang w:val="en-US" w:eastAsia="zh-CN" w:bidi="ar"/>
        </w:rPr>
        <w:t>遂宁市位于四川盆地中部，涪江中游。介于东经105°03′26″－106°59′49″，北纬30°10′50″－31°10′50″之间。东西宽90.3公里，南北长108.9公里，总面积5300平方公里。东邻重庆、广安、南充，西连成都，南接内江、资阳，北靠德阳、绵阳，与成都、重庆呈等距三角。人口近380万。市城区建成区面积75.90平方公里，人口63.67万。遂宁是成渝经济区的区域性中心城市，四川省的现代产业基地，以“养心”文化为特色的现代生态花园城市。西连成都，东邻重庆、广安、南充，南接内江、资阳，北靠德阳、绵阳，与成都、重庆呈等距三角。地处四川城镇化发展主轴，是四川省战略部署建设的“六大都市区”之一，成都经济圈和成都平原城市群的重要组成部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国家高新技术产业开发区“十三五”发展规划》中提到：“加快建设科技产业新城区”。深化高新区产城融合协调发展，加强信息化基础设施建设，完善城市功能配套，推进土地节约集约利用，推动高新区创造适合各类创新创业人群交际、交流、交往的新型空间，建设智慧、绿色、集约、宜居园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四川省国民经济和社会发展第十三个五年规划纲要》(2016-2020年)第八章规定：“推进产业园区创新发展，引导产业向适宜区域集聚发展，加快形成布局合理、特色鲜明、优势互补的产业发展格局。推进优势产业关联、成链、集群发展，并向特色产业园区集中，突出园区主导产业，打造一批先进制造业集群和特色产业基地。加强园区公共服务平台、基础设施建设，继续培育壮大国家级和省级开发区，推动省级开发区扩区升级。推进智慧园区建设，支持重点园区二次创业、转型发展，提高单位产出效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遂宁市“十三五”产业园区发展规划》（以下简称《规划》），《规划》指出，将进一步促进产业园区提档升级，到“十三五”末，力争将我市产业园区建设成为全省新型工业化示范区、新型城镇化示范区、文化旅游产业示范区和体制机制创新示范区。到2020年，产业园区将实现竞争能力强、创新能力提升快、要素利用率高、生态环境建设美、文化旅游发展优等五大发展目标。</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lang w:val="en-US"/>
        </w:rPr>
      </w:pPr>
      <w:r>
        <w:rPr>
          <w:rFonts w:hint="eastAsia" w:ascii="仿宋" w:hAnsi="仿宋" w:eastAsia="仿宋"/>
          <w:b/>
          <w:bCs/>
          <w:color w:val="auto"/>
          <w:sz w:val="32"/>
          <w:szCs w:val="32"/>
          <w:lang w:val="en-US"/>
        </w:rPr>
        <w:t>（二）项目情况</w:t>
      </w:r>
      <w:bookmarkEnd w:id="6"/>
      <w:bookmarkEnd w:id="7"/>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rPr>
      </w:pPr>
      <w:bookmarkStart w:id="8" w:name="_Toc523481532"/>
      <w:bookmarkStart w:id="9" w:name="_Toc533440320"/>
      <w:bookmarkStart w:id="10" w:name="_Toc522211063"/>
      <w:bookmarkStart w:id="11" w:name="_Toc30423"/>
      <w:bookmarkStart w:id="12" w:name="_Toc1720129"/>
      <w:bookmarkStart w:id="13" w:name="_Toc476"/>
      <w:r>
        <w:rPr>
          <w:rFonts w:hint="eastAsia" w:ascii="仿宋" w:hAnsi="仿宋" w:eastAsia="仿宋" w:cs="仿宋"/>
          <w:b/>
          <w:bCs/>
          <w:sz w:val="32"/>
          <w:szCs w:val="32"/>
        </w:rPr>
        <w:t>1.参与主体</w:t>
      </w:r>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olor w:val="auto"/>
          <w:sz w:val="32"/>
          <w:szCs w:val="32"/>
          <w:lang w:val="en-US" w:eastAsia="zh-CN"/>
        </w:rPr>
      </w:pPr>
      <w:r>
        <w:rPr>
          <w:rFonts w:hint="eastAsia" w:ascii="仿宋" w:hAnsi="仿宋" w:eastAsia="仿宋"/>
          <w:b/>
          <w:color w:val="auto"/>
          <w:sz w:val="32"/>
          <w:szCs w:val="32"/>
        </w:rPr>
        <w:t>实施机构:</w:t>
      </w:r>
      <w:r>
        <w:rPr>
          <w:rFonts w:hint="eastAsia" w:ascii="仿宋" w:hAnsi="仿宋" w:eastAsia="仿宋"/>
          <w:color w:val="auto"/>
          <w:sz w:val="32"/>
          <w:szCs w:val="32"/>
          <w:lang w:val="en-US" w:eastAsia="zh-CN"/>
        </w:rPr>
        <w:t>遂宁经济技术开发区建设与交通运输局</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olor w:val="auto"/>
          <w:sz w:val="32"/>
          <w:szCs w:val="32"/>
          <w:lang w:val="en-US" w:eastAsia="zh-CN"/>
        </w:rPr>
      </w:pPr>
      <w:r>
        <w:rPr>
          <w:rFonts w:hint="eastAsia" w:ascii="仿宋" w:hAnsi="仿宋" w:eastAsia="仿宋"/>
          <w:b/>
          <w:color w:val="auto"/>
          <w:sz w:val="32"/>
          <w:szCs w:val="32"/>
        </w:rPr>
        <w:t>项目业主</w:t>
      </w:r>
      <w:r>
        <w:rPr>
          <w:rFonts w:hint="eastAsia" w:ascii="仿宋" w:hAnsi="仿宋" w:eastAsia="仿宋"/>
          <w:color w:val="auto"/>
          <w:sz w:val="32"/>
          <w:szCs w:val="32"/>
        </w:rPr>
        <w:t>：</w:t>
      </w:r>
      <w:r>
        <w:rPr>
          <w:rFonts w:hint="default" w:ascii="仿宋" w:hAnsi="仿宋" w:eastAsia="仿宋"/>
          <w:color w:val="auto"/>
          <w:sz w:val="32"/>
          <w:szCs w:val="32"/>
          <w:lang w:val="en-US" w:eastAsia="zh-CN"/>
        </w:rPr>
        <w:t>遂宁市富源实业有限公司</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bookmarkStart w:id="14" w:name="_Toc533440321"/>
      <w:bookmarkStart w:id="15" w:name="_Toc522211064"/>
      <w:bookmarkStart w:id="16" w:name="_Toc1720130"/>
      <w:bookmarkStart w:id="17" w:name="_Toc12405"/>
      <w:bookmarkStart w:id="18" w:name="_Toc22662"/>
      <w:bookmarkStart w:id="19" w:name="_Toc523481533"/>
      <w:r>
        <w:rPr>
          <w:rFonts w:hint="eastAsia" w:ascii="仿宋" w:hAnsi="仿宋" w:eastAsia="仿宋" w:cs="仿宋"/>
          <w:b/>
          <w:bCs/>
          <w:sz w:val="32"/>
          <w:szCs w:val="32"/>
        </w:rPr>
        <w:t>2.项目概况</w:t>
      </w:r>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项目名称：</w:t>
      </w:r>
      <w:r>
        <w:rPr>
          <w:rFonts w:hint="eastAsia" w:ascii="仿宋" w:hAnsi="仿宋" w:eastAsia="仿宋"/>
          <w:color w:val="auto"/>
          <w:sz w:val="32"/>
          <w:szCs w:val="32"/>
          <w:lang w:val="en-US" w:eastAsia="zh-CN"/>
        </w:rPr>
        <w:t>遂宁经济技术开发区成渝双城经济PCB产业园配套基础设施建设项目</w:t>
      </w:r>
    </w:p>
    <w:p>
      <w:pPr>
        <w:keepNext w:val="0"/>
        <w:keepLines w:val="0"/>
        <w:pageBreakBefore w:val="0"/>
        <w:widowControl w:val="0"/>
        <w:kinsoku/>
        <w:wordWrap/>
        <w:overflowPunct/>
        <w:topLinePunct w:val="0"/>
        <w:autoSpaceDE/>
        <w:autoSpaceDN/>
        <w:bidi w:val="0"/>
        <w:adjustRightInd/>
        <w:snapToGrid w:val="0"/>
        <w:spacing w:line="360" w:lineRule="auto"/>
        <w:ind w:left="638" w:leftChars="304" w:firstLine="0" w:firstLineChars="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项目所属领域：产业园区基础设施工程</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建设期：36个月</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项目性质：新建</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项目建设地址：南环路以南，渠河路以东，中环线以北，滨江路以西</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项目说明：本项目为新建工程，本项目资产无抵押或质押情况</w:t>
      </w:r>
    </w:p>
    <w:p>
      <w:pPr>
        <w:pStyle w:val="10"/>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bCs/>
          <w:color w:val="auto"/>
          <w:kern w:val="2"/>
          <w:sz w:val="32"/>
          <w:szCs w:val="32"/>
          <w:lang w:val="en-US" w:eastAsia="zh-CN"/>
        </w:rPr>
        <w:t>建设内容与规模：</w:t>
      </w:r>
      <w:r>
        <w:rPr>
          <w:rFonts w:hint="eastAsia" w:ascii="仿宋" w:hAnsi="仿宋" w:eastAsia="仿宋" w:cs="仿宋"/>
          <w:color w:val="auto"/>
          <w:sz w:val="32"/>
          <w:szCs w:val="32"/>
          <w:lang w:val="en-US" w:eastAsia="zh-CN"/>
        </w:rPr>
        <w:t>建设园区南片区道路，全长约13200米，其中，新建道路10条、总长11050米、宽16-55米；改建路6条，总长2150米、宽12-50米。配套建设管网、照明、绿化景观等工程。对园区南片区20千米道路进行交安系统安装，建设停车位3000个。并对入园企业配建生活服务设施等。同时为保证电子电路标准厂房使用，需在西侧配套建设约520米长，27米宽道路一条及生态停车场一处，并打通机场北路、机场南路连接318国道桥梁。</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bookmarkStart w:id="20" w:name="_Toc1403"/>
      <w:bookmarkStart w:id="21" w:name="_Toc533440322"/>
      <w:bookmarkStart w:id="22" w:name="_Toc522211065"/>
      <w:bookmarkStart w:id="23" w:name="_Toc1720132"/>
      <w:bookmarkStart w:id="24" w:name="_Toc523481534"/>
      <w:r>
        <w:rPr>
          <w:rFonts w:hint="eastAsia" w:ascii="仿宋" w:hAnsi="仿宋" w:eastAsia="仿宋"/>
          <w:b/>
          <w:bCs/>
          <w:color w:val="auto"/>
          <w:sz w:val="32"/>
          <w:szCs w:val="32"/>
        </w:rPr>
        <w:t>二、经济社会效益分析</w:t>
      </w:r>
      <w:bookmarkEnd w:id="20"/>
      <w:bookmarkEnd w:id="21"/>
      <w:bookmarkEnd w:id="22"/>
      <w:bookmarkEnd w:id="23"/>
      <w:bookmarkEnd w:id="24"/>
    </w:p>
    <w:p>
      <w:pPr>
        <w:pageBreakBefore w:val="0"/>
        <w:widowControl w:val="0"/>
        <w:kinsoku/>
        <w:wordWrap/>
        <w:overflowPunct/>
        <w:topLinePunct w:val="0"/>
        <w:autoSpaceDE/>
        <w:autoSpaceDN/>
        <w:bidi w:val="0"/>
        <w:adjustRightInd/>
        <w:snapToGrid/>
        <w:spacing w:beforeAutospacing="0" w:line="360" w:lineRule="auto"/>
        <w:ind w:left="0" w:leftChars="0" w:right="0" w:rightChars="0" w:firstLine="643" w:firstLineChars="200"/>
        <w:jc w:val="both"/>
        <w:textAlignment w:val="auto"/>
        <w:outlineLvl w:val="9"/>
        <w:rPr>
          <w:rFonts w:hint="eastAsia" w:ascii="仿宋" w:hAnsi="仿宋" w:eastAsia="仿宋" w:cs="仿宋"/>
          <w:b/>
          <w:bCs/>
          <w:color w:val="auto"/>
          <w:sz w:val="32"/>
          <w:szCs w:val="32"/>
          <w:lang w:val="en-US"/>
        </w:rPr>
      </w:pPr>
      <w:bookmarkStart w:id="25" w:name="_Toc1720133"/>
      <w:bookmarkStart w:id="26" w:name="_Toc533440323"/>
      <w:bookmarkStart w:id="27" w:name="_Toc17794"/>
      <w:bookmarkStart w:id="28" w:name="_Toc522211066"/>
      <w:bookmarkStart w:id="29" w:name="_Toc523481535"/>
      <w:r>
        <w:rPr>
          <w:rFonts w:hint="eastAsia" w:ascii="仿宋" w:hAnsi="仿宋" w:eastAsia="仿宋" w:cs="仿宋"/>
          <w:b/>
          <w:bCs/>
          <w:color w:val="auto"/>
          <w:sz w:val="32"/>
          <w:szCs w:val="32"/>
          <w:lang w:val="en-US"/>
        </w:rPr>
        <w:t>（一）经济效益分析</w:t>
      </w:r>
      <w:bookmarkEnd w:id="25"/>
      <w:bookmarkEnd w:id="26"/>
      <w:bookmarkEnd w:id="27"/>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auto"/>
        <w:outlineLvl w:val="9"/>
        <w:rPr>
          <w:rFonts w:hint="eastAsia" w:ascii="仿宋" w:hAnsi="仿宋" w:eastAsia="仿宋" w:cs="仿宋"/>
          <w:color w:val="auto"/>
          <w:sz w:val="32"/>
          <w:szCs w:val="32"/>
          <w:lang w:val="en-US" w:eastAsia="zh-CN"/>
        </w:rPr>
      </w:pPr>
      <w:bookmarkStart w:id="30" w:name="_Toc523157055"/>
      <w:bookmarkStart w:id="31" w:name="_Toc523481538"/>
      <w:bookmarkStart w:id="32" w:name="_Toc533440326"/>
      <w:bookmarkStart w:id="33" w:name="_Toc1720136"/>
      <w:bookmarkStart w:id="34" w:name="_Toc23271"/>
      <w:r>
        <w:rPr>
          <w:rFonts w:hint="eastAsia" w:ascii="仿宋" w:hAnsi="仿宋" w:eastAsia="仿宋" w:cs="仿宋"/>
          <w:color w:val="auto"/>
          <w:sz w:val="32"/>
          <w:szCs w:val="32"/>
          <w:lang w:val="en-US" w:eastAsia="zh-CN"/>
        </w:rPr>
        <w:t>遂宁经济技术开发区成渝双城经济PCB产业园基础设施建设项目为遂宁市带来不断发展的契机，项目投入使用后，将拉动投资和消费，有利于进一步吸引投资，加快园区产业集聚，完善产业链条，促进当地经济发展。该项目的建设可以吸引各类企业前来入驻，吸引社会各界高端人才前来创业、就业，带动遂宁市GDP增长，从而带动遂宁市社会经济的发展。</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遂宁市的经济发展水平及财力基础对产业园基础设施的承受能力仍相当弱，本项目的建立有利于推动遂宁基础设施的建立，也减轻遂宁市政府的基础设施财政支出压力和群众经济压力，一定程度上缓解了政府用于基础设施、促进民众就业等问题而占用的大量资源，以用于其他公共服务支出，提高遂宁市的经济发展水平,也促进地方社会经济全面快速发展，提升城市可持续发展能力具有重要作用。</w:t>
      </w:r>
    </w:p>
    <w:p>
      <w:pPr>
        <w:pageBreakBefore w:val="0"/>
        <w:widowControl w:val="0"/>
        <w:kinsoku/>
        <w:wordWrap/>
        <w:overflowPunct/>
        <w:topLinePunct w:val="0"/>
        <w:autoSpaceDE/>
        <w:autoSpaceDN/>
        <w:bidi w:val="0"/>
        <w:adjustRightInd/>
        <w:snapToGrid/>
        <w:spacing w:beforeAutospacing="0" w:line="360" w:lineRule="auto"/>
        <w:ind w:left="0" w:leftChars="0" w:right="0" w:rightChars="0" w:firstLine="643" w:firstLineChars="200"/>
        <w:jc w:val="both"/>
        <w:textAlignment w:val="auto"/>
        <w:outlineLvl w:val="9"/>
        <w:rPr>
          <w:rFonts w:hint="eastAsia" w:ascii="仿宋" w:hAnsi="仿宋" w:eastAsia="仿宋" w:cs="仿宋"/>
          <w:b/>
          <w:bCs/>
          <w:color w:val="auto"/>
          <w:sz w:val="32"/>
          <w:szCs w:val="32"/>
          <w:lang w:val="en-US"/>
        </w:rPr>
      </w:pP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lang w:val="en-US"/>
        </w:rPr>
        <w:t>社会效益分析</w:t>
      </w:r>
      <w:bookmarkEnd w:id="30"/>
      <w:bookmarkEnd w:id="31"/>
      <w:bookmarkEnd w:id="32"/>
      <w:bookmarkEnd w:id="33"/>
      <w:bookmarkEnd w:id="34"/>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firstLine="640" w:firstLineChars="200"/>
        <w:jc w:val="both"/>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的建设符合国家政策的要求，能有效发挥并提高基础设施的社会服务功能，完善城市道路建设，进一步推进雨污分流建设，不断完善城市功能，提高市民生活品质，为企业及附近的居民提供了便利的交通路线，也为经济社会发展打造良好的环境。通过加快城市基础设施建设，把南强片区建设成为一个环境优美、景观秀丽的新片区，极大提升了遂宁市的城市形象。</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firstLine="640" w:firstLineChars="200"/>
        <w:jc w:val="both"/>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设时的大量用工，可为当地居民提供大量的临时就业机会，减少社会压力，降低失业率；项目运营后，投资环境的极大改善，将促使城市其它产业的迅速发展，也将会提供大量的就业机会，改善原来相对单一的就业结构，部分居民就业由单一的农业、种植业扩大到服务业等领域，最后，从遂宁市发展来看，产业园区基础设施的建设和运营都是非常必要和有意义的，对于提升城市可持续发展能力具有重要作用。</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lang w:eastAsia="zh-CN"/>
        </w:rPr>
        <w:t>三、</w:t>
      </w:r>
      <w:r>
        <w:rPr>
          <w:rFonts w:hint="eastAsia" w:ascii="仿宋" w:hAnsi="仿宋" w:eastAsia="仿宋"/>
          <w:b/>
          <w:bCs/>
          <w:color w:val="auto"/>
          <w:sz w:val="32"/>
          <w:szCs w:val="32"/>
        </w:rPr>
        <w:t>项目投资估算与资金筹措方案</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（一）投资估算</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本项目建设动态投资总额为</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0000.00万元，静态总投资为</w:t>
      </w:r>
      <w:r>
        <w:rPr>
          <w:rFonts w:hint="eastAsia" w:ascii="仿宋" w:hAnsi="仿宋" w:eastAsia="仿宋" w:cs="仿宋"/>
          <w:color w:val="auto"/>
          <w:sz w:val="32"/>
          <w:szCs w:val="32"/>
          <w:lang w:val="en-US" w:eastAsia="zh-CN"/>
        </w:rPr>
        <w:t>77290.00</w:t>
      </w:r>
      <w:r>
        <w:rPr>
          <w:rFonts w:hint="eastAsia" w:ascii="仿宋" w:hAnsi="仿宋" w:eastAsia="仿宋" w:cs="仿宋"/>
          <w:color w:val="auto"/>
          <w:sz w:val="32"/>
          <w:szCs w:val="32"/>
        </w:rPr>
        <w:t>万元，建设期利息</w:t>
      </w:r>
      <w:r>
        <w:rPr>
          <w:rFonts w:hint="eastAsia" w:ascii="仿宋" w:hAnsi="仿宋" w:eastAsia="仿宋" w:cs="仿宋"/>
          <w:color w:val="auto"/>
          <w:sz w:val="32"/>
          <w:szCs w:val="32"/>
          <w:lang w:val="en-US" w:eastAsia="zh-CN"/>
        </w:rPr>
        <w:t>2670.00</w:t>
      </w:r>
      <w:r>
        <w:rPr>
          <w:rFonts w:hint="eastAsia" w:ascii="仿宋" w:hAnsi="仿宋" w:eastAsia="仿宋" w:cs="仿宋"/>
          <w:color w:val="auto"/>
          <w:sz w:val="32"/>
          <w:szCs w:val="32"/>
        </w:rPr>
        <w:t>万元，债券发行费用</w:t>
      </w:r>
      <w:r>
        <w:rPr>
          <w:rFonts w:hint="eastAsia" w:ascii="仿宋" w:hAnsi="仿宋" w:eastAsia="仿宋" w:cs="仿宋"/>
          <w:color w:val="auto"/>
          <w:sz w:val="32"/>
          <w:szCs w:val="32"/>
          <w:lang w:val="en-US" w:eastAsia="zh-CN"/>
        </w:rPr>
        <w:t>40.00</w:t>
      </w:r>
      <w:r>
        <w:rPr>
          <w:rFonts w:hint="eastAsia" w:ascii="仿宋" w:hAnsi="仿宋" w:eastAsia="仿宋" w:cs="仿宋"/>
          <w:color w:val="auto"/>
          <w:sz w:val="32"/>
          <w:szCs w:val="32"/>
        </w:rPr>
        <w:t>万元。</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(二)资金筹措方案</w:t>
      </w:r>
    </w:p>
    <w:p>
      <w:pPr>
        <w:keepNext w:val="0"/>
        <w:keepLines w:val="0"/>
        <w:pageBreakBefore w:val="0"/>
        <w:widowControl w:val="0"/>
        <w:kinsoku/>
        <w:wordWrap/>
        <w:overflowPunct/>
        <w:topLinePunct w:val="0"/>
        <w:autoSpaceDE/>
        <w:autoSpaceDN/>
        <w:bidi w:val="0"/>
        <w:adjustRightInd/>
        <w:snapToGrid w:val="0"/>
        <w:spacing w:beforeAutospacing="0" w:line="360" w:lineRule="auto"/>
        <w:ind w:left="0" w:leftChars="0" w:right="0" w:rightChars="0" w:firstLine="643" w:firstLineChars="200"/>
        <w:textAlignment w:val="auto"/>
        <w:rPr>
          <w:rFonts w:hint="eastAsia" w:ascii="仿宋" w:hAnsi="仿宋" w:eastAsia="仿宋" w:cs="仿宋"/>
          <w:b/>
          <w:bCs/>
          <w:sz w:val="32"/>
          <w:szCs w:val="32"/>
          <w:lang w:val="en-US" w:eastAsia="zh-CN"/>
        </w:rPr>
      </w:pPr>
      <w:bookmarkStart w:id="35" w:name="_Toc523157067"/>
      <w:bookmarkStart w:id="36" w:name="_Toc19703"/>
      <w:bookmarkStart w:id="37" w:name="_Toc522211083"/>
      <w:bookmarkStart w:id="38" w:name="_Toc523481547"/>
      <w:bookmarkStart w:id="39" w:name="_Toc533440340"/>
      <w:bookmarkStart w:id="40" w:name="_Toc1720150"/>
      <w:bookmarkStart w:id="41" w:name="_Toc20821"/>
      <w:r>
        <w:rPr>
          <w:rFonts w:hint="eastAsia" w:ascii="仿宋" w:hAnsi="仿宋" w:eastAsia="仿宋" w:cs="仿宋"/>
          <w:b/>
          <w:bCs/>
          <w:sz w:val="32"/>
          <w:szCs w:val="32"/>
          <w:lang w:val="en-US" w:eastAsia="zh-CN"/>
        </w:rPr>
        <w:t>1.资金来源</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kern w:val="2"/>
          <w:sz w:val="32"/>
          <w:szCs w:val="32"/>
          <w:lang w:val="en-US"/>
        </w:rPr>
      </w:pPr>
      <w:bookmarkStart w:id="42" w:name="_Toc523481549"/>
      <w:bookmarkStart w:id="43" w:name="_Toc1720152"/>
      <w:bookmarkStart w:id="44" w:name="_Toc523157069"/>
      <w:bookmarkStart w:id="45" w:name="_Toc25776"/>
      <w:bookmarkStart w:id="46" w:name="_Toc533440342"/>
      <w:r>
        <w:rPr>
          <w:rFonts w:hint="eastAsia" w:ascii="仿宋" w:hAnsi="仿宋" w:eastAsia="仿宋" w:cs="仿宋"/>
          <w:color w:val="auto"/>
          <w:kern w:val="2"/>
          <w:sz w:val="32"/>
          <w:szCs w:val="32"/>
          <w:lang w:val="en-US"/>
        </w:rPr>
        <w:t>本项目资本金来源：资本金均来源于公司自筹，项目资本金</w:t>
      </w:r>
      <w:r>
        <w:rPr>
          <w:rFonts w:hint="eastAsia" w:ascii="仿宋" w:hAnsi="仿宋" w:eastAsia="仿宋" w:cs="仿宋"/>
          <w:color w:val="auto"/>
          <w:kern w:val="2"/>
          <w:sz w:val="32"/>
          <w:szCs w:val="32"/>
          <w:lang w:val="en-US" w:eastAsia="zh-CN"/>
        </w:rPr>
        <w:t>40</w:t>
      </w:r>
      <w:r>
        <w:rPr>
          <w:rFonts w:hint="eastAsia" w:ascii="仿宋" w:hAnsi="仿宋" w:eastAsia="仿宋" w:cs="仿宋"/>
          <w:color w:val="auto"/>
          <w:kern w:val="2"/>
          <w:sz w:val="32"/>
          <w:szCs w:val="32"/>
          <w:lang w:val="en-US"/>
        </w:rPr>
        <w:t>000.00万元，占项目总投资的</w:t>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rPr>
        <w:t>0%，将按照项目进度及时拨付到位。</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rPr>
        <w:t>融资来源：本项目拟发行15年期政府专项债券总额为</w:t>
      </w:r>
      <w:r>
        <w:rPr>
          <w:rFonts w:hint="eastAsia" w:ascii="仿宋" w:hAnsi="仿宋" w:eastAsia="仿宋" w:cs="仿宋"/>
          <w:color w:val="auto"/>
          <w:kern w:val="2"/>
          <w:sz w:val="32"/>
          <w:szCs w:val="32"/>
          <w:lang w:val="en-US" w:eastAsia="zh-CN"/>
        </w:rPr>
        <w:t>40</w:t>
      </w:r>
      <w:r>
        <w:rPr>
          <w:rFonts w:hint="eastAsia" w:ascii="仿宋" w:hAnsi="仿宋" w:eastAsia="仿宋" w:cs="仿宋"/>
          <w:color w:val="auto"/>
          <w:kern w:val="2"/>
          <w:sz w:val="32"/>
          <w:szCs w:val="32"/>
          <w:lang w:val="en-US"/>
        </w:rPr>
        <w:t>000.00万元，占总投资的</w:t>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lang w:val="en-US"/>
        </w:rPr>
        <w:t>0%</w:t>
      </w:r>
      <w:r>
        <w:rPr>
          <w:rFonts w:hint="eastAsia" w:ascii="仿宋" w:hAnsi="仿宋" w:eastAsia="仿宋" w:cs="仿宋"/>
          <w:color w:val="auto"/>
          <w:kern w:val="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2.资金使用计划</w:t>
      </w:r>
      <w:bookmarkEnd w:id="42"/>
      <w:bookmarkEnd w:id="43"/>
      <w:bookmarkEnd w:id="44"/>
      <w:bookmarkEnd w:id="45"/>
      <w:bookmarkEnd w:id="46"/>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b/>
          <w:bCs/>
          <w:color w:val="auto"/>
          <w:sz w:val="28"/>
          <w:szCs w:val="28"/>
        </w:rPr>
      </w:pPr>
      <w:r>
        <w:rPr>
          <w:rFonts w:hint="eastAsia" w:ascii="仿宋" w:hAnsi="仿宋" w:eastAsia="仿宋" w:cs="仿宋"/>
          <w:sz w:val="32"/>
          <w:szCs w:val="32"/>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分</w:t>
      </w:r>
      <w:r>
        <w:rPr>
          <w:rFonts w:hint="eastAsia" w:ascii="仿宋" w:hAnsi="仿宋" w:eastAsia="仿宋" w:cs="仿宋"/>
          <w:sz w:val="32"/>
          <w:szCs w:val="32"/>
          <w:lang w:val="en-US" w:eastAsia="zh-CN"/>
        </w:rPr>
        <w:t>4</w:t>
      </w:r>
      <w:r>
        <w:rPr>
          <w:rFonts w:hint="eastAsia" w:ascii="仿宋" w:hAnsi="仿宋" w:eastAsia="仿宋" w:cs="仿宋"/>
          <w:sz w:val="32"/>
          <w:szCs w:val="32"/>
        </w:rPr>
        <w:t>个年度投入</w:t>
      </w:r>
      <w:r>
        <w:rPr>
          <w:rFonts w:hint="eastAsia" w:ascii="仿宋" w:hAnsi="仿宋" w:eastAsia="仿宋" w:cs="仿宋"/>
          <w:sz w:val="32"/>
          <w:szCs w:val="32"/>
          <w:lang w:eastAsia="zh-CN"/>
        </w:rPr>
        <w:t>。</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bookmarkStart w:id="47" w:name="_Toc18388"/>
      <w:bookmarkStart w:id="48" w:name="_Toc11843"/>
      <w:r>
        <w:rPr>
          <w:rFonts w:hint="eastAsia" w:ascii="仿宋" w:hAnsi="仿宋" w:eastAsia="仿宋"/>
          <w:b/>
          <w:bCs/>
          <w:color w:val="auto"/>
          <w:sz w:val="32"/>
          <w:szCs w:val="32"/>
        </w:rPr>
        <w:t>四、项目预期收益、成本及融资平衡情况</w:t>
      </w:r>
      <w:bookmarkEnd w:id="47"/>
      <w:bookmarkEnd w:id="48"/>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（一）预期收益</w:t>
      </w:r>
    </w:p>
    <w:p>
      <w:pPr>
        <w:keepNext w:val="0"/>
        <w:keepLines w:val="0"/>
        <w:pageBreakBefore w:val="0"/>
        <w:widowControl w:val="0"/>
        <w:kinsoku/>
        <w:wordWrap/>
        <w:overflowPunct/>
        <w:topLinePunct w:val="0"/>
        <w:autoSpaceDE/>
        <w:autoSpaceDN/>
        <w:bidi w:val="0"/>
        <w:adjustRightInd/>
        <w:snapToGrid w:val="0"/>
        <w:spacing w:line="360" w:lineRule="auto"/>
        <w:ind w:firstLine="643" w:firstLineChars="200"/>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1.项目收入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本项目收入全部为项目本身产生的专项收入，项目收入主要包括停车场收入、食堂经营收入、超市经营收入和广告位收入。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lang w:val="en-GB" w:eastAsia="zh-CN"/>
        </w:rPr>
      </w:pPr>
      <w:r>
        <w:rPr>
          <w:rFonts w:hint="eastAsia" w:ascii="仿宋_GB2312" w:hAnsi="Times New Roman" w:eastAsia="仿宋_GB2312" w:cs="Times New Roman"/>
          <w:sz w:val="32"/>
          <w:szCs w:val="32"/>
          <w:lang w:val="en-GB" w:eastAsia="zh-CN"/>
        </w:rPr>
        <w:t>经计算，项目计算期内预计总收入为</w:t>
      </w:r>
      <w:r>
        <w:rPr>
          <w:rFonts w:hint="eastAsia" w:ascii="仿宋" w:hAnsi="仿宋" w:eastAsia="仿宋" w:cs="仿宋"/>
          <w:sz w:val="32"/>
          <w:szCs w:val="32"/>
          <w:lang w:val="en-US" w:eastAsia="zh-CN"/>
        </w:rPr>
        <w:t>106271.78</w:t>
      </w:r>
      <w:r>
        <w:rPr>
          <w:rFonts w:hint="eastAsia" w:ascii="仿宋_GB2312" w:hAnsi="Times New Roman" w:eastAsia="仿宋_GB2312" w:cs="Times New Roman"/>
          <w:sz w:val="32"/>
          <w:szCs w:val="32"/>
          <w:lang w:val="en-GB" w:eastAsia="zh-CN"/>
        </w:rPr>
        <w:t>万元。</w:t>
      </w:r>
    </w:p>
    <w:p>
      <w:pPr>
        <w:pStyle w:val="7"/>
        <w:keepNext w:val="0"/>
        <w:keepLines w:val="0"/>
        <w:pageBreakBefore w:val="0"/>
        <w:widowControl w:val="0"/>
        <w:kinsoku/>
        <w:wordWrap/>
        <w:overflowPunct/>
        <w:topLinePunct w:val="0"/>
        <w:autoSpaceDE/>
        <w:autoSpaceDN/>
        <w:bidi w:val="0"/>
        <w:adjustRightInd/>
        <w:snapToGrid/>
        <w:spacing w:line="360" w:lineRule="auto"/>
        <w:ind w:left="-108" w:leftChars="0" w:firstLine="643" w:firstLineChars="200"/>
        <w:jc w:val="left"/>
        <w:textAlignment w:val="auto"/>
        <w:rPr>
          <w:rFonts w:hint="default"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2、项目成本</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本项目成本包括经营成本、折旧摊销费、财务费用、税金及附加。</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综上所述，经计算可知，本项目预测期成本费用为86842.11万元。</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ind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（二）资金测算平衡情况</w:t>
      </w:r>
    </w:p>
    <w:p>
      <w:pPr>
        <w:ind w:firstLine="640" w:firstLineChars="200"/>
        <w:rPr>
          <w:rFonts w:hint="eastAsia" w:ascii="Times New Roman" w:hAnsi="Times New Roman" w:eastAsia="仿宋"/>
          <w:color w:val="auto"/>
          <w:kern w:val="2"/>
          <w:sz w:val="32"/>
          <w:szCs w:val="32"/>
          <w:lang w:val="en-US" w:eastAsia="zh-CN"/>
        </w:rPr>
        <w:sectPr>
          <w:headerReference r:id="rId3" w:type="default"/>
          <w:pgSz w:w="11906" w:h="16838"/>
          <w:pgMar w:top="1440" w:right="1803" w:bottom="1440" w:left="1803" w:header="964" w:footer="992" w:gutter="0"/>
          <w:pgBorders>
            <w:top w:val="none" w:sz="0" w:space="0"/>
            <w:left w:val="none" w:sz="0" w:space="0"/>
            <w:bottom w:val="none" w:sz="0" w:space="0"/>
            <w:right w:val="none" w:sz="0" w:space="0"/>
          </w:pgBorders>
          <w:pgNumType w:fmt="decimal"/>
          <w:cols w:space="720" w:num="1"/>
          <w:docGrid w:type="lines" w:linePitch="381" w:charSpace="0"/>
        </w:sectPr>
      </w:pPr>
      <w:r>
        <w:rPr>
          <w:rFonts w:hint="eastAsia" w:ascii="仿宋" w:hAnsi="仿宋" w:eastAsia="仿宋" w:cs="仿宋"/>
          <w:b w:val="0"/>
          <w:bCs/>
          <w:color w:val="auto"/>
          <w:kern w:val="2"/>
          <w:sz w:val="32"/>
          <w:szCs w:val="32"/>
          <w:lang w:val="en-US"/>
        </w:rPr>
        <w:t>若项目在满足上述资金筹集计划、项目实施计划、资金使用计划及预期收益的的假设前提下，本项目截止政府专项债到期日累计资金结余</w:t>
      </w:r>
      <w:r>
        <w:rPr>
          <w:rFonts w:hint="eastAsia" w:ascii="仿宋" w:hAnsi="仿宋" w:eastAsia="仿宋" w:cs="仿宋"/>
          <w:b w:val="0"/>
          <w:bCs/>
          <w:color w:val="auto"/>
          <w:kern w:val="2"/>
          <w:sz w:val="32"/>
          <w:szCs w:val="32"/>
          <w:lang w:val="en-US" w:eastAsia="zh-CN"/>
        </w:rPr>
        <w:t>17518.53</w:t>
      </w:r>
      <w:r>
        <w:rPr>
          <w:rFonts w:hint="eastAsia" w:ascii="仿宋" w:hAnsi="仿宋" w:eastAsia="仿宋" w:cs="仿宋"/>
          <w:b w:val="0"/>
          <w:bCs/>
          <w:color w:val="auto"/>
          <w:kern w:val="2"/>
          <w:sz w:val="32"/>
          <w:szCs w:val="32"/>
          <w:lang w:val="en-US"/>
        </w:rPr>
        <w:t>万元，期间不存在资金缺口。</w:t>
      </w:r>
    </w:p>
    <w:p>
      <w:pPr>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资金测算平衡表</w:t>
      </w:r>
    </w:p>
    <w:p>
      <w:pPr>
        <w:keepNext w:val="0"/>
        <w:keepLines w:val="0"/>
        <w:pageBreakBefore w:val="0"/>
        <w:widowControl w:val="0"/>
        <w:kinsoku/>
        <w:wordWrap/>
        <w:overflowPunct/>
        <w:topLinePunct w:val="0"/>
        <w:autoSpaceDE/>
        <w:autoSpaceDN/>
        <w:bidi w:val="0"/>
        <w:adjustRightInd/>
        <w:snapToGrid w:val="0"/>
        <w:spacing w:line="0" w:lineRule="atLeast"/>
        <w:jc w:val="righ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单位：万元</w:t>
      </w:r>
    </w:p>
    <w:tbl>
      <w:tblPr>
        <w:tblStyle w:val="12"/>
        <w:tblW w:w="4999" w:type="pct"/>
        <w:tblInd w:w="0" w:type="dxa"/>
        <w:shd w:val="clear" w:color="auto" w:fill="auto"/>
        <w:tblLayout w:type="fixed"/>
        <w:tblCellMar>
          <w:top w:w="0" w:type="dxa"/>
          <w:left w:w="108" w:type="dxa"/>
          <w:bottom w:w="0" w:type="dxa"/>
          <w:right w:w="108" w:type="dxa"/>
        </w:tblCellMar>
      </w:tblPr>
      <w:tblGrid>
        <w:gridCol w:w="964"/>
        <w:gridCol w:w="3021"/>
        <w:gridCol w:w="1312"/>
        <w:gridCol w:w="1406"/>
        <w:gridCol w:w="1045"/>
        <w:gridCol w:w="1031"/>
        <w:gridCol w:w="1233"/>
        <w:gridCol w:w="1312"/>
        <w:gridCol w:w="1179"/>
        <w:gridCol w:w="1031"/>
        <w:gridCol w:w="1028"/>
        <w:gridCol w:w="1049"/>
      </w:tblGrid>
      <w:tr>
        <w:tblPrEx>
          <w:shd w:val="clear" w:color="auto" w:fill="auto"/>
          <w:tblCellMar>
            <w:top w:w="0" w:type="dxa"/>
            <w:left w:w="108" w:type="dxa"/>
            <w:bottom w:w="0" w:type="dxa"/>
            <w:right w:w="108" w:type="dxa"/>
          </w:tblCellMar>
        </w:tblPrEx>
        <w:trPr>
          <w:trHeight w:val="109" w:hRule="atLeast"/>
        </w:trPr>
        <w:tc>
          <w:tcPr>
            <w:tcW w:w="30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96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420" w:type="pct"/>
            <w:vMerge w:val="restar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1510" w:type="pct"/>
            <w:gridSpan w:val="4"/>
            <w:tcBorders>
              <w:top w:val="single" w:color="000000" w:sz="8" w:space="0"/>
              <w:left w:val="single" w:color="000000" w:sz="8" w:space="0"/>
              <w:bottom w:val="single" w:color="000000"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建设期</w:t>
            </w:r>
          </w:p>
        </w:tc>
        <w:tc>
          <w:tcPr>
            <w:tcW w:w="1793"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运营期</w:t>
            </w:r>
          </w:p>
        </w:tc>
      </w:tr>
      <w:tr>
        <w:tblPrEx>
          <w:shd w:val="clear" w:color="auto" w:fill="auto"/>
          <w:tblCellMar>
            <w:top w:w="0" w:type="dxa"/>
            <w:left w:w="108" w:type="dxa"/>
            <w:bottom w:w="0" w:type="dxa"/>
            <w:right w:w="108" w:type="dxa"/>
          </w:tblCellMar>
        </w:tblPrEx>
        <w:trPr>
          <w:trHeight w:val="336" w:hRule="atLeast"/>
        </w:trPr>
        <w:tc>
          <w:tcPr>
            <w:tcW w:w="30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96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420" w:type="pct"/>
            <w:vMerge w:val="continue"/>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2021年2月-12月</w:t>
            </w: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2022年</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2023年</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2024年1月</w:t>
            </w:r>
          </w:p>
        </w:tc>
        <w:tc>
          <w:tcPr>
            <w:tcW w:w="42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2024年2月-12月</w:t>
            </w:r>
          </w:p>
        </w:tc>
        <w:tc>
          <w:tcPr>
            <w:tcW w:w="377"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2025年</w:t>
            </w:r>
          </w:p>
        </w:tc>
        <w:tc>
          <w:tcPr>
            <w:tcW w:w="330"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2026年</w:t>
            </w:r>
          </w:p>
        </w:tc>
        <w:tc>
          <w:tcPr>
            <w:tcW w:w="32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2027年</w:t>
            </w:r>
          </w:p>
        </w:tc>
        <w:tc>
          <w:tcPr>
            <w:tcW w:w="335"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2028年</w:t>
            </w:r>
          </w:p>
        </w:tc>
      </w:tr>
      <w:tr>
        <w:tblPrEx>
          <w:shd w:val="clear" w:color="auto" w:fill="auto"/>
          <w:tblCellMar>
            <w:top w:w="0" w:type="dxa"/>
            <w:left w:w="108" w:type="dxa"/>
            <w:bottom w:w="0" w:type="dxa"/>
            <w:right w:w="108" w:type="dxa"/>
          </w:tblCellMar>
        </w:tblPrEx>
        <w:trPr>
          <w:trHeight w:val="267"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经营活动产生的净现金流量（1-2）</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78848.53</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3324.73</w:t>
            </w: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4012.16</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4357.78</w:t>
            </w: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5923.13</w:t>
            </w: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5959.07</w:t>
            </w:r>
          </w:p>
        </w:tc>
      </w:tr>
      <w:tr>
        <w:tblPrEx>
          <w:shd w:val="clear" w:color="auto" w:fill="auto"/>
          <w:tblCellMar>
            <w:top w:w="0" w:type="dxa"/>
            <w:left w:w="108" w:type="dxa"/>
            <w:bottom w:w="0" w:type="dxa"/>
            <w:right w:w="108" w:type="dxa"/>
          </w:tblCellMar>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106271.78</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4402.43</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5271.88</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5691.60</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7473.13</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7751.65</w:t>
            </w:r>
          </w:p>
        </w:tc>
      </w:tr>
      <w:tr>
        <w:tblPrEx>
          <w:shd w:val="clear" w:color="auto" w:fill="auto"/>
          <w:tblCellMar>
            <w:top w:w="0" w:type="dxa"/>
            <w:left w:w="108" w:type="dxa"/>
            <w:bottom w:w="0" w:type="dxa"/>
            <w:right w:w="108" w:type="dxa"/>
          </w:tblCellMar>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经营收入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106271.78</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4402.43</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5271.88</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5691.60</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7473.13</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7751.65</w:t>
            </w:r>
          </w:p>
        </w:tc>
      </w:tr>
      <w:tr>
        <w:tblPrEx>
          <w:shd w:val="clear" w:color="auto" w:fill="auto"/>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补贴收入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27423.25</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1077.70</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1259.72</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1333.82</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1550.00</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1792.58</w:t>
            </w:r>
          </w:p>
        </w:tc>
      </w:tr>
      <w:tr>
        <w:tblPrEx>
          <w:shd w:val="clear" w:color="auto" w:fill="auto"/>
          <w:tblCellMar>
            <w:top w:w="0" w:type="dxa"/>
            <w:left w:w="108" w:type="dxa"/>
            <w:bottom w:w="0" w:type="dxa"/>
            <w:right w:w="108" w:type="dxa"/>
          </w:tblCellMar>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经营成本</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13906.65</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725.63</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837.37</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877.47</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936.01</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978.70</w:t>
            </w:r>
          </w:p>
        </w:tc>
      </w:tr>
      <w:tr>
        <w:tblPrEx>
          <w:shd w:val="clear" w:color="auto" w:fill="auto"/>
          <w:tblCellMar>
            <w:top w:w="0" w:type="dxa"/>
            <w:left w:w="108" w:type="dxa"/>
            <w:bottom w:w="0" w:type="dxa"/>
            <w:right w:w="108" w:type="dxa"/>
          </w:tblCellMar>
        </w:tblPrEx>
        <w:trPr>
          <w:trHeight w:val="514"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相关税费（税金及附加+企业所得税）</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352.07</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422.35</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456.35</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613.99</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813.88</w:t>
            </w:r>
          </w:p>
        </w:tc>
      </w:tr>
      <w:tr>
        <w:tblPrEx>
          <w:shd w:val="clear" w:color="auto" w:fill="auto"/>
          <w:tblCellMar>
            <w:top w:w="0" w:type="dxa"/>
            <w:left w:w="108" w:type="dxa"/>
            <w:bottom w:w="0" w:type="dxa"/>
            <w:right w:w="108" w:type="dxa"/>
          </w:tblCellMar>
        </w:tblPrEx>
        <w:trPr>
          <w:trHeight w:val="191"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投资活动净现金流量（1-2）</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-77290.00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-11736.33</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-19310.00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-38377.00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-7866.67</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处置投资物</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0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收到其他投资</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33"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77290.00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11736.33</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19310.00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38377.00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7866.67</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建设投资（静态总投资）</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77290.00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11736.33</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19310.00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38377.00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7866.67</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维持运营投资</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52"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筹措活动净现金流量（1-2）</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15960.00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11736.33</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19310.00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38377.00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7866.67</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-1466.67</w:t>
            </w: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r>
      <w:tr>
        <w:tblPrEx>
          <w:shd w:val="clear" w:color="auto" w:fill="auto"/>
          <w:tblCellMar>
            <w:top w:w="0" w:type="dxa"/>
            <w:left w:w="108" w:type="dxa"/>
            <w:bottom w:w="0" w:type="dxa"/>
            <w:right w:w="108" w:type="dxa"/>
          </w:tblCellMar>
        </w:tblPrEx>
        <w:trPr>
          <w:trHeight w:val="93"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80000.00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12000.00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20000.00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40000.00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8000.00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项目资本金投入</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17000.00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8000.00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72"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专项债券资金</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7000.00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23000.00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5"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64040.00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263.67</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690.00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1623.00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133.33</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1466.67</w:t>
            </w: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r>
      <w:tr>
        <w:tblPrEx>
          <w:shd w:val="clear" w:color="auto" w:fill="auto"/>
          <w:tblCellMar>
            <w:top w:w="0" w:type="dxa"/>
            <w:left w:w="108" w:type="dxa"/>
            <w:bottom w:w="0" w:type="dxa"/>
            <w:right w:w="108" w:type="dxa"/>
          </w:tblCellMar>
        </w:tblPrEx>
        <w:trPr>
          <w:trHeight w:val="267"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支付债券利息</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24000.00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256.67</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680.00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133.33</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1466.67</w:t>
            </w: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r>
      <w:tr>
        <w:tblPrEx>
          <w:shd w:val="clear" w:color="auto" w:fill="auto"/>
          <w:tblCellMar>
            <w:top w:w="0" w:type="dxa"/>
            <w:left w:w="108" w:type="dxa"/>
            <w:bottom w:w="0" w:type="dxa"/>
            <w:right w:w="108" w:type="dxa"/>
          </w:tblCellMar>
        </w:tblPrEx>
        <w:trPr>
          <w:trHeight w:val="227"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支付债券发行费用</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14"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支付专项债券本金</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现金流量总计</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4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4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7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3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2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3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62"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项目期的期初资金</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1858.06</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4270.22</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7028.00</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11351.13</w:t>
            </w:r>
          </w:p>
        </w:tc>
      </w:tr>
      <w:tr>
        <w:tblPrEx>
          <w:shd w:val="clear" w:color="auto" w:fill="auto"/>
          <w:tblCellMar>
            <w:top w:w="0" w:type="dxa"/>
            <w:left w:w="108" w:type="dxa"/>
            <w:bottom w:w="0" w:type="dxa"/>
            <w:right w:w="108" w:type="dxa"/>
          </w:tblCellMar>
        </w:tblPrEx>
        <w:trPr>
          <w:trHeight w:val="30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项目期内现金变动（一+二+三）</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17518.53</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1858.06</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2412.16</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2757.78</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4323.13</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4359.07</w:t>
            </w:r>
          </w:p>
        </w:tc>
      </w:tr>
      <w:tr>
        <w:tblPrEx>
          <w:shd w:val="clear" w:color="auto" w:fill="auto"/>
          <w:tblCellMar>
            <w:top w:w="0" w:type="dxa"/>
            <w:left w:w="108" w:type="dxa"/>
            <w:bottom w:w="0" w:type="dxa"/>
            <w:right w:w="108" w:type="dxa"/>
          </w:tblCellMar>
        </w:tblPrEx>
        <w:trPr>
          <w:trHeight w:val="90" w:hRule="atLeast"/>
        </w:trPr>
        <w:tc>
          <w:tcPr>
            <w:tcW w:w="3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c>
          <w:tcPr>
            <w:tcW w:w="9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项目期的期末资金</w:t>
            </w:r>
          </w:p>
        </w:tc>
        <w:tc>
          <w:tcPr>
            <w:tcW w:w="420"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17518.53</w:t>
            </w:r>
          </w:p>
        </w:tc>
        <w:tc>
          <w:tcPr>
            <w:tcW w:w="45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4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1858.06</w:t>
            </w:r>
          </w:p>
        </w:tc>
        <w:tc>
          <w:tcPr>
            <w:tcW w:w="37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4270.22</w:t>
            </w:r>
          </w:p>
        </w:tc>
        <w:tc>
          <w:tcPr>
            <w:tcW w:w="3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7028.00</w:t>
            </w:r>
          </w:p>
        </w:tc>
        <w:tc>
          <w:tcPr>
            <w:tcW w:w="32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11351.13</w:t>
            </w:r>
          </w:p>
        </w:tc>
        <w:tc>
          <w:tcPr>
            <w:tcW w:w="33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15710.20</w:t>
            </w:r>
          </w:p>
        </w:tc>
      </w:tr>
    </w:tbl>
    <w:p>
      <w:pPr>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val="0"/>
        <w:spacing w:line="0" w:lineRule="atLeast"/>
        <w:jc w:val="center"/>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rPr>
        <w:t>资金测算平衡表</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续表）</w:t>
      </w:r>
    </w:p>
    <w:p>
      <w:pPr>
        <w:keepNext w:val="0"/>
        <w:keepLines w:val="0"/>
        <w:pageBreakBefore w:val="0"/>
        <w:widowControl w:val="0"/>
        <w:kinsoku/>
        <w:wordWrap/>
        <w:overflowPunct/>
        <w:topLinePunct w:val="0"/>
        <w:autoSpaceDE/>
        <w:autoSpaceDN/>
        <w:bidi w:val="0"/>
        <w:adjustRightInd/>
        <w:snapToGrid w:val="0"/>
        <w:spacing w:line="0" w:lineRule="atLeast"/>
        <w:jc w:val="righ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单位：万元</w:t>
      </w:r>
    </w:p>
    <w:p>
      <w:pPr>
        <w:rPr>
          <w:rFonts w:hint="eastAsia"/>
        </w:rPr>
      </w:pPr>
    </w:p>
    <w:tbl>
      <w:tblPr>
        <w:tblStyle w:val="12"/>
        <w:tblW w:w="4999" w:type="pct"/>
        <w:tblInd w:w="0" w:type="dxa"/>
        <w:shd w:val="clear" w:color="auto" w:fill="auto"/>
        <w:tblLayout w:type="autofit"/>
        <w:tblCellMar>
          <w:top w:w="0" w:type="dxa"/>
          <w:left w:w="108" w:type="dxa"/>
          <w:bottom w:w="0" w:type="dxa"/>
          <w:right w:w="108" w:type="dxa"/>
        </w:tblCellMar>
      </w:tblPr>
      <w:tblGrid>
        <w:gridCol w:w="668"/>
        <w:gridCol w:w="3695"/>
        <w:gridCol w:w="1196"/>
        <w:gridCol w:w="1090"/>
        <w:gridCol w:w="1090"/>
        <w:gridCol w:w="1090"/>
        <w:gridCol w:w="1090"/>
        <w:gridCol w:w="1090"/>
        <w:gridCol w:w="1090"/>
        <w:gridCol w:w="1090"/>
        <w:gridCol w:w="1197"/>
        <w:gridCol w:w="1225"/>
      </w:tblGrid>
      <w:tr>
        <w:tblPrEx>
          <w:shd w:val="clear" w:color="auto" w:fill="auto"/>
          <w:tblCellMar>
            <w:top w:w="0" w:type="dxa"/>
            <w:left w:w="108" w:type="dxa"/>
            <w:bottom w:w="0" w:type="dxa"/>
            <w:right w:w="108" w:type="dxa"/>
          </w:tblCellMar>
        </w:tblPrEx>
        <w:trPr>
          <w:trHeight w:val="270" w:hRule="atLeast"/>
        </w:trPr>
        <w:tc>
          <w:tcPr>
            <w:tcW w:w="214"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118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383" w:type="pct"/>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3218"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sz w:val="18"/>
                <w:szCs w:val="18"/>
                <w:u w:val="none"/>
                <w:lang w:val="en-US" w:eastAsia="zh-CN"/>
              </w:rPr>
              <w:t>运营期</w:t>
            </w:r>
          </w:p>
        </w:tc>
      </w:tr>
      <w:tr>
        <w:tblPrEx>
          <w:shd w:val="clear" w:color="auto" w:fill="auto"/>
          <w:tblCellMar>
            <w:top w:w="0" w:type="dxa"/>
            <w:left w:w="108" w:type="dxa"/>
            <w:bottom w:w="0" w:type="dxa"/>
            <w:right w:w="108" w:type="dxa"/>
          </w:tblCellMar>
        </w:tblPrEx>
        <w:trPr>
          <w:trHeight w:val="103" w:hRule="atLeast"/>
        </w:trPr>
        <w:tc>
          <w:tcPr>
            <w:tcW w:w="214"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118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83" w:type="pct"/>
            <w:vMerge w:val="continue"/>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2029年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2030年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2031年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2032年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2033年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2034年</w:t>
            </w:r>
          </w:p>
        </w:tc>
        <w:tc>
          <w:tcPr>
            <w:tcW w:w="349"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2035年</w:t>
            </w:r>
          </w:p>
        </w:tc>
        <w:tc>
          <w:tcPr>
            <w:tcW w:w="383"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2036年</w:t>
            </w:r>
          </w:p>
        </w:tc>
        <w:tc>
          <w:tcPr>
            <w:tcW w:w="386" w:type="pct"/>
            <w:tcBorders>
              <w:top w:val="single" w:color="auto" w:sz="4"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2037年</w:t>
            </w:r>
          </w:p>
        </w:tc>
      </w:tr>
      <w:tr>
        <w:tblPrEx>
          <w:shd w:val="clear" w:color="auto" w:fill="auto"/>
          <w:tblCellMar>
            <w:top w:w="0" w:type="dxa"/>
            <w:left w:w="108" w:type="dxa"/>
            <w:bottom w:w="0" w:type="dxa"/>
            <w:right w:w="108" w:type="dxa"/>
          </w:tblCellMar>
        </w:tblPrEx>
        <w:trPr>
          <w:trHeight w:val="381"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经营活动产生的净现金流量（1-2）</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78848.53</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5902.24</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6053.45</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6056.69</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6059.96</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6216.33</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6219.83</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6223.38</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6320.92</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6218.87</w:t>
            </w: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106271.78</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7946.20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8197.07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8211.76</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8226.60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8486.74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8502.34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8518.09</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8787.87</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8804.42</w:t>
            </w: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经营收入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106271.78</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7946.20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8197.07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8211.76</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8226.60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8486.74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8502.34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8518.09</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8787.87</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8804.42</w:t>
            </w: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补贴收入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27423.25</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2043.96</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2143.62</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2155.07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2166.64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2270.41</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2282.51</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2294.71</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2466.95</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2585.55</w:t>
            </w: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经营成本</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13906.65</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988.79</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1017.77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1027.16</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1036.64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1067.29</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1077.17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1087.14</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1119.56</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1129.95</w:t>
            </w:r>
          </w:p>
        </w:tc>
      </w:tr>
      <w:tr>
        <w:tblPrEx>
          <w:shd w:val="clear" w:color="auto" w:fill="auto"/>
          <w:tblCellMar>
            <w:top w:w="0" w:type="dxa"/>
            <w:left w:w="108" w:type="dxa"/>
            <w:bottom w:w="0" w:type="dxa"/>
            <w:right w:w="108" w:type="dxa"/>
          </w:tblCellMar>
        </w:tblPrEx>
        <w:trPr>
          <w:trHeight w:val="314"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相关税费（税金及附加+企业所得税）</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1055.17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1125.85</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1127.91</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1130.00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1203.12</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1205.34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1207.57</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1347.39</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1455.60</w:t>
            </w:r>
          </w:p>
        </w:tc>
      </w:tr>
      <w:tr>
        <w:tblPrEx>
          <w:shd w:val="clear" w:color="auto" w:fill="auto"/>
          <w:tblCellMar>
            <w:top w:w="0" w:type="dxa"/>
            <w:left w:w="108" w:type="dxa"/>
            <w:bottom w:w="0" w:type="dxa"/>
            <w:right w:w="108" w:type="dxa"/>
          </w:tblCellMar>
        </w:tblPrEx>
        <w:trPr>
          <w:trHeight w:val="14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投资活动净现金流量（1-2）</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-77290.00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tblCellMar>
            <w:top w:w="0" w:type="dxa"/>
            <w:left w:w="108" w:type="dxa"/>
            <w:bottom w:w="0" w:type="dxa"/>
            <w:right w:w="108" w:type="dxa"/>
          </w:tblCellMar>
        </w:tblPrEx>
        <w:trPr>
          <w:trHeight w:val="12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处置投资物</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收到其他投资</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33"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现金流出</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77290.00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建设投资（静态总投资）</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77290.00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维持运营投资</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筹措活动净现金流量（1-2）</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15960.00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-1600.00</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-18343.33</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-23920.00</w:t>
            </w: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80000.00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0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项目资本金投入</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专项债券资金</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85"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现金流出</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64040.00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18343.33</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23920.00</w:t>
            </w: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支付债券利息</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24000.00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1600.00</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1343.33</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920.00</w:t>
            </w:r>
          </w:p>
        </w:tc>
      </w:tr>
      <w:tr>
        <w:tblPrEx>
          <w:shd w:val="clear" w:color="auto" w:fill="auto"/>
          <w:tblCellMar>
            <w:top w:w="0" w:type="dxa"/>
            <w:left w:w="108" w:type="dxa"/>
            <w:bottom w:w="0" w:type="dxa"/>
            <w:right w:w="108" w:type="dxa"/>
          </w:tblCellMar>
        </w:tblPrEx>
        <w:trPr>
          <w:trHeight w:val="254"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支付债券发行费用</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支付专项债券本金</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40000.00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3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17000.00</w:t>
            </w:r>
          </w:p>
        </w:tc>
        <w:tc>
          <w:tcPr>
            <w:tcW w:w="38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23000.00</w:t>
            </w: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现金流量总计</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项目期的期初资金</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b/>
                <w:bCs/>
                <w:i w:val="0"/>
                <w:iCs w:val="0"/>
                <w:color w:val="000000"/>
                <w:sz w:val="18"/>
                <w:szCs w:val="18"/>
                <w:u w:val="none"/>
              </w:rPr>
            </w:pP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15710.20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20012.44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24465.89</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28922.58</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33382.54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37998.87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42618.70</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47242.08</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35219.66</w:t>
            </w:r>
          </w:p>
        </w:tc>
      </w:tr>
      <w:tr>
        <w:tblPrEx>
          <w:shd w:val="clear" w:color="auto" w:fill="auto"/>
          <w:tblCellMar>
            <w:top w:w="0" w:type="dxa"/>
            <w:left w:w="108" w:type="dxa"/>
            <w:bottom w:w="0" w:type="dxa"/>
            <w:right w:w="108" w:type="dxa"/>
          </w:tblCellMar>
        </w:tblPrEx>
        <w:trPr>
          <w:trHeight w:val="247"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项目期内现金变动（一+二+三）</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17518.53</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4302.24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4453.45</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4456.69</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4459.96</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4616.33</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4619.83</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4623.38</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-12022.42</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-17701.13</w:t>
            </w:r>
          </w:p>
        </w:tc>
      </w:tr>
      <w:tr>
        <w:tblPrEx>
          <w:tblCellMar>
            <w:top w:w="0" w:type="dxa"/>
            <w:left w:w="108" w:type="dxa"/>
            <w:bottom w:w="0" w:type="dxa"/>
            <w:right w:w="108" w:type="dxa"/>
          </w:tblCellMar>
        </w:tblPrEx>
        <w:trPr>
          <w:trHeight w:val="150" w:hRule="atLeast"/>
        </w:trPr>
        <w:tc>
          <w:tcPr>
            <w:tcW w:w="21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c>
          <w:tcPr>
            <w:tcW w:w="118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项目期的期末资金</w:t>
            </w:r>
          </w:p>
        </w:tc>
        <w:tc>
          <w:tcPr>
            <w:tcW w:w="383" w:type="pct"/>
            <w:tcBorders>
              <w:top w:val="single" w:color="000000" w:sz="8" w:space="0"/>
              <w:left w:val="single" w:color="000000" w:sz="8" w:space="0"/>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17518.53</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20012.44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24465.89</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28922.58</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33382.54</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37998.87</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42618.70</w:t>
            </w:r>
          </w:p>
        </w:tc>
        <w:tc>
          <w:tcPr>
            <w:tcW w:w="349"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47242.08</w:t>
            </w:r>
          </w:p>
        </w:tc>
        <w:tc>
          <w:tcPr>
            <w:tcW w:w="38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35219.66</w:t>
            </w:r>
          </w:p>
        </w:tc>
        <w:tc>
          <w:tcPr>
            <w:tcW w:w="38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17518.53</w:t>
            </w:r>
          </w:p>
        </w:tc>
      </w:tr>
    </w:tbl>
    <w:p>
      <w:pPr>
        <w:pageBreakBefore w:val="0"/>
        <w:kinsoku/>
        <w:wordWrap/>
        <w:overflowPunct/>
        <w:topLinePunct w:val="0"/>
        <w:autoSpaceDE/>
        <w:autoSpaceDN/>
        <w:bidi w:val="0"/>
        <w:adjustRightInd/>
        <w:snapToGrid w:val="0"/>
        <w:spacing w:line="360" w:lineRule="auto"/>
        <w:ind w:firstLine="420" w:firstLineChars="200"/>
        <w:textAlignment w:val="auto"/>
        <w:outlineLvl w:val="9"/>
        <w:rPr>
          <w:rFonts w:hint="eastAsia"/>
          <w:lang w:val="en-US" w:eastAsia="zh-CN"/>
        </w:rPr>
      </w:pPr>
    </w:p>
    <w:p>
      <w:pPr>
        <w:pStyle w:val="11"/>
        <w:ind w:left="0" w:leftChars="0" w:firstLine="0" w:firstLineChars="0"/>
        <w:rPr>
          <w:rFonts w:hint="default" w:eastAsia="宋体"/>
          <w:lang w:val="en-US" w:eastAsia="zh-CN"/>
        </w:rPr>
        <w:sectPr>
          <w:pgSz w:w="16838" w:h="11906" w:orient="landscape"/>
          <w:pgMar w:top="720" w:right="720" w:bottom="720" w:left="720" w:header="851" w:footer="992" w:gutter="0"/>
          <w:cols w:space="720" w:num="1"/>
          <w:docGrid w:type="lines" w:linePitch="312" w:charSpace="0"/>
        </w:sectPr>
      </w:pP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五、项目绩效目标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49" w:name="_Toc22004_WPSOffice_Level2"/>
      <w:r>
        <w:rPr>
          <w:rFonts w:hint="eastAsia" w:ascii="仿宋" w:hAnsi="仿宋" w:eastAsia="仿宋" w:cs="仿宋"/>
          <w:sz w:val="32"/>
          <w:szCs w:val="32"/>
          <w:lang w:val="en-US" w:eastAsia="zh-CN"/>
        </w:rPr>
        <w:t>时效</w:t>
      </w:r>
      <w:bookmarkEnd w:id="49"/>
      <w:r>
        <w:rPr>
          <w:rFonts w:hint="eastAsia" w:ascii="仿宋" w:hAnsi="仿宋" w:eastAsia="仿宋" w:cs="仿宋"/>
          <w:sz w:val="32"/>
          <w:szCs w:val="32"/>
          <w:lang w:val="en-US" w:eastAsia="zh-CN"/>
        </w:rPr>
        <w:t>目标：债券发行期为15年。债券15年内还本付息，遂宁市政府可根据项目实施及收益情况提前还本付息。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0" w:name="_Toc6776_WPSOffice_Level2"/>
      <w:r>
        <w:rPr>
          <w:rFonts w:hint="eastAsia" w:ascii="仿宋" w:hAnsi="仿宋" w:eastAsia="仿宋" w:cs="仿宋"/>
          <w:sz w:val="32"/>
          <w:szCs w:val="32"/>
          <w:lang w:val="en-US" w:eastAsia="zh-CN"/>
        </w:rPr>
        <w:t>经济效益</w:t>
      </w:r>
      <w:bookmarkEnd w:id="50"/>
      <w:r>
        <w:rPr>
          <w:rFonts w:hint="eastAsia" w:ascii="仿宋" w:hAnsi="仿宋" w:eastAsia="仿宋" w:cs="仿宋"/>
          <w:sz w:val="32"/>
          <w:szCs w:val="32"/>
          <w:lang w:val="en-US" w:eastAsia="zh-CN"/>
        </w:rPr>
        <w:t>目标：通过获取项目收入，实现收益和融资自求平衡，增加地方财政收入，提升财政支出能力。</w:t>
      </w:r>
      <w:bookmarkStart w:id="51" w:name="_Toc14310_WPSOffice_Level2"/>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w:t>
      </w:r>
      <w:r>
        <w:rPr>
          <w:rFonts w:hint="eastAsia" w:ascii="仿宋" w:hAnsi="仿宋" w:eastAsia="仿宋" w:cs="仿宋"/>
          <w:color w:val="auto"/>
          <w:sz w:val="32"/>
          <w:szCs w:val="32"/>
          <w:lang w:val="en-US" w:eastAsia="zh-CN"/>
        </w:rPr>
        <w:t>会效益</w:t>
      </w:r>
      <w:bookmarkEnd w:id="51"/>
      <w:r>
        <w:rPr>
          <w:rFonts w:hint="eastAsia" w:ascii="仿宋" w:hAnsi="仿宋" w:eastAsia="仿宋" w:cs="仿宋"/>
          <w:color w:val="auto"/>
          <w:sz w:val="32"/>
          <w:szCs w:val="32"/>
          <w:lang w:val="en-US" w:eastAsia="zh-CN"/>
        </w:rPr>
        <w:t>目标：</w:t>
      </w:r>
      <w:bookmarkStart w:id="52" w:name="_Toc5082_WPSOffice_Level2"/>
      <w:r>
        <w:rPr>
          <w:rFonts w:hint="eastAsia" w:ascii="仿宋" w:hAnsi="仿宋" w:eastAsia="仿宋" w:cs="仿宋"/>
          <w:sz w:val="32"/>
          <w:szCs w:val="32"/>
          <w:lang w:val="en-US" w:eastAsia="zh-CN"/>
        </w:rPr>
        <w:t>本次的实施是完善产业园区基础设施，提升企业员工的生活品质，改善人居环境，提高人民生活水平，促进南强片区可持续发展，改善南强片区的硬件环境，推动遂宁市经济发展。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可持续影响</w:t>
      </w:r>
      <w:bookmarkEnd w:id="52"/>
      <w:r>
        <w:rPr>
          <w:rFonts w:hint="eastAsia" w:ascii="仿宋" w:hAnsi="仿宋" w:eastAsia="仿宋" w:cs="仿宋"/>
          <w:b w:val="0"/>
          <w:bCs w:val="0"/>
          <w:color w:val="auto"/>
          <w:sz w:val="32"/>
          <w:szCs w:val="32"/>
          <w:lang w:val="en-US" w:eastAsia="zh-CN"/>
        </w:rPr>
        <w:t>目标：本项目的实施能满足城市建设及产业园区的规划，可有效发挥并提高基础设施的社会服务功能，完善城市道路建设，进一步推进雨污分流建设，不断完善城市功能，为企业及附近的居民提供便利的交通路线，也为经济社会发展打造良好的环境。</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六、潜在影响项目的风险评估</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3" w:name="_Toc15343"/>
      <w:bookmarkStart w:id="54" w:name="_Toc522211123"/>
      <w:r>
        <w:rPr>
          <w:rFonts w:hint="eastAsia" w:ascii="仿宋" w:hAnsi="仿宋" w:eastAsia="仿宋" w:cs="仿宋"/>
          <w:sz w:val="32"/>
          <w:szCs w:val="32"/>
          <w:lang w:val="en-US" w:eastAsia="zh-CN"/>
        </w:rPr>
        <w:t>1.经营风险</w:t>
      </w:r>
      <w:bookmarkEnd w:id="53"/>
      <w:bookmarkEnd w:id="54"/>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风险识别：经营风险是指生产经营的不确定性带来的风险。若项目投入运营后的停车位收入、食堂经营收入、超市经营收入和广告位出租收入未能达到预测值，将影响项目整体收益，对债券还本付息产生影响。</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w:t>
      </w:r>
      <w:bookmarkStart w:id="55" w:name="_Toc4440"/>
      <w:bookmarkStart w:id="56" w:name="_Toc522211124"/>
      <w:r>
        <w:rPr>
          <w:rFonts w:hint="eastAsia" w:ascii="仿宋" w:hAnsi="仿宋" w:eastAsia="仿宋" w:cs="仿宋"/>
          <w:sz w:val="32"/>
          <w:szCs w:val="32"/>
          <w:lang w:val="en-US" w:eastAsia="zh-CN"/>
        </w:rPr>
        <w:t>要求项目管理单位密切关注停车位和广告位出租情况、食堂用餐人数、超市消费人次情况，根据实际的出租情况及消费情况调整价格，保证还本付息资金。</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2.市场风险</w:t>
      </w:r>
      <w:bookmarkEnd w:id="55"/>
      <w:bookmarkEnd w:id="56"/>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要求项目单位合理安排债券发行金额和债券期限，做好债券的期限配比、还款计划和资金准备。密切关注宏观经济市场，充分与市场机构沟通，选择合适的发行窗口，降低财务成本，保证项目收益与融资平衡。</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bookmarkStart w:id="57" w:name="_Toc522211125"/>
      <w:bookmarkStart w:id="58" w:name="_Toc15747"/>
      <w:r>
        <w:rPr>
          <w:rFonts w:hint="eastAsia" w:ascii="仿宋" w:hAnsi="仿宋" w:eastAsia="仿宋" w:cs="仿宋"/>
          <w:sz w:val="32"/>
          <w:szCs w:val="32"/>
          <w:lang w:val="en-US" w:eastAsia="zh-CN"/>
        </w:rPr>
        <w:t>3.财务风险</w:t>
      </w:r>
      <w:bookmarkEnd w:id="57"/>
      <w:bookmarkEnd w:id="58"/>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风险控制措施：项目可行性研究报告编制过程中，在测算项目总投资时已考虑相关风险。同时，在项目建设过程中，加强项目施工预算管理、招标及合同管理，尽可能控制建设成本。</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七、还款保障情况</w:t>
      </w:r>
    </w:p>
    <w:p>
      <w:pPr>
        <w:keepNext w:val="0"/>
        <w:keepLines w:val="0"/>
        <w:pageBreakBefore w:val="0"/>
        <w:widowControl w:val="0"/>
        <w:kinsoku/>
        <w:wordWrap/>
        <w:overflowPunct/>
        <w:topLinePunct w:val="0"/>
        <w:autoSpaceDE/>
        <w:autoSpaceDN/>
        <w:bidi w:val="0"/>
        <w:adjustRightInd/>
        <w:snapToGrid w:val="0"/>
        <w:spacing w:line="360" w:lineRule="auto"/>
        <w:ind w:firstLine="64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若调整的专项债券期限与项目期限不匹配，将通过已形成的项目收益、本级财政调度资金等方式及时偿还到期专项债券本息。</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八、主管部门责任</w:t>
      </w:r>
    </w:p>
    <w:p>
      <w:pPr>
        <w:keepNext w:val="0"/>
        <w:keepLines w:val="0"/>
        <w:pageBreakBefore w:val="0"/>
        <w:widowControl w:val="0"/>
        <w:kinsoku/>
        <w:wordWrap/>
        <w:overflowPunct/>
        <w:topLinePunct w:val="0"/>
        <w:autoSpaceDE/>
        <w:autoSpaceDN/>
        <w:bidi w:val="0"/>
        <w:adjustRightInd/>
        <w:snapToGrid w:val="0"/>
        <w:spacing w:beforeLines="50" w:afterLines="50"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u w:val="none"/>
          <w:lang w:val="en-US" w:eastAsia="zh-CN"/>
        </w:rPr>
        <w:t>遂宁经济技术开发区成渝双城经济PCB产业园配套基础设施建设项目的主管部门为遂宁经济技术开发区管理委员会，</w:t>
      </w:r>
      <w:r>
        <w:rPr>
          <w:rFonts w:hint="eastAsia" w:ascii="仿宋" w:hAnsi="仿宋" w:eastAsia="仿宋" w:cs="仿宋"/>
          <w:sz w:val="32"/>
          <w:szCs w:val="32"/>
          <w:lang w:val="en-US" w:eastAsia="zh-CN"/>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pPr>
        <w:keepNext w:val="0"/>
        <w:keepLines w:val="0"/>
        <w:pageBreakBefore w:val="0"/>
        <w:widowControl w:val="0"/>
        <w:kinsoku/>
        <w:wordWrap/>
        <w:overflowPunct/>
        <w:topLinePunct w:val="0"/>
        <w:autoSpaceDE/>
        <w:autoSpaceDN/>
        <w:bidi w:val="0"/>
        <w:adjustRightInd/>
        <w:snapToGrid w:val="0"/>
        <w:spacing w:beforeLines="50" w:afterLines="50" w:line="360" w:lineRule="auto"/>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本项目项目单位为遂宁市富源实业有限公司，项目单位</w:t>
      </w:r>
      <w:r>
        <w:rPr>
          <w:rFonts w:hint="default" w:ascii="仿宋" w:hAnsi="仿宋" w:eastAsia="仿宋" w:cs="仿宋"/>
          <w:sz w:val="32"/>
          <w:szCs w:val="32"/>
          <w:lang w:val="en-US" w:eastAsia="zh-CN"/>
        </w:rPr>
        <w:t>承担</w:t>
      </w:r>
      <w:r>
        <w:rPr>
          <w:rFonts w:hint="eastAsia" w:ascii="仿宋" w:hAnsi="仿宋" w:eastAsia="仿宋" w:cs="仿宋"/>
          <w:sz w:val="32"/>
          <w:szCs w:val="32"/>
          <w:lang w:val="en-US" w:eastAsia="zh-CN"/>
        </w:rPr>
        <w:t>项目具体实施运营</w:t>
      </w:r>
      <w:r>
        <w:rPr>
          <w:rFonts w:hint="default" w:ascii="仿宋" w:hAnsi="仿宋" w:eastAsia="仿宋" w:cs="仿宋"/>
          <w:sz w:val="32"/>
          <w:szCs w:val="32"/>
          <w:lang w:val="en-US" w:eastAsia="zh-CN"/>
        </w:rPr>
        <w:t>工作，保障项目资产在债券存续期内均能得到有效的使用和管理，发挥项目应有的公益性和经济性，按预期实现项目收益，保障专项债的还本付息</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运营期资金实行统一管理，由财务单独立帐、核算，资金使用严格按计划进行，并接受上级有关部门的监督和检查。</w:t>
      </w:r>
      <w:r>
        <w:rPr>
          <w:rFonts w:hint="eastAsia" w:ascii="仿宋" w:hAnsi="仿宋" w:eastAsia="仿宋" w:cs="仿宋"/>
          <w:sz w:val="32"/>
          <w:szCs w:val="32"/>
          <w:lang w:val="en-US" w:eastAsia="zh-CN"/>
        </w:rPr>
        <w:t>项目单位</w:t>
      </w:r>
      <w:r>
        <w:rPr>
          <w:rFonts w:hint="default" w:ascii="仿宋" w:hAnsi="仿宋" w:eastAsia="仿宋" w:cs="仿宋"/>
          <w:sz w:val="32"/>
          <w:szCs w:val="32"/>
          <w:lang w:val="en-US" w:eastAsia="zh-CN"/>
        </w:rPr>
        <w:t>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项目单位认真分析有关单价变化的政策，不断挖掘项目自身的开发潜力，有效规避市场风险。抓好经营工作，实现互利共赢和取得良好的经济效益。项目单位做好记账、核算等基础工作，正确、及时、全面、真实地反映企业的经济活动，财产资金变化、成本费用开支</w:t>
      </w:r>
      <w:bookmarkStart w:id="59" w:name="_GoBack"/>
      <w:bookmarkEnd w:id="59"/>
      <w:r>
        <w:rPr>
          <w:rFonts w:hint="default" w:ascii="仿宋" w:hAnsi="仿宋" w:eastAsia="仿宋" w:cs="仿宋"/>
          <w:sz w:val="32"/>
          <w:szCs w:val="32"/>
          <w:lang w:val="en-US" w:eastAsia="zh-CN"/>
        </w:rPr>
        <w:t>和经营成果。通过建立和健全各种手续制度，如实反映资金活动的情况，按期进行财产清查，做到账账相符、账实相符。通过会计信息，不断改善经营管理，促进企业合理使用资金，降低费用水平，提高经济效益。</w:t>
      </w:r>
    </w:p>
    <w:p>
      <w:pPr>
        <w:pageBreakBefore w:val="0"/>
        <w:numPr>
          <w:ilvl w:val="0"/>
          <w:numId w:val="0"/>
        </w:numPr>
        <w:kinsoku/>
        <w:wordWrap/>
        <w:overflowPunct/>
        <w:topLinePunct w:val="0"/>
        <w:autoSpaceDE/>
        <w:autoSpaceDN/>
        <w:bidi w:val="0"/>
        <w:adjustRightInd/>
        <w:snapToGrid/>
        <w:spacing w:beforeAutospacing="0" w:line="360" w:lineRule="auto"/>
        <w:ind w:leftChars="200" w:right="0" w:rightChars="0"/>
        <w:jc w:val="both"/>
        <w:outlineLvl w:val="0"/>
        <w:rPr>
          <w:rFonts w:hint="eastAsia" w:ascii="仿宋" w:hAnsi="仿宋" w:eastAsia="仿宋"/>
          <w:b/>
          <w:bCs/>
          <w:color w:val="auto"/>
          <w:sz w:val="32"/>
          <w:szCs w:val="32"/>
        </w:rPr>
      </w:pPr>
      <w:r>
        <w:rPr>
          <w:rFonts w:hint="eastAsia" w:ascii="仿宋" w:hAnsi="仿宋" w:eastAsia="仿宋"/>
          <w:b/>
          <w:bCs/>
          <w:color w:val="auto"/>
          <w:sz w:val="32"/>
          <w:szCs w:val="32"/>
        </w:rPr>
        <w:t>九</w:t>
      </w:r>
      <w:r>
        <w:rPr>
          <w:rFonts w:hint="eastAsia" w:ascii="仿宋" w:hAnsi="仿宋" w:eastAsia="仿宋"/>
          <w:b/>
          <w:bCs/>
          <w:color w:val="auto"/>
          <w:sz w:val="32"/>
          <w:szCs w:val="32"/>
          <w:lang w:eastAsia="zh-CN"/>
        </w:rPr>
        <w:t>、</w:t>
      </w:r>
      <w:r>
        <w:rPr>
          <w:rFonts w:hint="eastAsia" w:ascii="仿宋" w:hAnsi="仿宋" w:eastAsia="仿宋"/>
          <w:b/>
          <w:bCs/>
          <w:color w:val="auto"/>
          <w:sz w:val="32"/>
          <w:szCs w:val="32"/>
        </w:rPr>
        <w:t>补充说明</w:t>
      </w:r>
    </w:p>
    <w:p>
      <w:pPr>
        <w:spacing w:line="560" w:lineRule="exact"/>
        <w:ind w:firstLine="632" w:firstLineChars="200"/>
        <w:rPr>
          <w:rFonts w:hint="eastAsia" w:ascii="仿宋_GB2312" w:hAnsi="仿宋_GB2312" w:eastAsia="仿宋_GB2312"/>
          <w:b w:val="0"/>
          <w:bCs w:val="0"/>
          <w:color w:val="auto"/>
          <w:w w:val="99"/>
          <w:sz w:val="32"/>
          <w:szCs w:val="32"/>
        </w:rPr>
      </w:pPr>
      <w:r>
        <w:rPr>
          <w:rFonts w:hint="eastAsia" w:ascii="仿宋_GB2312" w:hAnsi="仿宋_GB2312" w:eastAsia="仿宋_GB2312"/>
          <w:b w:val="0"/>
          <w:bCs w:val="0"/>
          <w:color w:val="auto"/>
          <w:w w:val="99"/>
          <w:sz w:val="32"/>
          <w:szCs w:val="32"/>
        </w:rPr>
        <w:t>根据原发行计划及额度安排,此项目计划于202</w:t>
      </w:r>
      <w:r>
        <w:rPr>
          <w:rFonts w:hint="eastAsia" w:ascii="仿宋_GB2312" w:hAnsi="仿宋_GB2312" w:eastAsia="仿宋_GB2312"/>
          <w:b w:val="0"/>
          <w:bCs w:val="0"/>
          <w:color w:val="auto"/>
          <w:w w:val="99"/>
          <w:sz w:val="32"/>
          <w:szCs w:val="32"/>
          <w:lang w:val="en-US" w:eastAsia="zh-CN"/>
        </w:rPr>
        <w:t>1</w:t>
      </w:r>
      <w:r>
        <w:rPr>
          <w:rFonts w:hint="eastAsia" w:ascii="仿宋_GB2312" w:hAnsi="仿宋_GB2312" w:eastAsia="仿宋_GB2312"/>
          <w:b w:val="0"/>
          <w:bCs w:val="0"/>
          <w:color w:val="auto"/>
          <w:w w:val="99"/>
          <w:sz w:val="32"/>
          <w:szCs w:val="32"/>
        </w:rPr>
        <w:t>年发行</w:t>
      </w:r>
      <w:r>
        <w:rPr>
          <w:rFonts w:hint="eastAsia" w:ascii="仿宋_GB2312" w:hAnsi="仿宋_GB2312" w:eastAsia="仿宋_GB2312"/>
          <w:b w:val="0"/>
          <w:bCs w:val="0"/>
          <w:color w:val="auto"/>
          <w:w w:val="99"/>
          <w:sz w:val="32"/>
          <w:szCs w:val="32"/>
          <w:lang w:val="en-US" w:eastAsia="zh-CN"/>
        </w:rPr>
        <w:t>7000.00</w:t>
      </w:r>
      <w:r>
        <w:rPr>
          <w:rFonts w:hint="eastAsia" w:ascii="仿宋_GB2312" w:hAnsi="仿宋_GB2312" w:eastAsia="仿宋_GB2312"/>
          <w:b w:val="0"/>
          <w:bCs w:val="0"/>
          <w:color w:val="auto"/>
          <w:w w:val="99"/>
          <w:sz w:val="32"/>
          <w:szCs w:val="32"/>
        </w:rPr>
        <w:t>万元，因地方政府债务限额管理要求和项目实施进展情况等原因未发行。调整后本次拟发行</w:t>
      </w:r>
      <w:r>
        <w:rPr>
          <w:rFonts w:hint="eastAsia" w:ascii="仿宋_GB2312" w:hAnsi="仿宋_GB2312" w:eastAsia="仿宋_GB2312"/>
          <w:b w:val="0"/>
          <w:bCs w:val="0"/>
          <w:color w:val="auto"/>
          <w:w w:val="99"/>
          <w:sz w:val="32"/>
          <w:szCs w:val="32"/>
          <w:lang w:val="en-US" w:eastAsia="zh-CN"/>
        </w:rPr>
        <w:t>3000.00</w:t>
      </w:r>
      <w:r>
        <w:rPr>
          <w:rFonts w:hint="eastAsia" w:ascii="仿宋_GB2312" w:hAnsi="仿宋_GB2312" w:eastAsia="仿宋_GB2312"/>
          <w:b w:val="0"/>
          <w:bCs w:val="0"/>
          <w:color w:val="auto"/>
          <w:w w:val="99"/>
          <w:sz w:val="32"/>
          <w:szCs w:val="32"/>
        </w:rPr>
        <w:t>万元，期限</w:t>
      </w:r>
      <w:r>
        <w:rPr>
          <w:rFonts w:hint="eastAsia" w:ascii="仿宋_GB2312" w:hAnsi="仿宋_GB2312" w:eastAsia="仿宋_GB2312"/>
          <w:b w:val="0"/>
          <w:bCs w:val="0"/>
          <w:color w:val="auto"/>
          <w:w w:val="99"/>
          <w:sz w:val="32"/>
          <w:szCs w:val="32"/>
          <w:lang w:val="en-US" w:eastAsia="zh-CN"/>
        </w:rPr>
        <w:t>15</w:t>
      </w:r>
      <w:r>
        <w:rPr>
          <w:rFonts w:hint="eastAsia" w:ascii="仿宋_GB2312" w:hAnsi="仿宋_GB2312" w:eastAsia="仿宋_GB2312"/>
          <w:b w:val="0"/>
          <w:bCs w:val="0"/>
          <w:color w:val="auto"/>
          <w:w w:val="99"/>
          <w:sz w:val="32"/>
          <w:szCs w:val="32"/>
        </w:rPr>
        <w:t>年，该项目实施内容及收益来源未发生变动，在不超过项目债券总需求情况下，债券跨年发行对项目整体融资平衡不构成实质影响。</w:t>
      </w:r>
    </w:p>
    <w:p>
      <w:pPr>
        <w:pStyle w:val="11"/>
        <w:keepNext w:val="0"/>
        <w:keepLines w:val="0"/>
        <w:pageBreakBefore w:val="0"/>
        <w:widowControl w:val="0"/>
        <w:kinsoku/>
        <w:wordWrap/>
        <w:overflowPunct/>
        <w:topLinePunct w:val="0"/>
        <w:autoSpaceDE/>
        <w:autoSpaceDN/>
        <w:bidi w:val="0"/>
        <w:adjustRightInd/>
        <w:snapToGrid w:val="0"/>
        <w:spacing w:after="0" w:line="360" w:lineRule="auto"/>
        <w:ind w:left="0" w:leftChars="0" w:firstLine="420" w:firstLineChars="200"/>
        <w:textAlignment w:val="auto"/>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9AD43B"/>
    <w:multiLevelType w:val="singleLevel"/>
    <w:tmpl w:val="669AD43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86938"/>
    <w:rsid w:val="03211E2F"/>
    <w:rsid w:val="04331E06"/>
    <w:rsid w:val="04A327FF"/>
    <w:rsid w:val="05851B9D"/>
    <w:rsid w:val="065F2511"/>
    <w:rsid w:val="07367AC5"/>
    <w:rsid w:val="074B0791"/>
    <w:rsid w:val="07E00DAD"/>
    <w:rsid w:val="0933416B"/>
    <w:rsid w:val="0B9710C8"/>
    <w:rsid w:val="0C28576D"/>
    <w:rsid w:val="0C9F71DB"/>
    <w:rsid w:val="0E3A3B05"/>
    <w:rsid w:val="0E9F5D49"/>
    <w:rsid w:val="10AD361E"/>
    <w:rsid w:val="10C67AB8"/>
    <w:rsid w:val="126916E9"/>
    <w:rsid w:val="13370AD5"/>
    <w:rsid w:val="14000243"/>
    <w:rsid w:val="142F3A0C"/>
    <w:rsid w:val="143C5CE9"/>
    <w:rsid w:val="149E359F"/>
    <w:rsid w:val="14EE281A"/>
    <w:rsid w:val="14F21B11"/>
    <w:rsid w:val="157F1BA0"/>
    <w:rsid w:val="16273273"/>
    <w:rsid w:val="16C373AC"/>
    <w:rsid w:val="174B3736"/>
    <w:rsid w:val="17794E9A"/>
    <w:rsid w:val="1B655074"/>
    <w:rsid w:val="1C337315"/>
    <w:rsid w:val="1D620699"/>
    <w:rsid w:val="1D7B64E2"/>
    <w:rsid w:val="20494647"/>
    <w:rsid w:val="20882AE2"/>
    <w:rsid w:val="21012DB7"/>
    <w:rsid w:val="213A3E4A"/>
    <w:rsid w:val="21864BEE"/>
    <w:rsid w:val="21883F0B"/>
    <w:rsid w:val="22580D98"/>
    <w:rsid w:val="226749C5"/>
    <w:rsid w:val="267C63A9"/>
    <w:rsid w:val="27B063AD"/>
    <w:rsid w:val="27CB6902"/>
    <w:rsid w:val="28D9664C"/>
    <w:rsid w:val="29EA2A61"/>
    <w:rsid w:val="2A8C3CF9"/>
    <w:rsid w:val="2AEE55D8"/>
    <w:rsid w:val="2BEC4EBD"/>
    <w:rsid w:val="2C9921B8"/>
    <w:rsid w:val="2E04757B"/>
    <w:rsid w:val="2E6F6D5E"/>
    <w:rsid w:val="2E7413C7"/>
    <w:rsid w:val="30337C12"/>
    <w:rsid w:val="307E6B40"/>
    <w:rsid w:val="308B2FE5"/>
    <w:rsid w:val="30B93801"/>
    <w:rsid w:val="31A53664"/>
    <w:rsid w:val="31D3603B"/>
    <w:rsid w:val="3230527D"/>
    <w:rsid w:val="32C24A76"/>
    <w:rsid w:val="33221A86"/>
    <w:rsid w:val="33714496"/>
    <w:rsid w:val="33AA0A59"/>
    <w:rsid w:val="34815261"/>
    <w:rsid w:val="349B0740"/>
    <w:rsid w:val="34C31017"/>
    <w:rsid w:val="350814FC"/>
    <w:rsid w:val="35AB4A69"/>
    <w:rsid w:val="3A707A7B"/>
    <w:rsid w:val="3B7F2912"/>
    <w:rsid w:val="3CF4354C"/>
    <w:rsid w:val="3D774A5E"/>
    <w:rsid w:val="3E183E08"/>
    <w:rsid w:val="3F30796D"/>
    <w:rsid w:val="410759B4"/>
    <w:rsid w:val="41784F1A"/>
    <w:rsid w:val="419826B8"/>
    <w:rsid w:val="435B4E62"/>
    <w:rsid w:val="44717283"/>
    <w:rsid w:val="44831B58"/>
    <w:rsid w:val="44942671"/>
    <w:rsid w:val="44E206F3"/>
    <w:rsid w:val="45322949"/>
    <w:rsid w:val="453612E4"/>
    <w:rsid w:val="463013DA"/>
    <w:rsid w:val="46430415"/>
    <w:rsid w:val="46FC37FB"/>
    <w:rsid w:val="48D86938"/>
    <w:rsid w:val="49B9783E"/>
    <w:rsid w:val="4C2C03C5"/>
    <w:rsid w:val="4C5B3AD8"/>
    <w:rsid w:val="4C6805C4"/>
    <w:rsid w:val="4D5452D4"/>
    <w:rsid w:val="506229C0"/>
    <w:rsid w:val="50892D33"/>
    <w:rsid w:val="509A39BD"/>
    <w:rsid w:val="51434005"/>
    <w:rsid w:val="51D774AE"/>
    <w:rsid w:val="52DF6E63"/>
    <w:rsid w:val="539F7224"/>
    <w:rsid w:val="54EE5EC9"/>
    <w:rsid w:val="55A24F60"/>
    <w:rsid w:val="55BD1873"/>
    <w:rsid w:val="56F047AA"/>
    <w:rsid w:val="57704141"/>
    <w:rsid w:val="57D77DF3"/>
    <w:rsid w:val="58561850"/>
    <w:rsid w:val="58B113F0"/>
    <w:rsid w:val="5C4A7489"/>
    <w:rsid w:val="5C7E367B"/>
    <w:rsid w:val="5CA941DF"/>
    <w:rsid w:val="5CB4195D"/>
    <w:rsid w:val="5D170F56"/>
    <w:rsid w:val="5EFF5AAC"/>
    <w:rsid w:val="5F403847"/>
    <w:rsid w:val="61322668"/>
    <w:rsid w:val="61FB31B3"/>
    <w:rsid w:val="637451D1"/>
    <w:rsid w:val="63B65809"/>
    <w:rsid w:val="64080D26"/>
    <w:rsid w:val="64857BAC"/>
    <w:rsid w:val="66222E0C"/>
    <w:rsid w:val="66441FBE"/>
    <w:rsid w:val="668A1EEA"/>
    <w:rsid w:val="683B3DCB"/>
    <w:rsid w:val="687D425F"/>
    <w:rsid w:val="69741108"/>
    <w:rsid w:val="6DDB126D"/>
    <w:rsid w:val="6DEA4C9E"/>
    <w:rsid w:val="6EB35A2C"/>
    <w:rsid w:val="70D25977"/>
    <w:rsid w:val="71816A39"/>
    <w:rsid w:val="73572443"/>
    <w:rsid w:val="73580B4D"/>
    <w:rsid w:val="73DD2094"/>
    <w:rsid w:val="746E217E"/>
    <w:rsid w:val="74BF5585"/>
    <w:rsid w:val="75BE72D2"/>
    <w:rsid w:val="76130E08"/>
    <w:rsid w:val="76EB4CB7"/>
    <w:rsid w:val="77686FD3"/>
    <w:rsid w:val="77B25D4B"/>
    <w:rsid w:val="77CB4FDB"/>
    <w:rsid w:val="783702C5"/>
    <w:rsid w:val="78413722"/>
    <w:rsid w:val="792E7798"/>
    <w:rsid w:val="79371441"/>
    <w:rsid w:val="7A536B2F"/>
    <w:rsid w:val="7A5E34C4"/>
    <w:rsid w:val="7B360CB0"/>
    <w:rsid w:val="7B8B136B"/>
    <w:rsid w:val="7C02759D"/>
    <w:rsid w:val="7C1A27EF"/>
    <w:rsid w:val="7CE64668"/>
    <w:rsid w:val="7D272528"/>
    <w:rsid w:val="7D9F5B3B"/>
    <w:rsid w:val="7E6C267F"/>
    <w:rsid w:val="7FB57784"/>
    <w:rsid w:val="7FC10B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before="100" w:beforeAutospacing="1" w:after="120"/>
    </w:pPr>
  </w:style>
  <w:style w:type="paragraph" w:styleId="3">
    <w:name w:val="toc 1"/>
    <w:basedOn w:val="1"/>
    <w:next w:val="1"/>
    <w:unhideWhenUsed/>
    <w:qFormat/>
    <w:uiPriority w:val="39"/>
    <w:pPr>
      <w:tabs>
        <w:tab w:val="right" w:leader="dot" w:pos="8296"/>
      </w:tabs>
      <w:jc w:val="center"/>
    </w:pPr>
    <w:rPr>
      <w:rFonts w:ascii="仿宋" w:hAnsi="仿宋" w:eastAsia="仿宋"/>
      <w:b/>
      <w:bCs/>
      <w:sz w:val="22"/>
      <w:szCs w:val="28"/>
    </w:rPr>
  </w:style>
  <w:style w:type="paragraph" w:styleId="6">
    <w:name w:val="Body Text Indent"/>
    <w:basedOn w:val="1"/>
    <w:unhideWhenUsed/>
    <w:qFormat/>
    <w:uiPriority w:val="99"/>
    <w:pPr>
      <w:spacing w:after="120"/>
      <w:ind w:left="420" w:leftChars="200"/>
    </w:pPr>
  </w:style>
  <w:style w:type="paragraph" w:styleId="7">
    <w:name w:val="Block Text"/>
    <w:basedOn w:val="1"/>
    <w:qFormat/>
    <w:uiPriority w:val="99"/>
    <w:pPr>
      <w:spacing w:line="300" w:lineRule="exact"/>
      <w:ind w:left="-105" w:leftChars="-50" w:right="-105" w:rightChars="-50" w:firstLine="0" w:firstLineChars="0"/>
      <w:jc w:val="center"/>
    </w:pPr>
    <w:rPr>
      <w:rFonts w:ascii="宋体" w:hAnsi="宋体"/>
      <w:sz w:val="18"/>
      <w:szCs w:val="20"/>
    </w:rPr>
  </w:style>
  <w:style w:type="paragraph" w:styleId="8">
    <w:name w:val="footer"/>
    <w:basedOn w:val="1"/>
    <w:unhideWhenUsed/>
    <w:qFormat/>
    <w:uiPriority w:val="99"/>
    <w:pPr>
      <w:tabs>
        <w:tab w:val="center" w:pos="4153"/>
        <w:tab w:val="right" w:pos="8306"/>
      </w:tabs>
      <w:snapToGrid w:val="0"/>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6"/>
    <w:qFormat/>
    <w:uiPriority w:val="0"/>
    <w:pPr>
      <w:ind w:firstLine="420" w:firstLineChars="200"/>
    </w:pPr>
  </w:style>
  <w:style w:type="character" w:styleId="14">
    <w:name w:val="Strong"/>
    <w:basedOn w:val="1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2020-08-10T02:22:00Z</dcterms:created>
  <dc:creator>浪漫是一种病</dc:creator>
  <cp:lastModifiedBy>〰〰Mr.張張</cp:lastModifiedBy>
  <cp:lastPrinted>2022-01-29T12:25:02Z</cp:lastPrinted>
  <dcterms:modified xsi:type="dcterms:W3CDTF">2022-01-29T12:26:04Z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FFAB5FD0535D421499989C7F92376A40</vt:lpwstr>
  </property>
</Properties>
</file>