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after="156" w:afterLines="50" w:line="360" w:lineRule="auto"/>
        <w:jc w:val="center"/>
        <w:outlineLvl w:val="0"/>
        <w:rPr>
          <w:rFonts w:hint="eastAsia" w:ascii="宋体" w:hAnsi="宋体" w:eastAsia="宋体" w:cs="宋体"/>
          <w:b/>
          <w:bCs/>
          <w:sz w:val="44"/>
          <w:szCs w:val="44"/>
        </w:rPr>
      </w:pPr>
      <w:r>
        <w:rPr>
          <w:rFonts w:hint="eastAsia" w:ascii="宋体" w:hAnsi="宋体" w:eastAsia="宋体" w:cs="宋体"/>
          <w:b/>
          <w:bCs/>
          <w:sz w:val="44"/>
          <w:szCs w:val="44"/>
        </w:rPr>
        <w:t>甘洛县人民医院第二住院综合大楼建设</w:t>
      </w:r>
    </w:p>
    <w:p>
      <w:pPr>
        <w:spacing w:before="10" w:after="156" w:afterLines="50" w:line="360" w:lineRule="auto"/>
        <w:jc w:val="center"/>
        <w:outlineLvl w:val="0"/>
        <w:rPr>
          <w:rFonts w:ascii="宋体" w:hAnsi="宋体" w:eastAsia="宋体" w:cs="Times New Roman"/>
          <w:b/>
          <w:bCs/>
          <w:sz w:val="44"/>
          <w:szCs w:val="44"/>
        </w:rPr>
      </w:pPr>
      <w:r>
        <w:rPr>
          <w:rFonts w:hint="eastAsia" w:ascii="宋体" w:hAnsi="宋体" w:eastAsia="宋体" w:cs="宋体"/>
          <w:b/>
          <w:bCs/>
          <w:sz w:val="44"/>
          <w:szCs w:val="44"/>
        </w:rPr>
        <w:t>项目专项债券</w:t>
      </w:r>
    </w:p>
    <w:p>
      <w:pPr>
        <w:spacing w:before="10" w:after="156" w:afterLines="50" w:line="360" w:lineRule="auto"/>
        <w:jc w:val="center"/>
        <w:outlineLvl w:val="0"/>
        <w:rPr>
          <w:rFonts w:ascii="宋体" w:hAnsi="宋体" w:eastAsia="宋体" w:cs="宋体"/>
          <w:b/>
          <w:bCs/>
          <w:sz w:val="44"/>
          <w:szCs w:val="44"/>
        </w:rPr>
      </w:pPr>
      <w:r>
        <w:rPr>
          <w:rFonts w:hint="eastAsia" w:ascii="宋体" w:hAnsi="宋体" w:eastAsia="宋体" w:cs="宋体"/>
          <w:b/>
          <w:bCs/>
          <w:sz w:val="44"/>
          <w:szCs w:val="44"/>
        </w:rPr>
        <w:t>项目情况</w:t>
      </w:r>
    </w:p>
    <w:p>
      <w:pPr>
        <w:rPr>
          <w:sz w:val="48"/>
          <w:szCs w:val="48"/>
        </w:rPr>
      </w:pPr>
    </w:p>
    <w:p>
      <w:pPr>
        <w:spacing w:before="10" w:after="156" w:after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一、项目基本情况</w:t>
      </w:r>
    </w:p>
    <w:p>
      <w:pPr>
        <w:spacing w:before="10" w:after="156" w:afterLines="50" w:line="360" w:lineRule="auto"/>
        <w:ind w:firstLine="643" w:firstLineChars="200"/>
        <w:outlineLvl w:val="1"/>
        <w:rPr>
          <w:rFonts w:ascii="楷体_GB2312" w:hAnsi="Calibri" w:eastAsia="楷体_GB2312" w:cs="Times New Roman"/>
          <w:b/>
          <w:sz w:val="32"/>
          <w:szCs w:val="32"/>
        </w:rPr>
      </w:pPr>
      <w:r>
        <w:rPr>
          <w:rFonts w:hint="eastAsia" w:ascii="楷体_GB2312" w:hAnsi="Calibri" w:eastAsia="楷体_GB2312" w:cs="Times New Roman"/>
          <w:b/>
          <w:sz w:val="32"/>
          <w:szCs w:val="32"/>
        </w:rPr>
        <w:t>（一）市县及行业专项规划概况</w:t>
      </w:r>
    </w:p>
    <w:p>
      <w:pPr>
        <w:widowControl/>
        <w:spacing w:line="360" w:lineRule="auto"/>
        <w:ind w:firstLine="480" w:firstLineChars="200"/>
        <w:rPr>
          <w:rFonts w:ascii="仿宋" w:hAnsi="仿宋" w:eastAsia="仿宋" w:cs="仿宋"/>
          <w:color w:val="000000"/>
          <w:sz w:val="24"/>
          <w:szCs w:val="24"/>
          <w:lang w:bidi="ar"/>
        </w:rPr>
      </w:pPr>
      <w:r>
        <w:rPr>
          <w:rFonts w:hint="eastAsia" w:ascii="仿宋" w:hAnsi="仿宋" w:eastAsia="仿宋" w:cs="仿宋"/>
          <w:color w:val="000000"/>
          <w:sz w:val="24"/>
          <w:szCs w:val="24"/>
          <w:lang w:bidi="ar"/>
        </w:rPr>
        <w:t>甘洛县位于四川省西南部，凉山彝族自治州北部。全县幅员面积2156平方公里，辖28个乡镇，228个行政村，4个居委会，居住着彝、汉、藏、回、苗等多个民族，总人口22.77万人（彝族人口占74.89%），是一个以彝族为主的少数民族聚居县和国家扶贫开发工作重点县。全县城镇化率20.58%，森林覆盖率38.39%，县境内最高海拔4288米，最低海拔570米。有出境公路3条，成昆铁路由北向南纵贯县境62.5公里。</w:t>
      </w:r>
    </w:p>
    <w:p>
      <w:pPr>
        <w:widowControl/>
        <w:spacing w:line="360" w:lineRule="auto"/>
        <w:ind w:firstLine="480" w:firstLineChars="200"/>
        <w:rPr>
          <w:rFonts w:ascii="仿宋" w:hAnsi="仿宋" w:eastAsia="仿宋" w:cs="仿宋"/>
          <w:color w:val="000000"/>
          <w:sz w:val="24"/>
          <w:szCs w:val="24"/>
          <w:lang w:bidi="ar"/>
        </w:rPr>
      </w:pPr>
      <w:r>
        <w:rPr>
          <w:rFonts w:hint="eastAsia" w:ascii="仿宋" w:hAnsi="仿宋" w:eastAsia="仿宋" w:cs="仿宋"/>
          <w:color w:val="000000"/>
          <w:sz w:val="24"/>
          <w:szCs w:val="24"/>
          <w:lang w:bidi="ar"/>
        </w:rPr>
        <w:t>甘洛境内矿产资源十分丰富，已探明储量的矿种有29种，其中铅锌矿储量大、品质高，曾被誉为“西部铅都”</w:t>
      </w:r>
      <w:r>
        <w:rPr>
          <w:rFonts w:hint="eastAsia" w:ascii="仿宋" w:hAnsi="仿宋" w:eastAsia="仿宋" w:cs="仿宋"/>
          <w:color w:val="000000"/>
          <w:sz w:val="24"/>
          <w:szCs w:val="24"/>
          <w:lang w:eastAsia="zh-CN" w:bidi="ar"/>
        </w:rPr>
        <w:t>；</w:t>
      </w:r>
      <w:r>
        <w:rPr>
          <w:rFonts w:hint="eastAsia" w:ascii="仿宋" w:hAnsi="仿宋" w:eastAsia="仿宋" w:cs="仿宋"/>
          <w:color w:val="000000"/>
          <w:sz w:val="24"/>
          <w:szCs w:val="24"/>
          <w:lang w:bidi="ar"/>
        </w:rPr>
        <w:t>水能资源得天独厚，地方中小水电可开发量达60余万千瓦；农业资源特色突出，全县耕地面积20.83万亩，森林面积77.1万亩，草场面积86.5万亩，是“中国黑苦荞之乡”和“四川省核桃产业十大扶持县”;人文资源积淀厚重，汉时的灵关古道、大唐的“南方丝绸之路”均在此过境设关，是川滇通道的重关要隘；旅游资源颇具开发潜力，有红军长征留下的足迹，有国家地质公园大渡河大峡谷、省级自然保护区马鞍山、彝族传说中的神山吉日坡和鬼山德布洛莫等自然文化景观。</w:t>
      </w:r>
    </w:p>
    <w:p>
      <w:pPr>
        <w:widowControl/>
        <w:spacing w:line="360" w:lineRule="auto"/>
        <w:ind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根据《四川省凉山彝族自治州甘洛县城市总体规划》，甘洛县总体发展目标是：以经济建设为中心，以提高经济和社会效益，促进社会全面进步为目的；加快改革开放步伐，加强基础设施建设，立足农业，依托资源，大力发展畜牧业、林果业、乡镇企业；科教兴县，加强生态建设和基础建设，改善投资环境，加大了引资力度，积极引进外资开发水能资源。利用垂直气候带条件，开发特色农业，以水电开发为突破口，特别是大、中型水电项目开发点的调查，论证和引资。</w:t>
      </w:r>
    </w:p>
    <w:p>
      <w:pPr>
        <w:widowControl/>
        <w:spacing w:line="360" w:lineRule="auto"/>
        <w:ind w:firstLine="480" w:firstLineChars="200"/>
        <w:rPr>
          <w:rFonts w:ascii="仿宋" w:hAnsi="仿宋" w:eastAsia="仿宋" w:cs="仿宋"/>
          <w:color w:val="000000"/>
          <w:sz w:val="24"/>
          <w:szCs w:val="24"/>
          <w:lang w:bidi="ar"/>
        </w:rPr>
      </w:pPr>
      <w:r>
        <w:rPr>
          <w:rFonts w:hint="eastAsia" w:ascii="仿宋" w:hAnsi="仿宋" w:eastAsia="仿宋" w:cs="仿宋"/>
          <w:color w:val="000000"/>
          <w:sz w:val="24"/>
          <w:szCs w:val="24"/>
          <w:lang w:bidi="ar"/>
        </w:rPr>
        <w:t>甘洛县域城镇体系空间分布呈均衡分布状态，逐步形成以县城新市坝镇为核心，建制镇为骨干，乡(集)镇为基本单元。形成北有阿兹觉、坪坝，西有海棠、则拉、中有田坝、玉田，南有斯觉、尼尔觉、吉米，东有普昌均衡布局模式。由县城辐射各建制镇、各建制镇辐射各乡集镇，以此逐级带动县域各级城镇以及县域农村经济社会协调有序地全面发展。</w:t>
      </w:r>
    </w:p>
    <w:p>
      <w:pPr>
        <w:spacing w:before="10" w:after="156" w:afterLines="50" w:line="360" w:lineRule="auto"/>
        <w:ind w:firstLine="643" w:firstLineChars="200"/>
        <w:outlineLvl w:val="1"/>
        <w:rPr>
          <w:rFonts w:ascii="楷体_GB2312" w:hAnsi="Calibri" w:eastAsia="楷体_GB2312" w:cs="Times New Roman"/>
          <w:b/>
          <w:sz w:val="32"/>
          <w:szCs w:val="32"/>
        </w:rPr>
      </w:pPr>
      <w:r>
        <w:rPr>
          <w:rFonts w:hint="eastAsia" w:ascii="楷体_GB2312" w:hAnsi="Calibri" w:eastAsia="楷体_GB2312" w:cs="Times New Roman"/>
          <w:b/>
          <w:sz w:val="32"/>
          <w:szCs w:val="32"/>
        </w:rPr>
        <w:t>（二）项目情况</w:t>
      </w:r>
    </w:p>
    <w:p>
      <w:pPr>
        <w:spacing w:before="10" w:after="156" w:afterLines="50" w:line="360" w:lineRule="auto"/>
        <w:ind w:firstLine="643" w:firstLineChars="200"/>
        <w:outlineLvl w:val="2"/>
        <w:rPr>
          <w:rFonts w:ascii="仿宋" w:hAnsi="仿宋" w:eastAsia="仿宋"/>
          <w:b/>
          <w:sz w:val="32"/>
          <w:szCs w:val="32"/>
        </w:rPr>
      </w:pPr>
      <w:r>
        <w:rPr>
          <w:rFonts w:hint="eastAsia" w:ascii="仿宋" w:hAnsi="仿宋" w:eastAsia="仿宋"/>
          <w:b/>
          <w:sz w:val="32"/>
          <w:szCs w:val="32"/>
        </w:rPr>
        <w:t>1．参与主体</w:t>
      </w:r>
    </w:p>
    <w:p>
      <w:pPr>
        <w:widowControl/>
        <w:spacing w:line="360" w:lineRule="auto"/>
        <w:ind w:firstLine="480" w:firstLineChars="200"/>
        <w:rPr>
          <w:rFonts w:ascii="仿宋" w:hAnsi="仿宋" w:eastAsia="仿宋" w:cs="仿宋"/>
          <w:sz w:val="24"/>
          <w:szCs w:val="24"/>
          <w:lang w:bidi="ar"/>
        </w:rPr>
      </w:pPr>
      <w:r>
        <w:rPr>
          <w:rFonts w:hint="eastAsia" w:ascii="仿宋" w:hAnsi="仿宋" w:eastAsia="仿宋" w:cs="仿宋"/>
          <w:sz w:val="24"/>
          <w:szCs w:val="24"/>
          <w:lang w:bidi="ar"/>
        </w:rPr>
        <w:t>主管单位：甘洛县卫生健康局</w:t>
      </w:r>
    </w:p>
    <w:p>
      <w:pPr>
        <w:widowControl/>
        <w:spacing w:line="360" w:lineRule="auto"/>
        <w:ind w:firstLine="480" w:firstLineChars="200"/>
        <w:rPr>
          <w:rFonts w:ascii="仿宋" w:hAnsi="仿宋" w:eastAsia="仿宋" w:cs="仿宋"/>
          <w:sz w:val="24"/>
          <w:szCs w:val="24"/>
          <w:lang w:bidi="ar"/>
        </w:rPr>
      </w:pPr>
      <w:r>
        <w:rPr>
          <w:rFonts w:hint="eastAsia" w:ascii="仿宋" w:hAnsi="仿宋" w:eastAsia="仿宋" w:cs="仿宋"/>
          <w:sz w:val="24"/>
          <w:szCs w:val="24"/>
          <w:lang w:bidi="ar"/>
        </w:rPr>
        <w:t>项目业主：甘洛县人民医院</w:t>
      </w:r>
    </w:p>
    <w:p>
      <w:pPr>
        <w:spacing w:before="10" w:after="156" w:afterLines="50" w:line="360" w:lineRule="auto"/>
        <w:ind w:firstLine="643" w:firstLineChars="200"/>
        <w:outlineLvl w:val="2"/>
        <w:rPr>
          <w:rFonts w:ascii="仿宋" w:hAnsi="仿宋" w:eastAsia="仿宋"/>
          <w:b/>
          <w:sz w:val="32"/>
          <w:szCs w:val="32"/>
        </w:rPr>
      </w:pPr>
      <w:r>
        <w:rPr>
          <w:rFonts w:hint="eastAsia" w:ascii="仿宋" w:hAnsi="仿宋" w:eastAsia="仿宋"/>
          <w:b/>
          <w:sz w:val="32"/>
          <w:szCs w:val="32"/>
        </w:rPr>
        <w:t>2．项目概况</w:t>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color w:val="000000"/>
          <w:sz w:val="24"/>
          <w:lang w:bidi="ar"/>
        </w:rPr>
        <w:t>本项</w:t>
      </w:r>
      <w:r>
        <w:rPr>
          <w:rFonts w:hint="eastAsia" w:ascii="仿宋" w:hAnsi="仿宋" w:eastAsia="仿宋" w:cs="仿宋"/>
          <w:bCs/>
          <w:kern w:val="0"/>
          <w:sz w:val="24"/>
          <w:szCs w:val="24"/>
        </w:rPr>
        <w:t>目是医疗类项目，项目总投资估算为</w:t>
      </w:r>
      <w:r>
        <w:rPr>
          <w:rFonts w:hint="eastAsia" w:ascii="仿宋" w:hAnsi="仿宋" w:eastAsia="仿宋" w:cs="仿宋"/>
          <w:bCs/>
          <w:kern w:val="0"/>
          <w:sz w:val="24"/>
          <w:szCs w:val="24"/>
          <w:lang w:val="en-US" w:eastAsia="zh-CN"/>
        </w:rPr>
        <w:t>15760</w:t>
      </w:r>
      <w:r>
        <w:rPr>
          <w:rFonts w:ascii="仿宋" w:hAnsi="仿宋" w:eastAsia="仿宋" w:cs="仿宋"/>
          <w:bCs/>
          <w:kern w:val="0"/>
          <w:sz w:val="24"/>
          <w:szCs w:val="24"/>
        </w:rPr>
        <w:t>.</w:t>
      </w:r>
      <w:r>
        <w:rPr>
          <w:rFonts w:hint="eastAsia" w:ascii="仿宋" w:hAnsi="仿宋" w:eastAsia="仿宋" w:cs="仿宋"/>
          <w:bCs/>
          <w:kern w:val="0"/>
          <w:sz w:val="24"/>
          <w:szCs w:val="24"/>
          <w:lang w:val="en-US" w:eastAsia="zh-CN"/>
        </w:rPr>
        <w:t>0</w:t>
      </w:r>
      <w:r>
        <w:rPr>
          <w:rFonts w:ascii="仿宋" w:hAnsi="仿宋" w:eastAsia="仿宋" w:cs="仿宋"/>
          <w:bCs/>
          <w:kern w:val="0"/>
          <w:sz w:val="24"/>
          <w:szCs w:val="24"/>
        </w:rPr>
        <w:t>0</w:t>
      </w:r>
      <w:r>
        <w:rPr>
          <w:rFonts w:hint="eastAsia" w:ascii="仿宋" w:hAnsi="仿宋" w:eastAsia="仿宋" w:cs="仿宋"/>
          <w:bCs/>
          <w:kern w:val="0"/>
          <w:sz w:val="24"/>
          <w:szCs w:val="24"/>
        </w:rPr>
        <w:t>万元。项目位于甘洛县新市坝镇团结北街</w:t>
      </w:r>
      <w:r>
        <w:rPr>
          <w:rFonts w:ascii="仿宋" w:hAnsi="仿宋" w:eastAsia="仿宋" w:cs="仿宋"/>
          <w:bCs/>
          <w:kern w:val="0"/>
          <w:sz w:val="24"/>
          <w:szCs w:val="24"/>
        </w:rPr>
        <w:t>35</w:t>
      </w:r>
      <w:r>
        <w:rPr>
          <w:rFonts w:hint="eastAsia" w:ascii="仿宋" w:hAnsi="仿宋" w:eastAsia="仿宋" w:cs="仿宋"/>
          <w:bCs/>
          <w:kern w:val="0"/>
          <w:sz w:val="24"/>
          <w:szCs w:val="24"/>
        </w:rPr>
        <w:t>号，新建建筑面积</w:t>
      </w:r>
      <w:r>
        <w:rPr>
          <w:rFonts w:ascii="仿宋" w:hAnsi="仿宋" w:eastAsia="仿宋" w:cs="仿宋"/>
          <w:bCs/>
          <w:kern w:val="0"/>
          <w:sz w:val="24"/>
          <w:szCs w:val="24"/>
        </w:rPr>
        <w:t>13601.04</w:t>
      </w:r>
      <w:r>
        <w:rPr>
          <w:rFonts w:hint="eastAsia" w:ascii="仿宋" w:hAnsi="仿宋" w:eastAsia="仿宋" w:cs="仿宋"/>
          <w:bCs/>
          <w:kern w:val="0"/>
          <w:sz w:val="24"/>
          <w:szCs w:val="24"/>
        </w:rPr>
        <w:t>㎡，其中地上建筑面积</w:t>
      </w:r>
      <w:r>
        <w:rPr>
          <w:rFonts w:ascii="仿宋" w:hAnsi="仿宋" w:eastAsia="仿宋" w:cs="仿宋"/>
          <w:bCs/>
          <w:kern w:val="0"/>
          <w:sz w:val="24"/>
          <w:szCs w:val="24"/>
        </w:rPr>
        <w:t>11962.79</w:t>
      </w:r>
      <w:r>
        <w:rPr>
          <w:rFonts w:hint="eastAsia" w:ascii="仿宋" w:hAnsi="仿宋" w:eastAsia="仿宋" w:cs="仿宋"/>
          <w:bCs/>
          <w:kern w:val="0"/>
          <w:sz w:val="24"/>
          <w:szCs w:val="24"/>
        </w:rPr>
        <w:t>㎡，地下建筑面积</w:t>
      </w:r>
      <w:r>
        <w:rPr>
          <w:rFonts w:ascii="仿宋" w:hAnsi="仿宋" w:eastAsia="仿宋" w:cs="仿宋"/>
          <w:bCs/>
          <w:kern w:val="0"/>
          <w:sz w:val="24"/>
          <w:szCs w:val="24"/>
        </w:rPr>
        <w:t>1638.25</w:t>
      </w:r>
      <w:r>
        <w:rPr>
          <w:rFonts w:hint="eastAsia" w:ascii="仿宋" w:hAnsi="仿宋" w:eastAsia="仿宋" w:cs="仿宋"/>
          <w:bCs/>
          <w:kern w:val="0"/>
          <w:sz w:val="24"/>
          <w:szCs w:val="24"/>
        </w:rPr>
        <w:t>㎡，设计床位为</w:t>
      </w:r>
      <w:r>
        <w:rPr>
          <w:rFonts w:ascii="仿宋" w:hAnsi="仿宋" w:eastAsia="仿宋" w:cs="仿宋"/>
          <w:bCs/>
          <w:kern w:val="0"/>
          <w:sz w:val="24"/>
          <w:szCs w:val="24"/>
        </w:rPr>
        <w:t>225</w:t>
      </w:r>
      <w:r>
        <w:rPr>
          <w:rFonts w:hint="eastAsia" w:ascii="仿宋" w:hAnsi="仿宋" w:eastAsia="仿宋" w:cs="仿宋"/>
          <w:bCs/>
          <w:kern w:val="0"/>
          <w:sz w:val="24"/>
          <w:szCs w:val="24"/>
        </w:rPr>
        <w:t>张，机动车位</w:t>
      </w:r>
      <w:r>
        <w:rPr>
          <w:rFonts w:ascii="仿宋" w:hAnsi="仿宋" w:eastAsia="仿宋" w:cs="仿宋"/>
          <w:bCs/>
          <w:kern w:val="0"/>
          <w:sz w:val="24"/>
          <w:szCs w:val="24"/>
        </w:rPr>
        <w:t>42</w:t>
      </w:r>
      <w:r>
        <w:rPr>
          <w:rFonts w:hint="eastAsia" w:ascii="仿宋" w:hAnsi="仿宋" w:eastAsia="仿宋" w:cs="仿宋"/>
          <w:bCs/>
          <w:kern w:val="0"/>
          <w:sz w:val="24"/>
          <w:szCs w:val="24"/>
        </w:rPr>
        <w:t>个。该项目符合控制性详细规划，且已取得可行性研究报告批复、项目用地预审意见、项目环境影响报告表批复等合法合规性文件。</w:t>
      </w:r>
    </w:p>
    <w:p>
      <w:pPr>
        <w:spacing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二、经济社会效益分析</w:t>
      </w:r>
    </w:p>
    <w:p>
      <w:pPr>
        <w:spacing w:before="156" w:beforeLines="50" w:after="10" w:line="360" w:lineRule="auto"/>
        <w:ind w:firstLine="480"/>
        <w:rPr>
          <w:rFonts w:ascii="仿宋" w:hAnsi="仿宋" w:eastAsia="仿宋" w:cs="仿宋"/>
          <w:color w:val="000000"/>
          <w:sz w:val="24"/>
          <w:lang w:bidi="ar"/>
        </w:rPr>
      </w:pPr>
      <w:r>
        <w:rPr>
          <w:rFonts w:hint="eastAsia" w:ascii="仿宋" w:hAnsi="仿宋" w:eastAsia="仿宋" w:cs="仿宋"/>
          <w:color w:val="000000"/>
          <w:sz w:val="24"/>
          <w:lang w:bidi="ar"/>
        </w:rPr>
        <w:t>在经济效益方面，甘洛县人民医院第二住院综合大楼建设项目总投资为</w:t>
      </w:r>
      <w:r>
        <w:rPr>
          <w:rFonts w:hint="eastAsia" w:ascii="仿宋" w:hAnsi="仿宋" w:eastAsia="仿宋" w:cs="仿宋"/>
          <w:color w:val="000000"/>
          <w:sz w:val="24"/>
          <w:lang w:val="en-US" w:eastAsia="zh-CN" w:bidi="ar"/>
        </w:rPr>
        <w:t>15760</w:t>
      </w:r>
      <w:r>
        <w:rPr>
          <w:rFonts w:ascii="仿宋" w:hAnsi="仿宋" w:eastAsia="仿宋" w:cs="仿宋"/>
          <w:color w:val="000000"/>
          <w:sz w:val="24"/>
          <w:lang w:bidi="ar"/>
        </w:rPr>
        <w:t>.</w:t>
      </w:r>
      <w:r>
        <w:rPr>
          <w:rFonts w:hint="eastAsia" w:ascii="仿宋" w:hAnsi="仿宋" w:eastAsia="仿宋" w:cs="仿宋"/>
          <w:color w:val="000000"/>
          <w:sz w:val="24"/>
          <w:lang w:val="en-US" w:eastAsia="zh-CN" w:bidi="ar"/>
        </w:rPr>
        <w:t>0</w:t>
      </w:r>
      <w:r>
        <w:rPr>
          <w:rFonts w:ascii="仿宋" w:hAnsi="仿宋" w:eastAsia="仿宋" w:cs="仿宋"/>
          <w:color w:val="000000"/>
          <w:sz w:val="24"/>
          <w:lang w:bidi="ar"/>
        </w:rPr>
        <w:t>0</w:t>
      </w:r>
      <w:r>
        <w:rPr>
          <w:rFonts w:hint="eastAsia" w:ascii="仿宋" w:hAnsi="仿宋" w:eastAsia="仿宋" w:cs="仿宋"/>
          <w:color w:val="000000"/>
          <w:sz w:val="24"/>
          <w:lang w:bidi="ar"/>
        </w:rPr>
        <w:t>万元。其中：项目自筹资本金</w:t>
      </w:r>
      <w:r>
        <w:rPr>
          <w:rFonts w:ascii="仿宋" w:hAnsi="仿宋" w:eastAsia="仿宋" w:cs="仿宋"/>
          <w:color w:val="000000"/>
          <w:sz w:val="24"/>
          <w:lang w:bidi="ar"/>
        </w:rPr>
        <w:t>336</w:t>
      </w:r>
      <w:r>
        <w:rPr>
          <w:rFonts w:hint="eastAsia" w:ascii="仿宋" w:hAnsi="仿宋" w:eastAsia="仿宋" w:cs="仿宋"/>
          <w:color w:val="000000"/>
          <w:sz w:val="24"/>
          <w:lang w:val="en-US" w:eastAsia="zh-CN" w:bidi="ar"/>
        </w:rPr>
        <w:t>0</w:t>
      </w:r>
      <w:r>
        <w:rPr>
          <w:rFonts w:ascii="仿宋" w:hAnsi="仿宋" w:eastAsia="仿宋" w:cs="仿宋"/>
          <w:color w:val="000000"/>
          <w:sz w:val="24"/>
          <w:lang w:bidi="ar"/>
        </w:rPr>
        <w:t>.</w:t>
      </w:r>
      <w:r>
        <w:rPr>
          <w:rFonts w:hint="eastAsia" w:ascii="仿宋" w:hAnsi="仿宋" w:eastAsia="仿宋" w:cs="仿宋"/>
          <w:color w:val="000000"/>
          <w:sz w:val="24"/>
          <w:lang w:val="en-US" w:eastAsia="zh-CN" w:bidi="ar"/>
        </w:rPr>
        <w:t>0</w:t>
      </w:r>
      <w:r>
        <w:rPr>
          <w:rFonts w:ascii="仿宋" w:hAnsi="仿宋" w:eastAsia="仿宋" w:cs="仿宋"/>
          <w:color w:val="000000"/>
          <w:sz w:val="24"/>
          <w:lang w:bidi="ar"/>
        </w:rPr>
        <w:t>0</w:t>
      </w:r>
      <w:r>
        <w:rPr>
          <w:rFonts w:hint="eastAsia" w:ascii="仿宋" w:hAnsi="仿宋" w:eastAsia="仿宋" w:cs="仿宋"/>
          <w:color w:val="000000"/>
          <w:sz w:val="24"/>
          <w:lang w:bidi="ar"/>
        </w:rPr>
        <w:t>万元，占比</w:t>
      </w:r>
      <w:r>
        <w:rPr>
          <w:rFonts w:ascii="仿宋" w:hAnsi="仿宋" w:eastAsia="仿宋" w:cs="仿宋"/>
          <w:color w:val="000000"/>
          <w:sz w:val="24"/>
          <w:lang w:bidi="ar"/>
        </w:rPr>
        <w:t>2</w:t>
      </w:r>
      <w:r>
        <w:rPr>
          <w:rFonts w:hint="eastAsia" w:ascii="仿宋" w:hAnsi="仿宋" w:eastAsia="仿宋" w:cs="仿宋"/>
          <w:color w:val="000000"/>
          <w:sz w:val="24"/>
          <w:lang w:val="en-US" w:eastAsia="zh-CN" w:bidi="ar"/>
        </w:rPr>
        <w:t>1</w:t>
      </w:r>
      <w:r>
        <w:rPr>
          <w:rFonts w:ascii="仿宋" w:hAnsi="仿宋" w:eastAsia="仿宋" w:cs="仿宋"/>
          <w:color w:val="000000"/>
          <w:sz w:val="24"/>
          <w:lang w:bidi="ar"/>
        </w:rPr>
        <w:t>.</w:t>
      </w:r>
      <w:r>
        <w:rPr>
          <w:rFonts w:hint="eastAsia" w:ascii="仿宋" w:hAnsi="仿宋" w:eastAsia="仿宋" w:cs="仿宋"/>
          <w:color w:val="000000"/>
          <w:sz w:val="24"/>
          <w:lang w:val="en-US" w:eastAsia="zh-CN" w:bidi="ar"/>
        </w:rPr>
        <w:t>32</w:t>
      </w:r>
      <w:r>
        <w:rPr>
          <w:rFonts w:ascii="仿宋" w:hAnsi="仿宋" w:eastAsia="仿宋" w:cs="仿宋"/>
          <w:color w:val="000000"/>
          <w:sz w:val="24"/>
          <w:lang w:bidi="ar"/>
        </w:rPr>
        <w:t>%</w:t>
      </w:r>
      <w:r>
        <w:rPr>
          <w:rFonts w:hint="eastAsia" w:ascii="仿宋" w:hAnsi="仿宋" w:eastAsia="仿宋" w:cs="仿宋"/>
          <w:color w:val="000000"/>
          <w:sz w:val="24"/>
          <w:lang w:bidi="ar"/>
        </w:rPr>
        <w:t>；剩余资金缺口拟通过发行专项债券</w:t>
      </w:r>
      <w:r>
        <w:rPr>
          <w:rFonts w:ascii="仿宋" w:hAnsi="仿宋" w:eastAsia="仿宋" w:cs="仿宋"/>
          <w:color w:val="000000"/>
          <w:sz w:val="24"/>
          <w:lang w:bidi="ar"/>
        </w:rPr>
        <w:t>1</w:t>
      </w:r>
      <w:r>
        <w:rPr>
          <w:rFonts w:hint="eastAsia" w:ascii="仿宋" w:hAnsi="仿宋" w:eastAsia="仿宋" w:cs="仿宋"/>
          <w:color w:val="000000"/>
          <w:sz w:val="24"/>
          <w:lang w:val="en-US" w:eastAsia="zh-CN" w:bidi="ar"/>
        </w:rPr>
        <w:t>24</w:t>
      </w:r>
      <w:r>
        <w:rPr>
          <w:rFonts w:ascii="仿宋" w:hAnsi="仿宋" w:eastAsia="仿宋" w:cs="仿宋"/>
          <w:color w:val="000000"/>
          <w:sz w:val="24"/>
          <w:lang w:bidi="ar"/>
        </w:rPr>
        <w:t>00.00</w:t>
      </w:r>
      <w:r>
        <w:rPr>
          <w:rFonts w:hint="eastAsia" w:ascii="仿宋" w:hAnsi="仿宋" w:eastAsia="仿宋" w:cs="仿宋"/>
          <w:color w:val="000000"/>
          <w:sz w:val="24"/>
          <w:lang w:bidi="ar"/>
        </w:rPr>
        <w:t>万元融资，其中第</w:t>
      </w:r>
      <w:r>
        <w:rPr>
          <w:rFonts w:ascii="仿宋" w:hAnsi="仿宋" w:eastAsia="仿宋" w:cs="仿宋"/>
          <w:color w:val="000000"/>
          <w:sz w:val="24"/>
          <w:lang w:bidi="ar"/>
        </w:rPr>
        <w:t>1</w:t>
      </w:r>
      <w:r>
        <w:rPr>
          <w:rFonts w:hint="eastAsia" w:ascii="仿宋" w:hAnsi="仿宋" w:eastAsia="仿宋" w:cs="仿宋"/>
          <w:color w:val="000000"/>
          <w:sz w:val="24"/>
          <w:lang w:bidi="ar"/>
        </w:rPr>
        <w:t>年拟发行政府专项债券</w:t>
      </w:r>
      <w:r>
        <w:rPr>
          <w:rFonts w:hint="eastAsia" w:ascii="仿宋" w:hAnsi="仿宋" w:eastAsia="仿宋" w:cs="仿宋"/>
          <w:color w:val="000000"/>
          <w:sz w:val="24"/>
          <w:lang w:val="en-US" w:eastAsia="zh-CN" w:bidi="ar"/>
        </w:rPr>
        <w:t>74</w:t>
      </w:r>
      <w:r>
        <w:rPr>
          <w:rFonts w:ascii="仿宋" w:hAnsi="仿宋" w:eastAsia="仿宋" w:cs="仿宋"/>
          <w:color w:val="000000"/>
          <w:sz w:val="24"/>
          <w:lang w:bidi="ar"/>
        </w:rPr>
        <w:t>00.00</w:t>
      </w:r>
      <w:r>
        <w:rPr>
          <w:rFonts w:hint="eastAsia" w:ascii="仿宋" w:hAnsi="仿宋" w:eastAsia="仿宋" w:cs="仿宋"/>
          <w:color w:val="000000"/>
          <w:sz w:val="24"/>
          <w:lang w:bidi="ar"/>
        </w:rPr>
        <w:t>万元，第</w:t>
      </w:r>
      <w:r>
        <w:rPr>
          <w:rFonts w:ascii="仿宋" w:hAnsi="仿宋" w:eastAsia="仿宋" w:cs="仿宋"/>
          <w:color w:val="000000"/>
          <w:sz w:val="24"/>
          <w:lang w:bidi="ar"/>
        </w:rPr>
        <w:t>2</w:t>
      </w:r>
      <w:r>
        <w:rPr>
          <w:rFonts w:hint="eastAsia" w:ascii="仿宋" w:hAnsi="仿宋" w:eastAsia="仿宋" w:cs="仿宋"/>
          <w:color w:val="000000"/>
          <w:sz w:val="24"/>
          <w:lang w:bidi="ar"/>
        </w:rPr>
        <w:t>年拟发行政府专项债券</w:t>
      </w:r>
      <w:r>
        <w:rPr>
          <w:rFonts w:ascii="仿宋" w:hAnsi="仿宋" w:eastAsia="仿宋" w:cs="仿宋"/>
          <w:color w:val="000000"/>
          <w:sz w:val="24"/>
          <w:lang w:bidi="ar"/>
        </w:rPr>
        <w:t>5000.00</w:t>
      </w:r>
      <w:r>
        <w:rPr>
          <w:rFonts w:hint="eastAsia" w:ascii="仿宋" w:hAnsi="仿宋" w:eastAsia="仿宋" w:cs="仿宋"/>
          <w:color w:val="000000"/>
          <w:sz w:val="24"/>
          <w:lang w:bidi="ar"/>
        </w:rPr>
        <w:t>万元。设定债券利率</w:t>
      </w:r>
      <w:r>
        <w:rPr>
          <w:rFonts w:ascii="仿宋" w:hAnsi="仿宋" w:eastAsia="仿宋" w:cs="仿宋"/>
          <w:color w:val="000000"/>
          <w:sz w:val="24"/>
          <w:lang w:bidi="ar"/>
        </w:rPr>
        <w:t>4.0</w:t>
      </w:r>
      <w:r>
        <w:rPr>
          <w:rFonts w:hint="eastAsia" w:ascii="仿宋" w:hAnsi="仿宋" w:eastAsia="仿宋" w:cs="仿宋"/>
          <w:color w:val="000000"/>
          <w:sz w:val="24"/>
          <w:lang w:val="en-US" w:eastAsia="zh-CN" w:bidi="ar"/>
        </w:rPr>
        <w:t>0</w:t>
      </w:r>
      <w:r>
        <w:rPr>
          <w:rFonts w:ascii="仿宋" w:hAnsi="仿宋" w:eastAsia="仿宋" w:cs="仿宋"/>
          <w:color w:val="000000"/>
          <w:sz w:val="24"/>
          <w:lang w:bidi="ar"/>
        </w:rPr>
        <w:t>%,</w:t>
      </w:r>
      <w:r>
        <w:rPr>
          <w:rFonts w:hint="eastAsia" w:ascii="仿宋" w:hAnsi="仿宋" w:eastAsia="仿宋" w:cs="仿宋"/>
          <w:color w:val="000000"/>
          <w:sz w:val="24"/>
          <w:lang w:bidi="ar"/>
        </w:rPr>
        <w:t>每期期限为</w:t>
      </w:r>
      <w:r>
        <w:rPr>
          <w:rFonts w:ascii="仿宋" w:hAnsi="仿宋" w:eastAsia="仿宋" w:cs="仿宋"/>
          <w:color w:val="000000"/>
          <w:sz w:val="24"/>
          <w:lang w:bidi="ar"/>
        </w:rPr>
        <w:t>20</w:t>
      </w:r>
      <w:r>
        <w:rPr>
          <w:rFonts w:hint="eastAsia" w:ascii="仿宋" w:hAnsi="仿宋" w:eastAsia="仿宋" w:cs="仿宋"/>
          <w:color w:val="000000"/>
          <w:sz w:val="24"/>
          <w:lang w:bidi="ar"/>
        </w:rPr>
        <w:t>年，每年末支付利息</w:t>
      </w:r>
      <w:r>
        <w:rPr>
          <w:rFonts w:ascii="仿宋" w:hAnsi="仿宋" w:eastAsia="仿宋" w:cs="仿宋"/>
          <w:color w:val="000000"/>
          <w:sz w:val="24"/>
          <w:lang w:bidi="ar"/>
        </w:rPr>
        <w:t>,</w:t>
      </w:r>
      <w:r>
        <w:rPr>
          <w:rFonts w:hint="eastAsia" w:ascii="仿宋" w:hAnsi="仿宋" w:eastAsia="仿宋" w:cs="仿宋"/>
          <w:color w:val="000000"/>
          <w:sz w:val="24"/>
          <w:lang w:bidi="ar"/>
        </w:rPr>
        <w:t>到期偿还本金。占比</w:t>
      </w:r>
      <w:r>
        <w:rPr>
          <w:rFonts w:ascii="仿宋" w:hAnsi="仿宋" w:eastAsia="仿宋" w:cs="仿宋"/>
          <w:color w:val="000000"/>
          <w:sz w:val="24"/>
          <w:lang w:bidi="ar"/>
        </w:rPr>
        <w:t>7</w:t>
      </w:r>
      <w:r>
        <w:rPr>
          <w:rFonts w:hint="eastAsia" w:ascii="仿宋" w:hAnsi="仿宋" w:eastAsia="仿宋" w:cs="仿宋"/>
          <w:color w:val="000000"/>
          <w:sz w:val="24"/>
          <w:lang w:val="en-US" w:eastAsia="zh-CN" w:bidi="ar"/>
        </w:rPr>
        <w:t>8</w:t>
      </w:r>
      <w:r>
        <w:rPr>
          <w:rFonts w:ascii="仿宋" w:hAnsi="仿宋" w:eastAsia="仿宋" w:cs="仿宋"/>
          <w:color w:val="000000"/>
          <w:sz w:val="24"/>
          <w:lang w:bidi="ar"/>
        </w:rPr>
        <w:t>.</w:t>
      </w:r>
      <w:r>
        <w:rPr>
          <w:rFonts w:hint="eastAsia" w:ascii="仿宋" w:hAnsi="仿宋" w:eastAsia="仿宋" w:cs="仿宋"/>
          <w:color w:val="000000"/>
          <w:sz w:val="24"/>
          <w:lang w:val="en-US" w:eastAsia="zh-CN" w:bidi="ar"/>
        </w:rPr>
        <w:t>68</w:t>
      </w:r>
      <w:r>
        <w:rPr>
          <w:rFonts w:ascii="仿宋" w:hAnsi="仿宋" w:eastAsia="仿宋" w:cs="仿宋"/>
          <w:color w:val="000000"/>
          <w:sz w:val="24"/>
          <w:lang w:bidi="ar"/>
        </w:rPr>
        <w:t>%</w:t>
      </w:r>
      <w:r>
        <w:rPr>
          <w:rFonts w:hint="eastAsia" w:ascii="仿宋" w:hAnsi="仿宋" w:eastAsia="仿宋" w:cs="仿宋"/>
          <w:color w:val="000000"/>
          <w:sz w:val="24"/>
          <w:lang w:bidi="ar"/>
        </w:rPr>
        <w:t>。存续期内预计实现可用于资金平衡的息前净现金流25209.31万元，运营期应付本息和为21528.00万元，项目本息覆盖倍数为</w:t>
      </w:r>
      <w:r>
        <w:rPr>
          <w:rFonts w:ascii="仿宋" w:hAnsi="仿宋" w:eastAsia="仿宋" w:cs="仿宋"/>
          <w:color w:val="000000"/>
          <w:sz w:val="24"/>
          <w:lang w:bidi="ar"/>
        </w:rPr>
        <w:t>1.1</w:t>
      </w:r>
      <w:r>
        <w:rPr>
          <w:rFonts w:hint="eastAsia" w:ascii="仿宋" w:hAnsi="仿宋" w:eastAsia="仿宋" w:cs="仿宋"/>
          <w:color w:val="000000"/>
          <w:sz w:val="24"/>
          <w:lang w:val="en-US" w:eastAsia="zh-CN" w:bidi="ar"/>
        </w:rPr>
        <w:t>7</w:t>
      </w:r>
      <w:r>
        <w:rPr>
          <w:rFonts w:hint="eastAsia" w:ascii="仿宋" w:hAnsi="仿宋" w:eastAsia="仿宋" w:cs="仿宋"/>
          <w:color w:val="000000"/>
          <w:sz w:val="24"/>
          <w:lang w:bidi="ar"/>
        </w:rPr>
        <w:t>，能够实现项目收益和融资自求平衡。本项目的建设，能够有效提升医院医疗基础设施水平、改善就诊环境，促进医院更好地为周边群众服务，同时更有利于优化甘洛县及凉山州的公共医疗资源整体布局。项目建设符合国家、凉山州及甘洛县“十三五”规划及区域卫生发展规划要求。</w:t>
      </w:r>
    </w:p>
    <w:p>
      <w:pPr>
        <w:spacing w:line="360" w:lineRule="auto"/>
        <w:ind w:firstLine="480" w:firstLineChars="200"/>
        <w:rPr>
          <w:rFonts w:ascii="仿宋" w:hAnsi="仿宋" w:eastAsia="仿宋" w:cs="仿宋"/>
          <w:bCs/>
          <w:kern w:val="0"/>
          <w:sz w:val="24"/>
          <w:szCs w:val="24"/>
        </w:rPr>
      </w:pPr>
      <w:bookmarkStart w:id="0" w:name="OLE_LINK52"/>
      <w:r>
        <w:rPr>
          <w:rFonts w:hint="eastAsia" w:ascii="仿宋" w:hAnsi="仿宋" w:eastAsia="仿宋" w:cs="仿宋"/>
          <w:bCs/>
          <w:kern w:val="0"/>
          <w:sz w:val="24"/>
          <w:szCs w:val="24"/>
        </w:rPr>
        <w:t>社会效益方面，甘洛县城由于城市的不断发展和扩张，主城区已由2000年的4.1平方公里扩张至现在的13.71平方公里。然而随着城市的发展，甘洛县城的社会公共服务设施建设却极为滞后，项目的建设是城市的医疗服务功能上的完善。因此，为了完善县城医疗卫生的布局，促进甘洛医疗卫生事业快速发展，解决县城居民看病难、住院难问题，尤其是业务用房缺乏，限制了全县医疗卫生事业发展。新建第二住院大楼，对现门诊综合楼改扩建工程，合理进行功能用房改造，并新建消防喷淋系统、扩建污水处理站，是缓解甘洛县群众看病难，住院难，实现国家“到2020年覆盖城乡居民的基本医疗卫生制度基本建立”总体目标的重要手段。项目建成后，将从根本上解决全县综合医疗卫生服务条件，有力促进基层医疗的发展，为全县人民群众健康水平持续提升奠定坚实的医疗卫生资源基础。</w:t>
      </w:r>
    </w:p>
    <w:bookmarkEnd w:id="0"/>
    <w:p>
      <w:pPr>
        <w:spacing w:before="10" w:after="156" w:afterLines="50" w:line="360" w:lineRule="auto"/>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三、项目投资估算及资金筹措方案</w:t>
      </w:r>
    </w:p>
    <w:p>
      <w:pPr>
        <w:spacing w:before="10" w:after="156" w:afterLines="50" w:line="360" w:lineRule="auto"/>
        <w:ind w:firstLine="643" w:firstLineChars="200"/>
        <w:outlineLvl w:val="1"/>
        <w:rPr>
          <w:rFonts w:ascii="楷体_GB2312" w:hAnsi="Calibri" w:eastAsia="楷体_GB2312" w:cs="Times New Roman"/>
          <w:b/>
          <w:sz w:val="32"/>
          <w:szCs w:val="32"/>
        </w:rPr>
      </w:pPr>
      <w:r>
        <w:rPr>
          <w:rFonts w:hint="eastAsia" w:ascii="楷体_GB2312" w:hAnsi="Calibri" w:eastAsia="楷体_GB2312" w:cs="Times New Roman"/>
          <w:b/>
          <w:sz w:val="32"/>
          <w:szCs w:val="32"/>
        </w:rPr>
        <w:t>（一）</w:t>
      </w:r>
      <w:r>
        <w:rPr>
          <w:rFonts w:hint="eastAsia" w:ascii="楷体_GB2312" w:hAnsi="Calibri" w:eastAsia="楷体_GB2312" w:cs="Times New Roman"/>
          <w:b/>
          <w:sz w:val="32"/>
          <w:szCs w:val="32"/>
        </w:rPr>
        <w:tab/>
      </w:r>
      <w:r>
        <w:rPr>
          <w:rFonts w:hint="eastAsia" w:ascii="楷体_GB2312" w:hAnsi="Calibri" w:eastAsia="楷体_GB2312" w:cs="Times New Roman"/>
          <w:b/>
          <w:sz w:val="32"/>
          <w:szCs w:val="32"/>
        </w:rPr>
        <w:t>投资估算</w:t>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bCs/>
          <w:kern w:val="0"/>
          <w:sz w:val="24"/>
          <w:szCs w:val="24"/>
        </w:rPr>
        <w:t>项目总投资估算为</w:t>
      </w:r>
      <w:r>
        <w:rPr>
          <w:rFonts w:hint="eastAsia" w:ascii="仿宋" w:hAnsi="仿宋" w:eastAsia="仿宋" w:cs="仿宋"/>
          <w:bCs/>
          <w:kern w:val="0"/>
          <w:sz w:val="24"/>
          <w:szCs w:val="24"/>
          <w:lang w:val="en-US" w:eastAsia="zh-CN"/>
        </w:rPr>
        <w:t>15760</w:t>
      </w:r>
      <w:r>
        <w:rPr>
          <w:rFonts w:ascii="仿宋" w:hAnsi="Calibri" w:eastAsia="仿宋" w:cs="仿宋"/>
          <w:kern w:val="0"/>
          <w:sz w:val="24"/>
          <w:szCs w:val="24"/>
        </w:rPr>
        <w:t>.</w:t>
      </w:r>
      <w:r>
        <w:rPr>
          <w:rFonts w:hint="eastAsia" w:ascii="仿宋" w:hAnsi="Calibri" w:eastAsia="仿宋" w:cs="仿宋"/>
          <w:kern w:val="0"/>
          <w:sz w:val="24"/>
          <w:szCs w:val="24"/>
          <w:lang w:val="en-US" w:eastAsia="zh-CN"/>
        </w:rPr>
        <w:t>0</w:t>
      </w:r>
      <w:r>
        <w:rPr>
          <w:rFonts w:ascii="仿宋" w:hAnsi="Calibri" w:eastAsia="仿宋" w:cs="仿宋"/>
          <w:kern w:val="0"/>
          <w:sz w:val="24"/>
          <w:szCs w:val="24"/>
        </w:rPr>
        <w:t>0</w:t>
      </w:r>
      <w:r>
        <w:rPr>
          <w:rFonts w:hint="eastAsia" w:ascii="仿宋" w:hAnsi="仿宋" w:eastAsia="仿宋" w:cs="仿宋"/>
          <w:bCs/>
          <w:kern w:val="0"/>
          <w:sz w:val="24"/>
          <w:szCs w:val="24"/>
        </w:rPr>
        <w:t>万元，其中工程费用为</w:t>
      </w:r>
      <w:r>
        <w:rPr>
          <w:rFonts w:ascii="仿宋" w:hAnsi="Calibri" w:eastAsia="仿宋" w:cs="仿宋"/>
          <w:kern w:val="0"/>
          <w:sz w:val="24"/>
          <w:szCs w:val="24"/>
        </w:rPr>
        <w:t>12</w:t>
      </w:r>
      <w:r>
        <w:rPr>
          <w:rFonts w:hint="eastAsia" w:ascii="仿宋" w:hAnsi="Calibri" w:eastAsia="仿宋" w:cs="仿宋"/>
          <w:kern w:val="0"/>
          <w:sz w:val="24"/>
          <w:szCs w:val="24"/>
          <w:lang w:val="en-US" w:eastAsia="zh-CN"/>
        </w:rPr>
        <w:t>841</w:t>
      </w:r>
      <w:r>
        <w:rPr>
          <w:rFonts w:ascii="仿宋" w:hAnsi="Calibri" w:eastAsia="仿宋" w:cs="仿宋"/>
          <w:kern w:val="0"/>
          <w:sz w:val="24"/>
          <w:szCs w:val="24"/>
        </w:rPr>
        <w:t>.4</w:t>
      </w:r>
      <w:r>
        <w:rPr>
          <w:rFonts w:hint="eastAsia" w:ascii="仿宋" w:hAnsi="Calibri" w:eastAsia="仿宋" w:cs="仿宋"/>
          <w:kern w:val="0"/>
          <w:sz w:val="24"/>
          <w:szCs w:val="24"/>
          <w:lang w:val="en-US" w:eastAsia="zh-CN"/>
        </w:rPr>
        <w:t>0</w:t>
      </w:r>
      <w:r>
        <w:rPr>
          <w:rFonts w:hint="eastAsia" w:ascii="仿宋" w:hAnsi="仿宋" w:eastAsia="仿宋" w:cs="仿宋"/>
          <w:bCs/>
          <w:kern w:val="0"/>
          <w:sz w:val="24"/>
          <w:szCs w:val="24"/>
        </w:rPr>
        <w:t>万元，工程建设其他费用为</w:t>
      </w:r>
      <w:r>
        <w:rPr>
          <w:rFonts w:hint="eastAsia" w:ascii="仿宋" w:hAnsi="仿宋" w:eastAsia="仿宋" w:cs="仿宋"/>
          <w:bCs/>
          <w:kern w:val="0"/>
          <w:sz w:val="24"/>
          <w:szCs w:val="24"/>
          <w:lang w:val="en-US" w:eastAsia="zh-CN"/>
        </w:rPr>
        <w:t>2114.20</w:t>
      </w:r>
      <w:r>
        <w:rPr>
          <w:rFonts w:hint="eastAsia" w:ascii="仿宋" w:hAnsi="仿宋" w:eastAsia="仿宋" w:cs="仿宋"/>
          <w:bCs/>
          <w:kern w:val="0"/>
          <w:sz w:val="24"/>
          <w:szCs w:val="24"/>
        </w:rPr>
        <w:t>万元，建设期利息为</w:t>
      </w:r>
      <w:r>
        <w:rPr>
          <w:rFonts w:hint="eastAsia" w:ascii="仿宋" w:hAnsi="仿宋" w:eastAsia="仿宋" w:cs="仿宋"/>
          <w:bCs/>
          <w:kern w:val="0"/>
          <w:sz w:val="24"/>
          <w:szCs w:val="24"/>
          <w:lang w:val="en-US" w:eastAsia="zh-CN"/>
        </w:rPr>
        <w:t>792</w:t>
      </w:r>
      <w:r>
        <w:rPr>
          <w:rFonts w:ascii="仿宋" w:hAnsi="Calibri" w:eastAsia="仿宋" w:cs="仿宋"/>
          <w:kern w:val="0"/>
          <w:sz w:val="24"/>
          <w:szCs w:val="24"/>
        </w:rPr>
        <w:t>.00</w:t>
      </w:r>
      <w:r>
        <w:rPr>
          <w:rFonts w:hint="eastAsia" w:ascii="仿宋" w:hAnsi="仿宋" w:eastAsia="仿宋" w:cs="仿宋"/>
          <w:bCs/>
          <w:kern w:val="0"/>
          <w:sz w:val="24"/>
          <w:szCs w:val="24"/>
        </w:rPr>
        <w:t>万元，债券发行费为1</w:t>
      </w:r>
      <w:r>
        <w:rPr>
          <w:rFonts w:hint="eastAsia" w:ascii="仿宋" w:hAnsi="仿宋" w:eastAsia="仿宋" w:cs="仿宋"/>
          <w:bCs/>
          <w:kern w:val="0"/>
          <w:sz w:val="24"/>
          <w:szCs w:val="24"/>
          <w:lang w:val="en-US" w:eastAsia="zh-CN"/>
        </w:rPr>
        <w:t>2</w:t>
      </w: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4</w:t>
      </w:r>
      <w:r>
        <w:rPr>
          <w:rFonts w:hint="eastAsia" w:ascii="仿宋" w:hAnsi="仿宋" w:eastAsia="仿宋" w:cs="仿宋"/>
          <w:bCs/>
          <w:kern w:val="0"/>
          <w:sz w:val="24"/>
          <w:szCs w:val="24"/>
        </w:rPr>
        <w:t>0万元。</w:t>
      </w:r>
    </w:p>
    <w:p>
      <w:pPr>
        <w:spacing w:before="10" w:after="156" w:afterLines="50" w:line="360" w:lineRule="auto"/>
        <w:ind w:firstLine="643" w:firstLineChars="200"/>
        <w:outlineLvl w:val="1"/>
        <w:rPr>
          <w:rFonts w:ascii="楷体_GB2312" w:hAnsi="Calibri" w:eastAsia="楷体_GB2312" w:cs="Times New Roman"/>
          <w:b/>
          <w:sz w:val="32"/>
          <w:szCs w:val="32"/>
        </w:rPr>
      </w:pPr>
      <w:r>
        <w:rPr>
          <w:rFonts w:hint="eastAsia" w:ascii="楷体_GB2312" w:hAnsi="Calibri" w:eastAsia="楷体_GB2312" w:cs="Times New Roman"/>
          <w:b/>
          <w:sz w:val="32"/>
          <w:szCs w:val="32"/>
        </w:rPr>
        <w:t>（二）资金筹措方案</w:t>
      </w:r>
    </w:p>
    <w:p>
      <w:pPr>
        <w:spacing w:before="10" w:after="156" w:afterLines="50" w:line="360" w:lineRule="auto"/>
        <w:ind w:firstLine="643" w:firstLineChars="200"/>
        <w:outlineLvl w:val="2"/>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资金筹集情况</w:t>
      </w:r>
    </w:p>
    <w:p>
      <w:pPr>
        <w:spacing w:line="360" w:lineRule="auto"/>
        <w:ind w:firstLine="480" w:firstLineChars="200"/>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该项目总投资估算为</w:t>
      </w:r>
      <w:r>
        <w:rPr>
          <w:rFonts w:hint="eastAsia" w:ascii="仿宋" w:hAnsi="仿宋" w:eastAsia="仿宋" w:cs="仿宋"/>
          <w:bCs/>
          <w:kern w:val="0"/>
          <w:sz w:val="24"/>
          <w:szCs w:val="24"/>
          <w:lang w:val="en-US" w:eastAsia="zh-CN"/>
        </w:rPr>
        <w:t>15760</w:t>
      </w:r>
      <w:r>
        <w:rPr>
          <w:rFonts w:ascii="仿宋" w:hAnsi="Calibri" w:eastAsia="仿宋" w:cs="仿宋"/>
          <w:kern w:val="0"/>
          <w:sz w:val="24"/>
          <w:szCs w:val="24"/>
        </w:rPr>
        <w:t>.</w:t>
      </w:r>
      <w:r>
        <w:rPr>
          <w:rFonts w:hint="eastAsia" w:ascii="仿宋" w:hAnsi="Calibri" w:eastAsia="仿宋" w:cs="仿宋"/>
          <w:kern w:val="0"/>
          <w:sz w:val="24"/>
          <w:szCs w:val="24"/>
          <w:lang w:val="en-US" w:eastAsia="zh-CN"/>
        </w:rPr>
        <w:t>0</w:t>
      </w:r>
      <w:r>
        <w:rPr>
          <w:rFonts w:ascii="仿宋" w:hAnsi="Calibri" w:eastAsia="仿宋" w:cs="仿宋"/>
          <w:kern w:val="0"/>
          <w:sz w:val="24"/>
          <w:szCs w:val="24"/>
        </w:rPr>
        <w:t>0</w:t>
      </w:r>
      <w:r>
        <w:rPr>
          <w:rFonts w:ascii="仿宋" w:hAnsi="仿宋" w:eastAsia="仿宋" w:cs="仿宋"/>
          <w:bCs/>
          <w:kern w:val="0"/>
          <w:sz w:val="24"/>
          <w:szCs w:val="24"/>
        </w:rPr>
        <w:t>万元，资金来源包括</w:t>
      </w:r>
      <w:r>
        <w:rPr>
          <w:rFonts w:hint="eastAsia" w:ascii="仿宋" w:hAnsi="仿宋" w:eastAsia="仿宋" w:cs="仿宋"/>
          <w:bCs/>
          <w:kern w:val="0"/>
          <w:sz w:val="24"/>
          <w:szCs w:val="24"/>
          <w:lang w:val="en-US" w:eastAsia="zh-CN"/>
        </w:rPr>
        <w:t>业主自筹</w:t>
      </w:r>
      <w:r>
        <w:rPr>
          <w:rFonts w:ascii="仿宋" w:hAnsi="仿宋" w:eastAsia="仿宋" w:cs="仿宋"/>
          <w:bCs/>
          <w:kern w:val="0"/>
          <w:sz w:val="24"/>
          <w:szCs w:val="24"/>
        </w:rPr>
        <w:t>和专项债券资金。其中项目资本金336</w:t>
      </w:r>
      <w:r>
        <w:rPr>
          <w:rFonts w:hint="eastAsia" w:ascii="仿宋" w:hAnsi="仿宋" w:eastAsia="仿宋" w:cs="仿宋"/>
          <w:bCs/>
          <w:kern w:val="0"/>
          <w:sz w:val="24"/>
          <w:szCs w:val="24"/>
          <w:lang w:val="en-US" w:eastAsia="zh-CN"/>
        </w:rPr>
        <w:t>0</w:t>
      </w:r>
      <w:r>
        <w:rPr>
          <w:rFonts w:ascii="仿宋" w:hAnsi="仿宋" w:eastAsia="仿宋" w:cs="仿宋"/>
          <w:bCs/>
          <w:kern w:val="0"/>
          <w:sz w:val="24"/>
          <w:szCs w:val="24"/>
        </w:rPr>
        <w:t>.</w:t>
      </w:r>
      <w:r>
        <w:rPr>
          <w:rFonts w:hint="eastAsia" w:ascii="仿宋" w:hAnsi="仿宋" w:eastAsia="仿宋" w:cs="仿宋"/>
          <w:bCs/>
          <w:kern w:val="0"/>
          <w:sz w:val="24"/>
          <w:szCs w:val="24"/>
          <w:lang w:val="en-US" w:eastAsia="zh-CN"/>
        </w:rPr>
        <w:t>0</w:t>
      </w:r>
      <w:r>
        <w:rPr>
          <w:rFonts w:ascii="仿宋" w:hAnsi="仿宋" w:eastAsia="仿宋" w:cs="仿宋"/>
          <w:bCs/>
          <w:kern w:val="0"/>
          <w:sz w:val="24"/>
          <w:szCs w:val="24"/>
        </w:rPr>
        <w:t>0万元，占总投资的2</w:t>
      </w:r>
      <w:r>
        <w:rPr>
          <w:rFonts w:hint="eastAsia" w:ascii="仿宋" w:hAnsi="仿宋" w:eastAsia="仿宋" w:cs="仿宋"/>
          <w:bCs/>
          <w:kern w:val="0"/>
          <w:sz w:val="24"/>
          <w:szCs w:val="24"/>
          <w:lang w:val="en-US" w:eastAsia="zh-CN"/>
        </w:rPr>
        <w:t>1</w:t>
      </w:r>
      <w:r>
        <w:rPr>
          <w:rFonts w:ascii="仿宋" w:hAnsi="仿宋" w:eastAsia="仿宋" w:cs="仿宋"/>
          <w:bCs/>
          <w:kern w:val="0"/>
          <w:sz w:val="24"/>
          <w:szCs w:val="24"/>
        </w:rPr>
        <w:t>.</w:t>
      </w:r>
      <w:r>
        <w:rPr>
          <w:rFonts w:hint="eastAsia" w:ascii="仿宋" w:hAnsi="仿宋" w:eastAsia="仿宋" w:cs="仿宋"/>
          <w:bCs/>
          <w:kern w:val="0"/>
          <w:sz w:val="24"/>
          <w:szCs w:val="24"/>
          <w:lang w:val="en-US" w:eastAsia="zh-CN"/>
        </w:rPr>
        <w:t>3</w:t>
      </w:r>
      <w:r>
        <w:rPr>
          <w:rFonts w:ascii="仿宋" w:hAnsi="仿宋" w:eastAsia="仿宋" w:cs="仿宋"/>
          <w:bCs/>
          <w:kern w:val="0"/>
          <w:sz w:val="24"/>
          <w:szCs w:val="24"/>
        </w:rPr>
        <w:t>2%，由</w:t>
      </w:r>
      <w:r>
        <w:rPr>
          <w:rFonts w:hint="eastAsia" w:ascii="仿宋" w:hAnsi="仿宋" w:eastAsia="仿宋" w:cs="仿宋"/>
          <w:bCs/>
          <w:kern w:val="0"/>
          <w:sz w:val="24"/>
          <w:szCs w:val="24"/>
          <w:lang w:val="en-US" w:eastAsia="zh-CN"/>
        </w:rPr>
        <w:t>业主自筹</w:t>
      </w:r>
      <w:r>
        <w:rPr>
          <w:rFonts w:ascii="仿宋" w:hAnsi="仿宋" w:eastAsia="仿宋" w:cs="仿宋"/>
          <w:bCs/>
          <w:kern w:val="0"/>
          <w:sz w:val="24"/>
          <w:szCs w:val="24"/>
        </w:rPr>
        <w:t>构成</w:t>
      </w:r>
      <w:r>
        <w:rPr>
          <w:rFonts w:hint="eastAsia" w:ascii="仿宋" w:hAnsi="仿宋" w:eastAsia="仿宋" w:cs="仿宋"/>
          <w:bCs/>
          <w:kern w:val="0"/>
          <w:sz w:val="24"/>
          <w:szCs w:val="24"/>
        </w:rPr>
        <w:t>。</w:t>
      </w:r>
      <w:r>
        <w:rPr>
          <w:rFonts w:ascii="仿宋" w:hAnsi="仿宋" w:eastAsia="仿宋" w:cs="仿宋"/>
          <w:bCs/>
          <w:kern w:val="0"/>
          <w:sz w:val="24"/>
          <w:szCs w:val="24"/>
        </w:rPr>
        <w:t>发行专项债券</w:t>
      </w:r>
      <w:bookmarkStart w:id="1" w:name="_Hlk61467889"/>
      <w:r>
        <w:rPr>
          <w:rFonts w:hint="eastAsia" w:ascii="仿宋" w:hAnsi="仿宋" w:eastAsia="仿宋" w:cs="仿宋"/>
          <w:bCs/>
          <w:kern w:val="0"/>
          <w:sz w:val="24"/>
          <w:szCs w:val="24"/>
        </w:rPr>
        <w:t>1</w:t>
      </w:r>
      <w:r>
        <w:rPr>
          <w:rFonts w:hint="eastAsia" w:ascii="仿宋" w:hAnsi="仿宋" w:eastAsia="仿宋" w:cs="仿宋"/>
          <w:bCs/>
          <w:kern w:val="0"/>
          <w:sz w:val="24"/>
          <w:szCs w:val="24"/>
          <w:lang w:val="en-US" w:eastAsia="zh-CN"/>
        </w:rPr>
        <w:t>24</w:t>
      </w:r>
      <w:r>
        <w:rPr>
          <w:rFonts w:hint="eastAsia" w:ascii="仿宋" w:hAnsi="仿宋" w:eastAsia="仿宋" w:cs="仿宋"/>
          <w:bCs/>
          <w:kern w:val="0"/>
          <w:sz w:val="24"/>
          <w:szCs w:val="24"/>
        </w:rPr>
        <w:t>00.00</w:t>
      </w:r>
      <w:bookmarkEnd w:id="1"/>
      <w:r>
        <w:rPr>
          <w:rFonts w:ascii="仿宋" w:hAnsi="仿宋" w:eastAsia="仿宋" w:cs="仿宋"/>
          <w:bCs/>
          <w:kern w:val="0"/>
          <w:sz w:val="24"/>
          <w:szCs w:val="24"/>
        </w:rPr>
        <w:t>万元</w:t>
      </w:r>
      <w:r>
        <w:rPr>
          <w:rFonts w:hint="eastAsia" w:ascii="仿宋" w:hAnsi="仿宋" w:eastAsia="仿宋" w:cs="仿宋"/>
          <w:bCs/>
          <w:kern w:val="0"/>
          <w:sz w:val="24"/>
          <w:szCs w:val="24"/>
        </w:rPr>
        <w:t>（其中第1年拟发行政府专项债券</w:t>
      </w:r>
      <w:r>
        <w:rPr>
          <w:rFonts w:hint="eastAsia" w:ascii="仿宋" w:hAnsi="仿宋" w:eastAsia="仿宋" w:cs="仿宋"/>
          <w:bCs/>
          <w:kern w:val="0"/>
          <w:sz w:val="24"/>
          <w:szCs w:val="24"/>
          <w:lang w:val="en-US" w:eastAsia="zh-CN"/>
        </w:rPr>
        <w:t>74</w:t>
      </w:r>
      <w:r>
        <w:rPr>
          <w:rFonts w:ascii="仿宋" w:hAnsi="仿宋" w:eastAsia="仿宋" w:cs="仿宋"/>
          <w:bCs/>
          <w:kern w:val="0"/>
          <w:sz w:val="24"/>
          <w:szCs w:val="24"/>
        </w:rPr>
        <w:t>00.00万元</w:t>
      </w:r>
      <w:r>
        <w:rPr>
          <w:rFonts w:hint="eastAsia" w:ascii="仿宋" w:hAnsi="仿宋" w:eastAsia="仿宋" w:cs="仿宋"/>
          <w:bCs/>
          <w:kern w:val="0"/>
          <w:sz w:val="24"/>
          <w:szCs w:val="24"/>
        </w:rPr>
        <w:t>，第2年拟发行政府专项债券5</w:t>
      </w:r>
      <w:r>
        <w:rPr>
          <w:rFonts w:ascii="仿宋" w:hAnsi="仿宋" w:eastAsia="仿宋" w:cs="仿宋"/>
          <w:bCs/>
          <w:kern w:val="0"/>
          <w:sz w:val="24"/>
          <w:szCs w:val="24"/>
        </w:rPr>
        <w:t>000.00万元</w:t>
      </w:r>
      <w:r>
        <w:rPr>
          <w:rFonts w:hint="eastAsia" w:ascii="仿宋" w:hAnsi="仿宋" w:eastAsia="仿宋" w:cs="仿宋"/>
          <w:bCs/>
          <w:kern w:val="0"/>
          <w:sz w:val="24"/>
          <w:szCs w:val="24"/>
        </w:rPr>
        <w:t>。</w:t>
      </w:r>
      <w:r>
        <w:rPr>
          <w:rFonts w:ascii="仿宋" w:hAnsi="仿宋" w:eastAsia="仿宋" w:cs="仿宋"/>
          <w:bCs/>
          <w:kern w:val="0"/>
          <w:sz w:val="24"/>
          <w:szCs w:val="24"/>
        </w:rPr>
        <w:t>设定债券利率4.0</w:t>
      </w:r>
      <w:r>
        <w:rPr>
          <w:rFonts w:hint="eastAsia" w:ascii="仿宋" w:hAnsi="仿宋" w:eastAsia="仿宋" w:cs="仿宋"/>
          <w:bCs/>
          <w:kern w:val="0"/>
          <w:sz w:val="24"/>
          <w:szCs w:val="24"/>
          <w:lang w:val="en-US" w:eastAsia="zh-CN"/>
        </w:rPr>
        <w:t>0</w:t>
      </w:r>
      <w:r>
        <w:rPr>
          <w:rFonts w:ascii="仿宋" w:hAnsi="仿宋" w:eastAsia="仿宋" w:cs="仿宋"/>
          <w:bCs/>
          <w:kern w:val="0"/>
          <w:sz w:val="24"/>
          <w:szCs w:val="24"/>
        </w:rPr>
        <w:t>%,每期期限为20年</w:t>
      </w:r>
      <w:r>
        <w:rPr>
          <w:rFonts w:hint="eastAsia" w:ascii="仿宋" w:hAnsi="仿宋" w:eastAsia="仿宋" w:cs="仿宋"/>
          <w:bCs/>
          <w:kern w:val="0"/>
          <w:sz w:val="24"/>
          <w:szCs w:val="24"/>
        </w:rPr>
        <w:t>，每年</w:t>
      </w:r>
      <w:r>
        <w:rPr>
          <w:rFonts w:ascii="仿宋" w:hAnsi="仿宋" w:eastAsia="仿宋" w:cs="仿宋"/>
          <w:bCs/>
          <w:kern w:val="0"/>
          <w:sz w:val="24"/>
          <w:szCs w:val="24"/>
        </w:rPr>
        <w:t>末支付利息,到期偿还</w:t>
      </w:r>
      <w:r>
        <w:rPr>
          <w:rFonts w:hint="eastAsia" w:ascii="仿宋" w:hAnsi="仿宋" w:eastAsia="仿宋" w:cs="仿宋"/>
          <w:bCs/>
          <w:kern w:val="0"/>
          <w:sz w:val="24"/>
          <w:szCs w:val="24"/>
        </w:rPr>
        <w:t>本</w:t>
      </w:r>
      <w:r>
        <w:rPr>
          <w:rFonts w:ascii="仿宋" w:hAnsi="仿宋" w:eastAsia="仿宋" w:cs="仿宋"/>
          <w:bCs/>
          <w:kern w:val="0"/>
          <w:sz w:val="24"/>
          <w:szCs w:val="24"/>
        </w:rPr>
        <w:t>金</w:t>
      </w:r>
      <w:r>
        <w:rPr>
          <w:rFonts w:hint="eastAsia" w:ascii="仿宋" w:hAnsi="仿宋" w:eastAsia="仿宋" w:cs="仿宋"/>
          <w:bCs/>
          <w:kern w:val="0"/>
          <w:sz w:val="24"/>
          <w:szCs w:val="24"/>
          <w:lang w:eastAsia="zh-CN"/>
        </w:rPr>
        <w:t>。</w:t>
      </w:r>
    </w:p>
    <w:p>
      <w:pPr>
        <w:spacing w:before="10" w:after="156" w:afterLines="50" w:line="360" w:lineRule="auto"/>
        <w:ind w:firstLine="643" w:firstLineChars="200"/>
        <w:outlineLvl w:val="2"/>
        <w:rPr>
          <w:rFonts w:ascii="仿宋_GB2312" w:eastAsia="仿宋_GB2312"/>
          <w:b/>
          <w:sz w:val="32"/>
          <w:szCs w:val="32"/>
        </w:rPr>
      </w:pPr>
      <w:r>
        <w:rPr>
          <w:rFonts w:hint="eastAsia" w:ascii="仿宋_GB2312" w:eastAsia="仿宋_GB2312"/>
          <w:b/>
          <w:sz w:val="32"/>
          <w:szCs w:val="32"/>
        </w:rPr>
        <w:t>2.资金使用计划</w:t>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bCs/>
          <w:kern w:val="0"/>
          <w:sz w:val="24"/>
          <w:szCs w:val="24"/>
        </w:rPr>
        <w:t>根据项目建设进度及建设内容和业主的资金安排，项目建设资金将在第一年投入，建设计划、资金使用与投资计划相匹配。本项目施工划分为两个阶段，耗时两年（含前期工作时间）。按照建设进度，建设期第1年（含以前年度）计划投资</w:t>
      </w:r>
      <w:r>
        <w:rPr>
          <w:rFonts w:ascii="仿宋" w:hAnsi="仿宋" w:eastAsia="仿宋" w:cs="仿宋"/>
          <w:bCs/>
          <w:kern w:val="0"/>
          <w:sz w:val="24"/>
          <w:szCs w:val="24"/>
        </w:rPr>
        <w:t>7</w:t>
      </w:r>
      <w:r>
        <w:rPr>
          <w:rFonts w:hint="eastAsia" w:ascii="仿宋" w:hAnsi="仿宋" w:eastAsia="仿宋" w:cs="仿宋"/>
          <w:bCs/>
          <w:kern w:val="0"/>
          <w:sz w:val="24"/>
          <w:szCs w:val="24"/>
          <w:lang w:val="en-US" w:eastAsia="zh-CN"/>
        </w:rPr>
        <w:t>8</w:t>
      </w:r>
      <w:r>
        <w:rPr>
          <w:rFonts w:ascii="仿宋" w:hAnsi="仿宋" w:eastAsia="仿宋" w:cs="仿宋"/>
          <w:bCs/>
          <w:kern w:val="0"/>
          <w:sz w:val="24"/>
          <w:szCs w:val="24"/>
        </w:rPr>
        <w:t>8</w:t>
      </w:r>
      <w:r>
        <w:rPr>
          <w:rFonts w:hint="eastAsia" w:ascii="仿宋" w:hAnsi="仿宋" w:eastAsia="仿宋" w:cs="仿宋"/>
          <w:bCs/>
          <w:kern w:val="0"/>
          <w:sz w:val="24"/>
          <w:szCs w:val="24"/>
          <w:lang w:val="en-US" w:eastAsia="zh-CN"/>
        </w:rPr>
        <w:t>0</w:t>
      </w:r>
      <w:r>
        <w:rPr>
          <w:rFonts w:ascii="仿宋" w:hAnsi="仿宋" w:eastAsia="仿宋" w:cs="仿宋"/>
          <w:bCs/>
          <w:kern w:val="0"/>
          <w:sz w:val="24"/>
          <w:szCs w:val="24"/>
        </w:rPr>
        <w:t>.</w:t>
      </w:r>
      <w:r>
        <w:rPr>
          <w:rFonts w:hint="eastAsia" w:ascii="仿宋" w:hAnsi="仿宋" w:eastAsia="仿宋" w:cs="仿宋"/>
          <w:bCs/>
          <w:kern w:val="0"/>
          <w:sz w:val="24"/>
          <w:szCs w:val="24"/>
          <w:lang w:val="en-US" w:eastAsia="zh-CN"/>
        </w:rPr>
        <w:t>00</w:t>
      </w:r>
      <w:r>
        <w:rPr>
          <w:rFonts w:hint="eastAsia" w:ascii="仿宋" w:hAnsi="仿宋" w:eastAsia="仿宋" w:cs="仿宋"/>
          <w:bCs/>
          <w:kern w:val="0"/>
          <w:sz w:val="24"/>
          <w:szCs w:val="24"/>
        </w:rPr>
        <w:t>万元。</w:t>
      </w:r>
    </w:p>
    <w:p>
      <w:pPr>
        <w:widowControl/>
        <w:spacing w:line="360" w:lineRule="auto"/>
        <w:jc w:val="center"/>
        <w:rPr>
          <w:rFonts w:ascii="仿宋" w:hAnsi="仿宋" w:eastAsia="仿宋" w:cs="仿宋"/>
          <w:b/>
          <w:kern w:val="0"/>
          <w:szCs w:val="21"/>
        </w:rPr>
      </w:pPr>
      <w:r>
        <w:rPr>
          <w:rFonts w:hint="eastAsia" w:ascii="仿宋" w:hAnsi="仿宋" w:eastAsia="仿宋" w:cs="仿宋"/>
          <w:b/>
          <w:kern w:val="0"/>
          <w:szCs w:val="21"/>
        </w:rPr>
        <w:t>资金</w:t>
      </w:r>
      <w:r>
        <w:rPr>
          <w:rFonts w:hint="eastAsia" w:ascii="仿宋" w:hAnsi="仿宋" w:eastAsia="仿宋" w:cs="仿宋"/>
          <w:b/>
          <w:bCs/>
          <w:szCs w:val="21"/>
        </w:rPr>
        <w:t>使用</w:t>
      </w:r>
      <w:r>
        <w:rPr>
          <w:rFonts w:hint="eastAsia" w:ascii="仿宋" w:hAnsi="仿宋" w:eastAsia="仿宋" w:cs="仿宋"/>
          <w:b/>
          <w:kern w:val="0"/>
          <w:szCs w:val="21"/>
        </w:rPr>
        <w:t>计划表（单位：人民币万元）</w:t>
      </w:r>
    </w:p>
    <w:tbl>
      <w:tblPr>
        <w:tblStyle w:val="13"/>
        <w:tblW w:w="4998" w:type="pct"/>
        <w:jc w:val="center"/>
        <w:tblLayout w:type="autofit"/>
        <w:tblCellMar>
          <w:top w:w="0" w:type="dxa"/>
          <w:left w:w="108" w:type="dxa"/>
          <w:bottom w:w="0" w:type="dxa"/>
          <w:right w:w="108" w:type="dxa"/>
        </w:tblCellMar>
      </w:tblPr>
      <w:tblGrid>
        <w:gridCol w:w="1150"/>
        <w:gridCol w:w="2298"/>
        <w:gridCol w:w="1267"/>
        <w:gridCol w:w="1383"/>
        <w:gridCol w:w="1384"/>
        <w:gridCol w:w="1037"/>
      </w:tblGrid>
      <w:tr>
        <w:tblPrEx>
          <w:tblCellMar>
            <w:top w:w="0" w:type="dxa"/>
            <w:left w:w="108" w:type="dxa"/>
            <w:bottom w:w="0" w:type="dxa"/>
            <w:right w:w="108" w:type="dxa"/>
          </w:tblCellMar>
        </w:tblPrEx>
        <w:trPr>
          <w:trHeight w:val="283" w:hRule="atLeast"/>
          <w:jc w:val="center"/>
        </w:trPr>
        <w:tc>
          <w:tcPr>
            <w:tcW w:w="6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序号</w:t>
            </w:r>
          </w:p>
        </w:tc>
        <w:tc>
          <w:tcPr>
            <w:tcW w:w="13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项目名称</w:t>
            </w:r>
          </w:p>
        </w:tc>
        <w:tc>
          <w:tcPr>
            <w:tcW w:w="7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b/>
                <w:bCs/>
                <w:color w:val="000000" w:themeColor="text1"/>
                <w:sz w:val="21"/>
                <w:szCs w:val="21"/>
                <w:highlight w:val="none"/>
                <w:lang w:eastAsia="zh-CN"/>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合计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（万元）</w:t>
            </w:r>
          </w:p>
        </w:tc>
        <w:tc>
          <w:tcPr>
            <w:tcW w:w="1623" w:type="pct"/>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资金来源及分年使用计划</w:t>
            </w:r>
          </w:p>
        </w:tc>
        <w:tc>
          <w:tcPr>
            <w:tcW w:w="60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比例</w:t>
            </w:r>
          </w:p>
        </w:tc>
      </w:tr>
      <w:tr>
        <w:tblPrEx>
          <w:tblCellMar>
            <w:top w:w="0" w:type="dxa"/>
            <w:left w:w="108" w:type="dxa"/>
            <w:bottom w:w="0" w:type="dxa"/>
            <w:right w:w="108" w:type="dxa"/>
          </w:tblCellMar>
        </w:tblPrEx>
        <w:trPr>
          <w:trHeight w:val="283" w:hRule="atLeast"/>
          <w:jc w:val="center"/>
        </w:trPr>
        <w:tc>
          <w:tcPr>
            <w:tcW w:w="675"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p>
        </w:tc>
        <w:tc>
          <w:tcPr>
            <w:tcW w:w="1348"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p>
        </w:tc>
        <w:tc>
          <w:tcPr>
            <w:tcW w:w="74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p>
        </w:tc>
        <w:tc>
          <w:tcPr>
            <w:tcW w:w="8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第一年</w:t>
            </w:r>
          </w:p>
        </w:tc>
        <w:tc>
          <w:tcPr>
            <w:tcW w:w="8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r>
              <w:rPr>
                <w:rFonts w:hint="eastAsia" w:ascii="仿宋" w:hAnsi="仿宋" w:eastAsia="仿宋"/>
                <w:b/>
                <w:bCs/>
                <w:color w:val="000000" w:themeColor="text1"/>
                <w:sz w:val="21"/>
                <w:szCs w:val="21"/>
                <w:highlight w:val="none"/>
                <w14:textFill>
                  <w14:solidFill>
                    <w14:schemeClr w14:val="tx1"/>
                  </w14:solidFill>
                </w14:textFill>
              </w:rPr>
              <w:t>第二年</w:t>
            </w:r>
          </w:p>
        </w:tc>
        <w:tc>
          <w:tcPr>
            <w:tcW w:w="608"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b/>
                <w:bCs/>
                <w:color w:val="000000" w:themeColor="text1"/>
                <w:sz w:val="21"/>
                <w:szCs w:val="21"/>
                <w:highlight w:val="none"/>
                <w14:textFill>
                  <w14:solidFill>
                    <w14:schemeClr w14:val="tx1"/>
                  </w14:solidFill>
                </w14:textFill>
              </w:rPr>
            </w:pPr>
          </w:p>
        </w:tc>
      </w:tr>
      <w:tr>
        <w:tblPrEx>
          <w:tblCellMar>
            <w:top w:w="0" w:type="dxa"/>
            <w:left w:w="108" w:type="dxa"/>
            <w:bottom w:w="0" w:type="dxa"/>
            <w:right w:w="108" w:type="dxa"/>
          </w:tblCellMar>
        </w:tblPrEx>
        <w:trPr>
          <w:trHeight w:val="283" w:hRule="atLeast"/>
          <w:jc w:val="center"/>
        </w:trPr>
        <w:tc>
          <w:tcPr>
            <w:tcW w:w="675" w:type="pct"/>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项目投资</w:t>
            </w: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项目建设总投资</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14955.60</w:t>
            </w:r>
          </w:p>
        </w:tc>
        <w:tc>
          <w:tcPr>
            <w:tcW w:w="81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7576.60</w:t>
            </w:r>
          </w:p>
        </w:tc>
        <w:tc>
          <w:tcPr>
            <w:tcW w:w="81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7379.00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9</w:t>
            </w:r>
            <w:r>
              <w:rPr>
                <w:rFonts w:hint="eastAsia" w:ascii="仿宋" w:hAnsi="仿宋" w:eastAsia="仿宋"/>
                <w:color w:val="000000" w:themeColor="text1"/>
                <w:sz w:val="21"/>
                <w:szCs w:val="21"/>
                <w:highlight w:val="none"/>
                <w:lang w:val="en-US" w:eastAsia="zh-CN"/>
                <w14:textFill>
                  <w14:solidFill>
                    <w14:schemeClr w14:val="tx1"/>
                  </w14:solidFill>
                </w14:textFill>
              </w:rPr>
              <w:t>4</w:t>
            </w:r>
            <w:r>
              <w:rPr>
                <w:rFonts w:hint="eastAsia" w:ascii="仿宋" w:hAnsi="仿宋" w:eastAsia="仿宋"/>
                <w:color w:val="000000" w:themeColor="text1"/>
                <w:sz w:val="21"/>
                <w:szCs w:val="21"/>
                <w:highlight w:val="none"/>
                <w14:textFill>
                  <w14:solidFill>
                    <w14:schemeClr w14:val="tx1"/>
                  </w14:solidFill>
                </w14:textFill>
              </w:rPr>
              <w:t>.</w:t>
            </w:r>
            <w:r>
              <w:rPr>
                <w:rFonts w:hint="eastAsia" w:ascii="仿宋" w:hAnsi="仿宋" w:eastAsia="仿宋"/>
                <w:color w:val="000000" w:themeColor="text1"/>
                <w:sz w:val="21"/>
                <w:szCs w:val="21"/>
                <w:highlight w:val="none"/>
                <w:lang w:val="en-US" w:eastAsia="zh-CN"/>
                <w14:textFill>
                  <w14:solidFill>
                    <w14:schemeClr w14:val="tx1"/>
                  </w14:solidFill>
                </w14:textFill>
              </w:rPr>
              <w:t>9</w:t>
            </w:r>
            <w:r>
              <w:rPr>
                <w:rFonts w:ascii="仿宋" w:hAnsi="仿宋" w:eastAsia="仿宋"/>
                <w:color w:val="000000" w:themeColor="text1"/>
                <w:sz w:val="21"/>
                <w:szCs w:val="21"/>
                <w:highlight w:val="none"/>
                <w14:textFill>
                  <w14:solidFill>
                    <w14:schemeClr w14:val="tx1"/>
                  </w14:solidFill>
                </w14:textFill>
              </w:rPr>
              <w:t>0</w:t>
            </w:r>
            <w:r>
              <w:rPr>
                <w:rFonts w:hint="eastAsia" w:ascii="仿宋" w:hAnsi="仿宋" w:eastAsia="仿宋"/>
                <w:color w:val="000000" w:themeColor="text1"/>
                <w:sz w:val="21"/>
                <w:szCs w:val="21"/>
                <w:highlight w:val="none"/>
                <w14:textFill>
                  <w14:solidFill>
                    <w14:schemeClr w14:val="tx1"/>
                  </w14:solidFill>
                </w14:textFill>
              </w:rPr>
              <w:t>%</w:t>
            </w:r>
          </w:p>
        </w:tc>
      </w:tr>
      <w:tr>
        <w:tblPrEx>
          <w:tblCellMar>
            <w:top w:w="0" w:type="dxa"/>
            <w:left w:w="108" w:type="dxa"/>
            <w:bottom w:w="0" w:type="dxa"/>
            <w:right w:w="108" w:type="dxa"/>
          </w:tblCellMar>
        </w:tblPrEx>
        <w:trPr>
          <w:trHeight w:val="283" w:hRule="atLeast"/>
          <w:jc w:val="center"/>
        </w:trPr>
        <w:tc>
          <w:tcPr>
            <w:tcW w:w="675" w:type="pct"/>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项目建设期发债利息</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792</w:t>
            </w:r>
            <w:r>
              <w:rPr>
                <w:rFonts w:hint="eastAsia" w:ascii="仿宋" w:hAnsi="仿宋" w:eastAsia="仿宋"/>
                <w:color w:val="000000" w:themeColor="text1"/>
                <w:sz w:val="21"/>
                <w:szCs w:val="21"/>
                <w:highlight w:val="none"/>
                <w14:textFill>
                  <w14:solidFill>
                    <w14:schemeClr w14:val="tx1"/>
                  </w14:solidFill>
                </w14:textFill>
              </w:rPr>
              <w:t>.00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2</w:t>
            </w:r>
            <w:r>
              <w:rPr>
                <w:rFonts w:hint="eastAsia" w:ascii="仿宋" w:hAnsi="仿宋" w:eastAsia="仿宋"/>
                <w:color w:val="000000" w:themeColor="text1"/>
                <w:sz w:val="21"/>
                <w:szCs w:val="21"/>
                <w:highlight w:val="none"/>
                <w:lang w:val="en-US" w:eastAsia="zh-CN"/>
                <w14:textFill>
                  <w14:solidFill>
                    <w14:schemeClr w14:val="tx1"/>
                  </w14:solidFill>
                </w14:textFill>
              </w:rPr>
              <w:t>96</w:t>
            </w:r>
            <w:r>
              <w:rPr>
                <w:rFonts w:hint="eastAsia" w:ascii="仿宋" w:hAnsi="仿宋" w:eastAsia="仿宋"/>
                <w:color w:val="000000" w:themeColor="text1"/>
                <w:sz w:val="21"/>
                <w:szCs w:val="21"/>
                <w:highlight w:val="none"/>
                <w14:textFill>
                  <w14:solidFill>
                    <w14:schemeClr w14:val="tx1"/>
                  </w14:solidFill>
                </w14:textFill>
              </w:rPr>
              <w:t>.00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4</w:t>
            </w:r>
            <w:r>
              <w:rPr>
                <w:rFonts w:hint="eastAsia" w:ascii="仿宋" w:hAnsi="仿宋" w:eastAsia="仿宋"/>
                <w:color w:val="000000" w:themeColor="text1"/>
                <w:sz w:val="21"/>
                <w:szCs w:val="21"/>
                <w:highlight w:val="none"/>
                <w:lang w:val="en-US" w:eastAsia="zh-CN"/>
                <w14:textFill>
                  <w14:solidFill>
                    <w14:schemeClr w14:val="tx1"/>
                  </w14:solidFill>
                </w14:textFill>
              </w:rPr>
              <w:t>96</w:t>
            </w:r>
            <w:r>
              <w:rPr>
                <w:rFonts w:hint="eastAsia" w:ascii="仿宋" w:hAnsi="仿宋" w:eastAsia="仿宋"/>
                <w:color w:val="000000" w:themeColor="text1"/>
                <w:sz w:val="21"/>
                <w:szCs w:val="21"/>
                <w:highlight w:val="none"/>
                <w14:textFill>
                  <w14:solidFill>
                    <w14:schemeClr w14:val="tx1"/>
                  </w14:solidFill>
                </w14:textFill>
              </w:rPr>
              <w:t>.00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5.02</w:t>
            </w:r>
            <w:r>
              <w:rPr>
                <w:rFonts w:hint="eastAsia" w:ascii="仿宋" w:hAnsi="仿宋" w:eastAsia="仿宋"/>
                <w:color w:val="000000" w:themeColor="text1"/>
                <w:sz w:val="21"/>
                <w:szCs w:val="21"/>
                <w:highlight w:val="none"/>
                <w14:textFill>
                  <w14:solidFill>
                    <w14:schemeClr w14:val="tx1"/>
                  </w14:solidFill>
                </w14:textFill>
              </w:rPr>
              <w:t>%</w:t>
            </w:r>
          </w:p>
        </w:tc>
      </w:tr>
      <w:tr>
        <w:tblPrEx>
          <w:tblCellMar>
            <w:top w:w="0" w:type="dxa"/>
            <w:left w:w="108" w:type="dxa"/>
            <w:bottom w:w="0" w:type="dxa"/>
            <w:right w:w="108" w:type="dxa"/>
          </w:tblCellMar>
        </w:tblPrEx>
        <w:trPr>
          <w:trHeight w:val="283" w:hRule="atLeast"/>
          <w:jc w:val="center"/>
        </w:trPr>
        <w:tc>
          <w:tcPr>
            <w:tcW w:w="675" w:type="pct"/>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债券发行费</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olor w:val="000000" w:themeColor="text1"/>
                <w:sz w:val="21"/>
                <w:szCs w:val="21"/>
                <w:highlight w:val="none"/>
                <w:lang w:val="en-US" w:eastAsia="zh-CN"/>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12.40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7.4</w:t>
            </w:r>
            <w:r>
              <w:rPr>
                <w:rFonts w:hint="eastAsia" w:ascii="仿宋" w:hAnsi="仿宋" w:eastAsia="仿宋"/>
                <w:color w:val="000000" w:themeColor="text1"/>
                <w:sz w:val="21"/>
                <w:szCs w:val="21"/>
                <w:highlight w:val="none"/>
                <w14:textFill>
                  <w14:solidFill>
                    <w14:schemeClr w14:val="tx1"/>
                  </w14:solidFill>
                </w14:textFill>
              </w:rPr>
              <w:t>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5</w:t>
            </w:r>
            <w:r>
              <w:rPr>
                <w:rFonts w:hint="eastAsia" w:ascii="仿宋" w:hAnsi="仿宋" w:eastAsia="仿宋"/>
                <w:color w:val="000000" w:themeColor="text1"/>
                <w:sz w:val="21"/>
                <w:szCs w:val="21"/>
                <w:highlight w:val="none"/>
                <w14:textFill>
                  <w14:solidFill>
                    <w14:schemeClr w14:val="tx1"/>
                  </w14:solidFill>
                </w14:textFill>
              </w:rPr>
              <w:t>.00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0.0</w:t>
            </w:r>
            <w:r>
              <w:rPr>
                <w:rFonts w:hint="eastAsia" w:ascii="仿宋" w:hAnsi="仿宋" w:eastAsia="仿宋"/>
                <w:color w:val="000000" w:themeColor="text1"/>
                <w:sz w:val="21"/>
                <w:szCs w:val="21"/>
                <w:highlight w:val="none"/>
                <w:lang w:val="en-US" w:eastAsia="zh-CN"/>
                <w14:textFill>
                  <w14:solidFill>
                    <w14:schemeClr w14:val="tx1"/>
                  </w14:solidFill>
                </w14:textFill>
              </w:rPr>
              <w:t>8</w:t>
            </w:r>
            <w:r>
              <w:rPr>
                <w:rFonts w:hint="eastAsia" w:ascii="仿宋" w:hAnsi="仿宋" w:eastAsia="仿宋"/>
                <w:color w:val="000000" w:themeColor="text1"/>
                <w:sz w:val="21"/>
                <w:szCs w:val="21"/>
                <w:highlight w:val="none"/>
                <w14:textFill>
                  <w14:solidFill>
                    <w14:schemeClr w14:val="tx1"/>
                  </w14:solidFill>
                </w14:textFill>
              </w:rPr>
              <w:t>%</w:t>
            </w:r>
          </w:p>
        </w:tc>
      </w:tr>
      <w:tr>
        <w:tblPrEx>
          <w:tblCellMar>
            <w:top w:w="0" w:type="dxa"/>
            <w:left w:w="108" w:type="dxa"/>
            <w:bottom w:w="0" w:type="dxa"/>
            <w:right w:w="108" w:type="dxa"/>
          </w:tblCellMar>
        </w:tblPrEx>
        <w:trPr>
          <w:trHeight w:val="283" w:hRule="atLeast"/>
          <w:jc w:val="center"/>
        </w:trPr>
        <w:tc>
          <w:tcPr>
            <w:tcW w:w="675" w:type="pct"/>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项目总投资</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lang w:eastAsia="zh-CN"/>
                <w14:textFill>
                  <w14:solidFill>
                    <w14:schemeClr w14:val="tx1"/>
                  </w14:solidFill>
                </w14:textFill>
              </w:rPr>
            </w:pPr>
            <w:r>
              <w:rPr>
                <w:rFonts w:hint="eastAsia" w:ascii="仿宋" w:hAnsi="仿宋" w:eastAsia="仿宋"/>
                <w:color w:val="000000" w:themeColor="text1"/>
                <w:sz w:val="21"/>
                <w:szCs w:val="21"/>
                <w:highlight w:val="none"/>
                <w:lang w:eastAsia="zh-CN"/>
                <w14:textFill>
                  <w14:solidFill>
                    <w14:schemeClr w14:val="tx1"/>
                  </w14:solidFill>
                </w14:textFill>
              </w:rPr>
              <w:t>15760.00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olor w:val="000000" w:themeColor="text1"/>
                <w:sz w:val="21"/>
                <w:szCs w:val="21"/>
                <w:highlight w:val="none"/>
                <w:lang w:val="en-US" w:eastAsia="zh-CN"/>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7</w:t>
            </w:r>
            <w:r>
              <w:rPr>
                <w:rFonts w:hint="eastAsia" w:ascii="仿宋" w:hAnsi="仿宋" w:eastAsia="仿宋"/>
                <w:color w:val="000000" w:themeColor="text1"/>
                <w:sz w:val="21"/>
                <w:szCs w:val="21"/>
                <w:highlight w:val="none"/>
                <w:lang w:val="en-US" w:eastAsia="zh-CN"/>
                <w14:textFill>
                  <w14:solidFill>
                    <w14:schemeClr w14:val="tx1"/>
                  </w14:solidFill>
                </w14:textFill>
              </w:rPr>
              <w:t>880.00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lang w:eastAsia="zh-CN"/>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7880.00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100.00%</w:t>
            </w:r>
          </w:p>
        </w:tc>
      </w:tr>
      <w:tr>
        <w:tblPrEx>
          <w:tblCellMar>
            <w:top w:w="0" w:type="dxa"/>
            <w:left w:w="108" w:type="dxa"/>
            <w:bottom w:w="0" w:type="dxa"/>
            <w:right w:w="108" w:type="dxa"/>
          </w:tblCellMar>
        </w:tblPrEx>
        <w:trPr>
          <w:trHeight w:val="283" w:hRule="atLeast"/>
          <w:jc w:val="center"/>
        </w:trPr>
        <w:tc>
          <w:tcPr>
            <w:tcW w:w="675" w:type="pct"/>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资金使</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用计划</w:t>
            </w: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资本金</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lang w:eastAsia="zh-CN"/>
                <w14:textFill>
                  <w14:solidFill>
                    <w14:schemeClr w14:val="tx1"/>
                  </w14:solidFill>
                </w14:textFill>
              </w:rPr>
            </w:pPr>
            <w:r>
              <w:rPr>
                <w:rFonts w:hint="eastAsia" w:ascii="仿宋" w:hAnsi="仿宋" w:eastAsia="仿宋"/>
                <w:color w:val="000000" w:themeColor="text1"/>
                <w:sz w:val="21"/>
                <w:szCs w:val="21"/>
                <w:highlight w:val="none"/>
                <w:lang w:eastAsia="zh-CN"/>
                <w14:textFill>
                  <w14:solidFill>
                    <w14:schemeClr w14:val="tx1"/>
                  </w14:solidFill>
                </w14:textFill>
              </w:rPr>
              <w:t>3360.00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olor w:val="000000" w:themeColor="text1"/>
                <w:sz w:val="21"/>
                <w:szCs w:val="21"/>
                <w:highlight w:val="none"/>
                <w:lang w:val="en-US" w:eastAsia="zh-CN"/>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480.00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olor w:val="000000" w:themeColor="text1"/>
                <w:sz w:val="21"/>
                <w:szCs w:val="21"/>
                <w:highlight w:val="none"/>
                <w:lang w:val="en-US" w:eastAsia="zh-CN"/>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2</w:t>
            </w:r>
            <w:r>
              <w:rPr>
                <w:rFonts w:hint="eastAsia" w:ascii="仿宋" w:hAnsi="仿宋" w:eastAsia="仿宋"/>
                <w:color w:val="000000" w:themeColor="text1"/>
                <w:sz w:val="21"/>
                <w:szCs w:val="21"/>
                <w:highlight w:val="none"/>
                <w:lang w:val="en-US" w:eastAsia="zh-CN"/>
                <w14:textFill>
                  <w14:solidFill>
                    <w14:schemeClr w14:val="tx1"/>
                  </w14:solidFill>
                </w14:textFill>
              </w:rPr>
              <w:t>880.00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lang w:eastAsia="zh-CN"/>
                <w14:textFill>
                  <w14:solidFill>
                    <w14:schemeClr w14:val="tx1"/>
                  </w14:solidFill>
                </w14:textFill>
              </w:rPr>
              <w:t>21.32</w:t>
            </w:r>
            <w:r>
              <w:rPr>
                <w:rFonts w:hint="eastAsia" w:ascii="仿宋" w:hAnsi="仿宋" w:eastAsia="仿宋"/>
                <w:color w:val="000000" w:themeColor="text1"/>
                <w:sz w:val="21"/>
                <w:szCs w:val="21"/>
                <w:highlight w:val="none"/>
                <w14:textFill>
                  <w14:solidFill>
                    <w14:schemeClr w14:val="tx1"/>
                  </w14:solidFill>
                </w14:textFill>
              </w:rPr>
              <w:t>%</w:t>
            </w:r>
          </w:p>
        </w:tc>
      </w:tr>
      <w:tr>
        <w:tblPrEx>
          <w:tblCellMar>
            <w:top w:w="0" w:type="dxa"/>
            <w:left w:w="108" w:type="dxa"/>
            <w:bottom w:w="0" w:type="dxa"/>
            <w:right w:w="108" w:type="dxa"/>
          </w:tblCellMar>
        </w:tblPrEx>
        <w:trPr>
          <w:trHeight w:val="283" w:hRule="atLeast"/>
          <w:jc w:val="center"/>
        </w:trPr>
        <w:tc>
          <w:tcPr>
            <w:tcW w:w="675" w:type="pct"/>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发行债券</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lang w:eastAsia="zh-CN"/>
                <w14:textFill>
                  <w14:solidFill>
                    <w14:schemeClr w14:val="tx1"/>
                  </w14:solidFill>
                </w14:textFill>
              </w:rPr>
            </w:pPr>
            <w:r>
              <w:rPr>
                <w:rFonts w:hint="eastAsia" w:ascii="仿宋" w:hAnsi="仿宋" w:eastAsia="仿宋"/>
                <w:color w:val="000000" w:themeColor="text1"/>
                <w:sz w:val="21"/>
                <w:szCs w:val="21"/>
                <w:highlight w:val="none"/>
                <w:lang w:eastAsia="zh-CN"/>
                <w14:textFill>
                  <w14:solidFill>
                    <w14:schemeClr w14:val="tx1"/>
                  </w14:solidFill>
                </w14:textFill>
              </w:rPr>
              <w:t>12400.00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lang w:val="en-US" w:eastAsia="zh-CN"/>
                <w14:textFill>
                  <w14:solidFill>
                    <w14:schemeClr w14:val="tx1"/>
                  </w14:solidFill>
                </w14:textFill>
              </w:rPr>
              <w:t>74</w:t>
            </w:r>
            <w:r>
              <w:rPr>
                <w:rFonts w:hint="eastAsia" w:ascii="仿宋" w:hAnsi="仿宋" w:eastAsia="仿宋"/>
                <w:color w:val="000000" w:themeColor="text1"/>
                <w:sz w:val="21"/>
                <w:szCs w:val="21"/>
                <w:highlight w:val="none"/>
                <w14:textFill>
                  <w14:solidFill>
                    <w14:schemeClr w14:val="tx1"/>
                  </w14:solidFill>
                </w14:textFill>
              </w:rPr>
              <w:t>00.00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ascii="仿宋" w:hAnsi="仿宋" w:eastAsia="仿宋"/>
                <w:color w:val="000000" w:themeColor="text1"/>
                <w:sz w:val="21"/>
                <w:szCs w:val="21"/>
                <w:highlight w:val="none"/>
                <w14:textFill>
                  <w14:solidFill>
                    <w14:schemeClr w14:val="tx1"/>
                  </w14:solidFill>
                </w14:textFill>
              </w:rPr>
              <w:t>5</w:t>
            </w:r>
            <w:r>
              <w:rPr>
                <w:rFonts w:hint="eastAsia" w:ascii="仿宋" w:hAnsi="仿宋" w:eastAsia="仿宋"/>
                <w:color w:val="000000" w:themeColor="text1"/>
                <w:sz w:val="21"/>
                <w:szCs w:val="21"/>
                <w:highlight w:val="none"/>
                <w14:textFill>
                  <w14:solidFill>
                    <w14:schemeClr w14:val="tx1"/>
                  </w14:solidFill>
                </w14:textFill>
              </w:rPr>
              <w:t>000.00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78.68%</w:t>
            </w:r>
          </w:p>
        </w:tc>
      </w:tr>
      <w:tr>
        <w:tblPrEx>
          <w:tblCellMar>
            <w:top w:w="0" w:type="dxa"/>
            <w:left w:w="108" w:type="dxa"/>
            <w:bottom w:w="0" w:type="dxa"/>
            <w:right w:w="108" w:type="dxa"/>
          </w:tblCellMar>
        </w:tblPrEx>
        <w:trPr>
          <w:trHeight w:val="283" w:hRule="atLeast"/>
          <w:jc w:val="center"/>
        </w:trPr>
        <w:tc>
          <w:tcPr>
            <w:tcW w:w="675" w:type="pct"/>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p>
        </w:tc>
        <w:tc>
          <w:tcPr>
            <w:tcW w:w="1348" w:type="pct"/>
            <w:tcBorders>
              <w:top w:val="nil"/>
              <w:left w:val="nil"/>
              <w:bottom w:val="single" w:color="auto" w:sz="4" w:space="0"/>
              <w:right w:val="single" w:color="auto" w:sz="4" w:space="0"/>
            </w:tcBorders>
            <w:shd w:val="clear" w:color="auto" w:fill="auto"/>
            <w:vAlign w:val="bottom"/>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资金使用合计</w:t>
            </w:r>
          </w:p>
        </w:tc>
        <w:tc>
          <w:tcPr>
            <w:tcW w:w="74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olor w:val="000000" w:themeColor="text1"/>
                <w:sz w:val="21"/>
                <w:szCs w:val="21"/>
                <w:highlight w:val="none"/>
                <w:lang w:eastAsia="zh-CN"/>
                <w14:textFill>
                  <w14:solidFill>
                    <w14:schemeClr w14:val="tx1"/>
                  </w14:solidFill>
                </w14:textFill>
              </w:rPr>
            </w:pPr>
            <w:r>
              <w:rPr>
                <w:rFonts w:hint="eastAsia" w:ascii="仿宋" w:hAnsi="仿宋" w:eastAsia="仿宋"/>
                <w:color w:val="000000" w:themeColor="text1"/>
                <w:sz w:val="21"/>
                <w:szCs w:val="21"/>
                <w:highlight w:val="none"/>
                <w:lang w:eastAsia="zh-CN"/>
                <w14:textFill>
                  <w14:solidFill>
                    <w14:schemeClr w14:val="tx1"/>
                  </w14:solidFill>
                </w14:textFill>
              </w:rPr>
              <w:t>15760.00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7880.00</w:t>
            </w:r>
          </w:p>
        </w:tc>
        <w:tc>
          <w:tcPr>
            <w:tcW w:w="81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7880.00</w:t>
            </w:r>
          </w:p>
        </w:tc>
        <w:tc>
          <w:tcPr>
            <w:tcW w:w="608"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olor w:val="000000" w:themeColor="text1"/>
                <w:sz w:val="21"/>
                <w:szCs w:val="21"/>
                <w:highlight w:val="none"/>
                <w14:textFill>
                  <w14:solidFill>
                    <w14:schemeClr w14:val="tx1"/>
                  </w14:solidFill>
                </w14:textFill>
              </w:rPr>
            </w:pPr>
            <w:r>
              <w:rPr>
                <w:rFonts w:hint="eastAsia" w:ascii="仿宋" w:hAnsi="仿宋" w:eastAsia="仿宋"/>
                <w:color w:val="000000" w:themeColor="text1"/>
                <w:sz w:val="21"/>
                <w:szCs w:val="21"/>
                <w:highlight w:val="none"/>
                <w14:textFill>
                  <w14:solidFill>
                    <w14:schemeClr w14:val="tx1"/>
                  </w14:solidFill>
                </w14:textFill>
              </w:rPr>
              <w:t>100.00%</w:t>
            </w:r>
          </w:p>
        </w:tc>
      </w:tr>
    </w:tbl>
    <w:p/>
    <w:p>
      <w:pPr>
        <w:spacing w:before="10" w:after="156" w:afterLines="50" w:line="360" w:lineRule="auto"/>
        <w:ind w:firstLine="420"/>
        <w:outlineLvl w:val="0"/>
        <w:rPr>
          <w:rFonts w:ascii="黑体" w:hAnsi="黑体" w:eastAsia="黑体"/>
          <w:sz w:val="32"/>
          <w:szCs w:val="32"/>
        </w:rPr>
      </w:pPr>
      <w:r>
        <w:rPr>
          <w:rFonts w:hint="eastAsia" w:ascii="黑体" w:hAnsi="黑体" w:eastAsia="黑体"/>
          <w:sz w:val="32"/>
          <w:szCs w:val="32"/>
        </w:rPr>
        <w:t>四、项目预期收益、成本及融资平衡情况</w:t>
      </w:r>
    </w:p>
    <w:p>
      <w:pPr>
        <w:spacing w:before="10" w:after="156" w:afterLines="50" w:line="360" w:lineRule="auto"/>
        <w:ind w:firstLine="643" w:firstLineChars="200"/>
        <w:outlineLvl w:val="1"/>
        <w:rPr>
          <w:rFonts w:ascii="楷体_GB2312" w:eastAsia="楷体_GB2312"/>
          <w:b/>
          <w:sz w:val="32"/>
          <w:szCs w:val="32"/>
        </w:rPr>
      </w:pPr>
      <w:r>
        <w:rPr>
          <w:rFonts w:hint="eastAsia" w:ascii="楷体_GB2312" w:eastAsia="楷体_GB2312"/>
          <w:b/>
          <w:sz w:val="32"/>
          <w:szCs w:val="32"/>
        </w:rPr>
        <w:t>（一）预期收益</w:t>
      </w:r>
    </w:p>
    <w:p>
      <w:pPr>
        <w:spacing w:line="360" w:lineRule="auto"/>
        <w:ind w:firstLine="643" w:firstLineChars="200"/>
        <w:outlineLvl w:val="2"/>
        <w:rPr>
          <w:rFonts w:ascii="仿宋" w:hAnsi="仿宋" w:eastAsia="仿宋" w:cs="仿宋"/>
          <w:bCs/>
          <w:kern w:val="0"/>
          <w:sz w:val="24"/>
          <w:szCs w:val="24"/>
        </w:rPr>
      </w:pPr>
      <w:r>
        <w:rPr>
          <w:rFonts w:hint="eastAsia" w:ascii="仿宋_GB2312" w:eastAsia="仿宋_GB2312"/>
          <w:b/>
          <w:sz w:val="32"/>
          <w:szCs w:val="32"/>
        </w:rPr>
        <w:t>1.项目收入</w:t>
      </w:r>
    </w:p>
    <w:p>
      <w:pPr>
        <w:widowControl/>
        <w:spacing w:line="360" w:lineRule="auto"/>
        <w:ind w:firstLine="480" w:firstLineChars="200"/>
        <w:rPr>
          <w:rFonts w:ascii="仿宋" w:hAnsi="仿宋" w:eastAsia="仿宋" w:cs="仿宋"/>
          <w:sz w:val="24"/>
        </w:rPr>
      </w:pPr>
      <w:bookmarkStart w:id="2" w:name="_Hlk45829540"/>
      <w:bookmarkStart w:id="3" w:name="_Hlk43423686"/>
      <w:bookmarkStart w:id="4" w:name="_Hlk41910341"/>
      <w:r>
        <w:rPr>
          <w:rFonts w:hint="eastAsia" w:ascii="仿宋" w:hAnsi="仿宋" w:eastAsia="仿宋" w:cs="仿宋"/>
          <w:sz w:val="24"/>
          <w:szCs w:val="24"/>
        </w:rPr>
        <w:t>甘洛县人民医院第二住院综合大楼建设项目收入来源主要为项目建成后门诊收入和住院收入。</w:t>
      </w:r>
      <w:bookmarkEnd w:id="2"/>
      <w:r>
        <w:rPr>
          <w:rFonts w:hint="eastAsia" w:ascii="仿宋" w:hAnsi="仿宋" w:eastAsia="仿宋" w:cs="仿宋"/>
          <w:sz w:val="24"/>
          <w:szCs w:val="24"/>
        </w:rPr>
        <w:t>项目运营期内运营收入合计</w:t>
      </w:r>
      <w:r>
        <w:rPr>
          <w:rFonts w:hint="eastAsia" w:ascii="仿宋" w:hAnsi="仿宋" w:eastAsia="仿宋" w:cs="仿宋"/>
          <w:sz w:val="24"/>
          <w:szCs w:val="24"/>
          <w:lang w:val="en-US" w:eastAsia="zh-CN"/>
        </w:rPr>
        <w:t>272154.36</w:t>
      </w:r>
      <w:r>
        <w:rPr>
          <w:rFonts w:hint="eastAsia" w:ascii="仿宋" w:hAnsi="仿宋" w:eastAsia="仿宋" w:cs="仿宋"/>
          <w:sz w:val="24"/>
          <w:szCs w:val="24"/>
        </w:rPr>
        <w:t>万元，属于专项收入，纳入政府性基金预算管理。</w:t>
      </w:r>
      <w:bookmarkEnd w:id="3"/>
      <w:r>
        <w:rPr>
          <w:rFonts w:hint="eastAsia" w:ascii="仿宋" w:hAnsi="仿宋" w:eastAsia="仿宋" w:cs="仿宋"/>
          <w:sz w:val="24"/>
        </w:rPr>
        <w:t>项目收入来源有事实依据，整体具有可行性。</w:t>
      </w:r>
    </w:p>
    <w:p>
      <w:pPr>
        <w:spacing w:before="10" w:after="156" w:afterLines="50" w:line="360" w:lineRule="auto"/>
        <w:ind w:firstLine="643" w:firstLineChars="200"/>
        <w:outlineLvl w:val="2"/>
        <w:rPr>
          <w:rFonts w:ascii="仿宋_GB2312" w:eastAsia="仿宋_GB2312"/>
          <w:b/>
          <w:sz w:val="32"/>
          <w:szCs w:val="32"/>
        </w:rPr>
      </w:pPr>
      <w:r>
        <w:rPr>
          <w:rFonts w:hint="eastAsia" w:ascii="仿宋_GB2312" w:eastAsia="仿宋_GB2312"/>
          <w:b/>
          <w:sz w:val="32"/>
          <w:szCs w:val="32"/>
        </w:rPr>
        <w:t>2.项目成本</w:t>
      </w:r>
    </w:p>
    <w:p>
      <w:pPr>
        <w:widowControl/>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本项目建成后运营期间的成本费用，共计</w:t>
      </w:r>
      <w:r>
        <w:rPr>
          <w:rFonts w:hint="eastAsia" w:ascii="仿宋" w:hAnsi="仿宋" w:eastAsia="仿宋" w:cs="仿宋"/>
          <w:color w:val="000000" w:themeColor="text1"/>
          <w:sz w:val="24"/>
          <w:szCs w:val="24"/>
          <w:highlight w:val="none"/>
          <w14:textFill>
            <w14:solidFill>
              <w14:schemeClr w14:val="tx1"/>
            </w14:solidFill>
          </w14:textFill>
        </w:rPr>
        <w:t>270691.20</w:t>
      </w:r>
      <w:r>
        <w:rPr>
          <w:rFonts w:hint="eastAsia" w:ascii="仿宋" w:hAnsi="仿宋" w:eastAsia="仿宋" w:cs="仿宋"/>
          <w:sz w:val="24"/>
          <w:szCs w:val="24"/>
        </w:rPr>
        <w:t>万元，主要包括</w:t>
      </w:r>
      <w:r>
        <w:rPr>
          <w:rFonts w:hint="eastAsia" w:ascii="仿宋" w:hAnsi="仿宋" w:eastAsia="仿宋" w:cs="仿宋"/>
          <w:sz w:val="24"/>
          <w:szCs w:val="24"/>
          <w:lang w:val="en-US" w:eastAsia="zh-CN"/>
        </w:rPr>
        <w:t>人员工资及福利费、</w:t>
      </w:r>
      <w:r>
        <w:rPr>
          <w:rFonts w:hint="eastAsia" w:ascii="仿宋" w:hAnsi="仿宋" w:eastAsia="仿宋" w:cs="仿宋"/>
          <w:color w:val="000000" w:themeColor="text1"/>
          <w:sz w:val="24"/>
          <w:szCs w:val="24"/>
          <w:highlight w:val="none"/>
          <w14:textFill>
            <w14:solidFill>
              <w14:schemeClr w14:val="tx1"/>
            </w14:solidFill>
          </w14:textFill>
        </w:rPr>
        <w:t>医疗材耗及药品成本</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修理费、管理费用、提取医疗风险基金、折旧摊销费和财务费用</w:t>
      </w:r>
      <w:r>
        <w:rPr>
          <w:rFonts w:hint="eastAsia" w:ascii="仿宋" w:hAnsi="仿宋" w:eastAsia="仿宋" w:cs="仿宋"/>
          <w:sz w:val="24"/>
          <w:szCs w:val="24"/>
        </w:rPr>
        <w:t>。</w:t>
      </w:r>
    </w:p>
    <w:p>
      <w:pPr>
        <w:spacing w:before="10" w:after="156" w:afterLines="50" w:line="360" w:lineRule="auto"/>
        <w:ind w:firstLine="643" w:firstLineChars="200"/>
        <w:outlineLvl w:val="1"/>
        <w:rPr>
          <w:rFonts w:ascii="楷体_GB2312" w:eastAsia="楷体_GB2312"/>
          <w:b/>
          <w:sz w:val="32"/>
          <w:szCs w:val="32"/>
        </w:rPr>
      </w:pPr>
      <w:r>
        <w:rPr>
          <w:rFonts w:hint="eastAsia" w:ascii="楷体_GB2312" w:eastAsia="楷体_GB2312"/>
          <w:b/>
          <w:sz w:val="32"/>
          <w:szCs w:val="32"/>
        </w:rPr>
        <w:t>（二）资金测算平衡情况</w:t>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bCs/>
          <w:kern w:val="0"/>
          <w:sz w:val="24"/>
          <w:szCs w:val="24"/>
        </w:rPr>
        <w:t>甘洛县人民医院第二住院综合大楼建设项目专项债券</w:t>
      </w:r>
      <w:r>
        <w:rPr>
          <w:rFonts w:ascii="仿宋" w:hAnsi="仿宋" w:eastAsia="仿宋" w:cs="仿宋"/>
          <w:bCs/>
          <w:kern w:val="0"/>
          <w:sz w:val="24"/>
          <w:szCs w:val="24"/>
        </w:rPr>
        <w:t>以</w:t>
      </w:r>
      <w:r>
        <w:rPr>
          <w:rFonts w:hint="eastAsia" w:ascii="仿宋" w:hAnsi="仿宋" w:eastAsia="仿宋" w:cs="仿宋"/>
          <w:bCs/>
          <w:kern w:val="0"/>
          <w:sz w:val="24"/>
          <w:szCs w:val="24"/>
        </w:rPr>
        <w:t>门诊收入、住院收入</w:t>
      </w:r>
      <w:r>
        <w:rPr>
          <w:rFonts w:ascii="仿宋" w:hAnsi="仿宋" w:eastAsia="仿宋" w:cs="仿宋"/>
          <w:bCs/>
          <w:kern w:val="0"/>
          <w:sz w:val="24"/>
          <w:szCs w:val="24"/>
        </w:rPr>
        <w:t>为收益来源</w:t>
      </w:r>
      <w:r>
        <w:rPr>
          <w:rFonts w:hint="eastAsia" w:ascii="仿宋" w:hAnsi="仿宋" w:eastAsia="仿宋" w:cs="仿宋"/>
          <w:bCs/>
          <w:kern w:val="0"/>
          <w:sz w:val="24"/>
          <w:szCs w:val="24"/>
        </w:rPr>
        <w:t>。待本项目全部</w:t>
      </w:r>
      <w:bookmarkStart w:id="5" w:name="_Hlk58749717"/>
      <w:r>
        <w:rPr>
          <w:rFonts w:ascii="仿宋" w:hAnsi="仿宋" w:eastAsia="仿宋" w:cs="仿宋"/>
          <w:bCs/>
          <w:kern w:val="0"/>
          <w:sz w:val="24"/>
          <w:szCs w:val="24"/>
        </w:rPr>
        <w:t>1</w:t>
      </w:r>
      <w:bookmarkEnd w:id="5"/>
      <w:r>
        <w:rPr>
          <w:rFonts w:hint="eastAsia" w:ascii="仿宋" w:hAnsi="仿宋" w:eastAsia="仿宋" w:cs="仿宋"/>
          <w:bCs/>
          <w:kern w:val="0"/>
          <w:sz w:val="24"/>
          <w:szCs w:val="24"/>
          <w:lang w:val="en-US" w:eastAsia="zh-CN"/>
        </w:rPr>
        <w:t>24</w:t>
      </w:r>
      <w:r>
        <w:rPr>
          <w:rFonts w:ascii="仿宋" w:hAnsi="仿宋" w:eastAsia="仿宋" w:cs="仿宋"/>
          <w:bCs/>
          <w:kern w:val="0"/>
          <w:sz w:val="24"/>
          <w:szCs w:val="24"/>
        </w:rPr>
        <w:t>00.00</w:t>
      </w:r>
      <w:r>
        <w:rPr>
          <w:rFonts w:hint="eastAsia" w:ascii="仿宋" w:hAnsi="仿宋" w:eastAsia="仿宋" w:cs="仿宋"/>
          <w:bCs/>
          <w:kern w:val="0"/>
          <w:sz w:val="24"/>
          <w:szCs w:val="24"/>
        </w:rPr>
        <w:t>万元专项债券到期时，在偿还当年到期的专项债券本息后</w:t>
      </w:r>
      <w:r>
        <w:rPr>
          <w:rFonts w:ascii="仿宋" w:hAnsi="仿宋" w:eastAsia="仿宋" w:cs="仿宋"/>
          <w:bCs/>
          <w:kern w:val="0"/>
          <w:sz w:val="24"/>
          <w:szCs w:val="24"/>
        </w:rPr>
        <w:t>，将仍有</w:t>
      </w:r>
      <w:r>
        <w:rPr>
          <w:rFonts w:hint="eastAsia" w:ascii="仿宋" w:hAnsi="仿宋" w:eastAsia="仿宋" w:cs="仿宋"/>
          <w:color w:val="000000" w:themeColor="text1"/>
          <w:sz w:val="24"/>
          <w:szCs w:val="24"/>
          <w:highlight w:val="none"/>
          <w:lang w:eastAsia="zh-CN"/>
          <w14:textFill>
            <w14:solidFill>
              <w14:schemeClr w14:val="tx1"/>
            </w14:solidFill>
          </w14:textFill>
        </w:rPr>
        <w:t>3681.31</w:t>
      </w:r>
      <w:r>
        <w:rPr>
          <w:rFonts w:ascii="仿宋" w:hAnsi="仿宋" w:eastAsia="仿宋" w:cs="仿宋"/>
          <w:bCs/>
          <w:kern w:val="0"/>
          <w:sz w:val="24"/>
          <w:szCs w:val="24"/>
        </w:rPr>
        <w:t>万元的累计现金结余,能</w:t>
      </w:r>
      <w:r>
        <w:rPr>
          <w:rFonts w:hint="eastAsia" w:ascii="仿宋" w:hAnsi="仿宋" w:eastAsia="仿宋" w:cs="仿宋"/>
          <w:bCs/>
          <w:kern w:val="0"/>
          <w:sz w:val="24"/>
          <w:szCs w:val="24"/>
        </w:rPr>
        <w:t>够</w:t>
      </w:r>
      <w:r>
        <w:rPr>
          <w:rFonts w:ascii="仿宋" w:hAnsi="仿宋" w:eastAsia="仿宋" w:cs="仿宋"/>
          <w:bCs/>
          <w:kern w:val="0"/>
          <w:sz w:val="24"/>
          <w:szCs w:val="24"/>
        </w:rPr>
        <w:t>实现项目收益和融资自求平衡</w:t>
      </w:r>
      <w:r>
        <w:rPr>
          <w:rFonts w:hint="eastAsia" w:ascii="仿宋" w:hAnsi="仿宋" w:eastAsia="仿宋" w:cs="仿宋"/>
          <w:bCs/>
          <w:kern w:val="0"/>
          <w:sz w:val="24"/>
          <w:szCs w:val="24"/>
        </w:rPr>
        <w:t>。项目资金测算平衡情况如下表所示：</w:t>
      </w:r>
    </w:p>
    <w:p>
      <w:pPr>
        <w:widowControl/>
        <w:jc w:val="left"/>
        <w:rPr>
          <w:rFonts w:ascii="仿宋" w:hAnsi="仿宋" w:eastAsia="仿宋" w:cs="仿宋"/>
          <w:bCs/>
          <w:kern w:val="0"/>
          <w:sz w:val="24"/>
          <w:szCs w:val="24"/>
        </w:rPr>
        <w:sectPr>
          <w:pgSz w:w="11906" w:h="16838"/>
          <w:pgMar w:top="1440" w:right="1800" w:bottom="1440" w:left="1800" w:header="851" w:footer="992" w:gutter="0"/>
          <w:cols w:space="425" w:num="1"/>
          <w:docGrid w:type="lines" w:linePitch="312" w:charSpace="0"/>
        </w:sectPr>
      </w:pPr>
    </w:p>
    <w:p>
      <w:pPr>
        <w:spacing w:line="360" w:lineRule="auto"/>
        <w:jc w:val="center"/>
        <w:rPr>
          <w:rFonts w:ascii="仿宋" w:hAnsi="仿宋" w:eastAsia="仿宋" w:cs="仿宋"/>
          <w:b/>
          <w:bCs/>
          <w:szCs w:val="21"/>
        </w:rPr>
      </w:pPr>
      <w:r>
        <w:rPr>
          <w:rFonts w:hint="eastAsia" w:ascii="仿宋" w:hAnsi="仿宋" w:eastAsia="仿宋" w:cs="仿宋"/>
          <w:b/>
          <w:bCs/>
          <w:szCs w:val="21"/>
        </w:rPr>
        <w:t>项目资金测算平衡表</w:t>
      </w:r>
      <w:r>
        <w:rPr>
          <w:rFonts w:hint="eastAsia" w:ascii="仿宋" w:hAnsi="仿宋" w:eastAsia="仿宋" w:cs="黑体"/>
          <w:b/>
          <w:bCs/>
          <w:szCs w:val="21"/>
        </w:rPr>
        <w:t>（金额单位：</w:t>
      </w:r>
      <w:r>
        <w:rPr>
          <w:rFonts w:hint="eastAsia" w:ascii="仿宋" w:hAnsi="仿宋" w:eastAsia="仿宋" w:cs="黑体"/>
          <w:b/>
          <w:bCs/>
          <w:szCs w:val="21"/>
          <w:lang w:val="zh-CN" w:bidi="zh-CN"/>
        </w:rPr>
        <w:t>人民币</w:t>
      </w:r>
      <w:r>
        <w:rPr>
          <w:rFonts w:hint="eastAsia" w:ascii="仿宋" w:hAnsi="仿宋" w:eastAsia="仿宋" w:cs="黑体"/>
          <w:b/>
          <w:bCs/>
          <w:szCs w:val="21"/>
        </w:rPr>
        <w:t>万元）</w:t>
      </w:r>
    </w:p>
    <w:tbl>
      <w:tblPr>
        <w:tblStyle w:val="13"/>
        <w:tblW w:w="4994" w:type="pct"/>
        <w:tblInd w:w="0" w:type="dxa"/>
        <w:shd w:val="clear" w:color="auto" w:fill="auto"/>
        <w:tblLayout w:type="autofit"/>
        <w:tblCellMar>
          <w:top w:w="0" w:type="dxa"/>
          <w:left w:w="0" w:type="dxa"/>
          <w:bottom w:w="0" w:type="dxa"/>
          <w:right w:w="0" w:type="dxa"/>
        </w:tblCellMar>
      </w:tblPr>
      <w:tblGrid>
        <w:gridCol w:w="150"/>
        <w:gridCol w:w="1298"/>
        <w:gridCol w:w="710"/>
        <w:gridCol w:w="640"/>
        <w:gridCol w:w="640"/>
        <w:gridCol w:w="570"/>
        <w:gridCol w:w="570"/>
        <w:gridCol w:w="570"/>
        <w:gridCol w:w="640"/>
        <w:gridCol w:w="640"/>
        <w:gridCol w:w="640"/>
        <w:gridCol w:w="640"/>
        <w:gridCol w:w="640"/>
        <w:gridCol w:w="640"/>
        <w:gridCol w:w="640"/>
        <w:gridCol w:w="640"/>
        <w:gridCol w:w="640"/>
        <w:gridCol w:w="640"/>
        <w:gridCol w:w="640"/>
        <w:gridCol w:w="640"/>
        <w:gridCol w:w="640"/>
        <w:gridCol w:w="640"/>
        <w:gridCol w:w="641"/>
        <w:gridCol w:w="641"/>
      </w:tblGrid>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行次</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项目</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合计</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第2年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第3年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第4年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第5年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第6年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第7年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第8年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第9年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第10年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第11年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第12年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第13年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第14年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第15年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第16年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第17年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第18年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第19年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第20年</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第21年</w:t>
            </w:r>
          </w:p>
        </w:tc>
      </w:tr>
      <w:tr>
        <w:tblPrEx>
          <w:shd w:val="clear" w:color="auto" w:fill="auto"/>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经营活动产生的现金净流量</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25,209.31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569.66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618.15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666.65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878.81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878.81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878.81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1,075.42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1,075.42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1,075.42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1,311.59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1,379.90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1,379.90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1,663.71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1,663.71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1,663.71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2,004.86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2,004.86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2,004.86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2,415.05</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一、经营活动产生的现金流入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272,154.36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6,928.11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7,422.97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7,917.84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25,061.54</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（一）经营收入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272,154.36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6,928.11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7,422.97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7,917.84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10,082.79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12,088.94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14,498.83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17,394.79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20,875.95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25,061.54</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1、门诊收入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50,195.62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1,444.57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1,547.75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1,650.93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2,026.01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2,026.01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2,026.01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2,340.04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2,340.04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2,340.04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2,702.75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2,702.75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2,702.75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3,121.67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3,121.67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3,121.67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3,605.52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3,605.52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3,605.52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4,164.38</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2、住院收入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221,958.74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5,483.54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5,875.22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6,266.90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8,056.78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8,056.78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8,056.78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9,748.90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9,748.90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9,748.90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11,796.08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11,796.08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11,796.08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14,273.12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14,273.12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14,273.12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17,270.42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17,270.42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17,270.42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20,897.15</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二、经营活动产生的现金流出</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246,945.04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6,358.45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6,804.82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7,251.19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13,187.25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13,118.93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13,118.93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22,646.49</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（一）经营成本</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246,945.04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6,358.45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6,804.82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7,251.19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9,203.97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11,013.53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13,187.25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13,118.93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13,118.93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15,731.08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18,871.08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22,646.49</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18</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1、人员工资及福利费</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108,861.74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2,771.24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2,969.19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3,167.13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4,033.12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4,033.12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4,033.12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4,835.58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4,835.58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4,835.58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5,799.53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5,799.53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5,799.53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6,957.92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6,957.92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6,957.92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8,350.38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8,350.38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8,350.38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10,024.61</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19</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2、医疗材耗及药品成本</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119,747.92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3,048.37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3,266.11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3,483.85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4,436.43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4,436.43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4,436.43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5,319.14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5,319.14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5,319.14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6,379.49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6,379.49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6,379.49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7,653.71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7,653.71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7,653.71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9,185.42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9,185.42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9,185.42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11,027.08</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3、修理费</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1,461.82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109.30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40.98</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21</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4、管理费用</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16,329.26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415.69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445.38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475.07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604.97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604.97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604.97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725.34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725.34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725.34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869.93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869.93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869.93</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1,043.69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1,043.69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1,043.69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1,252.56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1,252.56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1,252.56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1,503.69</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22</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5、提取医疗风险基金</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544.31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13.86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14.85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15.84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20.17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20.17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20.17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24.18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24.18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24.18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34.79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41.75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50.12</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32</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投资活动产生的现金净流量</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-14,955.60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-7,576.60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-7,379.00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33</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一、投资活动产生的现金流入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34</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二、投资活动产生的现金流出</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14,955.60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7,576.60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7,379.00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35</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（一）建设投资</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14,955.60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7,576.60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7,379.00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（二）流动资金</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37</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融资活动产生的现金净流量</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-6,572.40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7,576.60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7,379.00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-7,896.00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-5,200.00</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38</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一、融资活动产生的现金流入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15,760.00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7,880.00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7,880.00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39</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（一）项目资本金流入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3,360.00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480.00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2,880.00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（二）发行债券融资流入</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12,400.00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7,400.00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5,000.00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41</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二、融资活动产生的现金流出</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22,332.40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303.40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501.00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7,896.00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5,200.00</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42</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（一）偿还专项债券本金</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12,400.00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7,400.00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5,000.00</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43</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（二）支付专项债券利息</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9,920.00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496.00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200.00</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44</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（三）支付专项债券发行费</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5.00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i w:val="0"/>
                <w:iCs w:val="0"/>
                <w:color w:val="000000"/>
                <w:kern w:val="0"/>
                <w:sz w:val="14"/>
                <w:szCs w:val="14"/>
                <w:highlight w:val="none"/>
                <w:u w:val="none"/>
              </w:rPr>
            </w:pP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45</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四、期末现金增加（1+32+37）</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3,681.31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73.66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122.15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170.65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382.81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382.81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382.81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579.42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815.59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883.90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883.90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1,167.71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1,167.71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1,167.71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1,508.86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1,508.86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-5,891.14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-2,784.95</w:t>
            </w:r>
          </w:p>
        </w:tc>
      </w:tr>
      <w:tr>
        <w:tblPrEx>
          <w:shd w:val="clear" w:color="auto" w:fill="auto"/>
          <w:tblCellMar>
            <w:top w:w="0" w:type="dxa"/>
            <w:left w:w="0" w:type="dxa"/>
            <w:bottom w:w="0" w:type="dxa"/>
            <w:right w:w="0" w:type="dxa"/>
          </w:tblCellMar>
        </w:tblPrEx>
        <w:trPr>
          <w:trHeight w:val="340" w:hRule="atLeast"/>
        </w:trPr>
        <w:tc>
          <w:tcPr>
            <w:tcW w:w="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46</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五、累计盈余资金</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73.66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195.81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366.46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749.27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1,132.09</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1,514.90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2,094.32</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2,673.74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3,253.16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4,068.74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4,952.65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5,836.55</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7,004.26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8,171.97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9,339.68</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10,848.54</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12,357.40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6,466.26</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4"/>
                <w:szCs w:val="14"/>
                <w:highlight w:val="none"/>
                <w:u w:val="none"/>
              </w:rPr>
            </w:pPr>
            <w:r>
              <w:rPr>
                <w:rFonts w:hint="eastAsia" w:ascii="仿宋" w:hAnsi="仿宋" w:eastAsia="仿宋" w:cs="仿宋"/>
                <w:i w:val="0"/>
                <w:iCs w:val="0"/>
                <w:color w:val="000000"/>
                <w:kern w:val="0"/>
                <w:sz w:val="14"/>
                <w:szCs w:val="14"/>
                <w:highlight w:val="none"/>
                <w:u w:val="none"/>
                <w:lang w:val="en-US" w:eastAsia="zh-CN" w:bidi="ar"/>
              </w:rPr>
              <w:t>3,681.31</w:t>
            </w:r>
          </w:p>
        </w:tc>
      </w:tr>
    </w:tbl>
    <w:p>
      <w:pPr>
        <w:pStyle w:val="10"/>
      </w:pPr>
    </w:p>
    <w:p>
      <w:pPr>
        <w:rPr>
          <w:rFonts w:ascii="仿宋" w:hAnsi="仿宋" w:eastAsia="仿宋" w:cs="仿宋"/>
          <w:b/>
          <w:bCs/>
          <w:sz w:val="22"/>
          <w:szCs w:val="28"/>
        </w:rPr>
      </w:pPr>
      <w:r>
        <w:rPr>
          <w:rFonts w:hint="eastAsia" w:ascii="仿宋" w:hAnsi="仿宋" w:eastAsia="仿宋" w:cs="仿宋"/>
          <w:b/>
          <w:bCs/>
          <w:sz w:val="22"/>
          <w:szCs w:val="28"/>
        </w:rPr>
        <w:br w:type="page"/>
      </w:r>
    </w:p>
    <w:p>
      <w:pPr>
        <w:pStyle w:val="17"/>
        <w:shd w:val="clear" w:color="auto" w:fill="auto"/>
        <w:spacing w:after="0" w:line="422" w:lineRule="exact"/>
        <w:ind w:firstLine="480" w:firstLineChars="200"/>
        <w:jc w:val="both"/>
        <w:rPr>
          <w:rFonts w:ascii="仿宋" w:hAnsi="仿宋" w:eastAsia="仿宋" w:cs="仿宋"/>
          <w:sz w:val="24"/>
          <w:szCs w:val="24"/>
        </w:rPr>
        <w:sectPr>
          <w:pgSz w:w="16838" w:h="11906" w:orient="landscape"/>
          <w:pgMar w:top="720" w:right="720" w:bottom="720" w:left="720" w:header="851" w:footer="992" w:gutter="0"/>
          <w:cols w:space="425" w:num="1"/>
          <w:docGrid w:type="lines" w:linePitch="312" w:charSpace="0"/>
        </w:sectPr>
      </w:pP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五、项目绩效目标</w:t>
      </w:r>
    </w:p>
    <w:p>
      <w:pPr>
        <w:pStyle w:val="3"/>
        <w:spacing w:before="0" w:after="0" w:line="360" w:lineRule="auto"/>
        <w:ind w:firstLine="480" w:firstLineChars="200"/>
        <w:rPr>
          <w:rFonts w:ascii="仿宋" w:hAnsi="仿宋" w:eastAsia="仿宋" w:cs="仿宋"/>
          <w:bCs/>
          <w:szCs w:val="24"/>
        </w:rPr>
      </w:pPr>
      <w:r>
        <w:rPr>
          <w:rFonts w:hint="eastAsia" w:ascii="仿宋" w:hAnsi="仿宋" w:eastAsia="仿宋" w:cs="仿宋"/>
          <w:bCs/>
          <w:szCs w:val="24"/>
        </w:rPr>
        <w:t>甘洛县人民医院第二住院综合大楼建设项目收入来源主要为项目建成后门诊收入以及住院收入，待本项目全部1</w:t>
      </w:r>
      <w:r>
        <w:rPr>
          <w:rFonts w:hint="eastAsia" w:ascii="仿宋" w:hAnsi="仿宋" w:eastAsia="仿宋" w:cs="仿宋"/>
          <w:bCs/>
          <w:szCs w:val="24"/>
          <w:lang w:val="en-US" w:eastAsia="zh-CN"/>
        </w:rPr>
        <w:t>24</w:t>
      </w:r>
      <w:r>
        <w:rPr>
          <w:rFonts w:hint="eastAsia" w:ascii="仿宋" w:hAnsi="仿宋" w:eastAsia="仿宋" w:cs="仿宋"/>
          <w:bCs/>
          <w:szCs w:val="24"/>
        </w:rPr>
        <w:t>00.00万元专项债到期时，在偿还到期的融资本息后，将仍有</w:t>
      </w:r>
      <w:r>
        <w:rPr>
          <w:rFonts w:hint="eastAsia" w:ascii="仿宋" w:hAnsi="仿宋" w:eastAsia="仿宋" w:cs="仿宋"/>
          <w:lang w:val="en-US" w:eastAsia="zh-CN"/>
        </w:rPr>
        <w:t>3681.31</w:t>
      </w:r>
      <w:r>
        <w:rPr>
          <w:rFonts w:hint="eastAsia" w:ascii="仿宋" w:hAnsi="仿宋" w:eastAsia="仿宋" w:cs="仿宋"/>
          <w:bCs/>
          <w:szCs w:val="24"/>
        </w:rPr>
        <w:t>万元的累计现金结余。项目预期收益可用以偿还债务本息，实现资金平衡,其中：项目本息覆盖倍数为1.1</w:t>
      </w:r>
      <w:r>
        <w:rPr>
          <w:rFonts w:hint="eastAsia" w:ascii="仿宋" w:hAnsi="仿宋" w:eastAsia="仿宋" w:cs="仿宋"/>
          <w:bCs/>
          <w:szCs w:val="24"/>
          <w:lang w:val="en-US" w:eastAsia="zh-CN"/>
        </w:rPr>
        <w:t>7</w:t>
      </w:r>
      <w:r>
        <w:rPr>
          <w:rFonts w:hint="eastAsia" w:ascii="仿宋" w:hAnsi="仿宋" w:eastAsia="仿宋" w:cs="仿宋"/>
          <w:bCs/>
          <w:szCs w:val="24"/>
        </w:rPr>
        <w:t>倍。综合来看，甘洛县人民医院第二住院综合大楼建设项目建成后，将从根本上解决全县综合医疗卫生服务条件，有力促进基层医疗的发展，为全县人民群众健康水平持续提升奠定坚实的医疗卫生资源基础。</w:t>
      </w:r>
    </w:p>
    <w:p>
      <w:pPr>
        <w:spacing w:before="10" w:after="156" w:afterLines="50" w:line="360" w:lineRule="auto"/>
        <w:ind w:firstLine="640" w:firstLineChars="200"/>
        <w:outlineLvl w:val="0"/>
        <w:rPr>
          <w:rFonts w:ascii="仿宋_GB2312" w:hAnsi="仿宋" w:eastAsia="仿宋_GB2312"/>
          <w:sz w:val="32"/>
          <w:szCs w:val="32"/>
        </w:rPr>
      </w:pPr>
      <w:r>
        <w:rPr>
          <w:rFonts w:hint="eastAsia" w:ascii="黑体" w:hAnsi="黑体" w:eastAsia="黑体"/>
          <w:sz w:val="32"/>
          <w:szCs w:val="32"/>
        </w:rPr>
        <w:t>六、潜在影响项目的风险评估</w:t>
      </w:r>
    </w:p>
    <w:p>
      <w:pPr>
        <w:spacing w:before="10" w:after="156" w:afterLines="50" w:line="360" w:lineRule="auto"/>
        <w:outlineLvl w:val="1"/>
        <w:rPr>
          <w:rFonts w:ascii="楷体_GB2312" w:eastAsia="楷体_GB2312"/>
          <w:b/>
          <w:sz w:val="32"/>
          <w:szCs w:val="32"/>
        </w:rPr>
      </w:pPr>
      <w:r>
        <w:rPr>
          <w:rFonts w:hint="eastAsia" w:ascii="楷体_GB2312" w:eastAsia="楷体_GB2312"/>
          <w:b/>
          <w:sz w:val="32"/>
          <w:szCs w:val="32"/>
        </w:rPr>
        <w:t>（一）影响项目施工进度或正常运营的风险及控制措施</w:t>
      </w:r>
    </w:p>
    <w:p>
      <w:pPr>
        <w:pStyle w:val="3"/>
        <w:spacing w:before="0" w:after="0" w:line="360" w:lineRule="auto"/>
        <w:ind w:firstLine="480" w:firstLineChars="200"/>
        <w:rPr>
          <w:rFonts w:ascii="仿宋" w:hAnsi="仿宋" w:eastAsia="仿宋" w:cs="仿宋"/>
          <w:bCs/>
          <w:szCs w:val="24"/>
        </w:rPr>
      </w:pPr>
      <w:r>
        <w:rPr>
          <w:rFonts w:hint="eastAsia" w:ascii="仿宋" w:hAnsi="仿宋" w:eastAsia="仿宋" w:cs="仿宋"/>
          <w:bCs/>
          <w:szCs w:val="24"/>
        </w:rPr>
        <w:t>对于不可抗力风险、施工方的风险、设计单位的风险、供应商的风险、资金落实风险、工程事故风险等影响施工进度或正常运营的风险，项目相关机构将采取对地块所处自然环境进行充分论证；选取有相应资质、业绩良好、经验丰富的施工单位；对供应商的资质、商业信誉和财务会计制度进行严格审查；做好现场的安全管理工作等措施予以控制。</w:t>
      </w:r>
    </w:p>
    <w:p>
      <w:pPr>
        <w:spacing w:before="10" w:after="156" w:afterLines="50" w:line="360" w:lineRule="auto"/>
        <w:outlineLvl w:val="1"/>
        <w:rPr>
          <w:rFonts w:ascii="楷体_GB2312" w:eastAsia="楷体_GB2312"/>
          <w:b/>
          <w:sz w:val="32"/>
          <w:szCs w:val="32"/>
        </w:rPr>
      </w:pPr>
      <w:r>
        <w:rPr>
          <w:rFonts w:hint="eastAsia" w:ascii="楷体_GB2312" w:eastAsia="楷体_GB2312"/>
          <w:b/>
          <w:sz w:val="32"/>
          <w:szCs w:val="32"/>
        </w:rPr>
        <w:t>（二）影响项目收益的风险及控制措施</w:t>
      </w:r>
    </w:p>
    <w:p>
      <w:pPr>
        <w:pStyle w:val="3"/>
        <w:spacing w:before="0" w:after="0" w:line="360" w:lineRule="auto"/>
        <w:ind w:firstLine="480" w:firstLineChars="200"/>
        <w:rPr>
          <w:rFonts w:ascii="仿宋" w:hAnsi="仿宋" w:eastAsia="仿宋" w:cs="仿宋"/>
          <w:bCs/>
          <w:szCs w:val="24"/>
        </w:rPr>
      </w:pPr>
      <w:r>
        <w:rPr>
          <w:rFonts w:hint="eastAsia" w:ascii="仿宋" w:hAnsi="仿宋" w:eastAsia="仿宋" w:cs="仿宋"/>
          <w:bCs/>
          <w:szCs w:val="24"/>
        </w:rPr>
        <w:t>对于经营风险、财务风险等影响项目收益的风险，项目相关机构将全面分析国家项目相关的政策、法律、制度的发展变化；设立项目资金管理专户等措施予以控制。</w:t>
      </w:r>
    </w:p>
    <w:p>
      <w:pPr>
        <w:spacing w:before="10" w:after="156" w:afterLines="50" w:line="360" w:lineRule="auto"/>
        <w:outlineLvl w:val="1"/>
        <w:rPr>
          <w:rFonts w:ascii="楷体_GB2312" w:eastAsia="楷体_GB2312"/>
          <w:b/>
          <w:sz w:val="32"/>
          <w:szCs w:val="32"/>
        </w:rPr>
      </w:pPr>
      <w:r>
        <w:rPr>
          <w:rFonts w:hint="eastAsia" w:ascii="楷体_GB2312" w:eastAsia="楷体_GB2312"/>
          <w:b/>
          <w:sz w:val="32"/>
          <w:szCs w:val="32"/>
        </w:rPr>
        <w:t>（三）影响融资平衡结果的风险及控制措施</w:t>
      </w:r>
    </w:p>
    <w:p>
      <w:pPr>
        <w:pStyle w:val="3"/>
        <w:spacing w:before="0" w:after="0" w:line="360" w:lineRule="auto"/>
        <w:ind w:firstLine="480" w:firstLineChars="200"/>
        <w:rPr>
          <w:rFonts w:ascii="仿宋" w:hAnsi="仿宋" w:eastAsia="仿宋" w:cs="仿宋"/>
          <w:bCs/>
          <w:szCs w:val="24"/>
        </w:rPr>
      </w:pPr>
      <w:r>
        <w:rPr>
          <w:rFonts w:hint="eastAsia" w:ascii="仿宋" w:hAnsi="仿宋" w:eastAsia="仿宋" w:cs="仿宋"/>
          <w:bCs/>
          <w:szCs w:val="24"/>
        </w:rPr>
        <w:t>对于投资测算不准确风险、利率波动风险等影响项目收益的风险，项目相关机构将采取根据稳健性原则适当计入一定比例的不可预见费；定期对估算投资进行审核验证、调整；做好现金流监测，充分利用资金、做好还款计划和还款准备等措施予以控制。</w:t>
      </w: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七、还款保障情况</w:t>
      </w:r>
    </w:p>
    <w:p>
      <w:pPr>
        <w:pStyle w:val="3"/>
        <w:spacing w:before="0" w:after="0" w:line="360" w:lineRule="auto"/>
        <w:ind w:firstLine="480" w:firstLineChars="200"/>
        <w:rPr>
          <w:rFonts w:ascii="仿宋" w:hAnsi="仿宋" w:eastAsia="仿宋" w:cs="仿宋"/>
          <w:bCs/>
          <w:szCs w:val="24"/>
        </w:rPr>
      </w:pPr>
      <w:r>
        <w:rPr>
          <w:rFonts w:ascii="仿宋" w:hAnsi="仿宋" w:eastAsia="仿宋" w:cs="仿宋"/>
          <w:bCs/>
          <w:szCs w:val="24"/>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八、主管部门职责</w:t>
      </w:r>
    </w:p>
    <w:p>
      <w:pPr>
        <w:spacing w:before="10" w:after="156" w:afterLines="50" w:line="360" w:lineRule="auto"/>
        <w:outlineLvl w:val="1"/>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（一）主管部门及职责</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lang w:eastAsia="zh-CN"/>
        </w:rPr>
      </w:pPr>
      <w:r>
        <w:rPr>
          <w:rFonts w:hint="eastAsia" w:ascii="仿宋" w:hAnsi="仿宋" w:eastAsia="仿宋" w:cs="仿宋"/>
          <w:sz w:val="24"/>
          <w:szCs w:val="24"/>
        </w:rPr>
        <w:t>本项目</w:t>
      </w:r>
      <w:r>
        <w:rPr>
          <w:rFonts w:hint="eastAsia" w:ascii="仿宋" w:hAnsi="仿宋" w:eastAsia="仿宋" w:cs="仿宋"/>
          <w:sz w:val="24"/>
          <w:szCs w:val="24"/>
          <w:lang w:val="en-US" w:eastAsia="zh-CN"/>
        </w:rPr>
        <w:t>的</w:t>
      </w:r>
      <w:r>
        <w:rPr>
          <w:rFonts w:hint="eastAsia" w:ascii="仿宋" w:hAnsi="仿宋" w:eastAsia="仿宋" w:cs="仿宋"/>
          <w:sz w:val="24"/>
          <w:szCs w:val="24"/>
        </w:rPr>
        <w:t>主管部门是</w:t>
      </w:r>
      <w:r>
        <w:rPr>
          <w:rFonts w:hint="eastAsia" w:ascii="仿宋" w:hAnsi="仿宋" w:eastAsia="仿宋" w:cs="仿宋"/>
          <w:sz w:val="24"/>
          <w:szCs w:val="24"/>
          <w:lang w:val="en-US" w:eastAsia="zh-CN"/>
        </w:rPr>
        <w:t>甘洛县卫生健康局</w:t>
      </w:r>
      <w:r>
        <w:rPr>
          <w:rFonts w:hint="eastAsia" w:ascii="仿宋" w:hAnsi="仿宋" w:eastAsia="仿宋" w:cs="仿宋"/>
          <w:sz w:val="24"/>
          <w:szCs w:val="24"/>
        </w:rPr>
        <w:t>，其职责为</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认真履行项目建设、运营和维护责任</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跟踪项目建设进度</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监督指导建设运营主体规范使用本专项债券资金。</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配合做好债券对应项目形成资产的登记管理工作，确认资产权益归属，做好日常统计和动态监控。</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在门户网站等及时披露专项债券对应的项目概况、项目预期收益和融资平衡方案、专项债券规模和期限、发行计划安排、还本付息等信息。</w:t>
      </w:r>
    </w:p>
    <w:p>
      <w:pPr>
        <w:spacing w:before="10" w:after="156" w:afterLines="50" w:line="360" w:lineRule="auto"/>
        <w:outlineLvl w:val="1"/>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（二）项目单位职责</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lang w:eastAsia="zh-CN"/>
        </w:rPr>
      </w:pPr>
      <w:r>
        <w:rPr>
          <w:rFonts w:hint="eastAsia" w:ascii="仿宋" w:hAnsi="仿宋" w:eastAsia="仿宋" w:cs="仿宋"/>
          <w:sz w:val="24"/>
          <w:szCs w:val="24"/>
        </w:rPr>
        <w:t>本项目</w:t>
      </w:r>
      <w:r>
        <w:rPr>
          <w:rFonts w:hint="eastAsia" w:ascii="仿宋" w:hAnsi="仿宋" w:eastAsia="仿宋" w:cs="仿宋"/>
          <w:sz w:val="24"/>
          <w:szCs w:val="24"/>
          <w:lang w:val="en-US" w:eastAsia="zh-CN"/>
        </w:rPr>
        <w:t>的</w:t>
      </w:r>
      <w:r>
        <w:rPr>
          <w:rFonts w:hint="eastAsia" w:ascii="仿宋" w:hAnsi="仿宋" w:eastAsia="仿宋" w:cs="仿宋"/>
          <w:sz w:val="24"/>
          <w:szCs w:val="24"/>
        </w:rPr>
        <w:t>业主单位是</w:t>
      </w:r>
      <w:r>
        <w:rPr>
          <w:rFonts w:hint="eastAsia" w:ascii="仿宋" w:hAnsi="仿宋" w:eastAsia="仿宋" w:cs="仿宋"/>
          <w:sz w:val="24"/>
          <w:szCs w:val="24"/>
          <w:lang w:val="en-US" w:eastAsia="zh-CN"/>
        </w:rPr>
        <w:t>甘洛县人民医院</w:t>
      </w:r>
      <w:r>
        <w:rPr>
          <w:rFonts w:hint="eastAsia" w:ascii="仿宋" w:hAnsi="仿宋" w:eastAsia="仿宋" w:cs="仿宋"/>
          <w:sz w:val="24"/>
          <w:szCs w:val="24"/>
        </w:rPr>
        <w:t>，其职责为</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提出专项债券项目需求申请，编制报送项目实施方案及相关资料</w:t>
      </w:r>
      <w:r>
        <w:rPr>
          <w:rFonts w:hint="eastAsia" w:ascii="仿宋" w:hAnsi="仿宋" w:eastAsia="仿宋" w:cs="仿宋"/>
          <w:sz w:val="24"/>
          <w:szCs w:val="24"/>
          <w:lang w:eastAsia="zh-CN"/>
        </w:rPr>
        <w:t>，</w:t>
      </w:r>
      <w:r>
        <w:rPr>
          <w:rFonts w:hint="eastAsia" w:ascii="仿宋" w:hAnsi="仿宋" w:eastAsia="仿宋" w:cs="仿宋"/>
          <w:sz w:val="24"/>
          <w:szCs w:val="24"/>
        </w:rPr>
        <w:t>配合做好债券发行准备。</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规范使用债券资金，及时形成支出</w:t>
      </w:r>
      <w:r>
        <w:rPr>
          <w:rFonts w:hint="eastAsia" w:ascii="仿宋" w:hAnsi="仿宋" w:eastAsia="仿宋" w:cs="仿宋"/>
          <w:sz w:val="24"/>
          <w:szCs w:val="24"/>
          <w:lang w:eastAsia="zh-CN"/>
        </w:rPr>
        <w:t>，</w:t>
      </w:r>
      <w:r>
        <w:rPr>
          <w:rFonts w:hint="eastAsia" w:ascii="仿宋" w:hAnsi="仿宋" w:eastAsia="仿宋" w:cs="仿宋"/>
          <w:sz w:val="24"/>
          <w:szCs w:val="24"/>
        </w:rPr>
        <w:t>提高资金使用效益。</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定期评估项目成本</w:t>
      </w:r>
      <w:r>
        <w:rPr>
          <w:rFonts w:hint="eastAsia" w:ascii="仿宋" w:hAnsi="仿宋" w:eastAsia="仿宋" w:cs="仿宋"/>
          <w:sz w:val="24"/>
          <w:szCs w:val="24"/>
          <w:lang w:eastAsia="zh-CN"/>
        </w:rPr>
        <w:t>、</w:t>
      </w:r>
      <w:r>
        <w:rPr>
          <w:rFonts w:hint="eastAsia" w:ascii="仿宋" w:hAnsi="仿宋" w:eastAsia="仿宋" w:cs="仿宋"/>
          <w:sz w:val="24"/>
          <w:szCs w:val="24"/>
        </w:rPr>
        <w:t>预期收益和对应资产价值等</w:t>
      </w:r>
      <w:r>
        <w:rPr>
          <w:rFonts w:hint="eastAsia" w:ascii="仿宋" w:hAnsi="仿宋" w:eastAsia="仿宋" w:cs="仿宋"/>
          <w:sz w:val="24"/>
          <w:szCs w:val="24"/>
          <w:lang w:eastAsia="zh-CN"/>
        </w:rPr>
        <w:t>，</w:t>
      </w:r>
      <w:r>
        <w:rPr>
          <w:rFonts w:hint="eastAsia" w:ascii="仿宋" w:hAnsi="仿宋" w:eastAsia="仿宋" w:cs="仿宋"/>
          <w:sz w:val="24"/>
          <w:szCs w:val="24"/>
        </w:rPr>
        <w:t>发现风险或异常情况及时向主管部门报告。</w:t>
      </w:r>
    </w:p>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向</w:t>
      </w:r>
      <w:r>
        <w:rPr>
          <w:rFonts w:hint="eastAsia" w:ascii="仿宋" w:hAnsi="仿宋" w:eastAsia="仿宋" w:cs="仿宋"/>
          <w:sz w:val="24"/>
          <w:szCs w:val="24"/>
          <w:lang w:val="en-US" w:eastAsia="zh-CN"/>
        </w:rPr>
        <w:t>上级部门</w:t>
      </w:r>
      <w:r>
        <w:rPr>
          <w:rFonts w:hint="eastAsia" w:ascii="仿宋" w:hAnsi="仿宋" w:eastAsia="仿宋" w:cs="仿宋"/>
          <w:sz w:val="24"/>
          <w:szCs w:val="24"/>
        </w:rPr>
        <w:t>总结汇报项目实施情况，贯彻落实上级指示要求；研究解决项目实施中的其他重大问题</w:t>
      </w:r>
      <w:r>
        <w:rPr>
          <w:rFonts w:hint="eastAsia" w:ascii="仿宋" w:hAnsi="仿宋" w:eastAsia="仿宋" w:cs="仿宋"/>
          <w:sz w:val="24"/>
          <w:szCs w:val="24"/>
          <w:lang w:eastAsia="zh-CN"/>
        </w:rPr>
        <w:t>。</w:t>
      </w:r>
    </w:p>
    <w:p>
      <w:pPr>
        <w:spacing w:before="10" w:after="156" w:afterLines="50" w:line="360" w:lineRule="auto"/>
        <w:ind w:firstLine="320" w:firstLineChars="100"/>
        <w:outlineLvl w:val="0"/>
        <w:rPr>
          <w:rFonts w:ascii="仿宋_GB2312" w:hAnsi="仿宋_GB2312" w:eastAsia="仿宋_GB2312"/>
          <w:w w:val="99"/>
          <w:sz w:val="32"/>
          <w:szCs w:val="32"/>
        </w:rPr>
      </w:pPr>
      <w:r>
        <w:rPr>
          <w:rFonts w:hint="eastAsia" w:ascii="黑体" w:hAnsi="黑体" w:eastAsia="黑体"/>
          <w:sz w:val="32"/>
          <w:szCs w:val="32"/>
        </w:rPr>
        <w:t>九、补充说明</w:t>
      </w:r>
    </w:p>
    <w:bookmarkEnd w:id="4"/>
    <w:p>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80" w:firstLineChars="200"/>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根据原发行计划及额度安排, 此项目计划于2021年发行7400万元，因地方 </w:t>
      </w:r>
    </w:p>
    <w:p>
      <w:pPr>
        <w:keepNext w:val="0"/>
        <w:keepLines w:val="0"/>
        <w:pageBreakBefore w:val="0"/>
        <w:widowControl w:val="0"/>
        <w:kinsoku/>
        <w:wordWrap/>
        <w:overflowPunct/>
        <w:topLinePunct w:val="0"/>
        <w:autoSpaceDE/>
        <w:autoSpaceDN/>
        <w:bidi w:val="0"/>
        <w:adjustRightInd w:val="0"/>
        <w:snapToGrid w:val="0"/>
        <w:spacing w:beforeAutospacing="0" w:line="360" w:lineRule="auto"/>
        <w:jc w:val="both"/>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政府债务限额管理要求和项目实施进展情况等原因未发行。调整后本次拟发行 1800万元，期限20年，该项目实施内容及收益来源未发生变动，在不超过项目 债券总需求情况下，债券跨年发行对项目整体融资平衡不构成实质影响。</w:t>
      </w:r>
      <w:bookmarkStart w:id="6" w:name="_GoBack"/>
      <w:bookmarkEnd w:id="6"/>
    </w:p>
    <w:p>
      <w:pPr>
        <w:pStyle w:val="3"/>
        <w:spacing w:before="0" w:after="0" w:line="360" w:lineRule="auto"/>
        <w:ind w:firstLine="480" w:firstLineChars="200"/>
        <w:rPr>
          <w:rFonts w:hint="eastAsia" w:ascii="仿宋" w:hAnsi="仿宋" w:eastAsia="仿宋" w:cs="仿宋"/>
          <w:bCs/>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25B2EE-BC4A-43FB-A6D5-A158489987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3E5DD3B-DDF7-4039-97D4-136A1758F549}"/>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DA879FE3-DBDC-4470-8A06-D4CA10192CA7}"/>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panose1 w:val="02010609030101010101"/>
    <w:charset w:val="86"/>
    <w:family w:val="modern"/>
    <w:pitch w:val="default"/>
    <w:sig w:usb0="00000001" w:usb1="080E0000" w:usb2="00000000" w:usb3="00000000" w:csb0="00040000" w:csb1="00000000"/>
    <w:embedRegular r:id="rId4" w:fontKey="{9D1C40C0-75BE-4833-9075-3AEDB8272190}"/>
  </w:font>
  <w:font w:name="仿宋">
    <w:panose1 w:val="02010609060101010101"/>
    <w:charset w:val="86"/>
    <w:family w:val="modern"/>
    <w:pitch w:val="default"/>
    <w:sig w:usb0="800002BF" w:usb1="38CF7CFA" w:usb2="00000016" w:usb3="00000000" w:csb0="00040001" w:csb1="00000000"/>
    <w:embedRegular r:id="rId5" w:fontKey="{7DDCA6EC-0EAA-4595-9872-285884A6EED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187"/>
    <w:rsid w:val="000A65E8"/>
    <w:rsid w:val="000C0B8B"/>
    <w:rsid w:val="000E4704"/>
    <w:rsid w:val="00120219"/>
    <w:rsid w:val="00274E56"/>
    <w:rsid w:val="002A6411"/>
    <w:rsid w:val="00312739"/>
    <w:rsid w:val="00374629"/>
    <w:rsid w:val="00401F8C"/>
    <w:rsid w:val="004257C2"/>
    <w:rsid w:val="00511187"/>
    <w:rsid w:val="00567C25"/>
    <w:rsid w:val="00570174"/>
    <w:rsid w:val="005D2888"/>
    <w:rsid w:val="005E10DC"/>
    <w:rsid w:val="00614B0B"/>
    <w:rsid w:val="00615028"/>
    <w:rsid w:val="00664FD7"/>
    <w:rsid w:val="00731C05"/>
    <w:rsid w:val="007D6334"/>
    <w:rsid w:val="008820AF"/>
    <w:rsid w:val="008C36B2"/>
    <w:rsid w:val="00916B43"/>
    <w:rsid w:val="009B3F55"/>
    <w:rsid w:val="00AA4629"/>
    <w:rsid w:val="00AF5F9F"/>
    <w:rsid w:val="00AF6C07"/>
    <w:rsid w:val="00BB73A5"/>
    <w:rsid w:val="00BE2F03"/>
    <w:rsid w:val="00BF2C8C"/>
    <w:rsid w:val="00C15B51"/>
    <w:rsid w:val="00C821B5"/>
    <w:rsid w:val="00C87C46"/>
    <w:rsid w:val="00CB2856"/>
    <w:rsid w:val="00D21F92"/>
    <w:rsid w:val="00D83E41"/>
    <w:rsid w:val="00E03246"/>
    <w:rsid w:val="00E53CF2"/>
    <w:rsid w:val="00E954EE"/>
    <w:rsid w:val="00EA1B05"/>
    <w:rsid w:val="00EB7F04"/>
    <w:rsid w:val="00EF6843"/>
    <w:rsid w:val="00F67CF9"/>
    <w:rsid w:val="00FD2A48"/>
    <w:rsid w:val="00FD5D0D"/>
    <w:rsid w:val="050A6268"/>
    <w:rsid w:val="08F67701"/>
    <w:rsid w:val="0AF80329"/>
    <w:rsid w:val="103565DA"/>
    <w:rsid w:val="14642729"/>
    <w:rsid w:val="17625D82"/>
    <w:rsid w:val="1A241B0E"/>
    <w:rsid w:val="207612CA"/>
    <w:rsid w:val="263A385B"/>
    <w:rsid w:val="27C00BED"/>
    <w:rsid w:val="2FFD58B8"/>
    <w:rsid w:val="33182852"/>
    <w:rsid w:val="3A1B1FA5"/>
    <w:rsid w:val="3E7E3A38"/>
    <w:rsid w:val="4B8E5C2E"/>
    <w:rsid w:val="4D2000BD"/>
    <w:rsid w:val="51CC546D"/>
    <w:rsid w:val="532F7F75"/>
    <w:rsid w:val="56DC163C"/>
    <w:rsid w:val="5A5B07FC"/>
    <w:rsid w:val="5C074916"/>
    <w:rsid w:val="600F439D"/>
    <w:rsid w:val="63E65214"/>
    <w:rsid w:val="68237C7D"/>
    <w:rsid w:val="6C1B518B"/>
    <w:rsid w:val="738F3CB5"/>
    <w:rsid w:val="76C33A04"/>
    <w:rsid w:val="781C0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after="120"/>
      <w:ind w:firstLine="420" w:firstLineChars="100"/>
    </w:pPr>
    <w:rPr>
      <w:kern w:val="2"/>
      <w:sz w:val="21"/>
      <w:szCs w:val="24"/>
    </w:rPr>
  </w:style>
  <w:style w:type="paragraph" w:styleId="3">
    <w:name w:val="Body Text"/>
    <w:basedOn w:val="1"/>
    <w:next w:val="4"/>
    <w:link w:val="18"/>
    <w:qFormat/>
    <w:uiPriority w:val="99"/>
    <w:pPr>
      <w:widowControl/>
      <w:adjustRightInd w:val="0"/>
      <w:snapToGrid w:val="0"/>
      <w:spacing w:before="150" w:after="150" w:line="264" w:lineRule="auto"/>
      <w:ind w:firstLine="567"/>
    </w:pPr>
    <w:rPr>
      <w:rFonts w:ascii="华文楷体" w:hAnsi="华文楷体" w:eastAsia="LF_Kai" w:cs="Times New Roman"/>
      <w:kern w:val="0"/>
      <w:sz w:val="24"/>
      <w:szCs w:val="20"/>
      <w:lang w:val="en-GB"/>
    </w:rPr>
  </w:style>
  <w:style w:type="paragraph" w:styleId="4">
    <w:name w:val="toc 1"/>
    <w:basedOn w:val="1"/>
    <w:next w:val="1"/>
    <w:qFormat/>
    <w:uiPriority w:val="39"/>
    <w:pPr>
      <w:tabs>
        <w:tab w:val="left" w:pos="540"/>
        <w:tab w:val="right" w:leader="dot" w:pos="8296"/>
      </w:tabs>
      <w:adjustRightInd w:val="0"/>
      <w:snapToGrid w:val="0"/>
      <w:spacing w:before="120" w:after="120"/>
    </w:pPr>
    <w:rPr>
      <w:rFonts w:ascii="Calibri" w:hAnsi="Calibri" w:eastAsia="仿宋_GB2312" w:cs="Calibri"/>
      <w:b/>
      <w:bCs/>
      <w:caps/>
      <w:sz w:val="28"/>
      <w:szCs w:val="28"/>
    </w:rPr>
  </w:style>
  <w:style w:type="paragraph" w:styleId="5">
    <w:name w:val="annotation text"/>
    <w:basedOn w:val="1"/>
    <w:link w:val="19"/>
    <w:semiHidden/>
    <w:unhideWhenUsed/>
    <w:qFormat/>
    <w:uiPriority w:val="99"/>
    <w:pPr>
      <w:jc w:val="left"/>
    </w:pPr>
  </w:style>
  <w:style w:type="paragraph" w:styleId="6">
    <w:name w:val="Body Text Indent"/>
    <w:basedOn w:val="1"/>
    <w:qFormat/>
    <w:uiPriority w:val="0"/>
    <w:pPr>
      <w:spacing w:after="120" w:afterLines="0"/>
      <w:ind w:left="420" w:leftChars="200"/>
    </w:pPr>
    <w:rPr>
      <w:kern w:val="2"/>
      <w:sz w:val="21"/>
      <w:szCs w:val="24"/>
    </w:rPr>
  </w:style>
  <w:style w:type="paragraph" w:styleId="7">
    <w:name w:val="Balloon Text"/>
    <w:basedOn w:val="1"/>
    <w:link w:val="21"/>
    <w:semiHidden/>
    <w:unhideWhenUsed/>
    <w:qFormat/>
    <w:uiPriority w:val="99"/>
    <w:rPr>
      <w:sz w:val="18"/>
      <w:szCs w:val="18"/>
    </w:rPr>
  </w:style>
  <w:style w:type="paragraph" w:styleId="8">
    <w:name w:val="footer"/>
    <w:basedOn w:val="1"/>
    <w:link w:val="23"/>
    <w:unhideWhenUsed/>
    <w:qFormat/>
    <w:uiPriority w:val="99"/>
    <w:pPr>
      <w:tabs>
        <w:tab w:val="center" w:pos="4153"/>
        <w:tab w:val="right" w:pos="8306"/>
      </w:tabs>
      <w:snapToGrid w:val="0"/>
      <w:jc w:val="left"/>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semiHidden/>
    <w:unhideWhenUsed/>
    <w:qFormat/>
    <w:uiPriority w:val="39"/>
    <w:pPr>
      <w:ind w:left="1260" w:leftChars="600"/>
    </w:pPr>
  </w:style>
  <w:style w:type="paragraph" w:styleId="11">
    <w:name w:val="annotation subject"/>
    <w:basedOn w:val="5"/>
    <w:next w:val="5"/>
    <w:link w:val="20"/>
    <w:semiHidden/>
    <w:unhideWhenUsed/>
    <w:qFormat/>
    <w:uiPriority w:val="99"/>
    <w:rPr>
      <w:b/>
      <w:bCs/>
    </w:rPr>
  </w:style>
  <w:style w:type="paragraph" w:styleId="12">
    <w:name w:val="Body Text First Indent 2"/>
    <w:basedOn w:val="6"/>
    <w:qFormat/>
    <w:uiPriority w:val="0"/>
    <w:pPr>
      <w:spacing w:line="360" w:lineRule="auto"/>
      <w:ind w:firstLine="420" w:firstLineChars="200"/>
    </w:pPr>
    <w:rPr>
      <w:kern w:val="2"/>
      <w:sz w:val="28"/>
      <w:szCs w:val="24"/>
    </w:rPr>
  </w:style>
  <w:style w:type="character" w:styleId="15">
    <w:name w:val="annotation reference"/>
    <w:basedOn w:val="14"/>
    <w:semiHidden/>
    <w:unhideWhenUsed/>
    <w:qFormat/>
    <w:uiPriority w:val="99"/>
    <w:rPr>
      <w:sz w:val="21"/>
      <w:szCs w:val="21"/>
    </w:rPr>
  </w:style>
  <w:style w:type="character" w:customStyle="1" w:styleId="16">
    <w:name w:val="Body text|2_"/>
    <w:link w:val="17"/>
    <w:qFormat/>
    <w:uiPriority w:val="0"/>
    <w:rPr>
      <w:rFonts w:ascii="PMingLiU" w:hAnsi="PMingLiU" w:eastAsia="PMingLiU" w:cs="PMingLiU"/>
      <w:sz w:val="22"/>
      <w:shd w:val="clear" w:color="auto" w:fill="FFFFFF"/>
    </w:rPr>
  </w:style>
  <w:style w:type="paragraph" w:customStyle="1" w:styleId="17">
    <w:name w:val="Body text|2"/>
    <w:basedOn w:val="1"/>
    <w:link w:val="16"/>
    <w:qFormat/>
    <w:uiPriority w:val="0"/>
    <w:pPr>
      <w:shd w:val="clear" w:color="auto" w:fill="FFFFFF"/>
      <w:spacing w:after="100" w:line="220" w:lineRule="exact"/>
      <w:jc w:val="left"/>
    </w:pPr>
    <w:rPr>
      <w:rFonts w:ascii="PMingLiU" w:hAnsi="PMingLiU" w:eastAsia="PMingLiU" w:cs="PMingLiU"/>
      <w:sz w:val="22"/>
    </w:rPr>
  </w:style>
  <w:style w:type="character" w:customStyle="1" w:styleId="18">
    <w:name w:val="正文文本 字符"/>
    <w:basedOn w:val="14"/>
    <w:link w:val="3"/>
    <w:qFormat/>
    <w:uiPriority w:val="99"/>
    <w:rPr>
      <w:rFonts w:ascii="华文楷体" w:hAnsi="华文楷体" w:eastAsia="LF_Kai" w:cs="Times New Roman"/>
      <w:kern w:val="0"/>
      <w:sz w:val="24"/>
      <w:szCs w:val="20"/>
      <w:lang w:val="en-GB"/>
    </w:rPr>
  </w:style>
  <w:style w:type="character" w:customStyle="1" w:styleId="19">
    <w:name w:val="批注文字 字符"/>
    <w:basedOn w:val="14"/>
    <w:link w:val="5"/>
    <w:semiHidden/>
    <w:qFormat/>
    <w:uiPriority w:val="99"/>
  </w:style>
  <w:style w:type="character" w:customStyle="1" w:styleId="20">
    <w:name w:val="批注主题 字符"/>
    <w:basedOn w:val="19"/>
    <w:link w:val="11"/>
    <w:semiHidden/>
    <w:qFormat/>
    <w:uiPriority w:val="99"/>
    <w:rPr>
      <w:b/>
      <w:bCs/>
    </w:rPr>
  </w:style>
  <w:style w:type="character" w:customStyle="1" w:styleId="21">
    <w:name w:val="批注框文本 字符"/>
    <w:basedOn w:val="14"/>
    <w:link w:val="7"/>
    <w:semiHidden/>
    <w:qFormat/>
    <w:uiPriority w:val="99"/>
    <w:rPr>
      <w:sz w:val="18"/>
      <w:szCs w:val="18"/>
    </w:rPr>
  </w:style>
  <w:style w:type="character" w:customStyle="1" w:styleId="22">
    <w:name w:val="页眉 字符"/>
    <w:basedOn w:val="14"/>
    <w:link w:val="9"/>
    <w:qFormat/>
    <w:uiPriority w:val="99"/>
    <w:rPr>
      <w:sz w:val="18"/>
      <w:szCs w:val="18"/>
    </w:rPr>
  </w:style>
  <w:style w:type="character" w:customStyle="1" w:styleId="23">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FA2F2-C846-4381-8A01-F44113C4099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4639</Words>
  <Characters>7540</Characters>
  <Lines>59</Lines>
  <Paragraphs>16</Paragraphs>
  <TotalTime>10</TotalTime>
  <ScaleCrop>false</ScaleCrop>
  <LinksUpToDate>false</LinksUpToDate>
  <CharactersWithSpaces>7541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2021-01-14T01:17:00Z</dcterms:created>
  <dc:creator>1124053244@qq.com</dc:creator>
  <cp:lastModifiedBy>两语</cp:lastModifiedBy>
  <dcterms:modified xsi:type="dcterms:W3CDTF">2022-02-10T14:50:50Z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8104BFAB9F4B4C038DEDF0313CE48F36</vt:lpwstr>
  </property>
</Properties>
</file>