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广元市利州区中医医院医技综合楼项目概况</w:t>
      </w:r>
    </w:p>
    <w:p>
      <w:pPr>
        <w:spacing w:line="560" w:lineRule="exact"/>
        <w:ind w:firstLine="640" w:firstLineChars="200"/>
        <w:rPr>
          <w:rFonts w:ascii="仿宋_GB2312" w:eastAsia="仿宋_GB2312"/>
          <w:sz w:val="32"/>
          <w:szCs w:val="32"/>
        </w:rPr>
      </w:pPr>
    </w:p>
    <w:p>
      <w:pPr>
        <w:spacing w:line="360" w:lineRule="auto"/>
        <w:rPr>
          <w:rFonts w:ascii="宋体" w:hAnsi="宋体"/>
          <w:sz w:val="32"/>
          <w:szCs w:val="32"/>
        </w:rPr>
      </w:pPr>
      <w:r>
        <w:rPr>
          <w:rFonts w:hint="eastAsia" w:ascii="宋体" w:hAnsi="宋体"/>
          <w:sz w:val="32"/>
          <w:szCs w:val="32"/>
        </w:rPr>
        <w:t>一、项目基本情况</w:t>
      </w:r>
    </w:p>
    <w:p>
      <w:pPr>
        <w:spacing w:line="360" w:lineRule="auto"/>
        <w:ind w:firstLine="315" w:firstLineChars="98"/>
        <w:rPr>
          <w:rFonts w:ascii="宋体" w:hAnsi="宋体"/>
          <w:b/>
          <w:sz w:val="32"/>
          <w:szCs w:val="32"/>
        </w:rPr>
      </w:pPr>
      <w:r>
        <w:rPr>
          <w:rFonts w:hint="eastAsia" w:ascii="宋体" w:hAnsi="宋体"/>
          <w:b/>
          <w:sz w:val="32"/>
          <w:szCs w:val="32"/>
        </w:rPr>
        <w:t>（一）</w:t>
      </w:r>
      <w:r>
        <w:rPr>
          <w:rFonts w:hint="eastAsia" w:ascii="宋体" w:hAnsi="宋体"/>
          <w:sz w:val="32"/>
          <w:szCs w:val="32"/>
        </w:rPr>
        <w:t>主管部门</w:t>
      </w:r>
    </w:p>
    <w:p>
      <w:pPr>
        <w:spacing w:line="360" w:lineRule="auto"/>
        <w:ind w:firstLine="320" w:firstLineChars="100"/>
        <w:rPr>
          <w:rFonts w:ascii="宋体" w:hAnsi="宋体"/>
          <w:sz w:val="32"/>
          <w:szCs w:val="32"/>
        </w:rPr>
      </w:pPr>
      <w:r>
        <w:rPr>
          <w:rFonts w:hint="eastAsia" w:ascii="宋体" w:hAnsi="宋体"/>
          <w:sz w:val="32"/>
          <w:szCs w:val="32"/>
        </w:rPr>
        <w:t>广元市利州区卫生健康局</w:t>
      </w:r>
    </w:p>
    <w:p>
      <w:pPr>
        <w:spacing w:line="360" w:lineRule="auto"/>
        <w:rPr>
          <w:rFonts w:ascii="宋体" w:hAnsi="宋体"/>
          <w:sz w:val="32"/>
          <w:szCs w:val="32"/>
        </w:rPr>
      </w:pPr>
      <w:r>
        <w:rPr>
          <w:rFonts w:hint="eastAsia" w:ascii="宋体" w:hAnsi="宋体"/>
          <w:sz w:val="32"/>
          <w:szCs w:val="32"/>
        </w:rPr>
        <w:t>（二）业主单位：广元市利州区中医医院</w:t>
      </w:r>
    </w:p>
    <w:p>
      <w:pPr>
        <w:spacing w:line="360" w:lineRule="auto"/>
        <w:rPr>
          <w:rFonts w:ascii="宋体" w:hAnsi="宋体"/>
          <w:sz w:val="32"/>
          <w:szCs w:val="32"/>
        </w:rPr>
      </w:pPr>
      <w:r>
        <w:rPr>
          <w:rFonts w:hint="eastAsia" w:ascii="宋体" w:hAnsi="宋体"/>
          <w:sz w:val="32"/>
          <w:szCs w:val="32"/>
        </w:rPr>
        <w:t>（三）项目概况</w:t>
      </w:r>
    </w:p>
    <w:p>
      <w:pPr>
        <w:spacing w:line="360" w:lineRule="auto"/>
        <w:ind w:firstLine="320" w:firstLineChars="100"/>
        <w:rPr>
          <w:rFonts w:ascii="宋体" w:hAnsi="宋体"/>
          <w:sz w:val="32"/>
          <w:szCs w:val="32"/>
        </w:rPr>
      </w:pPr>
      <w:r>
        <w:rPr>
          <w:rFonts w:hint="eastAsia" w:ascii="宋体" w:hAnsi="宋体"/>
          <w:sz w:val="32"/>
          <w:szCs w:val="32"/>
        </w:rPr>
        <w:t>（1）项目名称：广元市利州区中医医院医技综合楼项目</w:t>
      </w:r>
    </w:p>
    <w:p>
      <w:pPr>
        <w:spacing w:line="360" w:lineRule="auto"/>
        <w:ind w:firstLine="320" w:firstLineChars="100"/>
        <w:rPr>
          <w:rFonts w:hint="eastAsia" w:ascii="宋体" w:hAnsi="宋体" w:eastAsia="宋体"/>
          <w:sz w:val="32"/>
          <w:szCs w:val="32"/>
          <w:lang w:val="en-US" w:eastAsia="zh-CN"/>
        </w:rPr>
      </w:pPr>
      <w:r>
        <w:rPr>
          <w:rFonts w:hint="eastAsia" w:ascii="宋体" w:hAnsi="宋体"/>
          <w:sz w:val="32"/>
          <w:szCs w:val="32"/>
        </w:rPr>
        <w:t>（2）项目类型：</w:t>
      </w:r>
      <w:r>
        <w:rPr>
          <w:rFonts w:hint="eastAsia" w:ascii="宋体" w:hAnsi="宋体"/>
          <w:sz w:val="32"/>
          <w:szCs w:val="32"/>
          <w:lang w:eastAsia="zh-CN"/>
        </w:rPr>
        <w:t>医疗卫生</w:t>
      </w:r>
    </w:p>
    <w:p>
      <w:pPr>
        <w:spacing w:line="360" w:lineRule="auto"/>
        <w:ind w:firstLine="320" w:firstLineChars="100"/>
        <w:rPr>
          <w:rFonts w:ascii="宋体" w:hAnsi="宋体"/>
          <w:sz w:val="32"/>
          <w:szCs w:val="32"/>
        </w:rPr>
      </w:pPr>
      <w:r>
        <w:rPr>
          <w:rFonts w:hint="eastAsia" w:ascii="宋体" w:hAnsi="宋体"/>
          <w:sz w:val="32"/>
          <w:szCs w:val="32"/>
        </w:rPr>
        <w:t>（3）项目所属领域：公立医院</w:t>
      </w:r>
    </w:p>
    <w:p>
      <w:pPr>
        <w:spacing w:line="360" w:lineRule="auto"/>
        <w:ind w:firstLine="320" w:firstLineChars="100"/>
        <w:rPr>
          <w:rFonts w:ascii="宋体" w:hAnsi="宋体"/>
          <w:sz w:val="32"/>
          <w:szCs w:val="32"/>
        </w:rPr>
      </w:pPr>
      <w:r>
        <w:rPr>
          <w:rFonts w:hint="eastAsia" w:ascii="宋体" w:hAnsi="宋体"/>
          <w:sz w:val="32"/>
          <w:szCs w:val="32"/>
        </w:rPr>
        <w:t>（4）市县及行业专项规划</w:t>
      </w:r>
    </w:p>
    <w:p>
      <w:pPr>
        <w:spacing w:line="360" w:lineRule="auto"/>
        <w:ind w:firstLine="640" w:firstLineChars="200"/>
        <w:rPr>
          <w:rFonts w:ascii="宋体" w:hAnsi="宋体"/>
          <w:sz w:val="32"/>
          <w:szCs w:val="32"/>
        </w:rPr>
      </w:pPr>
      <w:r>
        <w:rPr>
          <w:rFonts w:hint="eastAsia" w:ascii="宋体" w:hAnsi="宋体"/>
          <w:sz w:val="32"/>
          <w:szCs w:val="32"/>
        </w:rPr>
        <w:t>根据《四川省卫生资源配置标准》（2008-2020）(2014 年修订版)规定，广元市属于二类地区，每千人口拥有病床数应该在 4.7—5.7 张之间。</w:t>
      </w:r>
    </w:p>
    <w:p>
      <w:pPr>
        <w:spacing w:line="360" w:lineRule="auto"/>
        <w:ind w:firstLine="640" w:firstLineChars="200"/>
        <w:rPr>
          <w:rFonts w:ascii="宋体" w:hAnsi="宋体"/>
          <w:sz w:val="32"/>
          <w:szCs w:val="32"/>
        </w:rPr>
      </w:pPr>
      <w:r>
        <w:rPr>
          <w:rFonts w:hint="eastAsia" w:ascii="宋体" w:hAnsi="宋体"/>
          <w:sz w:val="32"/>
          <w:szCs w:val="32"/>
        </w:rPr>
        <w:t>《广元市“十三五”卫生计生事业发展规划》总体目标：大力推进“健康广元”建设，通过深化医药卫生体制改革，到2020年，全面建成一体化城乡医疗服务体系、多层次医疗保障体系、规范化药品保障体系、均等化公共卫生服务体系、公平化计划生育政策体系，形成体系完整、布局合理、结构优化、分工明确、功能互补、密切协作的整合型卫生计生服务体系。到2020年，利州区床位达到2737张，较“十二五”末增加1448张。</w:t>
      </w:r>
    </w:p>
    <w:p>
      <w:pPr>
        <w:spacing w:line="360" w:lineRule="auto"/>
        <w:ind w:firstLine="640" w:firstLineChars="200"/>
        <w:rPr>
          <w:rFonts w:ascii="宋体" w:hAnsi="宋体"/>
          <w:sz w:val="32"/>
          <w:szCs w:val="32"/>
        </w:rPr>
      </w:pPr>
      <w:r>
        <w:rPr>
          <w:rFonts w:hint="eastAsia" w:ascii="宋体" w:hAnsi="宋体"/>
          <w:sz w:val="32"/>
          <w:szCs w:val="32"/>
        </w:rPr>
        <w:t>2018年末，利州区拥有户籍人口49.13万人，年末常住人口55.6万人，根据《广元人口发展战略研究》，到2020年，利州区常住人口预测达到55.63万人。</w:t>
      </w:r>
    </w:p>
    <w:p>
      <w:pPr>
        <w:spacing w:line="360" w:lineRule="auto"/>
        <w:ind w:firstLine="640" w:firstLineChars="200"/>
        <w:rPr>
          <w:rFonts w:ascii="宋体" w:hAnsi="宋体"/>
          <w:sz w:val="32"/>
          <w:szCs w:val="32"/>
        </w:rPr>
      </w:pPr>
      <w:r>
        <w:rPr>
          <w:rFonts w:hint="eastAsia" w:ascii="宋体" w:hAnsi="宋体"/>
          <w:sz w:val="32"/>
          <w:szCs w:val="32"/>
        </w:rPr>
        <w:t>根据《广元市利州区“十三五”区域卫生服务体系规划（2015-2020年）》到2020年，每千常住人口医疗卫生机构床位数控制在4.92张，其中，区级医院床位数每千人口3.59张，基层医疗卫生机构床位数每千人口1.2张。按照每千常住人口不低于1.5张为社会办医院预留规划空间。根据规划到达2020年利州区医疗机构床位数应达到2737张，现有床位数为2114张。因此，利州区卫生资源配置与标准要求尚有一定差距。</w:t>
      </w:r>
    </w:p>
    <w:p>
      <w:pPr>
        <w:spacing w:line="360" w:lineRule="auto"/>
        <w:ind w:firstLine="640" w:firstLineChars="200"/>
        <w:rPr>
          <w:rFonts w:ascii="宋体" w:hAnsi="宋体"/>
          <w:sz w:val="32"/>
          <w:szCs w:val="32"/>
        </w:rPr>
      </w:pPr>
      <w:r>
        <w:rPr>
          <w:rFonts w:hint="eastAsia" w:ascii="宋体" w:hAnsi="宋体"/>
          <w:sz w:val="32"/>
          <w:szCs w:val="32"/>
        </w:rPr>
        <w:t>广元市利州区中医医院位于广元市利州区宝轮镇水电路212号，是一所县区级二级甲等中医医院（编制床位500张，实际开放床位400张）。根据《广元市利州区“十三五”区域卫生服务体系规划（2015-2020年）》利州区中医医院将在“十三五”末创建三级乙等医院，开放病床数将达到500张。目前医院与三级乙等中医医院的标准和日益增加的病人就医需求还有一定差距，主要表现在：医院目前没有食堂，职工和病人就餐无法解决；一些特色由于用房紧张无法有效开展，如康复治疗、老年病科室；没有教研室，无法承担教学和实习任务；没有制剂室、治未病室无法开展制剂需要；供应室面积较小、设施设备简陋达不到国家《中医医院建设标准》（建标106-2008）和《县级中医院建设标准》要求。</w:t>
      </w:r>
    </w:p>
    <w:p>
      <w:pPr>
        <w:spacing w:line="360" w:lineRule="auto"/>
        <w:ind w:firstLine="640" w:firstLineChars="200"/>
        <w:rPr>
          <w:rFonts w:ascii="宋体" w:hAnsi="宋体"/>
          <w:color w:val="000000"/>
          <w:sz w:val="32"/>
          <w:szCs w:val="32"/>
        </w:rPr>
      </w:pPr>
      <w:r>
        <w:rPr>
          <w:rFonts w:hint="eastAsia" w:ascii="宋体" w:hAnsi="宋体"/>
          <w:color w:val="000000"/>
          <w:sz w:val="32"/>
          <w:szCs w:val="32"/>
        </w:rPr>
        <w:t>根据《中医医院建设标准》（建标106-2008）和《县级中医院建设标准》利州区中医医院应有建筑面积45980平方米，实际仅有建筑面积24000平方米，存在21980平方米的缺口。随着医疗服务与能力的不断提升、病人需求不断增加、新型冠状病毒等传染病的出现，导致医院现有业务用房不足，严重制约医院发展。</w:t>
      </w:r>
    </w:p>
    <w:p>
      <w:pPr>
        <w:spacing w:line="360" w:lineRule="auto"/>
        <w:rPr>
          <w:rFonts w:ascii="宋体" w:hAnsi="宋体"/>
          <w:sz w:val="32"/>
          <w:szCs w:val="32"/>
        </w:rPr>
      </w:pPr>
      <w:r>
        <w:rPr>
          <w:rFonts w:hint="eastAsia" w:ascii="宋体" w:hAnsi="宋体"/>
          <w:color w:val="000000"/>
          <w:sz w:val="32"/>
          <w:szCs w:val="32"/>
        </w:rPr>
        <w:t>为改善医疗业务用房紧张、流程不合理、传染疾病治疗能力不足、医院危急重症能力不足，附属及配套设施不足等现状，提升医疗卫生的供给能力和服务水平，满足区内群众看病就医的</w:t>
      </w:r>
      <w:r>
        <w:rPr>
          <w:rFonts w:hint="eastAsia" w:ascii="宋体" w:hAnsi="宋体"/>
          <w:sz w:val="32"/>
          <w:szCs w:val="32"/>
        </w:rPr>
        <w:t>需要，加快推进利州区中医医院创建三级乙等中医医院的步伐，根据《中医医院建设标准》（建标106-2008）、《县级中医院建设标准》、《广元市“十三五”卫生计生事业发展规划》、《广元市利州区“十三五”区域卫生服务体系规划（2015-2020年）》规定和《四川省卫生资源配置标准》（2008-2020）(2014 年修订版)要求，以及2019年1月29日《广元市利州区人民政府常务会议纪要（50）》会议精神，经区委、区人民政府同意，决定利用现有医院相邻的中国水利水电第五工程局拆迁后的收储土地和医院现有的土地建设医技综合楼，新建的医技综合楼规划总用地面积3950平方米。</w:t>
      </w:r>
    </w:p>
    <w:p>
      <w:pPr>
        <w:spacing w:line="360" w:lineRule="auto"/>
        <w:ind w:firstLine="640" w:firstLineChars="200"/>
        <w:rPr>
          <w:rFonts w:ascii="宋体" w:hAnsi="宋体"/>
          <w:b/>
          <w:sz w:val="32"/>
          <w:szCs w:val="32"/>
        </w:rPr>
      </w:pPr>
      <w:r>
        <w:rPr>
          <w:rFonts w:hint="eastAsia" w:ascii="宋体" w:hAnsi="宋体"/>
          <w:sz w:val="32"/>
          <w:szCs w:val="32"/>
        </w:rPr>
        <w:t>本项目于2018年9月立项，原建设规模为：新建医技综合楼1栋，建筑面积20093.26平方米（地上18691.96平方米、地下1401.3平方米）及配套附属设施。于2019年12月经广元市城乡规划委员会（2019年第十期）同意新增地下车库；同时由于新型冠状病毒肺炎疫情的发生，省卫生健康委的要求，加强传染病医院（院区）建设、紧急医学救援建设、危急重症能力提升、基层防治能力提升、隔离设施及医疗废物处置、农村人居环境整治。因此本次在原发改批复的规模上新增了地下室及设备购置，并取得了广元市利州区发展和改革局《关于调整广元市利州区中医医院医技综合楼项目投资规模的通知》广利发改发[2020]23号。</w:t>
      </w:r>
    </w:p>
    <w:p>
      <w:pPr>
        <w:spacing w:line="360" w:lineRule="auto"/>
        <w:ind w:firstLine="640" w:firstLineChars="200"/>
        <w:rPr>
          <w:rFonts w:ascii="宋体" w:hAnsi="宋体"/>
          <w:sz w:val="32"/>
          <w:szCs w:val="32"/>
        </w:rPr>
      </w:pPr>
      <w:r>
        <w:rPr>
          <w:rFonts w:hint="eastAsia" w:ascii="宋体" w:hAnsi="宋体"/>
          <w:sz w:val="32"/>
          <w:szCs w:val="32"/>
        </w:rPr>
        <w:t>（5）公益性论证：医疗卫生行业作为关系到国计民生的基础性行业,始终是各级政府关注的重点。新中国成立后，大力发展医药卫生事业，坚持把重点放在农村，创建了城乡三级医疗卫生服务网、农村合作医疗、赤脚医生等具有中国特色的初级卫生保健制度，注重发挥中医药“一根针、一把草”简便验廉独特优势，切实解决群众看病就医问题。同时，以“发展体育运动、增强人民体质”为宗旨，广泛开展群众性体育健身运动，发挥其对健康的促进作用。</w:t>
      </w:r>
    </w:p>
    <w:p>
      <w:pPr>
        <w:spacing w:line="360" w:lineRule="auto"/>
        <w:ind w:firstLine="640" w:firstLineChars="200"/>
        <w:rPr>
          <w:rFonts w:ascii="宋体" w:hAnsi="宋体"/>
          <w:sz w:val="32"/>
          <w:szCs w:val="32"/>
        </w:rPr>
      </w:pPr>
      <w:r>
        <w:rPr>
          <w:rFonts w:hint="eastAsia" w:ascii="宋体" w:hAnsi="宋体"/>
          <w:sz w:val="32"/>
          <w:szCs w:val="32"/>
        </w:rPr>
        <w:t>利州区中医医院是广元市、利州区两级医保定点医院，承担着利州区及宝轮镇和周边地区医疗、保健任务，服务半径40公里，辐射人口48万人，医院编制床位500张，实际开放床位400张。2019年门诊人数实破20万人次、住院病人突破1.5万人次。现有的医疗条件已不能满足辖区及周边群众日益增长的就医需求，矛盾日益凸显。</w:t>
      </w:r>
    </w:p>
    <w:p>
      <w:pPr>
        <w:spacing w:line="360" w:lineRule="auto"/>
        <w:ind w:firstLine="640" w:firstLineChars="200"/>
        <w:rPr>
          <w:rFonts w:hint="eastAsia" w:asciiTheme="minorEastAsia" w:hAnsiTheme="minorEastAsia" w:eastAsiaTheme="minorEastAsia" w:cstheme="minorEastAsia"/>
          <w:sz w:val="32"/>
          <w:szCs w:val="32"/>
        </w:rPr>
      </w:pPr>
      <w:r>
        <w:rPr>
          <w:rFonts w:hint="eastAsia" w:ascii="宋体" w:hAnsi="宋体"/>
          <w:sz w:val="32"/>
          <w:szCs w:val="32"/>
        </w:rPr>
        <w:t>按</w:t>
      </w:r>
      <w:r>
        <w:rPr>
          <w:rFonts w:hint="eastAsia" w:asciiTheme="minorEastAsia" w:hAnsiTheme="minorEastAsia" w:eastAsiaTheme="minorEastAsia" w:cstheme="minorEastAsia"/>
          <w:sz w:val="32"/>
          <w:szCs w:val="32"/>
        </w:rPr>
        <w:t>照《广元市利州区卫生事业第十三个五年规划纲要》的规划，“十三五”末利州区中医医院将建成三级乙等中医医院，开放病床数将达到500张。但目前医院与三级乙等中医医院的标准和日益增加的病人就医需求还有一定差距，主要表现在：医院目前没有食堂，职工和病人就餐无法解决；一些特色由于用房紧张无法有效开展，如传染病防治、ICU、康复治疗、老年病科室；没有教研室，无法承担教学和实习任务；没有制剂室、治未病室无法开展制剂需要；供应室面积较小、设施设备简陋达不到国家相关标准要求。</w:t>
      </w:r>
    </w:p>
    <w:p>
      <w:pPr>
        <w:spacing w:line="360" w:lineRule="auto"/>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通过本项目的建设，能缓解医院业务用房紧张的现状，提升医疗卫生的供给能力和服务水平，满足区内群众看病就医的需要，提升医院危急重症能力，加快推进利州区中医医院创建三级乙等中医医院的步伐，使医院能更好的为本辖区及周边人民提供更全面、更方便、更系统化的医疗预防保健康复等服务，将有效地促进广元市卫生保健事业的发展，将对提升全市卫生系统装备水平、加快公共卫生事业发展、保障广大人民健康起到十分重要的促进作用，是具体落实医疗改革的重要举措。本项目建设有利于缓解利州区、宝轮镇辖区及周边群众看病就医问题。</w:t>
      </w:r>
    </w:p>
    <w:p>
      <w:pPr>
        <w:spacing w:line="360" w:lineRule="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综上所诉，本项目属于公立医院项目，具有公益性，满足发债的前置条件。</w:t>
      </w:r>
    </w:p>
    <w:p>
      <w:pPr>
        <w:spacing w:line="360" w:lineRule="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二、经济社会效益分析</w:t>
      </w:r>
    </w:p>
    <w:p>
      <w:pPr>
        <w:spacing w:line="360" w:lineRule="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项目总投资17,518.00万元，本项目在债券存续期内项目总收入估算结果为91,500.83万元，累计净利润为11,259.01万元，本项目息前净现金流量累计27,537.08万元，政府专项债券到期本息合计16,000.00万元。</w:t>
      </w:r>
    </w:p>
    <w:p>
      <w:pPr>
        <w:spacing w:line="360" w:lineRule="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本项目息前净现金流/政府专项债本息的收益覆盖倍数为1.72倍。</w:t>
      </w:r>
    </w:p>
    <w:p>
      <w:pPr>
        <w:spacing w:line="360" w:lineRule="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附：广元市利州区中医医院医技综合楼项目资金测算平衡表</w:t>
      </w:r>
    </w:p>
    <w:p>
      <w:pPr>
        <w:spacing w:line="360" w:lineRule="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三、项目投资估算及资金筹措方案</w:t>
      </w:r>
    </w:p>
    <w:p>
      <w:pPr>
        <w:spacing w:line="360" w:lineRule="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（一）</w:t>
      </w:r>
      <w:r>
        <w:rPr>
          <w:rFonts w:hint="eastAsia" w:asciiTheme="minorEastAsia" w:hAnsiTheme="minorEastAsia" w:eastAsiaTheme="minorEastAsia" w:cstheme="minorEastAsia"/>
          <w:sz w:val="32"/>
          <w:szCs w:val="32"/>
        </w:rPr>
        <w:tab/>
      </w:r>
      <w:r>
        <w:rPr>
          <w:rFonts w:hint="eastAsia" w:asciiTheme="minorEastAsia" w:hAnsiTheme="minorEastAsia" w:eastAsiaTheme="minorEastAsia" w:cstheme="minorEastAsia"/>
          <w:sz w:val="32"/>
          <w:szCs w:val="32"/>
        </w:rPr>
        <w:t>投资估算</w:t>
      </w:r>
    </w:p>
    <w:p>
      <w:pPr>
        <w:spacing w:line="360" w:lineRule="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本项目总投资估算为17518.00万元。其中工程费用14398.92万元，工程建设其他费用1418.22万元，预备费840.86万元，建设期债券利息850万元，债券发行费用10.00万元。</w:t>
      </w:r>
    </w:p>
    <w:p>
      <w:pPr>
        <w:spacing w:line="360" w:lineRule="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（二）资金筹措方案</w:t>
      </w:r>
    </w:p>
    <w:p>
      <w:pPr>
        <w:spacing w:line="360" w:lineRule="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本项目总投资17518.00万元，无其他融资来源，项目资本金7518.00万元，发行四川省项目收益与融资自求平衡专项债券资金10000.00万元。</w:t>
      </w:r>
    </w:p>
    <w:p>
      <w:pPr>
        <w:spacing w:line="360" w:lineRule="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（三）资金筹集情况</w:t>
      </w:r>
    </w:p>
    <w:p>
      <w:pPr>
        <w:spacing w:line="360" w:lineRule="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本项目资本金7518.00万元，其中中央预算内资金5000.00万元, 抗疫特别国债资金2518.00万元；资本金占总投资的43%，该两笔资金已经到位。</w:t>
      </w:r>
    </w:p>
    <w:p>
      <w:pPr>
        <w:spacing w:line="360" w:lineRule="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拟发行四川省项目收益与融资自求平衡专项债券资金10000.00万元（其中2020年5000.00万元，2021年5000.00万元），占总投资的57%。</w:t>
      </w:r>
    </w:p>
    <w:p>
      <w:pPr>
        <w:spacing w:line="360" w:lineRule="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（四）资金使用计划</w:t>
      </w:r>
    </w:p>
    <w:p>
      <w:pPr>
        <w:spacing w:line="360" w:lineRule="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2020年拟投入</w:t>
      </w:r>
      <w:r>
        <w:rPr>
          <w:rFonts w:hint="eastAsia" w:asciiTheme="minorEastAsia" w:hAnsiTheme="minorEastAsia" w:eastAsiaTheme="minorEastAsia" w:cstheme="minorEastAsia"/>
          <w:sz w:val="32"/>
          <w:szCs w:val="32"/>
          <w:lang w:val="en-US" w:eastAsia="zh-CN"/>
        </w:rPr>
        <w:t>3518</w:t>
      </w:r>
      <w:r>
        <w:rPr>
          <w:rFonts w:hint="eastAsia" w:asciiTheme="minorEastAsia" w:hAnsiTheme="minorEastAsia" w:eastAsiaTheme="minorEastAsia" w:cstheme="minorEastAsia"/>
          <w:sz w:val="32"/>
          <w:szCs w:val="32"/>
        </w:rPr>
        <w:t>万元，（资本金1000万元，抗疫特别国债资金资金</w:t>
      </w:r>
      <w:r>
        <w:rPr>
          <w:rFonts w:hint="eastAsia" w:asciiTheme="minorEastAsia" w:hAnsiTheme="minorEastAsia" w:eastAsiaTheme="minorEastAsia" w:cstheme="minorEastAsia"/>
          <w:sz w:val="32"/>
          <w:szCs w:val="32"/>
          <w:lang w:val="en-US" w:eastAsia="zh-CN"/>
        </w:rPr>
        <w:t>2518</w:t>
      </w:r>
      <w:r>
        <w:rPr>
          <w:rFonts w:hint="eastAsia" w:asciiTheme="minorEastAsia" w:hAnsiTheme="minorEastAsia" w:eastAsiaTheme="minorEastAsia" w:cstheme="minorEastAsia"/>
          <w:sz w:val="32"/>
          <w:szCs w:val="32"/>
        </w:rPr>
        <w:t>万元）,主要用于项目前期工作经费、建筑工程等工程进度款拨付；</w:t>
      </w:r>
    </w:p>
    <w:p>
      <w:pPr>
        <w:spacing w:line="360" w:lineRule="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四、项目预期收益、成本及融资平衡情况</w:t>
      </w:r>
    </w:p>
    <w:p>
      <w:pPr>
        <w:spacing w:line="360" w:lineRule="auto"/>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lang w:eastAsia="zh-CN"/>
        </w:rPr>
        <w:t>（一）预期收益</w:t>
      </w:r>
    </w:p>
    <w:p>
      <w:pPr>
        <w:spacing w:line="360" w:lineRule="auto"/>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lang w:eastAsia="zh-CN"/>
        </w:rPr>
        <w:t>1.项目收入</w:t>
      </w:r>
    </w:p>
    <w:p>
      <w:pPr>
        <w:spacing w:line="360" w:lineRule="auto"/>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lang w:eastAsia="zh-CN"/>
        </w:rPr>
        <w:t>（1）收入可行性</w:t>
      </w:r>
    </w:p>
    <w:p>
      <w:pPr>
        <w:spacing w:line="360" w:lineRule="auto"/>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lang w:eastAsia="zh-CN"/>
        </w:rPr>
        <w:t>本项目收入来源为医疗经营收入和政府补助性收入，项目业主医疗服务范围广，社会信誉好，从2017年至2019年财务报表反映呈现增长趋势。</w:t>
      </w:r>
    </w:p>
    <w:p>
      <w:pPr>
        <w:spacing w:line="360" w:lineRule="auto"/>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lang w:eastAsia="zh-CN"/>
        </w:rPr>
        <w:t>（2）项目收入分类</w:t>
      </w:r>
    </w:p>
    <w:p>
      <w:pPr>
        <w:spacing w:line="360" w:lineRule="auto"/>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lang w:eastAsia="zh-CN"/>
        </w:rPr>
        <w:t>本项目主要收入为经营性收入和政府性专项补助收入。</w:t>
      </w:r>
    </w:p>
    <w:p>
      <w:pPr>
        <w:spacing w:line="360" w:lineRule="auto"/>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lang w:eastAsia="zh-CN"/>
        </w:rPr>
        <w:t>（3）项目收入预测</w:t>
      </w:r>
    </w:p>
    <w:p>
      <w:pPr>
        <w:spacing w:line="360" w:lineRule="auto"/>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lang w:eastAsia="zh-CN"/>
        </w:rPr>
        <w:t>广元市利州区中医院现有职工273人，医疗用房（门诊楼和住院楼）24000平方米，包含一栋7层门诊楼、一栋11层住院楼（2栋楼均为地震后新建楼），1栋6层的旧住院楼、1栋公卫楼（旧住院楼修建于上世纪90年代，为砖混结构）。</w:t>
      </w:r>
    </w:p>
    <w:p>
      <w:pPr>
        <w:spacing w:line="360" w:lineRule="auto"/>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lang w:eastAsia="zh-CN"/>
        </w:rPr>
        <w:t>主要医疗设备有德国西门子1.5T磁共振、日本东芝四排螺旋CT、阿洛卡彩超、电子胃镜、CR系统、500毫安X光机、C臂X光机、心电图机、红外光热治疗仪、德国腹腔镜、日立全自动生化仪、全自动血凝仪、麻醉呼吸机、体外碎石机、救护车等一大批现代化设备。硬件设施和技术水平在广元市同级医院中处于领先地位。具有全天候24小时急诊、急救和突发公共卫生事件的处置能力。</w:t>
      </w:r>
    </w:p>
    <w:p>
      <w:pPr>
        <w:spacing w:line="360" w:lineRule="auto"/>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lang w:eastAsia="zh-CN"/>
        </w:rPr>
        <w:t>新建医技综合楼收益来源主要涉及放射科、介入手术、内窥镜、血透、ICU、病房、停车费收入，根据医院各科室现有建筑面积及历史经营数据进行预测确定新建医技综合楼的收益状况，并进行本次财务分析。</w:t>
      </w:r>
    </w:p>
    <w:p>
      <w:pPr>
        <w:spacing w:line="360" w:lineRule="auto"/>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lang w:eastAsia="zh-CN"/>
        </w:rPr>
        <w:t>现有放射科、介入手术、内窥镜、血透、ICU、病房等功能室使用面积与拟建功能室使用面积对比表。</w:t>
      </w:r>
    </w:p>
    <w:p>
      <w:pPr>
        <w:spacing w:line="360" w:lineRule="auto"/>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lang w:eastAsia="zh-CN"/>
        </w:rPr>
        <w:t>附：表1投资估算表</w:t>
      </w:r>
    </w:p>
    <w:p>
      <w:pPr>
        <w:spacing w:line="360" w:lineRule="auto"/>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lang w:eastAsia="zh-CN"/>
        </w:rPr>
        <w:t>(4)收入预测</w:t>
      </w:r>
    </w:p>
    <w:p>
      <w:pPr>
        <w:spacing w:line="360" w:lineRule="auto"/>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lang w:eastAsia="zh-CN"/>
        </w:rPr>
        <w:t>医疗收入包括放射费收入、介入手术室收入、检验内窥镜收入、血透室收入、ICU收入和病房收入。参考历年各功能室的使用面积、收入情况、人数、相关预测如下：</w:t>
      </w:r>
    </w:p>
    <w:p>
      <w:pPr>
        <w:spacing w:line="360" w:lineRule="auto"/>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lang w:eastAsia="zh-CN"/>
        </w:rPr>
        <w:t>放射费收入预测：广元市利州区中医医院2017-2019年历史接待人数分别为2.02万人次、2.20万人次和3.16万人次，年增长率高于8.7%。以2019年接待人次为基准，结合项目建成后带来的运营面积和效率上升，保守按项目实施前3年9%增长，往后年度就诊人次按3%增长率递增。</w:t>
      </w:r>
    </w:p>
    <w:p>
      <w:pPr>
        <w:spacing w:line="360" w:lineRule="auto"/>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lang w:eastAsia="zh-CN"/>
        </w:rPr>
        <w:t>广元市利州区中医医院2017-2019年人均放射费分别为195.90元、235.50元和165.58元。以2019年放射费为基准推导项目第一年放射费为201.77元，以后年度逐年增长3%。</w:t>
      </w:r>
    </w:p>
    <w:p>
      <w:pPr>
        <w:spacing w:line="360" w:lineRule="auto"/>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lang w:eastAsia="zh-CN"/>
        </w:rPr>
        <w:t>介入手术室预测：医院2019年接诊人数1042人次，以2019年接诊人次为基准，推导次年介入手术室接诊人数为1094人次，保守估计未来每年按5%递增。</w:t>
      </w:r>
    </w:p>
    <w:p>
      <w:pPr>
        <w:spacing w:line="360" w:lineRule="auto"/>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lang w:eastAsia="zh-CN"/>
        </w:rPr>
        <w:t>介入手术室2019年人均收费4,328.22元，参考医院其他科室收费增长，暂按未来每年3%递增</w:t>
      </w:r>
    </w:p>
    <w:p>
      <w:pPr>
        <w:spacing w:line="360" w:lineRule="auto"/>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lang w:eastAsia="zh-CN"/>
        </w:rPr>
        <w:t>检验、内窥镜收入预测：医院2017-2019年历史接待人数分别为14.06万人次、14.68万人次和15.51万人次，平均年增长率5.04%。以2019年接待人次为基准，未来每年接待人次按3%递增。</w:t>
      </w:r>
    </w:p>
    <w:p>
      <w:pPr>
        <w:spacing w:line="360" w:lineRule="auto"/>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lang w:eastAsia="zh-CN"/>
        </w:rPr>
        <w:t>医院2017-2019年检验、内窥镜人均费用分别为65元、76.64元和99.19元。平均年增长率18.95%。以2019年检验、内窥镜费为基准，未来每年检验费按3%递增。</w:t>
      </w:r>
    </w:p>
    <w:p>
      <w:pPr>
        <w:spacing w:line="360" w:lineRule="auto"/>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lang w:eastAsia="zh-CN"/>
        </w:rPr>
        <w:t>血透室收入预测：医院2017-2019年历史接待人数分别为5040人次、5690人次和6120人次，平均年增长率10.20%。以2019年接待人次为基准，未来每年按3%递增。</w:t>
      </w:r>
    </w:p>
    <w:p>
      <w:pPr>
        <w:spacing w:line="360" w:lineRule="auto"/>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lang w:eastAsia="zh-CN"/>
        </w:rPr>
        <w:t>医院2017-2018年血透室人均费用分别为373元、533元和505元。平均增长率18.82%，以2019年血透室人均费用为基准，推导次年血透室人均费用为520.05元，以后年度逐年增长3%。</w:t>
      </w:r>
    </w:p>
    <w:p>
      <w:pPr>
        <w:spacing w:line="360" w:lineRule="auto"/>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lang w:eastAsia="zh-CN"/>
        </w:rPr>
        <w:t>ICU收入预测：医院2017-2019年历史接待人数分别为2621人次、3193人次和3509人次，平均年增长率15.86%。以2019年接待人次为基准，推导次年ICU接诊人数为3605人次，未来每年按3%递增。</w:t>
      </w:r>
    </w:p>
    <w:p>
      <w:pPr>
        <w:spacing w:line="360" w:lineRule="auto"/>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lang w:eastAsia="zh-CN"/>
        </w:rPr>
        <w:t>医院2017-2019年ICU人均费用分别为1278元、1293元和1325元。以2019年ICU人均费用为基准，推导次年ICU人均费用为1,364.75元，以后年度逐年增长3%。</w:t>
      </w:r>
    </w:p>
    <w:p>
      <w:pPr>
        <w:spacing w:line="360" w:lineRule="auto"/>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lang w:eastAsia="zh-CN"/>
        </w:rPr>
        <w:t>病房收入预测：医院2017-2019年历史接待人数分别为2.20万人次、2.30万人次和2.83万人次，平均年增长率13.86%。以2019年接待人次为基准，推导次年病房接诊人数为2.91万人次，未来每年按3%递增。</w:t>
      </w:r>
    </w:p>
    <w:p>
      <w:pPr>
        <w:spacing w:line="360" w:lineRule="auto"/>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lang w:eastAsia="zh-CN"/>
        </w:rPr>
        <w:t>医院2017-2019年病房人均费用分别为37.80元、70.57元和226.95元。以2019年病房人均费用为基准，推导次年病房人均费用为233.81元，以后年度逐年增长3%。</w:t>
      </w:r>
    </w:p>
    <w:p>
      <w:pPr>
        <w:spacing w:line="360" w:lineRule="auto"/>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lang w:eastAsia="zh-CN"/>
        </w:rPr>
        <w:t>附：表2  设备清单表</w:t>
      </w:r>
    </w:p>
    <w:p>
      <w:pPr>
        <w:spacing w:line="360" w:lineRule="auto"/>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lang w:eastAsia="zh-CN"/>
        </w:rPr>
        <w:t>表3各科室现有使用面积及本次建设使用面积对比表</w:t>
      </w:r>
    </w:p>
    <w:p>
      <w:pPr>
        <w:spacing w:line="360" w:lineRule="auto"/>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lang w:eastAsia="zh-CN"/>
        </w:rPr>
        <w:t xml:space="preserve">表4  各科室历史收入统计表        </w:t>
      </w:r>
    </w:p>
    <w:p>
      <w:pPr>
        <w:spacing w:line="360" w:lineRule="auto"/>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lang w:eastAsia="zh-CN"/>
        </w:rPr>
        <w:t>表5  历史收益增长统计表</w:t>
      </w:r>
    </w:p>
    <w:p>
      <w:pPr>
        <w:spacing w:line="360" w:lineRule="auto"/>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lang w:eastAsia="zh-CN"/>
        </w:rPr>
        <w:t xml:space="preserve">表6  收入状况一览汇总表    </w:t>
      </w:r>
    </w:p>
    <w:p>
      <w:pPr>
        <w:spacing w:line="360" w:lineRule="auto"/>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lang w:eastAsia="zh-CN"/>
        </w:rPr>
        <w:t>2、项目成本</w:t>
      </w:r>
    </w:p>
    <w:p>
      <w:pPr>
        <w:spacing w:line="360" w:lineRule="auto"/>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lang w:eastAsia="zh-CN"/>
        </w:rPr>
        <w:t>参照中医医院近三年财务数据及统计数据，医院达到项目设计医疗服务规模时，员工工资及福利占医疗收入的25%。药品卫生材料费用占医疗收入额的25%，其他医疗成本占医疗收入的9%。</w:t>
      </w:r>
    </w:p>
    <w:p>
      <w:pPr>
        <w:spacing w:line="360" w:lineRule="auto"/>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lang w:eastAsia="zh-CN"/>
        </w:rPr>
        <w:t>按照国家固定资产折旧的有关规定，房屋建筑折旧年限综合考虑按20年计提折旧，残值率5%。</w:t>
      </w:r>
    </w:p>
    <w:p>
      <w:pPr>
        <w:spacing w:line="360" w:lineRule="auto"/>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lang w:eastAsia="zh-CN"/>
        </w:rPr>
        <w:t>根据相关建设管理规定和医院建设规模，维修费用按固定资产1.5%计；</w:t>
      </w:r>
    </w:p>
    <w:p>
      <w:pPr>
        <w:spacing w:line="360" w:lineRule="auto"/>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lang w:eastAsia="zh-CN"/>
        </w:rPr>
        <w:t>依据医院2019年度财务报表及内控制度说明，医疗风险基金按0.1%提取，故本次按营业收入0.1%估算医疗风险基金。</w:t>
      </w:r>
    </w:p>
    <w:p>
      <w:pPr>
        <w:spacing w:line="360" w:lineRule="auto"/>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lang w:eastAsia="zh-CN"/>
        </w:rPr>
        <w:t>本项目业主为公立医院，不考虑增值税及所得税。</w:t>
      </w:r>
    </w:p>
    <w:p>
      <w:pPr>
        <w:spacing w:line="360" w:lineRule="auto"/>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lang w:eastAsia="zh-CN"/>
        </w:rPr>
        <w:t>管理费用：本次预测的管理费用主要为该项目的日常费用支出，包括办公费、日常水电费、通讯费、交通费、差旅费、业务费、会议费、保洁费、保安服务费等及其他未列明的运营管理费。根据近三年医院收支数据统计，管理费用按医疗收入的7%计。</w:t>
      </w:r>
    </w:p>
    <w:p>
      <w:pPr>
        <w:spacing w:line="360" w:lineRule="auto"/>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lang w:eastAsia="zh-CN"/>
        </w:rPr>
        <w:t>财务费用：主要为项目进入运营期后的债券利息。</w:t>
      </w:r>
    </w:p>
    <w:p>
      <w:pPr>
        <w:spacing w:line="360" w:lineRule="auto"/>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lang w:eastAsia="zh-CN"/>
        </w:rPr>
        <w:t xml:space="preserve">附表7  经营成本费用估算表  </w:t>
      </w:r>
    </w:p>
    <w:p>
      <w:pPr>
        <w:spacing w:line="360" w:lineRule="auto"/>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lang w:eastAsia="zh-CN"/>
        </w:rPr>
        <w:t>（二）资金测算平衡情况</w:t>
      </w:r>
    </w:p>
    <w:p>
      <w:pPr>
        <w:spacing w:line="360" w:lineRule="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综合上述项目收入、经营成本费用的估算，本项目在债券存续期内项目总收入估算结果为91,500.83万元，累计净利润为11,259.01万元，本项目息前净现金流量累计27,537.08万元</w:t>
      </w:r>
    </w:p>
    <w:p>
      <w:pPr>
        <w:spacing w:line="360" w:lineRule="auto"/>
        <w:rPr>
          <w:rFonts w:hint="eastAsia" w:asciiTheme="minorEastAsia" w:hAnsiTheme="minorEastAsia" w:eastAsiaTheme="minorEastAsia" w:cstheme="minorEastAsia"/>
          <w:sz w:val="32"/>
          <w:szCs w:val="32"/>
        </w:rPr>
      </w:pPr>
    </w:p>
    <w:p>
      <w:pPr>
        <w:spacing w:line="360" w:lineRule="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五、项目绩效目标</w:t>
      </w:r>
    </w:p>
    <w:p>
      <w:pPr>
        <w:spacing w:line="360" w:lineRule="auto"/>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rPr>
        <w:t>该项目建成后可增加医、技、护就业岗位100余人次；医院服务能力得到进一步提升，让周边人民群众及时享受医疗卫生服务，改善老百姓就医环境、住院环境，拓展该院服务范围，扩大服务项目，增强服务功能，提高人民群众的健康水平。项目建成后，将极大的增强医院重大传染病暴发流行、食物中毒等突发公共卫生事件引起的伤病员救治的应急能力，有利推动基层医疗单位突出短板，有效地改变贫困地区医疗卫生条件，满足人民群众就近医疗及人民健康需求，不断提高广大人民群众的健康水平。能进一步优化利州区卫生资源配置，充分发挥利州区中医医院的综合作用，不断推进利州区医疗卫生事业的现代化。增强危急病人及院内急危重症病抢救诊治能力、提升医院传染病救治能力、提高危重病人抢救成功率和治愈好转率,促进医护质量的全面提高。</w:t>
      </w:r>
      <w:r>
        <w:rPr>
          <w:rFonts w:hint="eastAsia" w:asciiTheme="minorEastAsia" w:hAnsiTheme="minorEastAsia" w:eastAsiaTheme="minorEastAsia" w:cstheme="minorEastAsia"/>
          <w:sz w:val="32"/>
          <w:szCs w:val="32"/>
          <w:lang w:eastAsia="zh-CN"/>
        </w:rPr>
        <w:t>（单独附绩效目标表）</w:t>
      </w:r>
    </w:p>
    <w:p>
      <w:pPr>
        <w:spacing w:line="360" w:lineRule="auto"/>
        <w:rPr>
          <w:rFonts w:hint="eastAsia" w:asciiTheme="minorEastAsia" w:hAnsiTheme="minorEastAsia" w:eastAsiaTheme="minorEastAsia" w:cstheme="minorEastAsia"/>
          <w:sz w:val="32"/>
          <w:szCs w:val="32"/>
          <w:lang w:eastAsia="zh-CN"/>
        </w:rPr>
      </w:pPr>
    </w:p>
    <w:p>
      <w:pPr>
        <w:spacing w:line="360" w:lineRule="auto"/>
        <w:rPr>
          <w:rFonts w:hint="eastAsia" w:asciiTheme="minorEastAsia" w:hAnsiTheme="minorEastAsia" w:eastAsiaTheme="minorEastAsia" w:cstheme="minorEastAsia"/>
          <w:sz w:val="32"/>
          <w:szCs w:val="32"/>
        </w:rPr>
      </w:pPr>
    </w:p>
    <w:p>
      <w:pPr>
        <w:spacing w:line="360" w:lineRule="auto"/>
        <w:rPr>
          <w:rFonts w:hint="eastAsia" w:asciiTheme="minorEastAsia" w:hAnsiTheme="minorEastAsia" w:eastAsiaTheme="minorEastAsia" w:cstheme="minorEastAsia"/>
          <w:sz w:val="32"/>
          <w:szCs w:val="32"/>
        </w:rPr>
      </w:pPr>
    </w:p>
    <w:p>
      <w:pPr>
        <w:spacing w:line="360" w:lineRule="auto"/>
        <w:rPr>
          <w:rFonts w:hint="eastAsia" w:asciiTheme="minorEastAsia" w:hAnsiTheme="minorEastAsia" w:eastAsiaTheme="minorEastAsia" w:cstheme="minorEastAsia"/>
          <w:sz w:val="32"/>
          <w:szCs w:val="32"/>
        </w:rPr>
      </w:pPr>
    </w:p>
    <w:p>
      <w:pPr>
        <w:spacing w:line="360" w:lineRule="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六、潜在影响项目的风险评估</w:t>
      </w:r>
    </w:p>
    <w:p>
      <w:pPr>
        <w:spacing w:line="360" w:lineRule="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（一）影响项目施工进度或正常运营的风险主要有自然环境 和施工条件、施工技术不当、管理方案不完善、设计质量、设计 变更、选择供应商不当，供应商自担风险的能力较低等。针对以 上风险，一是加强风险因素预判，二是加强过程管理，三是严格 筛选项目参与主体，四是做好风险转移准备工作。</w:t>
      </w:r>
    </w:p>
    <w:p>
      <w:pPr>
        <w:spacing w:line="360" w:lineRule="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（二）影响项目收益的风险主要有经营风险、市场风险和财 务风险。本项目充分考虑现行收费标准及市场需求，对项目的收 入做出了充分合理的预测，政府发行的专项债由于有政府做担 保，往往被市场认为是金边债券，财务风险较低。</w:t>
      </w:r>
    </w:p>
    <w:p>
      <w:pPr>
        <w:spacing w:line="360" w:lineRule="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（三）影响融资平衡结果的风险主要有投资测算不准确风 险、利率波动风险、存续债券置换不畅风险。本项目对测算中的 基本假设进行了合理性评估，专业的会计师事务所对投资测算的 部分进行了复核，投资测算不准确风险较低。</w:t>
      </w:r>
    </w:p>
    <w:p>
      <w:pPr>
        <w:spacing w:line="360" w:lineRule="auto"/>
        <w:rPr>
          <w:rFonts w:hint="eastAsia" w:asciiTheme="minorEastAsia" w:hAnsiTheme="minorEastAsia" w:eastAsiaTheme="minorEastAsia" w:cstheme="minorEastAsia"/>
          <w:sz w:val="32"/>
          <w:szCs w:val="32"/>
        </w:rPr>
        <w:sectPr>
          <w:footerReference r:id="rId3" w:type="default"/>
          <w:footerReference r:id="rId4" w:type="even"/>
          <w:pgSz w:w="11910" w:h="16840"/>
          <w:pgMar w:top="1580" w:right="1200" w:bottom="1300" w:left="1480" w:header="0" w:footer="1115" w:gutter="0"/>
          <w:pgNumType w:start="8"/>
          <w:cols w:space="720" w:num="1"/>
        </w:sectPr>
      </w:pPr>
    </w:p>
    <w:p>
      <w:pPr>
        <w:spacing w:line="360" w:lineRule="auto"/>
        <w:rPr>
          <w:rFonts w:hint="eastAsia" w:asciiTheme="minorEastAsia" w:hAnsiTheme="minorEastAsia" w:eastAsiaTheme="minorEastAsia" w:cstheme="minorEastAsia"/>
          <w:sz w:val="32"/>
          <w:szCs w:val="32"/>
        </w:rPr>
      </w:pPr>
    </w:p>
    <w:p>
      <w:pPr>
        <w:spacing w:line="360" w:lineRule="auto"/>
        <w:rPr>
          <w:rFonts w:hint="eastAsia" w:asciiTheme="minorEastAsia" w:hAnsiTheme="minorEastAsia" w:eastAsiaTheme="minorEastAsia" w:cstheme="minorEastAsia"/>
          <w:sz w:val="32"/>
          <w:szCs w:val="32"/>
        </w:rPr>
      </w:pPr>
    </w:p>
    <w:p>
      <w:pPr>
        <w:spacing w:line="360" w:lineRule="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七、还款保障情况</w:t>
      </w:r>
    </w:p>
    <w:p>
      <w:pPr>
        <w:spacing w:line="360" w:lineRule="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按照《国务院办公厅关于印发地方政府性债务风险应急处置 预案的通知》（国办函〔2016〕88 号）规定，本级政府对地方 政府债券依法承担全部偿还责任。本级财政将按照《财政部关于 印发&lt;地方政府专项债务预算管理办法&gt;的通知》（财预〔2016〕 155 号）规定，及时按照转贷协议约定逐级向省财政缴纳本级应 当承担的还本付息资金，由省财政按照合同约定及时偿还专项债 券到期本息。如偿债出现困难，将通过调减投资计划、处置可变 现资产、调整预算支出结构等方式筹集资金偿还债务。未按时足</w:t>
      </w:r>
    </w:p>
    <w:p>
      <w:pPr>
        <w:spacing w:line="360" w:lineRule="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额向省财政缴纳专项债券还本付息资金的,省财政采取适当方式 扣回。</w:t>
      </w:r>
    </w:p>
    <w:p>
      <w:pPr>
        <w:spacing w:line="360" w:lineRule="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八、主管部门职责</w:t>
      </w:r>
    </w:p>
    <w:p>
      <w:pPr>
        <w:spacing w:line="360" w:lineRule="auto"/>
        <w:rPr>
          <w:rFonts w:hint="eastAsia" w:asciiTheme="minorEastAsia" w:hAnsiTheme="minorEastAsia" w:eastAsiaTheme="minorEastAsia" w:cstheme="minorEastAsia"/>
          <w:sz w:val="32"/>
          <w:szCs w:val="32"/>
        </w:rPr>
      </w:pPr>
    </w:p>
    <w:p>
      <w:pPr>
        <w:spacing w:line="360" w:lineRule="auto"/>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1、主管部门职责。广元市利州区中医医院医技综合楼项目的主管部门为广元市利州区卫生健康局，主管部门将会配合做好本地区项目收益专项债券发行准备工作，及时准确提供相关资料，配合做好信息披露、信用评级、资产评估等工作。项目运行过程中，主管部门将主动披露项目施工期间的施工进度、项目收益专项债券资金使用情况、</w:t>
      </w:r>
    </w:p>
    <w:p>
      <w:pPr>
        <w:spacing w:line="360" w:lineRule="auto"/>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项目运营期间的收支情况等信息。在债券资金管理方面，行业主</w:t>
      </w:r>
    </w:p>
    <w:p>
      <w:pPr>
        <w:spacing w:line="360" w:lineRule="auto"/>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管部门将会履行项目建设运营管理责任，加强成本控制，确保项</w:t>
      </w:r>
    </w:p>
    <w:p>
      <w:pPr>
        <w:spacing w:line="360" w:lineRule="auto"/>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目形成的收入应收尽收，并按照规定及时足额上交。年终时，行</w:t>
      </w:r>
    </w:p>
    <w:p>
      <w:pPr>
        <w:spacing w:line="360" w:lineRule="auto"/>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业主管部门配合财政部门编制项目收益债券收支决算，在政府性</w:t>
      </w:r>
    </w:p>
    <w:p>
      <w:pPr>
        <w:spacing w:line="360" w:lineRule="auto"/>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基金预算报告中全面、准确反映项目收益专项债券收入、支出、</w:t>
      </w:r>
    </w:p>
    <w:p>
      <w:pPr>
        <w:spacing w:line="360" w:lineRule="auto"/>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还本付息、发行费用、取得的收入等情况。债券对应资产管理方</w:t>
      </w:r>
    </w:p>
    <w:p>
      <w:pPr>
        <w:spacing w:line="360" w:lineRule="auto"/>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面，主管部门将会协同财政部门将各类项目收益专项债券对应项</w:t>
      </w:r>
    </w:p>
    <w:p>
      <w:pPr>
        <w:spacing w:line="360" w:lineRule="auto"/>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目形成的资产纳入国有资产管理，建立相应的资产登记和统计报</w:t>
      </w:r>
    </w:p>
    <w:p>
      <w:pPr>
        <w:spacing w:line="360" w:lineRule="auto"/>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告制度，加强资产日常统计和动态监控。</w:t>
      </w:r>
    </w:p>
    <w:p>
      <w:pPr>
        <w:spacing w:line="360" w:lineRule="auto"/>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项目单位职责。本项目的项目单位为广元市利州区中医医院，配合做好债券发行准备工作,规范使用债券资金，及时形成支出，提高资金使用效益。定期评估项目成本、预期收益和对应资产价值等，发现风险或异常情况及时向主管部门报告。编制专项债券收支、偿还计划并纳入单位年度预算管理，做好数据填报、信息公开等相关工作。</w:t>
      </w:r>
    </w:p>
    <w:p>
      <w:pPr>
        <w:spacing w:line="360" w:lineRule="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九、补充说明</w:t>
      </w:r>
    </w:p>
    <w:p>
      <w:pPr>
        <w:spacing w:line="360" w:lineRule="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此项目债券资金总需求10000万元，根据地方政府债务限额管理要求和项目实施进展情况，2018-2021年已发行2000万元。本次拟继续发行1500万元，期限15年。该项目实施内容及收益来源未发生变动，在不超过项目债券总需求情况下，债券分批次跨年发行对项目整体融资平衡不构成实质影响。</w:t>
      </w:r>
    </w:p>
    <w:p>
      <w:pPr>
        <w:spacing w:line="360" w:lineRule="auto"/>
        <w:rPr>
          <w:rFonts w:hint="eastAsia" w:ascii="仿宋_GB2312" w:hAnsi="华文楷体" w:eastAsia="仿宋_GB2312"/>
        </w:rPr>
      </w:pPr>
    </w:p>
    <w:p>
      <w:pPr>
        <w:spacing w:line="360" w:lineRule="auto"/>
        <w:rPr>
          <w:rFonts w:hint="eastAsia" w:ascii="仿宋_GB2312" w:hAnsi="华文楷体" w:eastAsia="仿宋_GB2312"/>
        </w:rPr>
      </w:pPr>
    </w:p>
    <w:p>
      <w:pPr>
        <w:spacing w:line="360" w:lineRule="auto"/>
        <w:rPr>
          <w:rFonts w:hint="eastAsia" w:ascii="仿宋_GB2312" w:hAnsi="华文楷体" w:eastAsia="仿宋_GB2312"/>
        </w:rPr>
      </w:pPr>
    </w:p>
    <w:p>
      <w:pPr>
        <w:spacing w:line="360" w:lineRule="auto"/>
        <w:rPr>
          <w:rFonts w:hint="eastAsia" w:ascii="仿宋_GB2312" w:hAnsi="华文楷体" w:eastAsia="仿宋_GB2312"/>
        </w:rPr>
      </w:pPr>
    </w:p>
    <w:p>
      <w:pPr>
        <w:spacing w:line="360" w:lineRule="auto"/>
        <w:rPr>
          <w:rFonts w:hint="eastAsia" w:ascii="仿宋_GB2312" w:hAnsi="华文楷体" w:eastAsia="仿宋_GB2312"/>
        </w:rPr>
      </w:pPr>
    </w:p>
    <w:p>
      <w:pPr>
        <w:spacing w:line="360" w:lineRule="auto"/>
        <w:rPr>
          <w:rFonts w:hint="eastAsia" w:ascii="仿宋_GB2312" w:hAnsi="华文楷体" w:eastAsia="仿宋_GB2312"/>
        </w:rPr>
      </w:pPr>
    </w:p>
    <w:p>
      <w:pPr>
        <w:spacing w:line="360" w:lineRule="auto"/>
        <w:rPr>
          <w:rFonts w:ascii="仿宋_GB2312" w:hAnsi="华文楷体" w:eastAsia="仿宋_GB2312"/>
        </w:rPr>
        <w:sectPr>
          <w:footerReference r:id="rId5" w:type="default"/>
          <w:pgSz w:w="11906" w:h="16838"/>
          <w:pgMar w:top="1588" w:right="1588" w:bottom="1588" w:left="1474" w:header="720" w:footer="720" w:gutter="0"/>
          <w:cols w:space="720" w:num="1"/>
          <w:docGrid w:type="linesAndChars" w:linePitch="312" w:charSpace="0"/>
        </w:sectPr>
      </w:pPr>
      <w:bookmarkStart w:id="0" w:name="_GoBack"/>
      <w:bookmarkEnd w:id="0"/>
    </w:p>
    <w:p>
      <w:pPr>
        <w:spacing w:line="360" w:lineRule="auto"/>
        <w:rPr>
          <w:rFonts w:hint="eastAsia" w:ascii="仿宋_GB2312" w:hAnsi="华文楷体" w:eastAsia="仿宋_GB2312"/>
        </w:rPr>
      </w:pPr>
    </w:p>
    <w:p>
      <w:pPr>
        <w:spacing w:line="360" w:lineRule="auto"/>
        <w:rPr>
          <w:rFonts w:hint="eastAsia" w:ascii="仿宋_GB2312" w:hAnsi="华文楷体" w:eastAsia="仿宋_GB2312"/>
        </w:rPr>
      </w:pPr>
    </w:p>
    <w:p>
      <w:pPr>
        <w:spacing w:line="360" w:lineRule="auto"/>
        <w:ind w:firstLine="960" w:firstLineChars="200"/>
        <w:jc w:val="center"/>
        <w:rPr>
          <w:rFonts w:ascii="宋体" w:hAnsi="宋体"/>
          <w:b/>
          <w:sz w:val="48"/>
          <w:szCs w:val="48"/>
        </w:rPr>
      </w:pPr>
      <w:r>
        <w:rPr>
          <w:rFonts w:hint="eastAsia" w:ascii="宋体" w:hAnsi="宋体"/>
          <w:b/>
          <w:sz w:val="48"/>
          <w:szCs w:val="48"/>
        </w:rPr>
        <w:t>表1投资估算</w:t>
      </w:r>
    </w:p>
    <w:tbl>
      <w:tblPr>
        <w:tblStyle w:val="10"/>
        <w:tblW w:w="1566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819"/>
        <w:gridCol w:w="2340"/>
        <w:gridCol w:w="899"/>
        <w:gridCol w:w="899"/>
        <w:gridCol w:w="820"/>
        <w:gridCol w:w="899"/>
        <w:gridCol w:w="1004"/>
        <w:gridCol w:w="1120"/>
        <w:gridCol w:w="680"/>
        <w:gridCol w:w="1100"/>
        <w:gridCol w:w="1300"/>
        <w:gridCol w:w="1300"/>
        <w:gridCol w:w="248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jc w:val="center"/>
        </w:trPr>
        <w:tc>
          <w:tcPr>
            <w:tcW w:w="819" w:type="dxa"/>
            <w:vMerge w:val="restart"/>
            <w:shd w:val="clear" w:color="auto" w:fill="auto"/>
            <w:noWrap/>
            <w:vAlign w:val="center"/>
          </w:tcPr>
          <w:p>
            <w:pPr>
              <w:widowControl/>
              <w:jc w:val="center"/>
              <w:rPr>
                <w:rFonts w:ascii="宋体" w:hAnsi="宋体" w:cs="宋体"/>
                <w:kern w:val="0"/>
                <w:sz w:val="22"/>
              </w:rPr>
            </w:pPr>
            <w:r>
              <w:rPr>
                <w:rFonts w:hint="eastAsia" w:ascii="宋体" w:hAnsi="宋体" w:cs="宋体"/>
                <w:kern w:val="0"/>
                <w:sz w:val="22"/>
              </w:rPr>
              <w:t>序号</w:t>
            </w:r>
          </w:p>
        </w:tc>
        <w:tc>
          <w:tcPr>
            <w:tcW w:w="2340" w:type="dxa"/>
            <w:vMerge w:val="restart"/>
            <w:shd w:val="clear" w:color="auto" w:fill="auto"/>
            <w:noWrap/>
            <w:vAlign w:val="center"/>
          </w:tcPr>
          <w:p>
            <w:pPr>
              <w:widowControl/>
              <w:jc w:val="center"/>
              <w:rPr>
                <w:rFonts w:ascii="宋体" w:hAnsi="宋体" w:cs="宋体"/>
                <w:kern w:val="0"/>
                <w:sz w:val="22"/>
              </w:rPr>
            </w:pPr>
            <w:r>
              <w:rPr>
                <w:rFonts w:hint="eastAsia" w:ascii="宋体" w:hAnsi="宋体" w:cs="宋体"/>
                <w:kern w:val="0"/>
                <w:sz w:val="22"/>
              </w:rPr>
              <w:t>工程或费用名称</w:t>
            </w:r>
          </w:p>
        </w:tc>
        <w:tc>
          <w:tcPr>
            <w:tcW w:w="4521" w:type="dxa"/>
            <w:gridSpan w:val="5"/>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概算价值（万元）</w:t>
            </w:r>
          </w:p>
        </w:tc>
        <w:tc>
          <w:tcPr>
            <w:tcW w:w="5500" w:type="dxa"/>
            <w:gridSpan w:val="5"/>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技术经济指标</w:t>
            </w:r>
          </w:p>
        </w:tc>
        <w:tc>
          <w:tcPr>
            <w:tcW w:w="2480" w:type="dxa"/>
            <w:vMerge w:val="restart"/>
            <w:shd w:val="clear" w:color="auto" w:fill="auto"/>
            <w:noWrap/>
            <w:vAlign w:val="center"/>
          </w:tcPr>
          <w:p>
            <w:pPr>
              <w:widowControl/>
              <w:jc w:val="center"/>
              <w:rPr>
                <w:rFonts w:ascii="宋体" w:hAnsi="宋体" w:cs="宋体"/>
                <w:kern w:val="0"/>
                <w:sz w:val="22"/>
              </w:rPr>
            </w:pPr>
            <w:r>
              <w:rPr>
                <w:rFonts w:hint="eastAsia" w:ascii="宋体" w:hAnsi="宋体" w:cs="宋体"/>
                <w:kern w:val="0"/>
                <w:sz w:val="22"/>
              </w:rPr>
              <w:t>备注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90" w:hRule="atLeast"/>
          <w:jc w:val="center"/>
        </w:trPr>
        <w:tc>
          <w:tcPr>
            <w:tcW w:w="819" w:type="dxa"/>
            <w:vMerge w:val="continue"/>
            <w:shd w:val="clear" w:color="auto" w:fill="auto"/>
            <w:vAlign w:val="center"/>
          </w:tcPr>
          <w:p>
            <w:pPr>
              <w:widowControl/>
              <w:jc w:val="left"/>
              <w:rPr>
                <w:rFonts w:ascii="宋体" w:hAnsi="宋体" w:cs="宋体"/>
                <w:kern w:val="0"/>
                <w:sz w:val="22"/>
              </w:rPr>
            </w:pPr>
          </w:p>
        </w:tc>
        <w:tc>
          <w:tcPr>
            <w:tcW w:w="2340" w:type="dxa"/>
            <w:vMerge w:val="continue"/>
            <w:shd w:val="clear" w:color="auto" w:fill="auto"/>
            <w:vAlign w:val="center"/>
          </w:tcPr>
          <w:p>
            <w:pPr>
              <w:widowControl/>
              <w:jc w:val="left"/>
              <w:rPr>
                <w:rFonts w:ascii="宋体" w:hAnsi="宋体" w:cs="宋体"/>
                <w:kern w:val="0"/>
                <w:sz w:val="22"/>
              </w:rPr>
            </w:pPr>
          </w:p>
        </w:tc>
        <w:tc>
          <w:tcPr>
            <w:tcW w:w="899" w:type="dxa"/>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建</w:t>
            </w:r>
            <w:r>
              <w:rPr>
                <w:rFonts w:ascii="Times New Roman" w:hAnsi="Times New Roman"/>
                <w:kern w:val="0"/>
                <w:sz w:val="20"/>
                <w:szCs w:val="20"/>
              </w:rPr>
              <w:t xml:space="preserve">  </w:t>
            </w:r>
            <w:r>
              <w:rPr>
                <w:rFonts w:hint="eastAsia" w:ascii="宋体" w:hAnsi="宋体" w:cs="宋体"/>
                <w:kern w:val="0"/>
                <w:sz w:val="20"/>
                <w:szCs w:val="20"/>
              </w:rPr>
              <w:t>筑</w:t>
            </w:r>
            <w:r>
              <w:rPr>
                <w:rFonts w:ascii="Times New Roman" w:hAnsi="Times New Roman"/>
                <w:kern w:val="0"/>
                <w:sz w:val="20"/>
                <w:szCs w:val="20"/>
              </w:rPr>
              <w:t xml:space="preserve">  </w:t>
            </w:r>
            <w:r>
              <w:rPr>
                <w:rFonts w:hint="eastAsia" w:ascii="宋体" w:hAnsi="宋体" w:cs="宋体"/>
                <w:kern w:val="0"/>
                <w:sz w:val="20"/>
                <w:szCs w:val="20"/>
              </w:rPr>
              <w:t>费</w:t>
            </w:r>
            <w:r>
              <w:rPr>
                <w:rFonts w:ascii="Times New Roman" w:hAnsi="Times New Roman"/>
                <w:kern w:val="0"/>
                <w:sz w:val="20"/>
                <w:szCs w:val="20"/>
              </w:rPr>
              <w:t xml:space="preserve"> </w:t>
            </w:r>
            <w:r>
              <w:rPr>
                <w:rFonts w:hint="eastAsia" w:ascii="宋体" w:hAnsi="宋体" w:cs="宋体"/>
                <w:kern w:val="0"/>
                <w:sz w:val="20"/>
                <w:szCs w:val="20"/>
              </w:rPr>
              <w:t>用</w:t>
            </w:r>
            <w:r>
              <w:rPr>
                <w:rFonts w:ascii="Times New Roman" w:hAnsi="Times New Roman"/>
                <w:kern w:val="0"/>
                <w:sz w:val="20"/>
                <w:szCs w:val="20"/>
              </w:rPr>
              <w:t xml:space="preserve">  </w:t>
            </w:r>
          </w:p>
        </w:tc>
        <w:tc>
          <w:tcPr>
            <w:tcW w:w="899" w:type="dxa"/>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设 备 购 置</w:t>
            </w:r>
          </w:p>
        </w:tc>
        <w:tc>
          <w:tcPr>
            <w:tcW w:w="820" w:type="dxa"/>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安 装 费 用</w:t>
            </w:r>
          </w:p>
        </w:tc>
        <w:tc>
          <w:tcPr>
            <w:tcW w:w="899" w:type="dxa"/>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其 它 费 用</w:t>
            </w:r>
          </w:p>
        </w:tc>
        <w:tc>
          <w:tcPr>
            <w:tcW w:w="1004" w:type="dxa"/>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合计</w:t>
            </w:r>
          </w:p>
        </w:tc>
        <w:tc>
          <w:tcPr>
            <w:tcW w:w="1120" w:type="dxa"/>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计量指标</w:t>
            </w:r>
          </w:p>
        </w:tc>
        <w:tc>
          <w:tcPr>
            <w:tcW w:w="680" w:type="dxa"/>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单位</w:t>
            </w:r>
          </w:p>
        </w:tc>
        <w:tc>
          <w:tcPr>
            <w:tcW w:w="1100" w:type="dxa"/>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数量</w:t>
            </w:r>
          </w:p>
        </w:tc>
        <w:tc>
          <w:tcPr>
            <w:tcW w:w="1300" w:type="dxa"/>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单位造价（元）</w:t>
            </w:r>
          </w:p>
        </w:tc>
        <w:tc>
          <w:tcPr>
            <w:tcW w:w="1300" w:type="dxa"/>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占总投资比例（％）</w:t>
            </w:r>
          </w:p>
        </w:tc>
        <w:tc>
          <w:tcPr>
            <w:tcW w:w="2480" w:type="dxa"/>
            <w:vMerge w:val="continue"/>
            <w:shd w:val="clear" w:color="auto" w:fill="auto"/>
            <w:vAlign w:val="center"/>
          </w:tcPr>
          <w:p>
            <w:pPr>
              <w:widowControl/>
              <w:jc w:val="left"/>
              <w:rPr>
                <w:rFonts w:ascii="宋体" w:hAnsi="宋体" w:cs="宋体"/>
                <w:kern w:val="0"/>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jc w:val="center"/>
        </w:trPr>
        <w:tc>
          <w:tcPr>
            <w:tcW w:w="819" w:type="dxa"/>
            <w:shd w:val="clear" w:color="auto" w:fill="auto"/>
            <w:noWrap/>
            <w:vAlign w:val="bottom"/>
          </w:tcPr>
          <w:p>
            <w:pPr>
              <w:widowControl/>
              <w:jc w:val="center"/>
              <w:rPr>
                <w:rFonts w:ascii="宋体" w:hAnsi="宋体" w:cs="宋体"/>
                <w:b/>
                <w:bCs/>
                <w:kern w:val="0"/>
                <w:sz w:val="20"/>
                <w:szCs w:val="20"/>
              </w:rPr>
            </w:pPr>
            <w:r>
              <w:rPr>
                <w:rFonts w:hint="eastAsia" w:ascii="宋体" w:hAnsi="宋体" w:cs="宋体"/>
                <w:b/>
                <w:bCs/>
                <w:kern w:val="0"/>
                <w:sz w:val="20"/>
                <w:szCs w:val="20"/>
              </w:rPr>
              <w:t>一</w:t>
            </w:r>
          </w:p>
        </w:tc>
        <w:tc>
          <w:tcPr>
            <w:tcW w:w="2340" w:type="dxa"/>
            <w:shd w:val="clear" w:color="auto" w:fill="auto"/>
            <w:noWrap/>
            <w:vAlign w:val="bottom"/>
          </w:tcPr>
          <w:p>
            <w:pPr>
              <w:widowControl/>
              <w:jc w:val="left"/>
              <w:rPr>
                <w:rFonts w:ascii="宋体" w:hAnsi="宋体" w:cs="宋体"/>
                <w:b/>
                <w:bCs/>
                <w:kern w:val="0"/>
                <w:sz w:val="20"/>
                <w:szCs w:val="20"/>
              </w:rPr>
            </w:pPr>
            <w:r>
              <w:rPr>
                <w:rFonts w:hint="eastAsia" w:ascii="宋体" w:hAnsi="宋体" w:cs="宋体"/>
                <w:b/>
                <w:bCs/>
                <w:kern w:val="0"/>
                <w:sz w:val="20"/>
                <w:szCs w:val="20"/>
              </w:rPr>
              <w:t>工程费用</w:t>
            </w:r>
          </w:p>
        </w:tc>
        <w:tc>
          <w:tcPr>
            <w:tcW w:w="899"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899"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82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899"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1004"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xml:space="preserve">14398.93 </w:t>
            </w:r>
          </w:p>
        </w:tc>
        <w:tc>
          <w:tcPr>
            <w:tcW w:w="1120" w:type="dxa"/>
            <w:shd w:val="clear" w:color="auto" w:fill="auto"/>
            <w:noWrap/>
            <w:vAlign w:val="bottom"/>
          </w:tcPr>
          <w:p>
            <w:pPr>
              <w:widowControl/>
              <w:jc w:val="center"/>
              <w:rPr>
                <w:rFonts w:ascii="宋体" w:hAnsi="宋体" w:cs="宋体"/>
                <w:b/>
                <w:bCs/>
                <w:kern w:val="0"/>
              </w:rPr>
            </w:pPr>
            <w:r>
              <w:rPr>
                <w:rFonts w:hint="eastAsia" w:ascii="宋体" w:hAnsi="宋体" w:cs="宋体"/>
                <w:b/>
                <w:bCs/>
                <w:kern w:val="0"/>
              </w:rPr>
              <w:t>建筑面积</w:t>
            </w:r>
          </w:p>
        </w:tc>
        <w:tc>
          <w:tcPr>
            <w:tcW w:w="68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110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130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130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xml:space="preserve">82.20 </w:t>
            </w:r>
          </w:p>
        </w:tc>
        <w:tc>
          <w:tcPr>
            <w:tcW w:w="2480" w:type="dxa"/>
            <w:shd w:val="clear" w:color="auto" w:fill="auto"/>
            <w:noWrap/>
            <w:vAlign w:val="bottom"/>
          </w:tcPr>
          <w:p>
            <w:pPr>
              <w:widowControl/>
              <w:jc w:val="left"/>
              <w:rPr>
                <w:rFonts w:ascii="宋体" w:hAnsi="宋体" w:cs="宋体"/>
                <w:b/>
                <w:bCs/>
                <w:kern w:val="0"/>
                <w:sz w:val="20"/>
                <w:szCs w:val="20"/>
              </w:rPr>
            </w:pPr>
            <w:r>
              <w:rPr>
                <w:rFonts w:hint="eastAsia" w:ascii="宋体" w:hAnsi="宋体" w:cs="宋体"/>
                <w:b/>
                <w:bCs/>
                <w:kern w:val="0"/>
                <w:sz w:val="20"/>
                <w:szCs w:val="20"/>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jc w:val="center"/>
        </w:trPr>
        <w:tc>
          <w:tcPr>
            <w:tcW w:w="819" w:type="dxa"/>
            <w:shd w:val="clear" w:color="auto" w:fill="auto"/>
            <w:noWrap/>
            <w:vAlign w:val="bottom"/>
          </w:tcPr>
          <w:p>
            <w:pPr>
              <w:widowControl/>
              <w:jc w:val="center"/>
              <w:rPr>
                <w:rFonts w:ascii="宋体" w:hAnsi="宋体" w:cs="宋体"/>
                <w:b/>
                <w:bCs/>
                <w:kern w:val="0"/>
                <w:sz w:val="20"/>
                <w:szCs w:val="20"/>
              </w:rPr>
            </w:pPr>
            <w:r>
              <w:rPr>
                <w:rFonts w:hint="eastAsia" w:ascii="宋体" w:hAnsi="宋体" w:cs="宋体"/>
                <w:b/>
                <w:bCs/>
                <w:kern w:val="0"/>
                <w:sz w:val="20"/>
                <w:szCs w:val="20"/>
              </w:rPr>
              <w:t>（一）</w:t>
            </w:r>
          </w:p>
        </w:tc>
        <w:tc>
          <w:tcPr>
            <w:tcW w:w="2340" w:type="dxa"/>
            <w:shd w:val="clear" w:color="auto" w:fill="auto"/>
            <w:noWrap/>
            <w:vAlign w:val="bottom"/>
          </w:tcPr>
          <w:p>
            <w:pPr>
              <w:widowControl/>
              <w:jc w:val="left"/>
              <w:rPr>
                <w:rFonts w:ascii="宋体" w:hAnsi="宋体" w:cs="宋体"/>
                <w:b/>
                <w:bCs/>
                <w:kern w:val="0"/>
                <w:sz w:val="20"/>
                <w:szCs w:val="20"/>
              </w:rPr>
            </w:pPr>
            <w:r>
              <w:rPr>
                <w:rFonts w:hint="eastAsia" w:ascii="宋体" w:hAnsi="宋体" w:cs="宋体"/>
                <w:b/>
                <w:bCs/>
                <w:kern w:val="0"/>
                <w:sz w:val="20"/>
                <w:szCs w:val="20"/>
              </w:rPr>
              <w:t>建筑工程费用</w:t>
            </w:r>
          </w:p>
        </w:tc>
        <w:tc>
          <w:tcPr>
            <w:tcW w:w="899"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xml:space="preserve">6522.42 </w:t>
            </w:r>
          </w:p>
        </w:tc>
        <w:tc>
          <w:tcPr>
            <w:tcW w:w="899"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xml:space="preserve">1069.75 </w:t>
            </w:r>
          </w:p>
        </w:tc>
        <w:tc>
          <w:tcPr>
            <w:tcW w:w="82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xml:space="preserve">458.46 </w:t>
            </w:r>
          </w:p>
        </w:tc>
        <w:tc>
          <w:tcPr>
            <w:tcW w:w="899"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1004"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xml:space="preserve">9398.93 </w:t>
            </w:r>
          </w:p>
        </w:tc>
        <w:tc>
          <w:tcPr>
            <w:tcW w:w="1120" w:type="dxa"/>
            <w:shd w:val="clear" w:color="auto" w:fill="auto"/>
            <w:noWrap/>
            <w:vAlign w:val="bottom"/>
          </w:tcPr>
          <w:p>
            <w:pPr>
              <w:widowControl/>
              <w:jc w:val="center"/>
              <w:rPr>
                <w:rFonts w:ascii="宋体" w:hAnsi="宋体" w:cs="宋体"/>
                <w:b/>
                <w:bCs/>
                <w:kern w:val="0"/>
              </w:rPr>
            </w:pPr>
            <w:r>
              <w:rPr>
                <w:rFonts w:hint="eastAsia" w:ascii="宋体" w:hAnsi="宋体" w:cs="宋体"/>
                <w:b/>
                <w:bCs/>
                <w:kern w:val="0"/>
              </w:rPr>
              <w:t>建筑面积</w:t>
            </w:r>
          </w:p>
        </w:tc>
        <w:tc>
          <w:tcPr>
            <w:tcW w:w="68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110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xml:space="preserve">21897.91 </w:t>
            </w:r>
          </w:p>
        </w:tc>
        <w:tc>
          <w:tcPr>
            <w:tcW w:w="130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130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2480" w:type="dxa"/>
            <w:shd w:val="clear" w:color="auto" w:fill="auto"/>
            <w:noWrap/>
            <w:vAlign w:val="bottom"/>
          </w:tcPr>
          <w:p>
            <w:pPr>
              <w:widowControl/>
              <w:jc w:val="left"/>
              <w:rPr>
                <w:rFonts w:ascii="宋体" w:hAnsi="宋体" w:cs="宋体"/>
                <w:b/>
                <w:bCs/>
                <w:kern w:val="0"/>
                <w:sz w:val="20"/>
                <w:szCs w:val="20"/>
              </w:rPr>
            </w:pPr>
            <w:r>
              <w:rPr>
                <w:rFonts w:hint="eastAsia" w:ascii="宋体" w:hAnsi="宋体" w:cs="宋体"/>
                <w:b/>
                <w:bCs/>
                <w:kern w:val="0"/>
                <w:sz w:val="20"/>
                <w:szCs w:val="20"/>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34" w:hRule="atLeast"/>
          <w:jc w:val="center"/>
        </w:trPr>
        <w:tc>
          <w:tcPr>
            <w:tcW w:w="819" w:type="dxa"/>
            <w:shd w:val="clear" w:color="auto" w:fill="auto"/>
            <w:noWrap/>
            <w:vAlign w:val="bottom"/>
          </w:tcPr>
          <w:p>
            <w:pPr>
              <w:widowControl/>
              <w:jc w:val="center"/>
              <w:rPr>
                <w:rFonts w:ascii="宋体" w:hAnsi="宋体" w:cs="宋体"/>
                <w:b/>
                <w:bCs/>
                <w:kern w:val="0"/>
                <w:sz w:val="20"/>
                <w:szCs w:val="20"/>
              </w:rPr>
            </w:pPr>
            <w:r>
              <w:rPr>
                <w:rFonts w:hint="eastAsia" w:ascii="宋体" w:hAnsi="宋体" w:cs="宋体"/>
                <w:b/>
                <w:bCs/>
                <w:kern w:val="0"/>
                <w:sz w:val="20"/>
                <w:szCs w:val="20"/>
              </w:rPr>
              <w:t>1</w:t>
            </w:r>
          </w:p>
        </w:tc>
        <w:tc>
          <w:tcPr>
            <w:tcW w:w="2340" w:type="dxa"/>
            <w:shd w:val="clear" w:color="auto" w:fill="auto"/>
            <w:noWrap/>
            <w:vAlign w:val="bottom"/>
          </w:tcPr>
          <w:p>
            <w:pPr>
              <w:widowControl/>
              <w:jc w:val="left"/>
              <w:rPr>
                <w:rFonts w:ascii="宋体" w:hAnsi="宋体" w:cs="宋体"/>
                <w:b/>
                <w:bCs/>
                <w:kern w:val="0"/>
                <w:sz w:val="20"/>
                <w:szCs w:val="20"/>
              </w:rPr>
            </w:pPr>
            <w:r>
              <w:rPr>
                <w:rFonts w:hint="eastAsia" w:ascii="宋体" w:hAnsi="宋体" w:cs="宋体"/>
                <w:b/>
                <w:bCs/>
                <w:kern w:val="0"/>
                <w:sz w:val="20"/>
                <w:szCs w:val="20"/>
              </w:rPr>
              <w:t>土建工程</w:t>
            </w:r>
          </w:p>
        </w:tc>
        <w:tc>
          <w:tcPr>
            <w:tcW w:w="899"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xml:space="preserve">3894.67 </w:t>
            </w:r>
          </w:p>
        </w:tc>
        <w:tc>
          <w:tcPr>
            <w:tcW w:w="899"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82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899"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1004"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xml:space="preserve">3894.67 </w:t>
            </w:r>
          </w:p>
        </w:tc>
        <w:tc>
          <w:tcPr>
            <w:tcW w:w="1120" w:type="dxa"/>
            <w:shd w:val="clear" w:color="auto" w:fill="auto"/>
            <w:noWrap/>
            <w:vAlign w:val="bottom"/>
          </w:tcPr>
          <w:p>
            <w:pPr>
              <w:widowControl/>
              <w:jc w:val="center"/>
              <w:rPr>
                <w:rFonts w:ascii="宋体" w:hAnsi="宋体" w:cs="宋体"/>
                <w:b/>
                <w:bCs/>
                <w:kern w:val="0"/>
              </w:rPr>
            </w:pPr>
            <w:r>
              <w:rPr>
                <w:rFonts w:hint="eastAsia" w:ascii="宋体" w:hAnsi="宋体" w:cs="宋体"/>
                <w:b/>
                <w:bCs/>
                <w:kern w:val="0"/>
              </w:rPr>
              <w:t>建筑面积</w:t>
            </w:r>
          </w:p>
        </w:tc>
        <w:tc>
          <w:tcPr>
            <w:tcW w:w="68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m2</w:t>
            </w:r>
          </w:p>
        </w:tc>
        <w:tc>
          <w:tcPr>
            <w:tcW w:w="110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xml:space="preserve">21897.91 </w:t>
            </w:r>
          </w:p>
        </w:tc>
        <w:tc>
          <w:tcPr>
            <w:tcW w:w="130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szCs w:val="21"/>
              </w:rPr>
              <w:t xml:space="preserve">1778.56 </w:t>
            </w:r>
          </w:p>
        </w:tc>
        <w:tc>
          <w:tcPr>
            <w:tcW w:w="130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2480" w:type="dxa"/>
            <w:shd w:val="clear" w:color="auto" w:fill="auto"/>
            <w:noWrap/>
            <w:vAlign w:val="bottom"/>
          </w:tcPr>
          <w:p>
            <w:pPr>
              <w:widowControl/>
              <w:jc w:val="left"/>
              <w:rPr>
                <w:rFonts w:ascii="宋体" w:hAnsi="宋体" w:cs="宋体"/>
                <w:b/>
                <w:bCs/>
                <w:kern w:val="0"/>
                <w:sz w:val="20"/>
                <w:szCs w:val="20"/>
              </w:rPr>
            </w:pPr>
            <w:r>
              <w:rPr>
                <w:rFonts w:hint="eastAsia" w:ascii="宋体" w:hAnsi="宋体" w:cs="宋体"/>
                <w:b/>
                <w:bCs/>
                <w:kern w:val="0"/>
                <w:sz w:val="20"/>
                <w:szCs w:val="20"/>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jc w:val="center"/>
        </w:trPr>
        <w:tc>
          <w:tcPr>
            <w:tcW w:w="81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1.1</w:t>
            </w:r>
          </w:p>
        </w:tc>
        <w:tc>
          <w:tcPr>
            <w:tcW w:w="2340" w:type="dxa"/>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医技楼</w:t>
            </w:r>
          </w:p>
        </w:tc>
        <w:tc>
          <w:tcPr>
            <w:tcW w:w="899" w:type="dxa"/>
            <w:shd w:val="clear" w:color="auto" w:fill="auto"/>
            <w:noWrap/>
            <w:vAlign w:val="bottom"/>
          </w:tcPr>
          <w:p>
            <w:pPr>
              <w:widowControl/>
              <w:jc w:val="center"/>
              <w:rPr>
                <w:rFonts w:ascii="Times New Roman" w:hAnsi="Times New Roman"/>
                <w:kern w:val="0"/>
              </w:rPr>
            </w:pPr>
            <w:r>
              <w:rPr>
                <w:rFonts w:ascii="Times New Roman" w:hAnsi="Times New Roman"/>
                <w:kern w:val="0"/>
              </w:rPr>
              <w:t xml:space="preserve">3894.67 </w:t>
            </w:r>
          </w:p>
        </w:tc>
        <w:tc>
          <w:tcPr>
            <w:tcW w:w="899"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82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899"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004" w:type="dxa"/>
            <w:shd w:val="clear" w:color="auto" w:fill="auto"/>
            <w:noWrap/>
            <w:vAlign w:val="bottom"/>
          </w:tcPr>
          <w:p>
            <w:pPr>
              <w:widowControl/>
              <w:jc w:val="center"/>
              <w:rPr>
                <w:rFonts w:ascii="Times New Roman" w:hAnsi="Times New Roman"/>
                <w:kern w:val="0"/>
              </w:rPr>
            </w:pPr>
            <w:r>
              <w:rPr>
                <w:rFonts w:ascii="Times New Roman" w:hAnsi="Times New Roman"/>
                <w:kern w:val="0"/>
              </w:rPr>
              <w:t xml:space="preserve">3894.67 </w:t>
            </w:r>
          </w:p>
        </w:tc>
        <w:tc>
          <w:tcPr>
            <w:tcW w:w="1120" w:type="dxa"/>
            <w:shd w:val="clear" w:color="auto" w:fill="auto"/>
            <w:noWrap/>
            <w:vAlign w:val="bottom"/>
          </w:tcPr>
          <w:p>
            <w:pPr>
              <w:widowControl/>
              <w:jc w:val="center"/>
              <w:rPr>
                <w:rFonts w:ascii="宋体" w:hAnsi="宋体" w:cs="宋体"/>
                <w:kern w:val="0"/>
              </w:rPr>
            </w:pPr>
            <w:r>
              <w:rPr>
                <w:rFonts w:hint="eastAsia" w:ascii="宋体" w:hAnsi="宋体" w:cs="宋体"/>
                <w:kern w:val="0"/>
              </w:rPr>
              <w:t>建筑面积</w:t>
            </w:r>
          </w:p>
        </w:tc>
        <w:tc>
          <w:tcPr>
            <w:tcW w:w="680" w:type="dxa"/>
            <w:shd w:val="clear" w:color="auto" w:fill="auto"/>
            <w:noWrap/>
            <w:vAlign w:val="bottom"/>
          </w:tcPr>
          <w:p>
            <w:pPr>
              <w:widowControl/>
              <w:jc w:val="center"/>
              <w:rPr>
                <w:rFonts w:ascii="Times New Roman" w:hAnsi="Times New Roman"/>
                <w:kern w:val="0"/>
              </w:rPr>
            </w:pPr>
            <w:r>
              <w:rPr>
                <w:rFonts w:ascii="Times New Roman" w:hAnsi="Times New Roman"/>
                <w:kern w:val="0"/>
              </w:rPr>
              <w:t>m2</w:t>
            </w:r>
          </w:p>
        </w:tc>
        <w:tc>
          <w:tcPr>
            <w:tcW w:w="1100" w:type="dxa"/>
            <w:shd w:val="clear" w:color="auto" w:fill="auto"/>
            <w:noWrap/>
            <w:vAlign w:val="bottom"/>
          </w:tcPr>
          <w:p>
            <w:pPr>
              <w:widowControl/>
              <w:jc w:val="center"/>
              <w:rPr>
                <w:rFonts w:ascii="Times New Roman" w:hAnsi="Times New Roman"/>
                <w:kern w:val="0"/>
              </w:rPr>
            </w:pPr>
            <w:r>
              <w:rPr>
                <w:rFonts w:ascii="Times New Roman" w:hAnsi="Times New Roman"/>
                <w:kern w:val="0"/>
              </w:rPr>
              <w:t xml:space="preserve">21897.91 </w:t>
            </w:r>
          </w:p>
        </w:tc>
        <w:tc>
          <w:tcPr>
            <w:tcW w:w="1300" w:type="dxa"/>
            <w:shd w:val="clear" w:color="auto" w:fill="auto"/>
            <w:noWrap/>
            <w:vAlign w:val="bottom"/>
          </w:tcPr>
          <w:p>
            <w:pPr>
              <w:widowControl/>
              <w:jc w:val="center"/>
              <w:rPr>
                <w:rFonts w:ascii="Times New Roman" w:hAnsi="Times New Roman"/>
                <w:kern w:val="0"/>
              </w:rPr>
            </w:pPr>
            <w:r>
              <w:rPr>
                <w:rFonts w:ascii="Times New Roman" w:hAnsi="Times New Roman"/>
                <w:kern w:val="0"/>
              </w:rPr>
              <w:t xml:space="preserve">1778.56 </w:t>
            </w:r>
          </w:p>
        </w:tc>
        <w:tc>
          <w:tcPr>
            <w:tcW w:w="13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2480" w:type="dxa"/>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jc w:val="center"/>
        </w:trPr>
        <w:tc>
          <w:tcPr>
            <w:tcW w:w="819" w:type="dxa"/>
            <w:shd w:val="clear" w:color="auto" w:fill="auto"/>
            <w:noWrap/>
            <w:vAlign w:val="bottom"/>
          </w:tcPr>
          <w:p>
            <w:pPr>
              <w:widowControl/>
              <w:jc w:val="center"/>
              <w:rPr>
                <w:rFonts w:ascii="宋体" w:hAnsi="宋体" w:cs="宋体"/>
                <w:b/>
                <w:bCs/>
                <w:kern w:val="0"/>
                <w:sz w:val="20"/>
                <w:szCs w:val="20"/>
              </w:rPr>
            </w:pPr>
            <w:r>
              <w:rPr>
                <w:rFonts w:hint="eastAsia" w:ascii="宋体" w:hAnsi="宋体" w:cs="宋体"/>
                <w:b/>
                <w:bCs/>
                <w:kern w:val="0"/>
                <w:sz w:val="20"/>
                <w:szCs w:val="20"/>
              </w:rPr>
              <w:t>2</w:t>
            </w:r>
          </w:p>
        </w:tc>
        <w:tc>
          <w:tcPr>
            <w:tcW w:w="2340" w:type="dxa"/>
            <w:shd w:val="clear" w:color="auto" w:fill="auto"/>
            <w:noWrap/>
            <w:vAlign w:val="bottom"/>
          </w:tcPr>
          <w:p>
            <w:pPr>
              <w:widowControl/>
              <w:jc w:val="left"/>
              <w:rPr>
                <w:rFonts w:ascii="宋体" w:hAnsi="宋体" w:cs="宋体"/>
                <w:b/>
                <w:bCs/>
                <w:kern w:val="0"/>
                <w:sz w:val="20"/>
                <w:szCs w:val="20"/>
              </w:rPr>
            </w:pPr>
            <w:r>
              <w:rPr>
                <w:rFonts w:hint="eastAsia" w:ascii="宋体" w:hAnsi="宋体" w:cs="宋体"/>
                <w:b/>
                <w:bCs/>
                <w:kern w:val="0"/>
                <w:sz w:val="20"/>
                <w:szCs w:val="20"/>
              </w:rPr>
              <w:t>室内装饰</w:t>
            </w:r>
          </w:p>
        </w:tc>
        <w:tc>
          <w:tcPr>
            <w:tcW w:w="899"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xml:space="preserve">2627.75 </w:t>
            </w:r>
          </w:p>
        </w:tc>
        <w:tc>
          <w:tcPr>
            <w:tcW w:w="899"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82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899"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1004"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xml:space="preserve">2627.75 </w:t>
            </w:r>
          </w:p>
        </w:tc>
        <w:tc>
          <w:tcPr>
            <w:tcW w:w="1120" w:type="dxa"/>
            <w:shd w:val="clear" w:color="auto" w:fill="auto"/>
            <w:noWrap/>
            <w:vAlign w:val="bottom"/>
          </w:tcPr>
          <w:p>
            <w:pPr>
              <w:widowControl/>
              <w:jc w:val="center"/>
              <w:rPr>
                <w:rFonts w:ascii="宋体" w:hAnsi="宋体" w:cs="宋体"/>
                <w:b/>
                <w:bCs/>
                <w:kern w:val="0"/>
              </w:rPr>
            </w:pPr>
            <w:r>
              <w:rPr>
                <w:rFonts w:hint="eastAsia" w:ascii="宋体" w:hAnsi="宋体" w:cs="宋体"/>
                <w:b/>
                <w:bCs/>
                <w:kern w:val="0"/>
              </w:rPr>
              <w:t>建筑面积</w:t>
            </w:r>
          </w:p>
        </w:tc>
        <w:tc>
          <w:tcPr>
            <w:tcW w:w="68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m2</w:t>
            </w:r>
          </w:p>
        </w:tc>
        <w:tc>
          <w:tcPr>
            <w:tcW w:w="110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xml:space="preserve">21897.91 </w:t>
            </w:r>
          </w:p>
        </w:tc>
        <w:tc>
          <w:tcPr>
            <w:tcW w:w="1300" w:type="dxa"/>
            <w:shd w:val="clear" w:color="auto" w:fill="auto"/>
            <w:noWrap/>
            <w:vAlign w:val="bottom"/>
          </w:tcPr>
          <w:p>
            <w:pPr>
              <w:widowControl/>
              <w:jc w:val="center"/>
              <w:rPr>
                <w:rFonts w:ascii="Times New Roman" w:hAnsi="Times New Roman"/>
                <w:b/>
                <w:bCs/>
                <w:color w:val="000000"/>
                <w:kern w:val="0"/>
              </w:rPr>
            </w:pPr>
            <w:r>
              <w:rPr>
                <w:rFonts w:ascii="Times New Roman" w:hAnsi="Times New Roman"/>
                <w:b/>
                <w:bCs/>
                <w:color w:val="000000"/>
                <w:kern w:val="0"/>
              </w:rPr>
              <w:t xml:space="preserve">1200.00 </w:t>
            </w:r>
          </w:p>
        </w:tc>
        <w:tc>
          <w:tcPr>
            <w:tcW w:w="130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2480" w:type="dxa"/>
            <w:shd w:val="clear" w:color="auto" w:fill="auto"/>
            <w:noWrap/>
            <w:vAlign w:val="bottom"/>
          </w:tcPr>
          <w:p>
            <w:pPr>
              <w:widowControl/>
              <w:jc w:val="left"/>
              <w:rPr>
                <w:rFonts w:ascii="宋体" w:hAnsi="宋体" w:cs="宋体"/>
                <w:b/>
                <w:bCs/>
                <w:kern w:val="0"/>
                <w:sz w:val="20"/>
                <w:szCs w:val="20"/>
              </w:rPr>
            </w:pPr>
            <w:r>
              <w:rPr>
                <w:rFonts w:hint="eastAsia" w:ascii="宋体" w:hAnsi="宋体" w:cs="宋体"/>
                <w:b/>
                <w:bCs/>
                <w:kern w:val="0"/>
                <w:sz w:val="20"/>
                <w:szCs w:val="20"/>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jc w:val="center"/>
        </w:trPr>
        <w:tc>
          <w:tcPr>
            <w:tcW w:w="819" w:type="dxa"/>
            <w:shd w:val="clear" w:color="auto" w:fill="auto"/>
            <w:noWrap/>
            <w:vAlign w:val="bottom"/>
          </w:tcPr>
          <w:p>
            <w:pPr>
              <w:widowControl/>
              <w:jc w:val="center"/>
              <w:rPr>
                <w:rFonts w:ascii="宋体" w:hAnsi="宋体" w:cs="宋体"/>
                <w:b/>
                <w:bCs/>
                <w:kern w:val="0"/>
                <w:sz w:val="20"/>
                <w:szCs w:val="20"/>
              </w:rPr>
            </w:pPr>
            <w:r>
              <w:rPr>
                <w:rFonts w:hint="eastAsia" w:ascii="宋体" w:hAnsi="宋体" w:cs="宋体"/>
                <w:b/>
                <w:bCs/>
                <w:kern w:val="0"/>
                <w:sz w:val="20"/>
                <w:szCs w:val="20"/>
              </w:rPr>
              <w:t>3</w:t>
            </w:r>
          </w:p>
        </w:tc>
        <w:tc>
          <w:tcPr>
            <w:tcW w:w="2340" w:type="dxa"/>
            <w:shd w:val="clear" w:color="auto" w:fill="auto"/>
            <w:noWrap/>
            <w:vAlign w:val="bottom"/>
          </w:tcPr>
          <w:p>
            <w:pPr>
              <w:widowControl/>
              <w:jc w:val="left"/>
              <w:rPr>
                <w:rFonts w:ascii="宋体" w:hAnsi="宋体" w:cs="宋体"/>
                <w:b/>
                <w:bCs/>
                <w:kern w:val="0"/>
                <w:sz w:val="20"/>
                <w:szCs w:val="20"/>
              </w:rPr>
            </w:pPr>
            <w:r>
              <w:rPr>
                <w:rFonts w:hint="eastAsia" w:ascii="宋体" w:hAnsi="宋体" w:cs="宋体"/>
                <w:b/>
                <w:bCs/>
                <w:kern w:val="0"/>
                <w:sz w:val="20"/>
                <w:szCs w:val="20"/>
              </w:rPr>
              <w:t>安装工程</w:t>
            </w:r>
          </w:p>
        </w:tc>
        <w:tc>
          <w:tcPr>
            <w:tcW w:w="899"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899"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xml:space="preserve">1069.75 </w:t>
            </w:r>
          </w:p>
        </w:tc>
        <w:tc>
          <w:tcPr>
            <w:tcW w:w="82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xml:space="preserve">458.46 </w:t>
            </w:r>
          </w:p>
        </w:tc>
        <w:tc>
          <w:tcPr>
            <w:tcW w:w="899"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1004"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xml:space="preserve">1528.21 </w:t>
            </w:r>
          </w:p>
        </w:tc>
        <w:tc>
          <w:tcPr>
            <w:tcW w:w="1120" w:type="dxa"/>
            <w:shd w:val="clear" w:color="auto" w:fill="auto"/>
            <w:noWrap/>
            <w:vAlign w:val="bottom"/>
          </w:tcPr>
          <w:p>
            <w:pPr>
              <w:widowControl/>
              <w:jc w:val="center"/>
              <w:rPr>
                <w:rFonts w:ascii="宋体" w:hAnsi="宋体" w:cs="宋体"/>
                <w:b/>
                <w:bCs/>
                <w:kern w:val="0"/>
              </w:rPr>
            </w:pPr>
            <w:r>
              <w:rPr>
                <w:rFonts w:hint="eastAsia" w:ascii="宋体" w:hAnsi="宋体" w:cs="宋体"/>
                <w:b/>
                <w:bCs/>
                <w:kern w:val="0"/>
              </w:rPr>
              <w:t>建筑面积</w:t>
            </w:r>
          </w:p>
        </w:tc>
        <w:tc>
          <w:tcPr>
            <w:tcW w:w="68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m2</w:t>
            </w:r>
          </w:p>
        </w:tc>
        <w:tc>
          <w:tcPr>
            <w:tcW w:w="110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xml:space="preserve">21897.91 </w:t>
            </w:r>
          </w:p>
        </w:tc>
        <w:tc>
          <w:tcPr>
            <w:tcW w:w="130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xml:space="preserve">697.88 </w:t>
            </w:r>
          </w:p>
        </w:tc>
        <w:tc>
          <w:tcPr>
            <w:tcW w:w="130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2480" w:type="dxa"/>
            <w:shd w:val="clear" w:color="auto" w:fill="auto"/>
            <w:noWrap/>
            <w:vAlign w:val="bottom"/>
          </w:tcPr>
          <w:p>
            <w:pPr>
              <w:widowControl/>
              <w:jc w:val="left"/>
              <w:rPr>
                <w:rFonts w:ascii="宋体" w:hAnsi="宋体" w:cs="宋体"/>
                <w:b/>
                <w:bCs/>
                <w:kern w:val="0"/>
                <w:sz w:val="20"/>
                <w:szCs w:val="20"/>
              </w:rPr>
            </w:pPr>
            <w:r>
              <w:rPr>
                <w:rFonts w:hint="eastAsia" w:ascii="宋体" w:hAnsi="宋体" w:cs="宋体"/>
                <w:b/>
                <w:bCs/>
                <w:kern w:val="0"/>
                <w:sz w:val="20"/>
                <w:szCs w:val="20"/>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jc w:val="center"/>
        </w:trPr>
        <w:tc>
          <w:tcPr>
            <w:tcW w:w="81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3.1</w:t>
            </w:r>
          </w:p>
        </w:tc>
        <w:tc>
          <w:tcPr>
            <w:tcW w:w="2340" w:type="dxa"/>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室内给排水</w:t>
            </w:r>
          </w:p>
        </w:tc>
        <w:tc>
          <w:tcPr>
            <w:tcW w:w="899"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899" w:type="dxa"/>
            <w:shd w:val="clear" w:color="auto" w:fill="auto"/>
            <w:noWrap/>
            <w:vAlign w:val="bottom"/>
          </w:tcPr>
          <w:p>
            <w:pPr>
              <w:widowControl/>
              <w:jc w:val="center"/>
              <w:rPr>
                <w:rFonts w:ascii="Times New Roman" w:hAnsi="Times New Roman"/>
                <w:kern w:val="0"/>
              </w:rPr>
            </w:pPr>
            <w:r>
              <w:rPr>
                <w:rFonts w:ascii="Times New Roman" w:hAnsi="Times New Roman"/>
                <w:kern w:val="0"/>
              </w:rPr>
              <w:t xml:space="preserve">64.18 </w:t>
            </w:r>
          </w:p>
        </w:tc>
        <w:tc>
          <w:tcPr>
            <w:tcW w:w="820" w:type="dxa"/>
            <w:shd w:val="clear" w:color="auto" w:fill="auto"/>
            <w:noWrap/>
            <w:vAlign w:val="bottom"/>
          </w:tcPr>
          <w:p>
            <w:pPr>
              <w:widowControl/>
              <w:jc w:val="center"/>
              <w:rPr>
                <w:rFonts w:ascii="Times New Roman" w:hAnsi="Times New Roman"/>
                <w:kern w:val="0"/>
              </w:rPr>
            </w:pPr>
            <w:r>
              <w:rPr>
                <w:rFonts w:ascii="Times New Roman" w:hAnsi="Times New Roman"/>
                <w:kern w:val="0"/>
              </w:rPr>
              <w:t xml:space="preserve">27.51 </w:t>
            </w:r>
          </w:p>
        </w:tc>
        <w:tc>
          <w:tcPr>
            <w:tcW w:w="899" w:type="dxa"/>
            <w:shd w:val="clear" w:color="auto" w:fill="auto"/>
            <w:noWrap/>
            <w:vAlign w:val="bottom"/>
          </w:tcPr>
          <w:p>
            <w:pPr>
              <w:widowControl/>
              <w:jc w:val="center"/>
              <w:rPr>
                <w:rFonts w:ascii="宋体" w:hAnsi="宋体" w:cs="宋体"/>
                <w:kern w:val="0"/>
              </w:rPr>
            </w:pPr>
            <w:r>
              <w:rPr>
                <w:rFonts w:hint="eastAsia" w:ascii="宋体" w:hAnsi="宋体" w:cs="宋体"/>
                <w:kern w:val="0"/>
              </w:rPr>
              <w:t>　</w:t>
            </w:r>
          </w:p>
        </w:tc>
        <w:tc>
          <w:tcPr>
            <w:tcW w:w="1004" w:type="dxa"/>
            <w:shd w:val="clear" w:color="auto" w:fill="auto"/>
            <w:noWrap/>
            <w:vAlign w:val="bottom"/>
          </w:tcPr>
          <w:p>
            <w:pPr>
              <w:widowControl/>
              <w:jc w:val="center"/>
              <w:rPr>
                <w:rFonts w:ascii="Times New Roman" w:hAnsi="Times New Roman"/>
                <w:kern w:val="0"/>
              </w:rPr>
            </w:pPr>
            <w:r>
              <w:rPr>
                <w:rFonts w:ascii="Times New Roman" w:hAnsi="Times New Roman"/>
                <w:kern w:val="0"/>
              </w:rPr>
              <w:t xml:space="preserve">91.69 </w:t>
            </w:r>
          </w:p>
        </w:tc>
        <w:tc>
          <w:tcPr>
            <w:tcW w:w="1120" w:type="dxa"/>
            <w:shd w:val="clear" w:color="auto" w:fill="auto"/>
            <w:noWrap/>
            <w:vAlign w:val="bottom"/>
          </w:tcPr>
          <w:p>
            <w:pPr>
              <w:widowControl/>
              <w:jc w:val="center"/>
              <w:rPr>
                <w:rFonts w:ascii="宋体" w:hAnsi="宋体" w:cs="宋体"/>
                <w:kern w:val="0"/>
              </w:rPr>
            </w:pPr>
            <w:r>
              <w:rPr>
                <w:rFonts w:hint="eastAsia" w:ascii="宋体" w:hAnsi="宋体" w:cs="宋体"/>
                <w:kern w:val="0"/>
              </w:rPr>
              <w:t>建筑面积</w:t>
            </w:r>
          </w:p>
        </w:tc>
        <w:tc>
          <w:tcPr>
            <w:tcW w:w="680" w:type="dxa"/>
            <w:shd w:val="clear" w:color="auto" w:fill="auto"/>
            <w:noWrap/>
            <w:vAlign w:val="bottom"/>
          </w:tcPr>
          <w:p>
            <w:pPr>
              <w:widowControl/>
              <w:jc w:val="center"/>
              <w:rPr>
                <w:rFonts w:ascii="Times New Roman" w:hAnsi="Times New Roman"/>
                <w:kern w:val="0"/>
              </w:rPr>
            </w:pPr>
            <w:r>
              <w:rPr>
                <w:rFonts w:ascii="Times New Roman" w:hAnsi="Times New Roman"/>
                <w:kern w:val="0"/>
              </w:rPr>
              <w:t>m</w:t>
            </w:r>
            <w:r>
              <w:rPr>
                <w:rFonts w:ascii="Times New Roman" w:hAnsi="Times New Roman"/>
                <w:kern w:val="0"/>
                <w:vertAlign w:val="superscript"/>
              </w:rPr>
              <w:t>2</w:t>
            </w:r>
          </w:p>
        </w:tc>
        <w:tc>
          <w:tcPr>
            <w:tcW w:w="1100" w:type="dxa"/>
            <w:shd w:val="clear" w:color="auto" w:fill="auto"/>
            <w:noWrap/>
            <w:vAlign w:val="bottom"/>
          </w:tcPr>
          <w:p>
            <w:pPr>
              <w:widowControl/>
              <w:jc w:val="center"/>
              <w:rPr>
                <w:rFonts w:ascii="Times New Roman" w:hAnsi="Times New Roman"/>
                <w:kern w:val="0"/>
              </w:rPr>
            </w:pPr>
            <w:r>
              <w:rPr>
                <w:rFonts w:ascii="Times New Roman" w:hAnsi="Times New Roman"/>
                <w:kern w:val="0"/>
              </w:rPr>
              <w:t xml:space="preserve">21897.91 </w:t>
            </w:r>
          </w:p>
        </w:tc>
        <w:tc>
          <w:tcPr>
            <w:tcW w:w="1300" w:type="dxa"/>
            <w:shd w:val="clear" w:color="auto" w:fill="auto"/>
            <w:noWrap/>
            <w:vAlign w:val="bottom"/>
          </w:tcPr>
          <w:p>
            <w:pPr>
              <w:widowControl/>
              <w:jc w:val="center"/>
              <w:rPr>
                <w:rFonts w:ascii="Times New Roman" w:hAnsi="Times New Roman"/>
                <w:kern w:val="0"/>
              </w:rPr>
            </w:pPr>
            <w:r>
              <w:rPr>
                <w:rFonts w:ascii="Times New Roman" w:hAnsi="Times New Roman"/>
                <w:kern w:val="0"/>
              </w:rPr>
              <w:t xml:space="preserve">41.87 </w:t>
            </w:r>
          </w:p>
        </w:tc>
        <w:tc>
          <w:tcPr>
            <w:tcW w:w="13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2480" w:type="dxa"/>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jc w:val="center"/>
        </w:trPr>
        <w:tc>
          <w:tcPr>
            <w:tcW w:w="81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3.2</w:t>
            </w:r>
          </w:p>
        </w:tc>
        <w:tc>
          <w:tcPr>
            <w:tcW w:w="2340" w:type="dxa"/>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室内强弱电</w:t>
            </w:r>
          </w:p>
        </w:tc>
        <w:tc>
          <w:tcPr>
            <w:tcW w:w="899"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899" w:type="dxa"/>
            <w:shd w:val="clear" w:color="auto" w:fill="auto"/>
            <w:noWrap/>
            <w:vAlign w:val="bottom"/>
          </w:tcPr>
          <w:p>
            <w:pPr>
              <w:widowControl/>
              <w:jc w:val="center"/>
              <w:rPr>
                <w:rFonts w:ascii="Times New Roman" w:hAnsi="Times New Roman"/>
                <w:kern w:val="0"/>
              </w:rPr>
            </w:pPr>
            <w:r>
              <w:rPr>
                <w:rFonts w:ascii="Times New Roman" w:hAnsi="Times New Roman"/>
                <w:kern w:val="0"/>
              </w:rPr>
              <w:t xml:space="preserve">221.04 </w:t>
            </w:r>
          </w:p>
        </w:tc>
        <w:tc>
          <w:tcPr>
            <w:tcW w:w="820" w:type="dxa"/>
            <w:shd w:val="clear" w:color="auto" w:fill="auto"/>
            <w:noWrap/>
            <w:vAlign w:val="bottom"/>
          </w:tcPr>
          <w:p>
            <w:pPr>
              <w:widowControl/>
              <w:jc w:val="center"/>
              <w:rPr>
                <w:rFonts w:ascii="Times New Roman" w:hAnsi="Times New Roman"/>
                <w:kern w:val="0"/>
              </w:rPr>
            </w:pPr>
            <w:r>
              <w:rPr>
                <w:rFonts w:ascii="Times New Roman" w:hAnsi="Times New Roman"/>
                <w:kern w:val="0"/>
              </w:rPr>
              <w:t xml:space="preserve">94.73 </w:t>
            </w:r>
          </w:p>
        </w:tc>
        <w:tc>
          <w:tcPr>
            <w:tcW w:w="899" w:type="dxa"/>
            <w:shd w:val="clear" w:color="auto" w:fill="auto"/>
            <w:noWrap/>
            <w:vAlign w:val="bottom"/>
          </w:tcPr>
          <w:p>
            <w:pPr>
              <w:widowControl/>
              <w:jc w:val="center"/>
              <w:rPr>
                <w:rFonts w:ascii="宋体" w:hAnsi="宋体" w:cs="宋体"/>
                <w:kern w:val="0"/>
              </w:rPr>
            </w:pPr>
            <w:r>
              <w:rPr>
                <w:rFonts w:hint="eastAsia" w:ascii="宋体" w:hAnsi="宋体" w:cs="宋体"/>
                <w:kern w:val="0"/>
              </w:rPr>
              <w:t>　</w:t>
            </w:r>
          </w:p>
        </w:tc>
        <w:tc>
          <w:tcPr>
            <w:tcW w:w="1004" w:type="dxa"/>
            <w:shd w:val="clear" w:color="auto" w:fill="auto"/>
            <w:noWrap/>
            <w:vAlign w:val="bottom"/>
          </w:tcPr>
          <w:p>
            <w:pPr>
              <w:widowControl/>
              <w:jc w:val="center"/>
              <w:rPr>
                <w:rFonts w:ascii="Times New Roman" w:hAnsi="Times New Roman"/>
                <w:kern w:val="0"/>
              </w:rPr>
            </w:pPr>
            <w:r>
              <w:rPr>
                <w:rFonts w:ascii="Times New Roman" w:hAnsi="Times New Roman"/>
                <w:kern w:val="0"/>
              </w:rPr>
              <w:t xml:space="preserve">315.77 </w:t>
            </w:r>
          </w:p>
        </w:tc>
        <w:tc>
          <w:tcPr>
            <w:tcW w:w="1120" w:type="dxa"/>
            <w:shd w:val="clear" w:color="auto" w:fill="auto"/>
            <w:noWrap/>
            <w:vAlign w:val="bottom"/>
          </w:tcPr>
          <w:p>
            <w:pPr>
              <w:widowControl/>
              <w:jc w:val="center"/>
              <w:rPr>
                <w:rFonts w:ascii="宋体" w:hAnsi="宋体" w:cs="宋体"/>
                <w:kern w:val="0"/>
              </w:rPr>
            </w:pPr>
            <w:r>
              <w:rPr>
                <w:rFonts w:hint="eastAsia" w:ascii="宋体" w:hAnsi="宋体" w:cs="宋体"/>
                <w:kern w:val="0"/>
              </w:rPr>
              <w:t>建筑面积</w:t>
            </w:r>
          </w:p>
        </w:tc>
        <w:tc>
          <w:tcPr>
            <w:tcW w:w="680" w:type="dxa"/>
            <w:shd w:val="clear" w:color="auto" w:fill="auto"/>
            <w:noWrap/>
            <w:vAlign w:val="bottom"/>
          </w:tcPr>
          <w:p>
            <w:pPr>
              <w:widowControl/>
              <w:jc w:val="center"/>
              <w:rPr>
                <w:rFonts w:ascii="Times New Roman" w:hAnsi="Times New Roman"/>
                <w:kern w:val="0"/>
              </w:rPr>
            </w:pPr>
            <w:r>
              <w:rPr>
                <w:rFonts w:ascii="Times New Roman" w:hAnsi="Times New Roman"/>
                <w:kern w:val="0"/>
              </w:rPr>
              <w:t>m</w:t>
            </w:r>
            <w:r>
              <w:rPr>
                <w:rFonts w:ascii="Times New Roman" w:hAnsi="Times New Roman"/>
                <w:kern w:val="0"/>
                <w:vertAlign w:val="superscript"/>
              </w:rPr>
              <w:t>2</w:t>
            </w:r>
          </w:p>
        </w:tc>
        <w:tc>
          <w:tcPr>
            <w:tcW w:w="1100" w:type="dxa"/>
            <w:shd w:val="clear" w:color="auto" w:fill="auto"/>
            <w:noWrap/>
            <w:vAlign w:val="bottom"/>
          </w:tcPr>
          <w:p>
            <w:pPr>
              <w:widowControl/>
              <w:jc w:val="center"/>
              <w:rPr>
                <w:rFonts w:ascii="Times New Roman" w:hAnsi="Times New Roman"/>
                <w:kern w:val="0"/>
              </w:rPr>
            </w:pPr>
            <w:r>
              <w:rPr>
                <w:rFonts w:ascii="Times New Roman" w:hAnsi="Times New Roman"/>
                <w:kern w:val="0"/>
              </w:rPr>
              <w:t xml:space="preserve">21897.91 </w:t>
            </w:r>
          </w:p>
        </w:tc>
        <w:tc>
          <w:tcPr>
            <w:tcW w:w="1300" w:type="dxa"/>
            <w:shd w:val="clear" w:color="auto" w:fill="auto"/>
            <w:noWrap/>
            <w:vAlign w:val="bottom"/>
          </w:tcPr>
          <w:p>
            <w:pPr>
              <w:widowControl/>
              <w:jc w:val="center"/>
              <w:rPr>
                <w:rFonts w:ascii="Times New Roman" w:hAnsi="Times New Roman"/>
                <w:kern w:val="0"/>
              </w:rPr>
            </w:pPr>
            <w:r>
              <w:rPr>
                <w:rFonts w:ascii="Times New Roman" w:hAnsi="Times New Roman"/>
                <w:kern w:val="0"/>
              </w:rPr>
              <w:t xml:space="preserve">144.20 </w:t>
            </w:r>
          </w:p>
        </w:tc>
        <w:tc>
          <w:tcPr>
            <w:tcW w:w="13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2480" w:type="dxa"/>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jc w:val="center"/>
        </w:trPr>
        <w:tc>
          <w:tcPr>
            <w:tcW w:w="81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3.3</w:t>
            </w:r>
          </w:p>
        </w:tc>
        <w:tc>
          <w:tcPr>
            <w:tcW w:w="2340" w:type="dxa"/>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消防系统</w:t>
            </w:r>
          </w:p>
        </w:tc>
        <w:tc>
          <w:tcPr>
            <w:tcW w:w="899"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899" w:type="dxa"/>
            <w:shd w:val="clear" w:color="auto" w:fill="auto"/>
            <w:noWrap/>
            <w:vAlign w:val="bottom"/>
          </w:tcPr>
          <w:p>
            <w:pPr>
              <w:widowControl/>
              <w:jc w:val="center"/>
              <w:rPr>
                <w:rFonts w:ascii="Times New Roman" w:hAnsi="Times New Roman"/>
                <w:kern w:val="0"/>
              </w:rPr>
            </w:pPr>
            <w:r>
              <w:rPr>
                <w:rFonts w:ascii="Times New Roman" w:hAnsi="Times New Roman"/>
                <w:kern w:val="0"/>
              </w:rPr>
              <w:t xml:space="preserve">374.74 </w:t>
            </w:r>
          </w:p>
        </w:tc>
        <w:tc>
          <w:tcPr>
            <w:tcW w:w="820" w:type="dxa"/>
            <w:shd w:val="clear" w:color="auto" w:fill="auto"/>
            <w:noWrap/>
            <w:vAlign w:val="bottom"/>
          </w:tcPr>
          <w:p>
            <w:pPr>
              <w:widowControl/>
              <w:jc w:val="center"/>
              <w:rPr>
                <w:rFonts w:ascii="Times New Roman" w:hAnsi="Times New Roman"/>
                <w:kern w:val="0"/>
              </w:rPr>
            </w:pPr>
            <w:r>
              <w:rPr>
                <w:rFonts w:ascii="Times New Roman" w:hAnsi="Times New Roman"/>
                <w:kern w:val="0"/>
              </w:rPr>
              <w:t xml:space="preserve">160.60 </w:t>
            </w:r>
          </w:p>
        </w:tc>
        <w:tc>
          <w:tcPr>
            <w:tcW w:w="899" w:type="dxa"/>
            <w:shd w:val="clear" w:color="auto" w:fill="auto"/>
            <w:noWrap/>
            <w:vAlign w:val="bottom"/>
          </w:tcPr>
          <w:p>
            <w:pPr>
              <w:widowControl/>
              <w:jc w:val="center"/>
              <w:rPr>
                <w:rFonts w:ascii="宋体" w:hAnsi="宋体" w:cs="宋体"/>
                <w:kern w:val="0"/>
              </w:rPr>
            </w:pPr>
            <w:r>
              <w:rPr>
                <w:rFonts w:hint="eastAsia" w:ascii="宋体" w:hAnsi="宋体" w:cs="宋体"/>
                <w:kern w:val="0"/>
              </w:rPr>
              <w:t>　</w:t>
            </w:r>
          </w:p>
        </w:tc>
        <w:tc>
          <w:tcPr>
            <w:tcW w:w="1004" w:type="dxa"/>
            <w:shd w:val="clear" w:color="auto" w:fill="auto"/>
            <w:noWrap/>
            <w:vAlign w:val="bottom"/>
          </w:tcPr>
          <w:p>
            <w:pPr>
              <w:widowControl/>
              <w:jc w:val="center"/>
              <w:rPr>
                <w:rFonts w:ascii="Times New Roman" w:hAnsi="Times New Roman"/>
                <w:kern w:val="0"/>
              </w:rPr>
            </w:pPr>
            <w:r>
              <w:rPr>
                <w:rFonts w:ascii="Times New Roman" w:hAnsi="Times New Roman"/>
                <w:kern w:val="0"/>
              </w:rPr>
              <w:t xml:space="preserve">535.34 </w:t>
            </w:r>
          </w:p>
        </w:tc>
        <w:tc>
          <w:tcPr>
            <w:tcW w:w="1120" w:type="dxa"/>
            <w:shd w:val="clear" w:color="auto" w:fill="auto"/>
            <w:noWrap/>
            <w:vAlign w:val="bottom"/>
          </w:tcPr>
          <w:p>
            <w:pPr>
              <w:widowControl/>
              <w:jc w:val="center"/>
              <w:rPr>
                <w:rFonts w:ascii="宋体" w:hAnsi="宋体" w:cs="宋体"/>
                <w:kern w:val="0"/>
              </w:rPr>
            </w:pPr>
            <w:r>
              <w:rPr>
                <w:rFonts w:hint="eastAsia" w:ascii="宋体" w:hAnsi="宋体" w:cs="宋体"/>
                <w:kern w:val="0"/>
              </w:rPr>
              <w:t>建筑面积</w:t>
            </w:r>
          </w:p>
        </w:tc>
        <w:tc>
          <w:tcPr>
            <w:tcW w:w="680" w:type="dxa"/>
            <w:shd w:val="clear" w:color="auto" w:fill="auto"/>
            <w:noWrap/>
            <w:vAlign w:val="bottom"/>
          </w:tcPr>
          <w:p>
            <w:pPr>
              <w:widowControl/>
              <w:jc w:val="center"/>
              <w:rPr>
                <w:rFonts w:ascii="Times New Roman" w:hAnsi="Times New Roman"/>
                <w:kern w:val="0"/>
              </w:rPr>
            </w:pPr>
            <w:r>
              <w:rPr>
                <w:rFonts w:ascii="Times New Roman" w:hAnsi="Times New Roman"/>
                <w:kern w:val="0"/>
              </w:rPr>
              <w:t>m</w:t>
            </w:r>
            <w:r>
              <w:rPr>
                <w:rFonts w:ascii="Times New Roman" w:hAnsi="Times New Roman"/>
                <w:kern w:val="0"/>
                <w:vertAlign w:val="superscript"/>
              </w:rPr>
              <w:t>2</w:t>
            </w:r>
          </w:p>
        </w:tc>
        <w:tc>
          <w:tcPr>
            <w:tcW w:w="1100" w:type="dxa"/>
            <w:shd w:val="clear" w:color="auto" w:fill="auto"/>
            <w:noWrap/>
            <w:vAlign w:val="bottom"/>
          </w:tcPr>
          <w:p>
            <w:pPr>
              <w:widowControl/>
              <w:jc w:val="center"/>
              <w:rPr>
                <w:rFonts w:ascii="Times New Roman" w:hAnsi="Times New Roman"/>
                <w:kern w:val="0"/>
              </w:rPr>
            </w:pPr>
            <w:r>
              <w:rPr>
                <w:rFonts w:ascii="Times New Roman" w:hAnsi="Times New Roman"/>
                <w:kern w:val="0"/>
              </w:rPr>
              <w:t xml:space="preserve">21897.91 </w:t>
            </w:r>
          </w:p>
        </w:tc>
        <w:tc>
          <w:tcPr>
            <w:tcW w:w="1300" w:type="dxa"/>
            <w:shd w:val="clear" w:color="auto" w:fill="auto"/>
            <w:noWrap/>
            <w:vAlign w:val="bottom"/>
          </w:tcPr>
          <w:p>
            <w:pPr>
              <w:widowControl/>
              <w:jc w:val="center"/>
              <w:rPr>
                <w:rFonts w:ascii="Times New Roman" w:hAnsi="Times New Roman"/>
                <w:kern w:val="0"/>
              </w:rPr>
            </w:pPr>
            <w:r>
              <w:rPr>
                <w:rFonts w:ascii="Times New Roman" w:hAnsi="Times New Roman"/>
                <w:kern w:val="0"/>
              </w:rPr>
              <w:t xml:space="preserve">244.47 </w:t>
            </w:r>
          </w:p>
        </w:tc>
        <w:tc>
          <w:tcPr>
            <w:tcW w:w="13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2480" w:type="dxa"/>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jc w:val="center"/>
        </w:trPr>
        <w:tc>
          <w:tcPr>
            <w:tcW w:w="81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3.4</w:t>
            </w:r>
          </w:p>
        </w:tc>
        <w:tc>
          <w:tcPr>
            <w:tcW w:w="2340" w:type="dxa"/>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通风、空调系统</w:t>
            </w:r>
          </w:p>
        </w:tc>
        <w:tc>
          <w:tcPr>
            <w:tcW w:w="899"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899" w:type="dxa"/>
            <w:shd w:val="clear" w:color="auto" w:fill="auto"/>
            <w:noWrap/>
            <w:vAlign w:val="bottom"/>
          </w:tcPr>
          <w:p>
            <w:pPr>
              <w:widowControl/>
              <w:jc w:val="center"/>
              <w:rPr>
                <w:rFonts w:ascii="Times New Roman" w:hAnsi="Times New Roman"/>
                <w:kern w:val="0"/>
              </w:rPr>
            </w:pPr>
            <w:r>
              <w:rPr>
                <w:rFonts w:ascii="Times New Roman" w:hAnsi="Times New Roman"/>
                <w:kern w:val="0"/>
              </w:rPr>
              <w:t xml:space="preserve">409.79 </w:t>
            </w:r>
          </w:p>
        </w:tc>
        <w:tc>
          <w:tcPr>
            <w:tcW w:w="820" w:type="dxa"/>
            <w:shd w:val="clear" w:color="auto" w:fill="auto"/>
            <w:noWrap/>
            <w:vAlign w:val="bottom"/>
          </w:tcPr>
          <w:p>
            <w:pPr>
              <w:widowControl/>
              <w:jc w:val="center"/>
              <w:rPr>
                <w:rFonts w:ascii="Times New Roman" w:hAnsi="Times New Roman"/>
                <w:kern w:val="0"/>
              </w:rPr>
            </w:pPr>
            <w:r>
              <w:rPr>
                <w:rFonts w:ascii="Times New Roman" w:hAnsi="Times New Roman"/>
                <w:kern w:val="0"/>
              </w:rPr>
              <w:t xml:space="preserve">175.63 </w:t>
            </w:r>
          </w:p>
        </w:tc>
        <w:tc>
          <w:tcPr>
            <w:tcW w:w="899" w:type="dxa"/>
            <w:shd w:val="clear" w:color="auto" w:fill="auto"/>
            <w:noWrap/>
            <w:vAlign w:val="bottom"/>
          </w:tcPr>
          <w:p>
            <w:pPr>
              <w:widowControl/>
              <w:jc w:val="center"/>
              <w:rPr>
                <w:rFonts w:ascii="宋体" w:hAnsi="宋体" w:cs="宋体"/>
                <w:kern w:val="0"/>
              </w:rPr>
            </w:pPr>
            <w:r>
              <w:rPr>
                <w:rFonts w:hint="eastAsia" w:ascii="宋体" w:hAnsi="宋体" w:cs="宋体"/>
                <w:kern w:val="0"/>
              </w:rPr>
              <w:t>　</w:t>
            </w:r>
          </w:p>
        </w:tc>
        <w:tc>
          <w:tcPr>
            <w:tcW w:w="1004" w:type="dxa"/>
            <w:shd w:val="clear" w:color="auto" w:fill="auto"/>
            <w:noWrap/>
            <w:vAlign w:val="bottom"/>
          </w:tcPr>
          <w:p>
            <w:pPr>
              <w:widowControl/>
              <w:jc w:val="center"/>
              <w:rPr>
                <w:rFonts w:ascii="Times New Roman" w:hAnsi="Times New Roman"/>
                <w:kern w:val="0"/>
              </w:rPr>
            </w:pPr>
            <w:r>
              <w:rPr>
                <w:rFonts w:ascii="Times New Roman" w:hAnsi="Times New Roman"/>
                <w:kern w:val="0"/>
              </w:rPr>
              <w:t xml:space="preserve">585.42 </w:t>
            </w:r>
          </w:p>
        </w:tc>
        <w:tc>
          <w:tcPr>
            <w:tcW w:w="1120" w:type="dxa"/>
            <w:shd w:val="clear" w:color="auto" w:fill="auto"/>
            <w:noWrap/>
            <w:vAlign w:val="bottom"/>
          </w:tcPr>
          <w:p>
            <w:pPr>
              <w:widowControl/>
              <w:jc w:val="center"/>
              <w:rPr>
                <w:rFonts w:ascii="宋体" w:hAnsi="宋体" w:cs="宋体"/>
                <w:kern w:val="0"/>
              </w:rPr>
            </w:pPr>
            <w:r>
              <w:rPr>
                <w:rFonts w:hint="eastAsia" w:ascii="宋体" w:hAnsi="宋体" w:cs="宋体"/>
                <w:kern w:val="0"/>
              </w:rPr>
              <w:t>建筑面积</w:t>
            </w:r>
          </w:p>
        </w:tc>
        <w:tc>
          <w:tcPr>
            <w:tcW w:w="680" w:type="dxa"/>
            <w:shd w:val="clear" w:color="auto" w:fill="auto"/>
            <w:noWrap/>
            <w:vAlign w:val="bottom"/>
          </w:tcPr>
          <w:p>
            <w:pPr>
              <w:widowControl/>
              <w:jc w:val="center"/>
              <w:rPr>
                <w:rFonts w:ascii="Times New Roman" w:hAnsi="Times New Roman"/>
                <w:kern w:val="0"/>
              </w:rPr>
            </w:pPr>
            <w:r>
              <w:rPr>
                <w:rFonts w:ascii="Times New Roman" w:hAnsi="Times New Roman"/>
                <w:kern w:val="0"/>
              </w:rPr>
              <w:t>m</w:t>
            </w:r>
            <w:r>
              <w:rPr>
                <w:rFonts w:ascii="Times New Roman" w:hAnsi="Times New Roman"/>
                <w:kern w:val="0"/>
                <w:vertAlign w:val="superscript"/>
              </w:rPr>
              <w:t>2</w:t>
            </w:r>
          </w:p>
        </w:tc>
        <w:tc>
          <w:tcPr>
            <w:tcW w:w="1100" w:type="dxa"/>
            <w:shd w:val="clear" w:color="auto" w:fill="auto"/>
            <w:noWrap/>
            <w:vAlign w:val="bottom"/>
          </w:tcPr>
          <w:p>
            <w:pPr>
              <w:widowControl/>
              <w:jc w:val="center"/>
              <w:rPr>
                <w:rFonts w:ascii="Times New Roman" w:hAnsi="Times New Roman"/>
                <w:kern w:val="0"/>
              </w:rPr>
            </w:pPr>
            <w:r>
              <w:rPr>
                <w:rFonts w:ascii="Times New Roman" w:hAnsi="Times New Roman"/>
                <w:kern w:val="0"/>
              </w:rPr>
              <w:t xml:space="preserve">12900.00 </w:t>
            </w:r>
          </w:p>
        </w:tc>
        <w:tc>
          <w:tcPr>
            <w:tcW w:w="1300" w:type="dxa"/>
            <w:shd w:val="clear" w:color="auto" w:fill="auto"/>
            <w:noWrap/>
            <w:vAlign w:val="bottom"/>
          </w:tcPr>
          <w:p>
            <w:pPr>
              <w:widowControl/>
              <w:jc w:val="center"/>
              <w:rPr>
                <w:rFonts w:ascii="Times New Roman" w:hAnsi="Times New Roman"/>
                <w:kern w:val="0"/>
              </w:rPr>
            </w:pPr>
            <w:r>
              <w:rPr>
                <w:rFonts w:ascii="Times New Roman" w:hAnsi="Times New Roman"/>
                <w:kern w:val="0"/>
              </w:rPr>
              <w:t xml:space="preserve">453.81 </w:t>
            </w:r>
          </w:p>
        </w:tc>
        <w:tc>
          <w:tcPr>
            <w:tcW w:w="13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2480" w:type="dxa"/>
            <w:shd w:val="clear" w:color="auto" w:fill="auto"/>
            <w:noWrap/>
            <w:vAlign w:val="bottom"/>
          </w:tcPr>
          <w:p>
            <w:pPr>
              <w:widowControl/>
              <w:jc w:val="left"/>
              <w:rPr>
                <w:rFonts w:ascii="宋体" w:hAnsi="宋体" w:cs="宋体"/>
                <w:b/>
                <w:bCs/>
                <w:kern w:val="0"/>
                <w:sz w:val="20"/>
                <w:szCs w:val="20"/>
              </w:rPr>
            </w:pPr>
            <w:r>
              <w:rPr>
                <w:rFonts w:hint="eastAsia" w:ascii="宋体" w:hAnsi="宋体" w:cs="宋体"/>
                <w:b/>
                <w:bCs/>
                <w:kern w:val="0"/>
                <w:sz w:val="20"/>
                <w:szCs w:val="20"/>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jc w:val="center"/>
        </w:trPr>
        <w:tc>
          <w:tcPr>
            <w:tcW w:w="819" w:type="dxa"/>
            <w:shd w:val="clear" w:color="auto" w:fill="auto"/>
            <w:noWrap/>
            <w:vAlign w:val="bottom"/>
          </w:tcPr>
          <w:p>
            <w:pPr>
              <w:widowControl/>
              <w:jc w:val="center"/>
              <w:rPr>
                <w:rFonts w:ascii="宋体" w:hAnsi="宋体" w:cs="宋体"/>
                <w:b/>
                <w:bCs/>
                <w:kern w:val="0"/>
                <w:sz w:val="20"/>
                <w:szCs w:val="20"/>
              </w:rPr>
            </w:pPr>
            <w:r>
              <w:rPr>
                <w:rFonts w:hint="eastAsia" w:ascii="宋体" w:hAnsi="宋体" w:cs="宋体"/>
                <w:b/>
                <w:bCs/>
                <w:kern w:val="0"/>
                <w:sz w:val="20"/>
                <w:szCs w:val="20"/>
              </w:rPr>
              <w:t>4</w:t>
            </w:r>
          </w:p>
        </w:tc>
        <w:tc>
          <w:tcPr>
            <w:tcW w:w="2340" w:type="dxa"/>
            <w:shd w:val="clear" w:color="auto" w:fill="auto"/>
            <w:noWrap/>
            <w:vAlign w:val="bottom"/>
          </w:tcPr>
          <w:p>
            <w:pPr>
              <w:widowControl/>
              <w:jc w:val="left"/>
              <w:rPr>
                <w:rFonts w:ascii="宋体" w:hAnsi="宋体" w:cs="宋体"/>
                <w:b/>
                <w:bCs/>
                <w:kern w:val="0"/>
                <w:sz w:val="20"/>
                <w:szCs w:val="20"/>
              </w:rPr>
            </w:pPr>
            <w:r>
              <w:rPr>
                <w:rFonts w:hint="eastAsia" w:ascii="宋体" w:hAnsi="宋体" w:cs="宋体"/>
                <w:b/>
                <w:bCs/>
                <w:kern w:val="0"/>
                <w:sz w:val="20"/>
                <w:szCs w:val="20"/>
              </w:rPr>
              <w:t>变配电</w:t>
            </w:r>
          </w:p>
        </w:tc>
        <w:tc>
          <w:tcPr>
            <w:tcW w:w="899"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899" w:type="dxa"/>
            <w:shd w:val="clear" w:color="auto" w:fill="auto"/>
            <w:noWrap/>
            <w:vAlign w:val="bottom"/>
          </w:tcPr>
          <w:p>
            <w:pPr>
              <w:widowControl/>
              <w:jc w:val="center"/>
              <w:rPr>
                <w:rFonts w:ascii="宋体" w:hAnsi="宋体" w:cs="宋体"/>
                <w:b/>
                <w:bCs/>
                <w:kern w:val="0"/>
              </w:rPr>
            </w:pPr>
            <w:r>
              <w:rPr>
                <w:rFonts w:hint="eastAsia" w:ascii="宋体" w:hAnsi="宋体" w:cs="宋体"/>
                <w:b/>
                <w:bCs/>
                <w:kern w:val="0"/>
              </w:rPr>
              <w:t>　</w:t>
            </w:r>
          </w:p>
        </w:tc>
        <w:tc>
          <w:tcPr>
            <w:tcW w:w="820" w:type="dxa"/>
            <w:shd w:val="clear" w:color="auto" w:fill="auto"/>
            <w:noWrap/>
            <w:vAlign w:val="bottom"/>
          </w:tcPr>
          <w:p>
            <w:pPr>
              <w:widowControl/>
              <w:jc w:val="center"/>
              <w:rPr>
                <w:rFonts w:ascii="宋体" w:hAnsi="宋体" w:cs="宋体"/>
                <w:b/>
                <w:bCs/>
                <w:kern w:val="0"/>
              </w:rPr>
            </w:pPr>
            <w:r>
              <w:rPr>
                <w:rFonts w:hint="eastAsia" w:ascii="宋体" w:hAnsi="宋体" w:cs="宋体"/>
                <w:b/>
                <w:bCs/>
                <w:kern w:val="0"/>
              </w:rPr>
              <w:t>　</w:t>
            </w:r>
          </w:p>
        </w:tc>
        <w:tc>
          <w:tcPr>
            <w:tcW w:w="899" w:type="dxa"/>
            <w:shd w:val="clear" w:color="auto" w:fill="auto"/>
            <w:noWrap/>
            <w:vAlign w:val="bottom"/>
          </w:tcPr>
          <w:p>
            <w:pPr>
              <w:widowControl/>
              <w:jc w:val="center"/>
              <w:rPr>
                <w:rFonts w:ascii="宋体" w:hAnsi="宋体" w:cs="宋体"/>
                <w:b/>
                <w:bCs/>
                <w:kern w:val="0"/>
              </w:rPr>
            </w:pPr>
            <w:r>
              <w:rPr>
                <w:rFonts w:hint="eastAsia" w:ascii="宋体" w:hAnsi="宋体" w:cs="宋体"/>
                <w:b/>
                <w:bCs/>
                <w:kern w:val="0"/>
              </w:rPr>
              <w:t>　</w:t>
            </w:r>
          </w:p>
        </w:tc>
        <w:tc>
          <w:tcPr>
            <w:tcW w:w="1004"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xml:space="preserve">466.14 </w:t>
            </w:r>
          </w:p>
        </w:tc>
        <w:tc>
          <w:tcPr>
            <w:tcW w:w="1120" w:type="dxa"/>
            <w:shd w:val="clear" w:color="auto" w:fill="auto"/>
            <w:noWrap/>
            <w:vAlign w:val="bottom"/>
          </w:tcPr>
          <w:p>
            <w:pPr>
              <w:widowControl/>
              <w:jc w:val="center"/>
              <w:rPr>
                <w:rFonts w:ascii="宋体" w:hAnsi="宋体" w:cs="宋体"/>
                <w:b/>
                <w:bCs/>
                <w:kern w:val="0"/>
              </w:rPr>
            </w:pPr>
            <w:r>
              <w:rPr>
                <w:rFonts w:hint="eastAsia" w:ascii="宋体" w:hAnsi="宋体" w:cs="宋体"/>
                <w:b/>
                <w:bCs/>
                <w:kern w:val="0"/>
              </w:rPr>
              <w:t>建筑面积</w:t>
            </w:r>
          </w:p>
        </w:tc>
        <w:tc>
          <w:tcPr>
            <w:tcW w:w="68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m2</w:t>
            </w:r>
          </w:p>
        </w:tc>
        <w:tc>
          <w:tcPr>
            <w:tcW w:w="110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xml:space="preserve">21897.91 </w:t>
            </w:r>
          </w:p>
        </w:tc>
        <w:tc>
          <w:tcPr>
            <w:tcW w:w="130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xml:space="preserve">212.87 </w:t>
            </w:r>
          </w:p>
        </w:tc>
        <w:tc>
          <w:tcPr>
            <w:tcW w:w="130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2480" w:type="dxa"/>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jc w:val="center"/>
        </w:trPr>
        <w:tc>
          <w:tcPr>
            <w:tcW w:w="819" w:type="dxa"/>
            <w:shd w:val="clear" w:color="auto" w:fill="auto"/>
            <w:noWrap/>
            <w:vAlign w:val="bottom"/>
          </w:tcPr>
          <w:p>
            <w:pPr>
              <w:widowControl/>
              <w:jc w:val="center"/>
              <w:rPr>
                <w:rFonts w:ascii="宋体" w:hAnsi="宋体" w:cs="宋体"/>
                <w:b/>
                <w:bCs/>
                <w:kern w:val="0"/>
                <w:sz w:val="20"/>
                <w:szCs w:val="20"/>
              </w:rPr>
            </w:pPr>
            <w:r>
              <w:rPr>
                <w:rFonts w:hint="eastAsia" w:ascii="宋体" w:hAnsi="宋体" w:cs="宋体"/>
                <w:b/>
                <w:bCs/>
                <w:kern w:val="0"/>
                <w:sz w:val="20"/>
                <w:szCs w:val="20"/>
              </w:rPr>
              <w:t>5</w:t>
            </w:r>
          </w:p>
        </w:tc>
        <w:tc>
          <w:tcPr>
            <w:tcW w:w="2340" w:type="dxa"/>
            <w:shd w:val="clear" w:color="auto" w:fill="auto"/>
            <w:noWrap/>
            <w:vAlign w:val="bottom"/>
          </w:tcPr>
          <w:p>
            <w:pPr>
              <w:widowControl/>
              <w:jc w:val="left"/>
              <w:rPr>
                <w:rFonts w:ascii="宋体" w:hAnsi="宋体" w:cs="宋体"/>
                <w:b/>
                <w:bCs/>
                <w:kern w:val="0"/>
                <w:sz w:val="20"/>
                <w:szCs w:val="20"/>
              </w:rPr>
            </w:pPr>
            <w:r>
              <w:rPr>
                <w:rFonts w:hint="eastAsia" w:ascii="宋体" w:hAnsi="宋体" w:cs="宋体"/>
                <w:b/>
                <w:bCs/>
                <w:kern w:val="0"/>
                <w:sz w:val="20"/>
                <w:szCs w:val="20"/>
              </w:rPr>
              <w:t>室外综合管网</w:t>
            </w:r>
          </w:p>
        </w:tc>
        <w:tc>
          <w:tcPr>
            <w:tcW w:w="899"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899" w:type="dxa"/>
            <w:shd w:val="clear" w:color="auto" w:fill="auto"/>
            <w:noWrap/>
            <w:vAlign w:val="bottom"/>
          </w:tcPr>
          <w:p>
            <w:pPr>
              <w:widowControl/>
              <w:jc w:val="center"/>
              <w:rPr>
                <w:rFonts w:ascii="宋体" w:hAnsi="宋体" w:cs="宋体"/>
                <w:b/>
                <w:bCs/>
                <w:kern w:val="0"/>
              </w:rPr>
            </w:pPr>
            <w:r>
              <w:rPr>
                <w:rFonts w:hint="eastAsia" w:ascii="宋体" w:hAnsi="宋体" w:cs="宋体"/>
                <w:b/>
                <w:bCs/>
                <w:kern w:val="0"/>
              </w:rPr>
              <w:t>　</w:t>
            </w:r>
          </w:p>
        </w:tc>
        <w:tc>
          <w:tcPr>
            <w:tcW w:w="820" w:type="dxa"/>
            <w:shd w:val="clear" w:color="auto" w:fill="auto"/>
            <w:noWrap/>
            <w:vAlign w:val="bottom"/>
          </w:tcPr>
          <w:p>
            <w:pPr>
              <w:widowControl/>
              <w:jc w:val="center"/>
              <w:rPr>
                <w:rFonts w:ascii="宋体" w:hAnsi="宋体" w:cs="宋体"/>
                <w:b/>
                <w:bCs/>
                <w:kern w:val="0"/>
              </w:rPr>
            </w:pPr>
            <w:r>
              <w:rPr>
                <w:rFonts w:hint="eastAsia" w:ascii="宋体" w:hAnsi="宋体" w:cs="宋体"/>
                <w:b/>
                <w:bCs/>
                <w:kern w:val="0"/>
              </w:rPr>
              <w:t>　</w:t>
            </w:r>
          </w:p>
        </w:tc>
        <w:tc>
          <w:tcPr>
            <w:tcW w:w="899" w:type="dxa"/>
            <w:shd w:val="clear" w:color="auto" w:fill="auto"/>
            <w:noWrap/>
            <w:vAlign w:val="bottom"/>
          </w:tcPr>
          <w:p>
            <w:pPr>
              <w:widowControl/>
              <w:jc w:val="center"/>
              <w:rPr>
                <w:rFonts w:ascii="宋体" w:hAnsi="宋体" w:cs="宋体"/>
                <w:b/>
                <w:bCs/>
                <w:kern w:val="0"/>
              </w:rPr>
            </w:pPr>
            <w:r>
              <w:rPr>
                <w:rFonts w:hint="eastAsia" w:ascii="宋体" w:hAnsi="宋体" w:cs="宋体"/>
                <w:b/>
                <w:bCs/>
                <w:kern w:val="0"/>
              </w:rPr>
              <w:t>　</w:t>
            </w:r>
          </w:p>
        </w:tc>
        <w:tc>
          <w:tcPr>
            <w:tcW w:w="1004"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xml:space="preserve">77.15 </w:t>
            </w:r>
          </w:p>
        </w:tc>
        <w:tc>
          <w:tcPr>
            <w:tcW w:w="1120" w:type="dxa"/>
            <w:shd w:val="clear" w:color="auto" w:fill="auto"/>
            <w:vAlign w:val="bottom"/>
          </w:tcPr>
          <w:p>
            <w:pPr>
              <w:widowControl/>
              <w:jc w:val="center"/>
              <w:rPr>
                <w:rFonts w:ascii="宋体" w:hAnsi="宋体" w:cs="宋体"/>
                <w:b/>
                <w:bCs/>
                <w:kern w:val="0"/>
              </w:rPr>
            </w:pPr>
            <w:r>
              <w:rPr>
                <w:rFonts w:hint="eastAsia" w:ascii="宋体" w:hAnsi="宋体" w:cs="宋体"/>
                <w:b/>
                <w:bCs/>
                <w:kern w:val="0"/>
              </w:rPr>
              <w:t>建筑面积</w:t>
            </w:r>
          </w:p>
        </w:tc>
        <w:tc>
          <w:tcPr>
            <w:tcW w:w="68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m2</w:t>
            </w:r>
          </w:p>
        </w:tc>
        <w:tc>
          <w:tcPr>
            <w:tcW w:w="110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xml:space="preserve">21897.91 </w:t>
            </w:r>
          </w:p>
        </w:tc>
        <w:tc>
          <w:tcPr>
            <w:tcW w:w="130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xml:space="preserve">35.23 </w:t>
            </w:r>
          </w:p>
        </w:tc>
        <w:tc>
          <w:tcPr>
            <w:tcW w:w="130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2480" w:type="dxa"/>
            <w:shd w:val="clear" w:color="auto" w:fill="auto"/>
            <w:noWrap/>
            <w:vAlign w:val="bottom"/>
          </w:tcPr>
          <w:p>
            <w:pPr>
              <w:widowControl/>
              <w:jc w:val="left"/>
              <w:rPr>
                <w:rFonts w:ascii="宋体" w:hAnsi="宋体" w:cs="宋体"/>
                <w:b/>
                <w:bCs/>
                <w:kern w:val="0"/>
                <w:sz w:val="20"/>
                <w:szCs w:val="20"/>
              </w:rPr>
            </w:pPr>
            <w:r>
              <w:rPr>
                <w:rFonts w:hint="eastAsia" w:ascii="宋体" w:hAnsi="宋体" w:cs="宋体"/>
                <w:b/>
                <w:bCs/>
                <w:kern w:val="0"/>
                <w:sz w:val="20"/>
                <w:szCs w:val="20"/>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jc w:val="center"/>
        </w:trPr>
        <w:tc>
          <w:tcPr>
            <w:tcW w:w="819" w:type="dxa"/>
            <w:shd w:val="clear" w:color="auto" w:fill="auto"/>
            <w:noWrap/>
            <w:vAlign w:val="bottom"/>
          </w:tcPr>
          <w:p>
            <w:pPr>
              <w:widowControl/>
              <w:jc w:val="center"/>
              <w:rPr>
                <w:rFonts w:ascii="宋体" w:hAnsi="宋体" w:cs="宋体"/>
                <w:b/>
                <w:bCs/>
                <w:kern w:val="0"/>
                <w:sz w:val="20"/>
                <w:szCs w:val="20"/>
              </w:rPr>
            </w:pPr>
            <w:r>
              <w:rPr>
                <w:rFonts w:hint="eastAsia" w:ascii="宋体" w:hAnsi="宋体" w:cs="宋体"/>
                <w:b/>
                <w:bCs/>
                <w:kern w:val="0"/>
                <w:sz w:val="20"/>
                <w:szCs w:val="20"/>
              </w:rPr>
              <w:t>6</w:t>
            </w:r>
          </w:p>
        </w:tc>
        <w:tc>
          <w:tcPr>
            <w:tcW w:w="2340" w:type="dxa"/>
            <w:shd w:val="clear" w:color="auto" w:fill="auto"/>
            <w:noWrap/>
            <w:vAlign w:val="bottom"/>
          </w:tcPr>
          <w:p>
            <w:pPr>
              <w:widowControl/>
              <w:jc w:val="left"/>
              <w:rPr>
                <w:rFonts w:ascii="宋体" w:hAnsi="宋体" w:cs="宋体"/>
                <w:b/>
                <w:bCs/>
                <w:kern w:val="0"/>
                <w:sz w:val="20"/>
                <w:szCs w:val="20"/>
              </w:rPr>
            </w:pPr>
            <w:r>
              <w:rPr>
                <w:rFonts w:hint="eastAsia" w:ascii="宋体" w:hAnsi="宋体" w:cs="宋体"/>
                <w:b/>
                <w:bCs/>
                <w:kern w:val="0"/>
                <w:sz w:val="20"/>
                <w:szCs w:val="20"/>
              </w:rPr>
              <w:t>电梯(4)</w:t>
            </w:r>
          </w:p>
        </w:tc>
        <w:tc>
          <w:tcPr>
            <w:tcW w:w="899"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899" w:type="dxa"/>
            <w:shd w:val="clear" w:color="auto" w:fill="auto"/>
            <w:noWrap/>
            <w:vAlign w:val="bottom"/>
          </w:tcPr>
          <w:p>
            <w:pPr>
              <w:widowControl/>
              <w:jc w:val="center"/>
              <w:rPr>
                <w:rFonts w:ascii="宋体" w:hAnsi="宋体" w:cs="宋体"/>
                <w:b/>
                <w:bCs/>
                <w:kern w:val="0"/>
              </w:rPr>
            </w:pPr>
            <w:r>
              <w:rPr>
                <w:rFonts w:hint="eastAsia" w:ascii="宋体" w:hAnsi="宋体" w:cs="宋体"/>
                <w:b/>
                <w:bCs/>
                <w:kern w:val="0"/>
              </w:rPr>
              <w:t>　</w:t>
            </w:r>
          </w:p>
        </w:tc>
        <w:tc>
          <w:tcPr>
            <w:tcW w:w="820" w:type="dxa"/>
            <w:shd w:val="clear" w:color="auto" w:fill="auto"/>
            <w:noWrap/>
            <w:vAlign w:val="bottom"/>
          </w:tcPr>
          <w:p>
            <w:pPr>
              <w:widowControl/>
              <w:jc w:val="center"/>
              <w:rPr>
                <w:rFonts w:ascii="宋体" w:hAnsi="宋体" w:cs="宋体"/>
                <w:b/>
                <w:bCs/>
                <w:kern w:val="0"/>
              </w:rPr>
            </w:pPr>
            <w:r>
              <w:rPr>
                <w:rFonts w:hint="eastAsia" w:ascii="宋体" w:hAnsi="宋体" w:cs="宋体"/>
                <w:b/>
                <w:bCs/>
                <w:kern w:val="0"/>
              </w:rPr>
              <w:t>　</w:t>
            </w:r>
          </w:p>
        </w:tc>
        <w:tc>
          <w:tcPr>
            <w:tcW w:w="899" w:type="dxa"/>
            <w:shd w:val="clear" w:color="auto" w:fill="auto"/>
            <w:noWrap/>
            <w:vAlign w:val="bottom"/>
          </w:tcPr>
          <w:p>
            <w:pPr>
              <w:widowControl/>
              <w:jc w:val="center"/>
              <w:rPr>
                <w:rFonts w:ascii="宋体" w:hAnsi="宋体" w:cs="宋体"/>
                <w:b/>
                <w:bCs/>
                <w:kern w:val="0"/>
              </w:rPr>
            </w:pPr>
            <w:r>
              <w:rPr>
                <w:rFonts w:hint="eastAsia" w:ascii="宋体" w:hAnsi="宋体" w:cs="宋体"/>
                <w:b/>
                <w:bCs/>
                <w:kern w:val="0"/>
              </w:rPr>
              <w:t>　</w:t>
            </w:r>
          </w:p>
        </w:tc>
        <w:tc>
          <w:tcPr>
            <w:tcW w:w="1004"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xml:space="preserve">110.00 </w:t>
            </w:r>
          </w:p>
        </w:tc>
        <w:tc>
          <w:tcPr>
            <w:tcW w:w="1120" w:type="dxa"/>
            <w:shd w:val="clear" w:color="auto" w:fill="auto"/>
            <w:vAlign w:val="bottom"/>
          </w:tcPr>
          <w:p>
            <w:pPr>
              <w:widowControl/>
              <w:jc w:val="center"/>
              <w:rPr>
                <w:rFonts w:ascii="宋体" w:hAnsi="宋体" w:cs="宋体"/>
                <w:b/>
                <w:bCs/>
                <w:kern w:val="0"/>
              </w:rPr>
            </w:pPr>
            <w:r>
              <w:rPr>
                <w:rFonts w:hint="eastAsia" w:ascii="宋体" w:hAnsi="宋体" w:cs="宋体"/>
                <w:b/>
                <w:bCs/>
                <w:kern w:val="0"/>
              </w:rPr>
              <w:t>　</w:t>
            </w:r>
          </w:p>
        </w:tc>
        <w:tc>
          <w:tcPr>
            <w:tcW w:w="680" w:type="dxa"/>
            <w:shd w:val="clear" w:color="auto" w:fill="auto"/>
            <w:noWrap/>
            <w:vAlign w:val="bottom"/>
          </w:tcPr>
          <w:p>
            <w:pPr>
              <w:widowControl/>
              <w:jc w:val="center"/>
              <w:rPr>
                <w:rFonts w:ascii="宋体" w:hAnsi="宋体" w:cs="宋体"/>
                <w:b/>
                <w:bCs/>
                <w:kern w:val="0"/>
              </w:rPr>
            </w:pPr>
            <w:r>
              <w:rPr>
                <w:rFonts w:hint="eastAsia" w:ascii="宋体" w:hAnsi="宋体" w:cs="宋体"/>
                <w:b/>
                <w:bCs/>
                <w:kern w:val="0"/>
              </w:rPr>
              <w:t>部</w:t>
            </w:r>
          </w:p>
        </w:tc>
        <w:tc>
          <w:tcPr>
            <w:tcW w:w="110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xml:space="preserve">4.00 </w:t>
            </w:r>
          </w:p>
        </w:tc>
        <w:tc>
          <w:tcPr>
            <w:tcW w:w="130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xml:space="preserve">275000 </w:t>
            </w:r>
          </w:p>
        </w:tc>
        <w:tc>
          <w:tcPr>
            <w:tcW w:w="130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2480" w:type="dxa"/>
            <w:shd w:val="clear" w:color="auto" w:fill="auto"/>
            <w:noWrap/>
            <w:vAlign w:val="bottom"/>
          </w:tcPr>
          <w:p>
            <w:pPr>
              <w:widowControl/>
              <w:jc w:val="left"/>
              <w:rPr>
                <w:rFonts w:ascii="宋体" w:hAnsi="宋体" w:cs="宋体"/>
                <w:b/>
                <w:bCs/>
                <w:kern w:val="0"/>
                <w:sz w:val="20"/>
                <w:szCs w:val="20"/>
              </w:rPr>
            </w:pPr>
            <w:r>
              <w:rPr>
                <w:rFonts w:hint="eastAsia" w:ascii="宋体" w:hAnsi="宋体" w:cs="宋体"/>
                <w:b/>
                <w:bCs/>
                <w:kern w:val="0"/>
                <w:sz w:val="20"/>
                <w:szCs w:val="20"/>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jc w:val="center"/>
        </w:trPr>
        <w:tc>
          <w:tcPr>
            <w:tcW w:w="819" w:type="dxa"/>
            <w:shd w:val="clear" w:color="auto" w:fill="auto"/>
            <w:noWrap/>
            <w:vAlign w:val="bottom"/>
          </w:tcPr>
          <w:p>
            <w:pPr>
              <w:widowControl/>
              <w:jc w:val="center"/>
              <w:rPr>
                <w:rFonts w:ascii="宋体" w:hAnsi="宋体" w:cs="宋体"/>
                <w:b/>
                <w:bCs/>
                <w:kern w:val="0"/>
                <w:sz w:val="20"/>
                <w:szCs w:val="20"/>
              </w:rPr>
            </w:pPr>
            <w:r>
              <w:rPr>
                <w:rFonts w:hint="eastAsia" w:ascii="宋体" w:hAnsi="宋体" w:cs="宋体"/>
                <w:b/>
                <w:bCs/>
                <w:kern w:val="0"/>
                <w:sz w:val="20"/>
                <w:szCs w:val="20"/>
              </w:rPr>
              <w:t>7</w:t>
            </w:r>
          </w:p>
        </w:tc>
        <w:tc>
          <w:tcPr>
            <w:tcW w:w="2340" w:type="dxa"/>
            <w:shd w:val="clear" w:color="auto" w:fill="auto"/>
            <w:noWrap/>
            <w:vAlign w:val="bottom"/>
          </w:tcPr>
          <w:p>
            <w:pPr>
              <w:widowControl/>
              <w:jc w:val="left"/>
              <w:rPr>
                <w:rFonts w:ascii="宋体" w:hAnsi="宋体" w:cs="宋体"/>
                <w:b/>
                <w:bCs/>
                <w:kern w:val="0"/>
                <w:sz w:val="20"/>
                <w:szCs w:val="20"/>
              </w:rPr>
            </w:pPr>
            <w:r>
              <w:rPr>
                <w:rFonts w:hint="eastAsia" w:ascii="宋体" w:hAnsi="宋体" w:cs="宋体"/>
                <w:b/>
                <w:bCs/>
                <w:kern w:val="0"/>
                <w:sz w:val="20"/>
                <w:szCs w:val="20"/>
              </w:rPr>
              <w:t>安防系统</w:t>
            </w:r>
          </w:p>
        </w:tc>
        <w:tc>
          <w:tcPr>
            <w:tcW w:w="899"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899" w:type="dxa"/>
            <w:shd w:val="clear" w:color="auto" w:fill="auto"/>
            <w:noWrap/>
            <w:vAlign w:val="bottom"/>
          </w:tcPr>
          <w:p>
            <w:pPr>
              <w:widowControl/>
              <w:jc w:val="center"/>
              <w:rPr>
                <w:rFonts w:ascii="宋体" w:hAnsi="宋体" w:cs="宋体"/>
                <w:b/>
                <w:bCs/>
                <w:kern w:val="0"/>
              </w:rPr>
            </w:pPr>
            <w:r>
              <w:rPr>
                <w:rFonts w:hint="eastAsia" w:ascii="宋体" w:hAnsi="宋体" w:cs="宋体"/>
                <w:b/>
                <w:bCs/>
                <w:kern w:val="0"/>
              </w:rPr>
              <w:t>　</w:t>
            </w:r>
          </w:p>
        </w:tc>
        <w:tc>
          <w:tcPr>
            <w:tcW w:w="820" w:type="dxa"/>
            <w:shd w:val="clear" w:color="auto" w:fill="auto"/>
            <w:noWrap/>
            <w:vAlign w:val="bottom"/>
          </w:tcPr>
          <w:p>
            <w:pPr>
              <w:widowControl/>
              <w:jc w:val="center"/>
              <w:rPr>
                <w:rFonts w:ascii="宋体" w:hAnsi="宋体" w:cs="宋体"/>
                <w:b/>
                <w:bCs/>
                <w:kern w:val="0"/>
              </w:rPr>
            </w:pPr>
            <w:r>
              <w:rPr>
                <w:rFonts w:hint="eastAsia" w:ascii="宋体" w:hAnsi="宋体" w:cs="宋体"/>
                <w:b/>
                <w:bCs/>
                <w:kern w:val="0"/>
              </w:rPr>
              <w:t>　</w:t>
            </w:r>
          </w:p>
        </w:tc>
        <w:tc>
          <w:tcPr>
            <w:tcW w:w="899" w:type="dxa"/>
            <w:shd w:val="clear" w:color="auto" w:fill="auto"/>
            <w:noWrap/>
            <w:vAlign w:val="bottom"/>
          </w:tcPr>
          <w:p>
            <w:pPr>
              <w:widowControl/>
              <w:jc w:val="center"/>
              <w:rPr>
                <w:rFonts w:ascii="宋体" w:hAnsi="宋体" w:cs="宋体"/>
                <w:b/>
                <w:bCs/>
                <w:kern w:val="0"/>
              </w:rPr>
            </w:pPr>
            <w:r>
              <w:rPr>
                <w:rFonts w:hint="eastAsia" w:ascii="宋体" w:hAnsi="宋体" w:cs="宋体"/>
                <w:b/>
                <w:bCs/>
                <w:kern w:val="0"/>
              </w:rPr>
              <w:t>　</w:t>
            </w:r>
          </w:p>
        </w:tc>
        <w:tc>
          <w:tcPr>
            <w:tcW w:w="1004"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xml:space="preserve">142.34 </w:t>
            </w:r>
          </w:p>
        </w:tc>
        <w:tc>
          <w:tcPr>
            <w:tcW w:w="1120" w:type="dxa"/>
            <w:shd w:val="clear" w:color="auto" w:fill="auto"/>
            <w:vAlign w:val="bottom"/>
          </w:tcPr>
          <w:p>
            <w:pPr>
              <w:widowControl/>
              <w:jc w:val="center"/>
              <w:rPr>
                <w:rFonts w:ascii="宋体" w:hAnsi="宋体" w:cs="宋体"/>
                <w:b/>
                <w:bCs/>
                <w:kern w:val="0"/>
              </w:rPr>
            </w:pPr>
            <w:r>
              <w:rPr>
                <w:rFonts w:hint="eastAsia" w:ascii="宋体" w:hAnsi="宋体" w:cs="宋体"/>
                <w:b/>
                <w:bCs/>
                <w:kern w:val="0"/>
              </w:rPr>
              <w:t>　</w:t>
            </w:r>
          </w:p>
        </w:tc>
        <w:tc>
          <w:tcPr>
            <w:tcW w:w="680" w:type="dxa"/>
            <w:shd w:val="clear" w:color="auto" w:fill="auto"/>
            <w:noWrap/>
            <w:vAlign w:val="bottom"/>
          </w:tcPr>
          <w:p>
            <w:pPr>
              <w:widowControl/>
              <w:jc w:val="center"/>
              <w:rPr>
                <w:rFonts w:ascii="宋体" w:hAnsi="宋体" w:cs="宋体"/>
                <w:b/>
                <w:bCs/>
                <w:kern w:val="0"/>
              </w:rPr>
            </w:pPr>
            <w:r>
              <w:rPr>
                <w:rFonts w:hint="eastAsia" w:ascii="宋体" w:hAnsi="宋体" w:cs="宋体"/>
                <w:b/>
                <w:bCs/>
                <w:kern w:val="0"/>
              </w:rPr>
              <w:t>　</w:t>
            </w:r>
          </w:p>
        </w:tc>
        <w:tc>
          <w:tcPr>
            <w:tcW w:w="110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xml:space="preserve">21897.91 </w:t>
            </w:r>
          </w:p>
        </w:tc>
        <w:tc>
          <w:tcPr>
            <w:tcW w:w="130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xml:space="preserve">65 </w:t>
            </w:r>
          </w:p>
        </w:tc>
        <w:tc>
          <w:tcPr>
            <w:tcW w:w="130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2480" w:type="dxa"/>
            <w:shd w:val="clear" w:color="auto" w:fill="auto"/>
            <w:noWrap/>
            <w:vAlign w:val="bottom"/>
          </w:tcPr>
          <w:p>
            <w:pPr>
              <w:widowControl/>
              <w:jc w:val="left"/>
              <w:rPr>
                <w:rFonts w:ascii="宋体" w:hAnsi="宋体" w:cs="宋体"/>
                <w:b/>
                <w:bCs/>
                <w:kern w:val="0"/>
                <w:sz w:val="20"/>
                <w:szCs w:val="20"/>
              </w:rPr>
            </w:pPr>
            <w:r>
              <w:rPr>
                <w:rFonts w:hint="eastAsia" w:ascii="宋体" w:hAnsi="宋体" w:cs="宋体"/>
                <w:b/>
                <w:bCs/>
                <w:kern w:val="0"/>
                <w:sz w:val="20"/>
                <w:szCs w:val="20"/>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jc w:val="center"/>
        </w:trPr>
        <w:tc>
          <w:tcPr>
            <w:tcW w:w="819" w:type="dxa"/>
            <w:shd w:val="clear" w:color="auto" w:fill="auto"/>
            <w:noWrap/>
            <w:vAlign w:val="bottom"/>
          </w:tcPr>
          <w:p>
            <w:pPr>
              <w:widowControl/>
              <w:jc w:val="center"/>
              <w:rPr>
                <w:rFonts w:ascii="宋体" w:hAnsi="宋体" w:cs="宋体"/>
                <w:b/>
                <w:bCs/>
                <w:kern w:val="0"/>
                <w:sz w:val="20"/>
                <w:szCs w:val="20"/>
              </w:rPr>
            </w:pPr>
            <w:r>
              <w:rPr>
                <w:rFonts w:hint="eastAsia" w:ascii="宋体" w:hAnsi="宋体" w:cs="宋体"/>
                <w:b/>
                <w:bCs/>
                <w:kern w:val="0"/>
                <w:sz w:val="20"/>
                <w:szCs w:val="20"/>
              </w:rPr>
              <w:t>8</w:t>
            </w:r>
          </w:p>
        </w:tc>
        <w:tc>
          <w:tcPr>
            <w:tcW w:w="2340" w:type="dxa"/>
            <w:shd w:val="clear" w:color="auto" w:fill="auto"/>
            <w:noWrap/>
            <w:vAlign w:val="bottom"/>
          </w:tcPr>
          <w:p>
            <w:pPr>
              <w:widowControl/>
              <w:jc w:val="left"/>
              <w:rPr>
                <w:rFonts w:ascii="宋体" w:hAnsi="宋体" w:cs="宋体"/>
                <w:b/>
                <w:bCs/>
                <w:kern w:val="0"/>
                <w:sz w:val="20"/>
                <w:szCs w:val="20"/>
              </w:rPr>
            </w:pPr>
            <w:r>
              <w:rPr>
                <w:rFonts w:hint="eastAsia" w:ascii="宋体" w:hAnsi="宋体" w:cs="宋体"/>
                <w:b/>
                <w:bCs/>
                <w:kern w:val="0"/>
                <w:sz w:val="20"/>
                <w:szCs w:val="20"/>
              </w:rPr>
              <w:t>信息化及综合布线系统</w:t>
            </w:r>
          </w:p>
        </w:tc>
        <w:tc>
          <w:tcPr>
            <w:tcW w:w="899"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899" w:type="dxa"/>
            <w:shd w:val="clear" w:color="auto" w:fill="auto"/>
            <w:noWrap/>
            <w:vAlign w:val="bottom"/>
          </w:tcPr>
          <w:p>
            <w:pPr>
              <w:widowControl/>
              <w:jc w:val="center"/>
              <w:rPr>
                <w:rFonts w:ascii="宋体" w:hAnsi="宋体" w:cs="宋体"/>
                <w:b/>
                <w:bCs/>
                <w:kern w:val="0"/>
              </w:rPr>
            </w:pPr>
            <w:r>
              <w:rPr>
                <w:rFonts w:hint="eastAsia" w:ascii="宋体" w:hAnsi="宋体" w:cs="宋体"/>
                <w:b/>
                <w:bCs/>
                <w:kern w:val="0"/>
              </w:rPr>
              <w:t>　</w:t>
            </w:r>
          </w:p>
        </w:tc>
        <w:tc>
          <w:tcPr>
            <w:tcW w:w="820" w:type="dxa"/>
            <w:shd w:val="clear" w:color="auto" w:fill="auto"/>
            <w:noWrap/>
            <w:vAlign w:val="bottom"/>
          </w:tcPr>
          <w:p>
            <w:pPr>
              <w:widowControl/>
              <w:jc w:val="center"/>
              <w:rPr>
                <w:rFonts w:ascii="宋体" w:hAnsi="宋体" w:cs="宋体"/>
                <w:b/>
                <w:bCs/>
                <w:kern w:val="0"/>
              </w:rPr>
            </w:pPr>
            <w:r>
              <w:rPr>
                <w:rFonts w:hint="eastAsia" w:ascii="宋体" w:hAnsi="宋体" w:cs="宋体"/>
                <w:b/>
                <w:bCs/>
                <w:kern w:val="0"/>
              </w:rPr>
              <w:t>　</w:t>
            </w:r>
          </w:p>
        </w:tc>
        <w:tc>
          <w:tcPr>
            <w:tcW w:w="899" w:type="dxa"/>
            <w:shd w:val="clear" w:color="auto" w:fill="auto"/>
            <w:noWrap/>
            <w:vAlign w:val="bottom"/>
          </w:tcPr>
          <w:p>
            <w:pPr>
              <w:widowControl/>
              <w:jc w:val="center"/>
              <w:rPr>
                <w:rFonts w:ascii="宋体" w:hAnsi="宋体" w:cs="宋体"/>
                <w:b/>
                <w:bCs/>
                <w:kern w:val="0"/>
              </w:rPr>
            </w:pPr>
            <w:r>
              <w:rPr>
                <w:rFonts w:hint="eastAsia" w:ascii="宋体" w:hAnsi="宋体" w:cs="宋体"/>
                <w:b/>
                <w:bCs/>
                <w:kern w:val="0"/>
              </w:rPr>
              <w:t>　</w:t>
            </w:r>
          </w:p>
        </w:tc>
        <w:tc>
          <w:tcPr>
            <w:tcW w:w="1004"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xml:space="preserve">109.49 </w:t>
            </w:r>
          </w:p>
        </w:tc>
        <w:tc>
          <w:tcPr>
            <w:tcW w:w="1120" w:type="dxa"/>
            <w:shd w:val="clear" w:color="auto" w:fill="auto"/>
            <w:vAlign w:val="bottom"/>
          </w:tcPr>
          <w:p>
            <w:pPr>
              <w:widowControl/>
              <w:jc w:val="center"/>
              <w:rPr>
                <w:rFonts w:ascii="宋体" w:hAnsi="宋体" w:cs="宋体"/>
                <w:b/>
                <w:bCs/>
                <w:kern w:val="0"/>
              </w:rPr>
            </w:pPr>
            <w:r>
              <w:rPr>
                <w:rFonts w:hint="eastAsia" w:ascii="宋体" w:hAnsi="宋体" w:cs="宋体"/>
                <w:b/>
                <w:bCs/>
                <w:kern w:val="0"/>
              </w:rPr>
              <w:t>建筑面积</w:t>
            </w:r>
          </w:p>
        </w:tc>
        <w:tc>
          <w:tcPr>
            <w:tcW w:w="68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m2</w:t>
            </w:r>
          </w:p>
        </w:tc>
        <w:tc>
          <w:tcPr>
            <w:tcW w:w="110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xml:space="preserve">21897.91 </w:t>
            </w:r>
          </w:p>
        </w:tc>
        <w:tc>
          <w:tcPr>
            <w:tcW w:w="130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xml:space="preserve">50 </w:t>
            </w:r>
          </w:p>
        </w:tc>
        <w:tc>
          <w:tcPr>
            <w:tcW w:w="130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2480" w:type="dxa"/>
            <w:shd w:val="clear" w:color="auto" w:fill="auto"/>
            <w:noWrap/>
            <w:vAlign w:val="bottom"/>
          </w:tcPr>
          <w:p>
            <w:pPr>
              <w:widowControl/>
              <w:jc w:val="left"/>
              <w:rPr>
                <w:rFonts w:ascii="宋体" w:hAnsi="宋体" w:cs="宋体"/>
                <w:b/>
                <w:bCs/>
                <w:kern w:val="0"/>
                <w:sz w:val="20"/>
                <w:szCs w:val="20"/>
              </w:rPr>
            </w:pPr>
            <w:r>
              <w:rPr>
                <w:rFonts w:hint="eastAsia" w:ascii="宋体" w:hAnsi="宋体" w:cs="宋体"/>
                <w:b/>
                <w:bCs/>
                <w:kern w:val="0"/>
                <w:sz w:val="20"/>
                <w:szCs w:val="20"/>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jc w:val="center"/>
        </w:trPr>
        <w:tc>
          <w:tcPr>
            <w:tcW w:w="819" w:type="dxa"/>
            <w:shd w:val="clear" w:color="auto" w:fill="auto"/>
            <w:noWrap/>
            <w:vAlign w:val="bottom"/>
          </w:tcPr>
          <w:p>
            <w:pPr>
              <w:widowControl/>
              <w:jc w:val="center"/>
              <w:rPr>
                <w:rFonts w:ascii="宋体" w:hAnsi="宋体" w:cs="宋体"/>
                <w:b/>
                <w:bCs/>
                <w:kern w:val="0"/>
                <w:sz w:val="20"/>
                <w:szCs w:val="20"/>
              </w:rPr>
            </w:pPr>
            <w:r>
              <w:rPr>
                <w:rFonts w:hint="eastAsia" w:ascii="宋体" w:hAnsi="宋体" w:cs="宋体"/>
                <w:b/>
                <w:bCs/>
                <w:kern w:val="0"/>
                <w:sz w:val="20"/>
                <w:szCs w:val="20"/>
              </w:rPr>
              <w:t>9</w:t>
            </w:r>
          </w:p>
        </w:tc>
        <w:tc>
          <w:tcPr>
            <w:tcW w:w="2340" w:type="dxa"/>
            <w:shd w:val="clear" w:color="auto" w:fill="auto"/>
            <w:noWrap/>
            <w:vAlign w:val="bottom"/>
          </w:tcPr>
          <w:p>
            <w:pPr>
              <w:widowControl/>
              <w:jc w:val="left"/>
              <w:rPr>
                <w:rFonts w:ascii="宋体" w:hAnsi="宋体" w:cs="宋体"/>
                <w:b/>
                <w:bCs/>
                <w:kern w:val="0"/>
                <w:sz w:val="20"/>
                <w:szCs w:val="20"/>
              </w:rPr>
            </w:pPr>
            <w:r>
              <w:rPr>
                <w:rFonts w:hint="eastAsia" w:ascii="宋体" w:hAnsi="宋体" w:cs="宋体"/>
                <w:b/>
                <w:bCs/>
                <w:kern w:val="0"/>
                <w:sz w:val="20"/>
                <w:szCs w:val="20"/>
              </w:rPr>
              <w:t>室外景观</w:t>
            </w:r>
          </w:p>
        </w:tc>
        <w:tc>
          <w:tcPr>
            <w:tcW w:w="899"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899"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82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899"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1004"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xml:space="preserve">29.68 </w:t>
            </w:r>
          </w:p>
        </w:tc>
        <w:tc>
          <w:tcPr>
            <w:tcW w:w="1120" w:type="dxa"/>
            <w:shd w:val="clear" w:color="auto" w:fill="auto"/>
            <w:vAlign w:val="bottom"/>
          </w:tcPr>
          <w:p>
            <w:pPr>
              <w:widowControl/>
              <w:jc w:val="center"/>
              <w:rPr>
                <w:rFonts w:ascii="宋体" w:hAnsi="宋体" w:cs="宋体"/>
                <w:b/>
                <w:bCs/>
                <w:kern w:val="0"/>
              </w:rPr>
            </w:pPr>
            <w:r>
              <w:rPr>
                <w:rFonts w:hint="eastAsia" w:ascii="宋体" w:hAnsi="宋体" w:cs="宋体"/>
                <w:b/>
                <w:bCs/>
                <w:kern w:val="0"/>
              </w:rPr>
              <w:t>建筑面积</w:t>
            </w:r>
          </w:p>
        </w:tc>
        <w:tc>
          <w:tcPr>
            <w:tcW w:w="68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m2</w:t>
            </w:r>
          </w:p>
        </w:tc>
        <w:tc>
          <w:tcPr>
            <w:tcW w:w="110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xml:space="preserve">21897.91 </w:t>
            </w:r>
          </w:p>
        </w:tc>
        <w:tc>
          <w:tcPr>
            <w:tcW w:w="130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xml:space="preserve">13.55 </w:t>
            </w:r>
          </w:p>
        </w:tc>
        <w:tc>
          <w:tcPr>
            <w:tcW w:w="130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2480" w:type="dxa"/>
            <w:shd w:val="clear" w:color="auto" w:fill="auto"/>
            <w:noWrap/>
            <w:vAlign w:val="bottom"/>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jc w:val="center"/>
        </w:trPr>
        <w:tc>
          <w:tcPr>
            <w:tcW w:w="81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9.1</w:t>
            </w:r>
          </w:p>
        </w:tc>
        <w:tc>
          <w:tcPr>
            <w:tcW w:w="2340" w:type="dxa"/>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室外场地硬化（道路）</w:t>
            </w:r>
          </w:p>
        </w:tc>
        <w:tc>
          <w:tcPr>
            <w:tcW w:w="899"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899"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82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899"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1004" w:type="dxa"/>
            <w:shd w:val="clear" w:color="auto" w:fill="auto"/>
            <w:noWrap/>
            <w:vAlign w:val="bottom"/>
          </w:tcPr>
          <w:p>
            <w:pPr>
              <w:widowControl/>
              <w:jc w:val="center"/>
              <w:rPr>
                <w:rFonts w:ascii="Times New Roman" w:hAnsi="Times New Roman"/>
                <w:kern w:val="0"/>
              </w:rPr>
            </w:pPr>
            <w:r>
              <w:rPr>
                <w:rFonts w:ascii="Times New Roman" w:hAnsi="Times New Roman"/>
                <w:kern w:val="0"/>
              </w:rPr>
              <w:t xml:space="preserve">19.68 </w:t>
            </w:r>
          </w:p>
        </w:tc>
        <w:tc>
          <w:tcPr>
            <w:tcW w:w="1120" w:type="dxa"/>
            <w:shd w:val="clear" w:color="auto" w:fill="auto"/>
            <w:vAlign w:val="bottom"/>
          </w:tcPr>
          <w:p>
            <w:pPr>
              <w:widowControl/>
              <w:jc w:val="center"/>
              <w:rPr>
                <w:rFonts w:ascii="宋体" w:hAnsi="宋体" w:cs="宋体"/>
                <w:kern w:val="0"/>
              </w:rPr>
            </w:pPr>
            <w:r>
              <w:rPr>
                <w:rFonts w:hint="eastAsia" w:ascii="宋体" w:hAnsi="宋体" w:cs="宋体"/>
                <w:kern w:val="0"/>
              </w:rPr>
              <w:t>面积</w:t>
            </w:r>
          </w:p>
        </w:tc>
        <w:tc>
          <w:tcPr>
            <w:tcW w:w="680" w:type="dxa"/>
            <w:shd w:val="clear" w:color="auto" w:fill="auto"/>
            <w:noWrap/>
            <w:vAlign w:val="bottom"/>
          </w:tcPr>
          <w:p>
            <w:pPr>
              <w:widowControl/>
              <w:jc w:val="center"/>
              <w:rPr>
                <w:rFonts w:ascii="Times New Roman" w:hAnsi="Times New Roman"/>
                <w:kern w:val="0"/>
              </w:rPr>
            </w:pPr>
            <w:r>
              <w:rPr>
                <w:rFonts w:ascii="Times New Roman" w:hAnsi="Times New Roman"/>
                <w:kern w:val="0"/>
              </w:rPr>
              <w:t>m2</w:t>
            </w:r>
          </w:p>
        </w:tc>
        <w:tc>
          <w:tcPr>
            <w:tcW w:w="1100" w:type="dxa"/>
            <w:shd w:val="clear" w:color="auto" w:fill="auto"/>
            <w:noWrap/>
            <w:vAlign w:val="bottom"/>
          </w:tcPr>
          <w:p>
            <w:pPr>
              <w:widowControl/>
              <w:jc w:val="center"/>
              <w:rPr>
                <w:rFonts w:ascii="Times New Roman" w:hAnsi="Times New Roman"/>
                <w:kern w:val="0"/>
              </w:rPr>
            </w:pPr>
            <w:r>
              <w:rPr>
                <w:rFonts w:ascii="Times New Roman" w:hAnsi="Times New Roman"/>
                <w:kern w:val="0"/>
              </w:rPr>
              <w:t xml:space="preserve">984.00 </w:t>
            </w:r>
          </w:p>
        </w:tc>
        <w:tc>
          <w:tcPr>
            <w:tcW w:w="1300" w:type="dxa"/>
            <w:shd w:val="clear" w:color="auto" w:fill="auto"/>
            <w:noWrap/>
            <w:vAlign w:val="bottom"/>
          </w:tcPr>
          <w:p>
            <w:pPr>
              <w:widowControl/>
              <w:jc w:val="center"/>
              <w:rPr>
                <w:rFonts w:ascii="Times New Roman" w:hAnsi="Times New Roman"/>
                <w:kern w:val="0"/>
              </w:rPr>
            </w:pPr>
            <w:r>
              <w:rPr>
                <w:rFonts w:ascii="Times New Roman" w:hAnsi="Times New Roman"/>
                <w:kern w:val="0"/>
              </w:rPr>
              <w:t xml:space="preserve">200.00 </w:t>
            </w:r>
          </w:p>
        </w:tc>
        <w:tc>
          <w:tcPr>
            <w:tcW w:w="130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2480" w:type="dxa"/>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jc w:val="center"/>
        </w:trPr>
        <w:tc>
          <w:tcPr>
            <w:tcW w:w="81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9.2</w:t>
            </w:r>
          </w:p>
        </w:tc>
        <w:tc>
          <w:tcPr>
            <w:tcW w:w="2340" w:type="dxa"/>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绿化（新增）</w:t>
            </w:r>
          </w:p>
        </w:tc>
        <w:tc>
          <w:tcPr>
            <w:tcW w:w="899"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899"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82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899"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1004" w:type="dxa"/>
            <w:shd w:val="clear" w:color="auto" w:fill="auto"/>
            <w:noWrap/>
            <w:vAlign w:val="bottom"/>
          </w:tcPr>
          <w:p>
            <w:pPr>
              <w:widowControl/>
              <w:jc w:val="center"/>
              <w:rPr>
                <w:rFonts w:ascii="Times New Roman" w:hAnsi="Times New Roman"/>
                <w:kern w:val="0"/>
              </w:rPr>
            </w:pPr>
            <w:r>
              <w:rPr>
                <w:rFonts w:ascii="Times New Roman" w:hAnsi="Times New Roman"/>
                <w:kern w:val="0"/>
              </w:rPr>
              <w:t xml:space="preserve">10.00 </w:t>
            </w:r>
          </w:p>
        </w:tc>
        <w:tc>
          <w:tcPr>
            <w:tcW w:w="1120" w:type="dxa"/>
            <w:shd w:val="clear" w:color="auto" w:fill="auto"/>
            <w:vAlign w:val="bottom"/>
          </w:tcPr>
          <w:p>
            <w:pPr>
              <w:widowControl/>
              <w:jc w:val="center"/>
              <w:rPr>
                <w:rFonts w:ascii="宋体" w:hAnsi="宋体" w:cs="宋体"/>
                <w:kern w:val="0"/>
              </w:rPr>
            </w:pPr>
            <w:r>
              <w:rPr>
                <w:rFonts w:hint="eastAsia" w:ascii="宋体" w:hAnsi="宋体" w:cs="宋体"/>
                <w:kern w:val="0"/>
              </w:rPr>
              <w:t>面积</w:t>
            </w:r>
          </w:p>
        </w:tc>
        <w:tc>
          <w:tcPr>
            <w:tcW w:w="680" w:type="dxa"/>
            <w:shd w:val="clear" w:color="auto" w:fill="auto"/>
            <w:noWrap/>
            <w:vAlign w:val="bottom"/>
          </w:tcPr>
          <w:p>
            <w:pPr>
              <w:widowControl/>
              <w:jc w:val="center"/>
              <w:rPr>
                <w:rFonts w:ascii="Times New Roman" w:hAnsi="Times New Roman"/>
                <w:kern w:val="0"/>
              </w:rPr>
            </w:pPr>
            <w:r>
              <w:rPr>
                <w:rFonts w:ascii="Times New Roman" w:hAnsi="Times New Roman"/>
                <w:kern w:val="0"/>
              </w:rPr>
              <w:t>m2</w:t>
            </w:r>
          </w:p>
        </w:tc>
        <w:tc>
          <w:tcPr>
            <w:tcW w:w="1100" w:type="dxa"/>
            <w:shd w:val="clear" w:color="auto" w:fill="auto"/>
            <w:noWrap/>
            <w:vAlign w:val="bottom"/>
          </w:tcPr>
          <w:p>
            <w:pPr>
              <w:widowControl/>
              <w:jc w:val="center"/>
              <w:rPr>
                <w:rFonts w:ascii="Times New Roman" w:hAnsi="Times New Roman"/>
                <w:kern w:val="0"/>
              </w:rPr>
            </w:pPr>
            <w:r>
              <w:rPr>
                <w:rFonts w:ascii="Times New Roman" w:hAnsi="Times New Roman"/>
                <w:kern w:val="0"/>
              </w:rPr>
              <w:t xml:space="preserve">1000.00 </w:t>
            </w:r>
          </w:p>
        </w:tc>
        <w:tc>
          <w:tcPr>
            <w:tcW w:w="1300" w:type="dxa"/>
            <w:shd w:val="clear" w:color="auto" w:fill="auto"/>
            <w:noWrap/>
            <w:vAlign w:val="bottom"/>
          </w:tcPr>
          <w:p>
            <w:pPr>
              <w:widowControl/>
              <w:jc w:val="center"/>
              <w:rPr>
                <w:rFonts w:ascii="Times New Roman" w:hAnsi="Times New Roman"/>
                <w:kern w:val="0"/>
              </w:rPr>
            </w:pPr>
            <w:r>
              <w:rPr>
                <w:rFonts w:ascii="Times New Roman" w:hAnsi="Times New Roman"/>
                <w:kern w:val="0"/>
              </w:rPr>
              <w:t xml:space="preserve">100.00 </w:t>
            </w:r>
          </w:p>
        </w:tc>
        <w:tc>
          <w:tcPr>
            <w:tcW w:w="130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2480" w:type="dxa"/>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jc w:val="center"/>
        </w:trPr>
        <w:tc>
          <w:tcPr>
            <w:tcW w:w="819" w:type="dxa"/>
            <w:shd w:val="clear" w:color="auto" w:fill="auto"/>
            <w:noWrap/>
            <w:vAlign w:val="bottom"/>
          </w:tcPr>
          <w:p>
            <w:pPr>
              <w:widowControl/>
              <w:jc w:val="center"/>
              <w:rPr>
                <w:rFonts w:ascii="宋体" w:hAnsi="宋体" w:cs="宋体"/>
                <w:b/>
                <w:bCs/>
                <w:kern w:val="0"/>
                <w:sz w:val="20"/>
                <w:szCs w:val="20"/>
              </w:rPr>
            </w:pPr>
            <w:r>
              <w:rPr>
                <w:rFonts w:hint="eastAsia" w:ascii="宋体" w:hAnsi="宋体" w:cs="宋体"/>
                <w:b/>
                <w:bCs/>
                <w:kern w:val="0"/>
                <w:sz w:val="20"/>
                <w:szCs w:val="20"/>
              </w:rPr>
              <w:t>10</w:t>
            </w:r>
          </w:p>
        </w:tc>
        <w:tc>
          <w:tcPr>
            <w:tcW w:w="2340" w:type="dxa"/>
            <w:shd w:val="clear" w:color="auto" w:fill="auto"/>
            <w:noWrap/>
            <w:vAlign w:val="bottom"/>
          </w:tcPr>
          <w:p>
            <w:pPr>
              <w:widowControl/>
              <w:jc w:val="left"/>
              <w:rPr>
                <w:rFonts w:ascii="宋体" w:hAnsi="宋体" w:cs="宋体"/>
                <w:b/>
                <w:bCs/>
                <w:kern w:val="0"/>
                <w:sz w:val="20"/>
                <w:szCs w:val="20"/>
              </w:rPr>
            </w:pPr>
            <w:r>
              <w:rPr>
                <w:rFonts w:hint="eastAsia" w:ascii="宋体" w:hAnsi="宋体" w:cs="宋体"/>
                <w:b/>
                <w:bCs/>
                <w:kern w:val="0"/>
                <w:sz w:val="20"/>
                <w:szCs w:val="20"/>
              </w:rPr>
              <w:t>土石方工程</w:t>
            </w:r>
          </w:p>
        </w:tc>
        <w:tc>
          <w:tcPr>
            <w:tcW w:w="899"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899"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82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899"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1004"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xml:space="preserve">119.23 </w:t>
            </w:r>
          </w:p>
        </w:tc>
        <w:tc>
          <w:tcPr>
            <w:tcW w:w="1120" w:type="dxa"/>
            <w:shd w:val="clear" w:color="auto" w:fill="auto"/>
            <w:vAlign w:val="bottom"/>
          </w:tcPr>
          <w:p>
            <w:pPr>
              <w:widowControl/>
              <w:jc w:val="center"/>
              <w:rPr>
                <w:rFonts w:ascii="宋体" w:hAnsi="宋体" w:cs="宋体"/>
                <w:b/>
                <w:bCs/>
                <w:kern w:val="0"/>
              </w:rPr>
            </w:pPr>
            <w:r>
              <w:rPr>
                <w:rFonts w:hint="eastAsia" w:ascii="宋体" w:hAnsi="宋体" w:cs="宋体"/>
                <w:b/>
                <w:bCs/>
                <w:kern w:val="0"/>
              </w:rPr>
              <w:t>　</w:t>
            </w:r>
          </w:p>
        </w:tc>
        <w:tc>
          <w:tcPr>
            <w:tcW w:w="68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110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130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130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2480" w:type="dxa"/>
            <w:shd w:val="clear" w:color="auto" w:fill="auto"/>
            <w:noWrap/>
            <w:vAlign w:val="bottom"/>
          </w:tcPr>
          <w:p>
            <w:pPr>
              <w:widowControl/>
              <w:jc w:val="center"/>
              <w:rPr>
                <w:rFonts w:ascii="宋体" w:hAnsi="宋体" w:cs="宋体"/>
                <w:b/>
                <w:bCs/>
                <w:kern w:val="0"/>
                <w:sz w:val="20"/>
                <w:szCs w:val="20"/>
              </w:rPr>
            </w:pPr>
            <w:r>
              <w:rPr>
                <w:rFonts w:hint="eastAsia" w:ascii="宋体" w:hAnsi="宋体" w:cs="宋体"/>
                <w:b/>
                <w:bCs/>
                <w:kern w:val="0"/>
                <w:sz w:val="20"/>
                <w:szCs w:val="20"/>
              </w:rPr>
              <w:t>按10km考虑，未含弃渣费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jc w:val="center"/>
        </w:trPr>
        <w:tc>
          <w:tcPr>
            <w:tcW w:w="819" w:type="dxa"/>
            <w:shd w:val="clear" w:color="auto" w:fill="auto"/>
            <w:noWrap/>
            <w:vAlign w:val="bottom"/>
          </w:tcPr>
          <w:p>
            <w:pPr>
              <w:widowControl/>
              <w:jc w:val="center"/>
              <w:rPr>
                <w:rFonts w:ascii="宋体" w:hAnsi="宋体" w:cs="宋体"/>
                <w:b/>
                <w:bCs/>
                <w:kern w:val="0"/>
                <w:sz w:val="20"/>
                <w:szCs w:val="20"/>
              </w:rPr>
            </w:pPr>
            <w:r>
              <w:rPr>
                <w:rFonts w:hint="eastAsia" w:ascii="宋体" w:hAnsi="宋体" w:cs="宋体"/>
                <w:b/>
                <w:bCs/>
                <w:kern w:val="0"/>
                <w:sz w:val="20"/>
                <w:szCs w:val="20"/>
              </w:rPr>
              <w:t>11</w:t>
            </w:r>
          </w:p>
        </w:tc>
        <w:tc>
          <w:tcPr>
            <w:tcW w:w="2340" w:type="dxa"/>
            <w:shd w:val="clear" w:color="auto" w:fill="auto"/>
            <w:noWrap/>
            <w:vAlign w:val="bottom"/>
          </w:tcPr>
          <w:p>
            <w:pPr>
              <w:widowControl/>
              <w:jc w:val="left"/>
              <w:rPr>
                <w:rFonts w:ascii="宋体" w:hAnsi="宋体" w:cs="宋体"/>
                <w:b/>
                <w:bCs/>
                <w:kern w:val="0"/>
                <w:sz w:val="20"/>
                <w:szCs w:val="20"/>
              </w:rPr>
            </w:pPr>
            <w:r>
              <w:rPr>
                <w:rFonts w:hint="eastAsia" w:ascii="宋体" w:hAnsi="宋体" w:cs="宋体"/>
                <w:b/>
                <w:bCs/>
                <w:kern w:val="0"/>
                <w:sz w:val="20"/>
                <w:szCs w:val="20"/>
              </w:rPr>
              <w:t>基坑支护</w:t>
            </w:r>
          </w:p>
        </w:tc>
        <w:tc>
          <w:tcPr>
            <w:tcW w:w="899"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899"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82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899"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1004"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xml:space="preserve">182.17 </w:t>
            </w:r>
          </w:p>
        </w:tc>
        <w:tc>
          <w:tcPr>
            <w:tcW w:w="1120" w:type="dxa"/>
            <w:shd w:val="clear" w:color="auto" w:fill="auto"/>
            <w:vAlign w:val="bottom"/>
          </w:tcPr>
          <w:p>
            <w:pPr>
              <w:widowControl/>
              <w:jc w:val="center"/>
              <w:rPr>
                <w:rFonts w:ascii="宋体" w:hAnsi="宋体" w:cs="宋体"/>
                <w:b/>
                <w:bCs/>
                <w:kern w:val="0"/>
              </w:rPr>
            </w:pPr>
            <w:r>
              <w:rPr>
                <w:rFonts w:hint="eastAsia" w:ascii="宋体" w:hAnsi="宋体" w:cs="宋体"/>
                <w:b/>
                <w:bCs/>
                <w:kern w:val="0"/>
              </w:rPr>
              <w:t>　</w:t>
            </w:r>
          </w:p>
        </w:tc>
        <w:tc>
          <w:tcPr>
            <w:tcW w:w="68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110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130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130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2480" w:type="dxa"/>
            <w:shd w:val="clear" w:color="auto" w:fill="auto"/>
            <w:noWrap/>
            <w:vAlign w:val="bottom"/>
          </w:tcPr>
          <w:p>
            <w:pPr>
              <w:widowControl/>
              <w:jc w:val="left"/>
              <w:rPr>
                <w:rFonts w:ascii="宋体" w:hAnsi="宋体" w:cs="宋体"/>
                <w:b/>
                <w:bCs/>
                <w:kern w:val="0"/>
                <w:sz w:val="20"/>
                <w:szCs w:val="20"/>
              </w:rPr>
            </w:pPr>
            <w:r>
              <w:rPr>
                <w:rFonts w:hint="eastAsia" w:ascii="宋体" w:hAnsi="宋体" w:cs="宋体"/>
                <w:b/>
                <w:bCs/>
                <w:kern w:val="0"/>
                <w:sz w:val="20"/>
                <w:szCs w:val="20"/>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jc w:val="center"/>
        </w:trPr>
        <w:tc>
          <w:tcPr>
            <w:tcW w:w="819" w:type="dxa"/>
            <w:shd w:val="clear" w:color="auto" w:fill="auto"/>
            <w:noWrap/>
            <w:vAlign w:val="bottom"/>
          </w:tcPr>
          <w:p>
            <w:pPr>
              <w:widowControl/>
              <w:jc w:val="center"/>
              <w:rPr>
                <w:rFonts w:ascii="宋体" w:hAnsi="宋体" w:cs="宋体"/>
                <w:b/>
                <w:bCs/>
                <w:kern w:val="0"/>
                <w:sz w:val="20"/>
                <w:szCs w:val="20"/>
              </w:rPr>
            </w:pPr>
            <w:r>
              <w:rPr>
                <w:rFonts w:hint="eastAsia" w:ascii="宋体" w:hAnsi="宋体" w:cs="宋体"/>
                <w:b/>
                <w:bCs/>
                <w:kern w:val="0"/>
                <w:sz w:val="20"/>
                <w:szCs w:val="20"/>
              </w:rPr>
              <w:t>12</w:t>
            </w:r>
          </w:p>
        </w:tc>
        <w:tc>
          <w:tcPr>
            <w:tcW w:w="2340" w:type="dxa"/>
            <w:shd w:val="clear" w:color="auto" w:fill="auto"/>
            <w:noWrap/>
            <w:vAlign w:val="bottom"/>
          </w:tcPr>
          <w:p>
            <w:pPr>
              <w:widowControl/>
              <w:jc w:val="left"/>
              <w:rPr>
                <w:rFonts w:ascii="宋体" w:hAnsi="宋体" w:cs="宋体"/>
                <w:b/>
                <w:bCs/>
                <w:kern w:val="0"/>
                <w:sz w:val="20"/>
                <w:szCs w:val="20"/>
              </w:rPr>
            </w:pPr>
            <w:r>
              <w:rPr>
                <w:rFonts w:hint="eastAsia" w:ascii="宋体" w:hAnsi="宋体" w:cs="宋体"/>
                <w:b/>
                <w:bCs/>
                <w:kern w:val="0"/>
                <w:sz w:val="20"/>
                <w:szCs w:val="20"/>
              </w:rPr>
              <w:t>工程降水</w:t>
            </w:r>
          </w:p>
        </w:tc>
        <w:tc>
          <w:tcPr>
            <w:tcW w:w="899"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899"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82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899"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1004"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xml:space="preserve">112.10 </w:t>
            </w:r>
          </w:p>
        </w:tc>
        <w:tc>
          <w:tcPr>
            <w:tcW w:w="1120" w:type="dxa"/>
            <w:shd w:val="clear" w:color="auto" w:fill="auto"/>
            <w:vAlign w:val="bottom"/>
          </w:tcPr>
          <w:p>
            <w:pPr>
              <w:widowControl/>
              <w:jc w:val="center"/>
              <w:rPr>
                <w:rFonts w:ascii="宋体" w:hAnsi="宋体" w:cs="宋体"/>
                <w:b/>
                <w:bCs/>
                <w:kern w:val="0"/>
              </w:rPr>
            </w:pPr>
            <w:r>
              <w:rPr>
                <w:rFonts w:hint="eastAsia" w:ascii="宋体" w:hAnsi="宋体" w:cs="宋体"/>
                <w:b/>
                <w:bCs/>
                <w:kern w:val="0"/>
              </w:rPr>
              <w:t>　</w:t>
            </w:r>
          </w:p>
        </w:tc>
        <w:tc>
          <w:tcPr>
            <w:tcW w:w="68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110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130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130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2480" w:type="dxa"/>
            <w:shd w:val="clear" w:color="auto" w:fill="auto"/>
            <w:noWrap/>
            <w:vAlign w:val="bottom"/>
          </w:tcPr>
          <w:p>
            <w:pPr>
              <w:widowControl/>
              <w:jc w:val="left"/>
              <w:rPr>
                <w:rFonts w:ascii="宋体" w:hAnsi="宋体" w:cs="宋体"/>
                <w:b/>
                <w:bCs/>
                <w:kern w:val="0"/>
                <w:sz w:val="20"/>
                <w:szCs w:val="20"/>
              </w:rPr>
            </w:pPr>
            <w:r>
              <w:rPr>
                <w:rFonts w:hint="eastAsia" w:ascii="宋体" w:hAnsi="宋体" w:cs="宋体"/>
                <w:b/>
                <w:bCs/>
                <w:kern w:val="0"/>
                <w:sz w:val="20"/>
                <w:szCs w:val="20"/>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jc w:val="center"/>
        </w:trPr>
        <w:tc>
          <w:tcPr>
            <w:tcW w:w="819" w:type="dxa"/>
            <w:shd w:val="clear" w:color="auto" w:fill="auto"/>
            <w:noWrap/>
            <w:vAlign w:val="bottom"/>
          </w:tcPr>
          <w:p>
            <w:pPr>
              <w:widowControl/>
              <w:jc w:val="center"/>
              <w:rPr>
                <w:rFonts w:ascii="宋体" w:hAnsi="宋体" w:cs="宋体"/>
                <w:b/>
                <w:bCs/>
                <w:kern w:val="0"/>
                <w:sz w:val="20"/>
                <w:szCs w:val="20"/>
              </w:rPr>
            </w:pPr>
            <w:r>
              <w:rPr>
                <w:rFonts w:hint="eastAsia" w:ascii="宋体" w:hAnsi="宋体" w:cs="宋体"/>
                <w:b/>
                <w:bCs/>
                <w:kern w:val="0"/>
                <w:sz w:val="20"/>
                <w:szCs w:val="20"/>
              </w:rPr>
              <w:t>（二）</w:t>
            </w:r>
          </w:p>
        </w:tc>
        <w:tc>
          <w:tcPr>
            <w:tcW w:w="2340" w:type="dxa"/>
            <w:shd w:val="clear" w:color="auto" w:fill="auto"/>
            <w:noWrap/>
            <w:vAlign w:val="bottom"/>
          </w:tcPr>
          <w:p>
            <w:pPr>
              <w:widowControl/>
              <w:jc w:val="left"/>
              <w:rPr>
                <w:rFonts w:ascii="宋体" w:hAnsi="宋体" w:cs="宋体"/>
                <w:b/>
                <w:bCs/>
                <w:kern w:val="0"/>
                <w:sz w:val="20"/>
                <w:szCs w:val="20"/>
              </w:rPr>
            </w:pPr>
            <w:r>
              <w:rPr>
                <w:rFonts w:hint="eastAsia" w:ascii="宋体" w:hAnsi="宋体" w:cs="宋体"/>
                <w:b/>
                <w:bCs/>
                <w:kern w:val="0"/>
                <w:sz w:val="20"/>
                <w:szCs w:val="20"/>
              </w:rPr>
              <w:t>设备购置</w:t>
            </w:r>
          </w:p>
        </w:tc>
        <w:tc>
          <w:tcPr>
            <w:tcW w:w="899"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899"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82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899"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1004"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xml:space="preserve">5000.00 </w:t>
            </w:r>
          </w:p>
        </w:tc>
        <w:tc>
          <w:tcPr>
            <w:tcW w:w="1120" w:type="dxa"/>
            <w:shd w:val="clear" w:color="auto" w:fill="auto"/>
            <w:vAlign w:val="bottom"/>
          </w:tcPr>
          <w:p>
            <w:pPr>
              <w:widowControl/>
              <w:jc w:val="center"/>
              <w:rPr>
                <w:rFonts w:ascii="宋体" w:hAnsi="宋体" w:cs="宋体"/>
                <w:b/>
                <w:bCs/>
                <w:kern w:val="0"/>
              </w:rPr>
            </w:pPr>
            <w:r>
              <w:rPr>
                <w:rFonts w:hint="eastAsia" w:ascii="宋体" w:hAnsi="宋体" w:cs="宋体"/>
                <w:b/>
                <w:bCs/>
                <w:kern w:val="0"/>
              </w:rPr>
              <w:t>　</w:t>
            </w:r>
          </w:p>
        </w:tc>
        <w:tc>
          <w:tcPr>
            <w:tcW w:w="68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110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130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130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2480" w:type="dxa"/>
            <w:shd w:val="clear" w:color="auto" w:fill="auto"/>
            <w:noWrap/>
            <w:vAlign w:val="bottom"/>
          </w:tcPr>
          <w:p>
            <w:pPr>
              <w:widowControl/>
              <w:jc w:val="left"/>
              <w:rPr>
                <w:rFonts w:ascii="宋体" w:hAnsi="宋体" w:cs="宋体"/>
                <w:b/>
                <w:bCs/>
                <w:kern w:val="0"/>
                <w:sz w:val="20"/>
                <w:szCs w:val="20"/>
              </w:rPr>
            </w:pPr>
            <w:r>
              <w:rPr>
                <w:rFonts w:hint="eastAsia" w:ascii="宋体" w:hAnsi="宋体" w:cs="宋体"/>
                <w:b/>
                <w:bCs/>
                <w:kern w:val="0"/>
                <w:sz w:val="20"/>
                <w:szCs w:val="20"/>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jc w:val="center"/>
        </w:trPr>
        <w:tc>
          <w:tcPr>
            <w:tcW w:w="819" w:type="dxa"/>
            <w:shd w:val="clear" w:color="auto" w:fill="auto"/>
            <w:noWrap/>
            <w:vAlign w:val="bottom"/>
          </w:tcPr>
          <w:p>
            <w:pPr>
              <w:widowControl/>
              <w:jc w:val="center"/>
              <w:rPr>
                <w:rFonts w:ascii="宋体" w:hAnsi="宋体" w:cs="宋体"/>
                <w:b/>
                <w:bCs/>
                <w:kern w:val="0"/>
                <w:sz w:val="20"/>
                <w:szCs w:val="20"/>
              </w:rPr>
            </w:pPr>
            <w:r>
              <w:rPr>
                <w:rFonts w:hint="eastAsia" w:ascii="宋体" w:hAnsi="宋体" w:cs="宋体"/>
                <w:b/>
                <w:bCs/>
                <w:kern w:val="0"/>
                <w:sz w:val="20"/>
                <w:szCs w:val="20"/>
              </w:rPr>
              <w:t>二</w:t>
            </w:r>
          </w:p>
        </w:tc>
        <w:tc>
          <w:tcPr>
            <w:tcW w:w="2340" w:type="dxa"/>
            <w:shd w:val="clear" w:color="auto" w:fill="auto"/>
            <w:noWrap/>
            <w:vAlign w:val="bottom"/>
          </w:tcPr>
          <w:p>
            <w:pPr>
              <w:widowControl/>
              <w:jc w:val="left"/>
              <w:rPr>
                <w:rFonts w:ascii="宋体" w:hAnsi="宋体" w:cs="宋体"/>
                <w:b/>
                <w:bCs/>
                <w:kern w:val="0"/>
                <w:sz w:val="20"/>
                <w:szCs w:val="20"/>
              </w:rPr>
            </w:pPr>
            <w:r>
              <w:rPr>
                <w:rFonts w:hint="eastAsia" w:ascii="宋体" w:hAnsi="宋体" w:cs="宋体"/>
                <w:b/>
                <w:bCs/>
                <w:kern w:val="0"/>
                <w:sz w:val="20"/>
                <w:szCs w:val="20"/>
              </w:rPr>
              <w:t>其他费用</w:t>
            </w:r>
          </w:p>
        </w:tc>
        <w:tc>
          <w:tcPr>
            <w:tcW w:w="89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9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20"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99"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1418.2</w:t>
            </w:r>
            <w:r>
              <w:rPr>
                <w:rFonts w:hint="eastAsia" w:ascii="Times New Roman" w:hAnsi="Times New Roman"/>
                <w:b/>
                <w:bCs/>
                <w:kern w:val="0"/>
              </w:rPr>
              <w:t>2</w:t>
            </w:r>
          </w:p>
        </w:tc>
        <w:tc>
          <w:tcPr>
            <w:tcW w:w="1004"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1418.2</w:t>
            </w:r>
            <w:r>
              <w:rPr>
                <w:rFonts w:hint="eastAsia" w:ascii="Times New Roman" w:hAnsi="Times New Roman"/>
                <w:b/>
                <w:bCs/>
                <w:kern w:val="0"/>
              </w:rPr>
              <w:t>2</w:t>
            </w:r>
          </w:p>
        </w:tc>
        <w:tc>
          <w:tcPr>
            <w:tcW w:w="112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68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110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130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647.65</w:t>
            </w:r>
          </w:p>
        </w:tc>
        <w:tc>
          <w:tcPr>
            <w:tcW w:w="130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xml:space="preserve">8.10 </w:t>
            </w:r>
          </w:p>
        </w:tc>
        <w:tc>
          <w:tcPr>
            <w:tcW w:w="2480" w:type="dxa"/>
            <w:shd w:val="clear" w:color="auto" w:fill="auto"/>
            <w:noWrap/>
            <w:vAlign w:val="bottom"/>
          </w:tcPr>
          <w:p>
            <w:pPr>
              <w:widowControl/>
              <w:jc w:val="left"/>
              <w:rPr>
                <w:rFonts w:ascii="宋体" w:hAnsi="宋体" w:cs="宋体"/>
                <w:b/>
                <w:bCs/>
                <w:kern w:val="0"/>
                <w:sz w:val="20"/>
                <w:szCs w:val="20"/>
              </w:rPr>
            </w:pPr>
            <w:r>
              <w:rPr>
                <w:rFonts w:hint="eastAsia" w:ascii="宋体" w:hAnsi="宋体" w:cs="宋体"/>
                <w:b/>
                <w:bCs/>
                <w:kern w:val="0"/>
                <w:sz w:val="20"/>
                <w:szCs w:val="20"/>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jc w:val="center"/>
        </w:trPr>
        <w:tc>
          <w:tcPr>
            <w:tcW w:w="81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1</w:t>
            </w:r>
          </w:p>
        </w:tc>
        <w:tc>
          <w:tcPr>
            <w:tcW w:w="2340" w:type="dxa"/>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建设单位管理费</w:t>
            </w:r>
          </w:p>
        </w:tc>
        <w:tc>
          <w:tcPr>
            <w:tcW w:w="89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9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20"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99" w:type="dxa"/>
            <w:shd w:val="clear" w:color="auto" w:fill="auto"/>
            <w:noWrap/>
            <w:vAlign w:val="bottom"/>
          </w:tcPr>
          <w:p>
            <w:pPr>
              <w:widowControl/>
              <w:jc w:val="center"/>
              <w:rPr>
                <w:rFonts w:ascii="Times New Roman" w:hAnsi="Times New Roman"/>
                <w:kern w:val="0"/>
              </w:rPr>
            </w:pPr>
            <w:r>
              <w:rPr>
                <w:rFonts w:ascii="Times New Roman" w:hAnsi="Times New Roman"/>
                <w:kern w:val="0"/>
              </w:rPr>
              <w:t>156.99</w:t>
            </w:r>
          </w:p>
        </w:tc>
        <w:tc>
          <w:tcPr>
            <w:tcW w:w="1004" w:type="dxa"/>
            <w:shd w:val="clear" w:color="auto" w:fill="auto"/>
            <w:noWrap/>
            <w:vAlign w:val="bottom"/>
          </w:tcPr>
          <w:p>
            <w:pPr>
              <w:widowControl/>
              <w:jc w:val="center"/>
              <w:rPr>
                <w:rFonts w:ascii="Times New Roman" w:hAnsi="Times New Roman"/>
                <w:kern w:val="0"/>
              </w:rPr>
            </w:pPr>
            <w:r>
              <w:rPr>
                <w:rFonts w:ascii="Times New Roman" w:hAnsi="Times New Roman"/>
                <w:kern w:val="0"/>
              </w:rPr>
              <w:t>156.99</w:t>
            </w:r>
          </w:p>
        </w:tc>
        <w:tc>
          <w:tcPr>
            <w:tcW w:w="112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68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1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3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3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2480" w:type="dxa"/>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财建[2002]394号</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jc w:val="center"/>
        </w:trPr>
        <w:tc>
          <w:tcPr>
            <w:tcW w:w="81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2</w:t>
            </w:r>
          </w:p>
        </w:tc>
        <w:tc>
          <w:tcPr>
            <w:tcW w:w="2340" w:type="dxa"/>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建筑设计费</w:t>
            </w:r>
          </w:p>
        </w:tc>
        <w:tc>
          <w:tcPr>
            <w:tcW w:w="89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9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20"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99" w:type="dxa"/>
            <w:shd w:val="clear" w:color="auto" w:fill="auto"/>
            <w:noWrap/>
            <w:vAlign w:val="bottom"/>
          </w:tcPr>
          <w:p>
            <w:pPr>
              <w:widowControl/>
              <w:jc w:val="center"/>
              <w:rPr>
                <w:rFonts w:ascii="Times New Roman" w:hAnsi="Times New Roman"/>
                <w:kern w:val="0"/>
              </w:rPr>
            </w:pPr>
            <w:r>
              <w:rPr>
                <w:rFonts w:ascii="Times New Roman" w:hAnsi="Times New Roman"/>
                <w:kern w:val="0"/>
              </w:rPr>
              <w:t xml:space="preserve">196.00 </w:t>
            </w:r>
          </w:p>
        </w:tc>
        <w:tc>
          <w:tcPr>
            <w:tcW w:w="1004" w:type="dxa"/>
            <w:shd w:val="clear" w:color="auto" w:fill="auto"/>
            <w:noWrap/>
            <w:vAlign w:val="bottom"/>
          </w:tcPr>
          <w:p>
            <w:pPr>
              <w:widowControl/>
              <w:jc w:val="center"/>
              <w:rPr>
                <w:rFonts w:ascii="Times New Roman" w:hAnsi="Times New Roman"/>
                <w:kern w:val="0"/>
              </w:rPr>
            </w:pPr>
            <w:r>
              <w:rPr>
                <w:rFonts w:ascii="Times New Roman" w:hAnsi="Times New Roman"/>
                <w:kern w:val="0"/>
              </w:rPr>
              <w:t>196.00</w:t>
            </w:r>
          </w:p>
        </w:tc>
        <w:tc>
          <w:tcPr>
            <w:tcW w:w="112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68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1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3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3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2480" w:type="dxa"/>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暂估</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jc w:val="center"/>
        </w:trPr>
        <w:tc>
          <w:tcPr>
            <w:tcW w:w="81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3</w:t>
            </w:r>
          </w:p>
        </w:tc>
        <w:tc>
          <w:tcPr>
            <w:tcW w:w="2340" w:type="dxa"/>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工程勘察费</w:t>
            </w:r>
          </w:p>
        </w:tc>
        <w:tc>
          <w:tcPr>
            <w:tcW w:w="89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9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20"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99" w:type="dxa"/>
            <w:shd w:val="clear" w:color="auto" w:fill="auto"/>
            <w:noWrap/>
            <w:vAlign w:val="bottom"/>
          </w:tcPr>
          <w:p>
            <w:pPr>
              <w:widowControl/>
              <w:jc w:val="center"/>
              <w:rPr>
                <w:rFonts w:ascii="Times New Roman" w:hAnsi="Times New Roman"/>
                <w:kern w:val="0"/>
              </w:rPr>
            </w:pPr>
            <w:r>
              <w:rPr>
                <w:rFonts w:ascii="Times New Roman" w:hAnsi="Times New Roman"/>
                <w:kern w:val="0"/>
              </w:rPr>
              <w:t xml:space="preserve">71.99 </w:t>
            </w:r>
          </w:p>
        </w:tc>
        <w:tc>
          <w:tcPr>
            <w:tcW w:w="1004" w:type="dxa"/>
            <w:shd w:val="clear" w:color="auto" w:fill="auto"/>
            <w:noWrap/>
            <w:vAlign w:val="bottom"/>
          </w:tcPr>
          <w:p>
            <w:pPr>
              <w:widowControl/>
              <w:jc w:val="center"/>
              <w:rPr>
                <w:rFonts w:ascii="Times New Roman" w:hAnsi="Times New Roman"/>
                <w:kern w:val="0"/>
              </w:rPr>
            </w:pPr>
            <w:r>
              <w:rPr>
                <w:rFonts w:ascii="Times New Roman" w:hAnsi="Times New Roman"/>
                <w:kern w:val="0"/>
              </w:rPr>
              <w:t>71.99</w:t>
            </w:r>
          </w:p>
        </w:tc>
        <w:tc>
          <w:tcPr>
            <w:tcW w:w="112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68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1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3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3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2480" w:type="dxa"/>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工程费用的0.5%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jc w:val="center"/>
        </w:trPr>
        <w:tc>
          <w:tcPr>
            <w:tcW w:w="81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4</w:t>
            </w:r>
          </w:p>
        </w:tc>
        <w:tc>
          <w:tcPr>
            <w:tcW w:w="2340" w:type="dxa"/>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工程招标费</w:t>
            </w:r>
          </w:p>
        </w:tc>
        <w:tc>
          <w:tcPr>
            <w:tcW w:w="89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9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20"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99" w:type="dxa"/>
            <w:shd w:val="clear" w:color="auto" w:fill="auto"/>
            <w:noWrap/>
            <w:vAlign w:val="bottom"/>
          </w:tcPr>
          <w:p>
            <w:pPr>
              <w:widowControl/>
              <w:jc w:val="center"/>
              <w:rPr>
                <w:rFonts w:ascii="Times New Roman" w:hAnsi="Times New Roman"/>
                <w:kern w:val="0"/>
              </w:rPr>
            </w:pPr>
            <w:r>
              <w:rPr>
                <w:rFonts w:ascii="Times New Roman" w:hAnsi="Times New Roman"/>
                <w:kern w:val="0"/>
              </w:rPr>
              <w:t xml:space="preserve">39.35 </w:t>
            </w:r>
          </w:p>
        </w:tc>
        <w:tc>
          <w:tcPr>
            <w:tcW w:w="1004" w:type="dxa"/>
            <w:shd w:val="clear" w:color="auto" w:fill="auto"/>
            <w:noWrap/>
            <w:vAlign w:val="bottom"/>
          </w:tcPr>
          <w:p>
            <w:pPr>
              <w:widowControl/>
              <w:jc w:val="center"/>
              <w:rPr>
                <w:rFonts w:ascii="Times New Roman" w:hAnsi="Times New Roman"/>
                <w:kern w:val="0"/>
              </w:rPr>
            </w:pPr>
            <w:r>
              <w:rPr>
                <w:rFonts w:ascii="Times New Roman" w:hAnsi="Times New Roman"/>
                <w:kern w:val="0"/>
              </w:rPr>
              <w:t>39.35</w:t>
            </w:r>
          </w:p>
        </w:tc>
        <w:tc>
          <w:tcPr>
            <w:tcW w:w="112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68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1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3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3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2480" w:type="dxa"/>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计价格〔2002〕1980号文</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jc w:val="center"/>
        </w:trPr>
        <w:tc>
          <w:tcPr>
            <w:tcW w:w="81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5</w:t>
            </w:r>
          </w:p>
        </w:tc>
        <w:tc>
          <w:tcPr>
            <w:tcW w:w="2340" w:type="dxa"/>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施工图审查费</w:t>
            </w:r>
          </w:p>
        </w:tc>
        <w:tc>
          <w:tcPr>
            <w:tcW w:w="89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9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20"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99" w:type="dxa"/>
            <w:shd w:val="clear" w:color="auto" w:fill="auto"/>
            <w:noWrap/>
            <w:vAlign w:val="bottom"/>
          </w:tcPr>
          <w:p>
            <w:pPr>
              <w:widowControl/>
              <w:jc w:val="center"/>
              <w:rPr>
                <w:rFonts w:ascii="Times New Roman" w:hAnsi="Times New Roman"/>
                <w:kern w:val="0"/>
              </w:rPr>
            </w:pPr>
            <w:r>
              <w:rPr>
                <w:rFonts w:ascii="Times New Roman" w:hAnsi="Times New Roman"/>
                <w:kern w:val="0"/>
              </w:rPr>
              <w:t xml:space="preserve">3.94 </w:t>
            </w:r>
          </w:p>
        </w:tc>
        <w:tc>
          <w:tcPr>
            <w:tcW w:w="1004" w:type="dxa"/>
            <w:shd w:val="clear" w:color="auto" w:fill="auto"/>
            <w:noWrap/>
            <w:vAlign w:val="bottom"/>
          </w:tcPr>
          <w:p>
            <w:pPr>
              <w:widowControl/>
              <w:jc w:val="center"/>
              <w:rPr>
                <w:rFonts w:ascii="Times New Roman" w:hAnsi="Times New Roman"/>
                <w:kern w:val="0"/>
              </w:rPr>
            </w:pPr>
            <w:r>
              <w:rPr>
                <w:rFonts w:ascii="Times New Roman" w:hAnsi="Times New Roman"/>
                <w:kern w:val="0"/>
              </w:rPr>
              <w:t>3.94</w:t>
            </w:r>
          </w:p>
        </w:tc>
        <w:tc>
          <w:tcPr>
            <w:tcW w:w="112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68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1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3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3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2480" w:type="dxa"/>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川发价格（2011）323号</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jc w:val="center"/>
        </w:trPr>
        <w:tc>
          <w:tcPr>
            <w:tcW w:w="81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6</w:t>
            </w:r>
          </w:p>
        </w:tc>
        <w:tc>
          <w:tcPr>
            <w:tcW w:w="2340" w:type="dxa"/>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工程建设监理费</w:t>
            </w:r>
          </w:p>
        </w:tc>
        <w:tc>
          <w:tcPr>
            <w:tcW w:w="89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9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20"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99" w:type="dxa"/>
            <w:shd w:val="clear" w:color="auto" w:fill="auto"/>
            <w:noWrap/>
            <w:vAlign w:val="bottom"/>
          </w:tcPr>
          <w:p>
            <w:pPr>
              <w:widowControl/>
              <w:jc w:val="center"/>
              <w:rPr>
                <w:rFonts w:ascii="Times New Roman" w:hAnsi="Times New Roman"/>
                <w:kern w:val="0"/>
              </w:rPr>
            </w:pPr>
            <w:r>
              <w:rPr>
                <w:rFonts w:ascii="Times New Roman" w:hAnsi="Times New Roman"/>
                <w:kern w:val="0"/>
              </w:rPr>
              <w:t xml:space="preserve">301.30 </w:t>
            </w:r>
          </w:p>
        </w:tc>
        <w:tc>
          <w:tcPr>
            <w:tcW w:w="1004" w:type="dxa"/>
            <w:shd w:val="clear" w:color="auto" w:fill="auto"/>
            <w:noWrap/>
            <w:vAlign w:val="bottom"/>
          </w:tcPr>
          <w:p>
            <w:pPr>
              <w:widowControl/>
              <w:jc w:val="center"/>
              <w:rPr>
                <w:rFonts w:ascii="Times New Roman" w:hAnsi="Times New Roman"/>
                <w:kern w:val="0"/>
              </w:rPr>
            </w:pPr>
            <w:r>
              <w:rPr>
                <w:rFonts w:ascii="Times New Roman" w:hAnsi="Times New Roman"/>
                <w:kern w:val="0"/>
              </w:rPr>
              <w:t>301.30</w:t>
            </w:r>
          </w:p>
        </w:tc>
        <w:tc>
          <w:tcPr>
            <w:tcW w:w="112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68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1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3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3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2480" w:type="dxa"/>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川价(2007)169号文</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jc w:val="center"/>
        </w:trPr>
        <w:tc>
          <w:tcPr>
            <w:tcW w:w="81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7</w:t>
            </w:r>
          </w:p>
        </w:tc>
        <w:tc>
          <w:tcPr>
            <w:tcW w:w="2340" w:type="dxa"/>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可研编制费用</w:t>
            </w:r>
          </w:p>
        </w:tc>
        <w:tc>
          <w:tcPr>
            <w:tcW w:w="89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9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20"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99" w:type="dxa"/>
            <w:shd w:val="clear" w:color="auto" w:fill="auto"/>
            <w:noWrap/>
            <w:vAlign w:val="bottom"/>
          </w:tcPr>
          <w:p>
            <w:pPr>
              <w:widowControl/>
              <w:jc w:val="center"/>
              <w:rPr>
                <w:rFonts w:ascii="Times New Roman" w:hAnsi="Times New Roman"/>
                <w:kern w:val="0"/>
              </w:rPr>
            </w:pPr>
            <w:r>
              <w:rPr>
                <w:rFonts w:ascii="Times New Roman" w:hAnsi="Times New Roman"/>
                <w:kern w:val="0"/>
              </w:rPr>
              <w:t>38.0</w:t>
            </w:r>
            <w:r>
              <w:rPr>
                <w:rFonts w:hint="eastAsia" w:ascii="Times New Roman" w:hAnsi="Times New Roman"/>
                <w:kern w:val="0"/>
              </w:rPr>
              <w:t>6</w:t>
            </w:r>
            <w:r>
              <w:rPr>
                <w:rFonts w:ascii="Times New Roman" w:hAnsi="Times New Roman"/>
                <w:kern w:val="0"/>
              </w:rPr>
              <w:t xml:space="preserve"> </w:t>
            </w:r>
          </w:p>
        </w:tc>
        <w:tc>
          <w:tcPr>
            <w:tcW w:w="1004" w:type="dxa"/>
            <w:shd w:val="clear" w:color="auto" w:fill="auto"/>
            <w:noWrap/>
            <w:vAlign w:val="bottom"/>
          </w:tcPr>
          <w:p>
            <w:pPr>
              <w:widowControl/>
              <w:jc w:val="center"/>
              <w:rPr>
                <w:rFonts w:ascii="Times New Roman" w:hAnsi="Times New Roman"/>
                <w:kern w:val="0"/>
              </w:rPr>
            </w:pPr>
            <w:r>
              <w:rPr>
                <w:rFonts w:ascii="Times New Roman" w:hAnsi="Times New Roman"/>
                <w:kern w:val="0"/>
              </w:rPr>
              <w:t>38.0</w:t>
            </w:r>
            <w:r>
              <w:rPr>
                <w:rFonts w:hint="eastAsia" w:ascii="Times New Roman" w:hAnsi="Times New Roman"/>
                <w:kern w:val="0"/>
              </w:rPr>
              <w:t>6</w:t>
            </w:r>
          </w:p>
        </w:tc>
        <w:tc>
          <w:tcPr>
            <w:tcW w:w="112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68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1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3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3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2480" w:type="dxa"/>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计价格[1999]1283号文</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jc w:val="center"/>
        </w:trPr>
        <w:tc>
          <w:tcPr>
            <w:tcW w:w="81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8</w:t>
            </w:r>
          </w:p>
        </w:tc>
        <w:tc>
          <w:tcPr>
            <w:tcW w:w="2340" w:type="dxa"/>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概算审核费</w:t>
            </w:r>
          </w:p>
        </w:tc>
        <w:tc>
          <w:tcPr>
            <w:tcW w:w="89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9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20"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99" w:type="dxa"/>
            <w:shd w:val="clear" w:color="auto" w:fill="auto"/>
            <w:noWrap/>
            <w:vAlign w:val="bottom"/>
          </w:tcPr>
          <w:p>
            <w:pPr>
              <w:widowControl/>
              <w:jc w:val="center"/>
              <w:rPr>
                <w:rFonts w:ascii="Times New Roman" w:hAnsi="Times New Roman"/>
                <w:kern w:val="0"/>
              </w:rPr>
            </w:pPr>
            <w:r>
              <w:rPr>
                <w:rFonts w:ascii="Times New Roman" w:hAnsi="Times New Roman"/>
                <w:kern w:val="0"/>
              </w:rPr>
              <w:t xml:space="preserve">12.79 </w:t>
            </w:r>
          </w:p>
        </w:tc>
        <w:tc>
          <w:tcPr>
            <w:tcW w:w="1004" w:type="dxa"/>
            <w:shd w:val="clear" w:color="auto" w:fill="auto"/>
            <w:noWrap/>
            <w:vAlign w:val="bottom"/>
          </w:tcPr>
          <w:p>
            <w:pPr>
              <w:widowControl/>
              <w:jc w:val="center"/>
              <w:rPr>
                <w:rFonts w:ascii="Times New Roman" w:hAnsi="Times New Roman"/>
                <w:kern w:val="0"/>
              </w:rPr>
            </w:pPr>
            <w:r>
              <w:rPr>
                <w:rFonts w:ascii="Times New Roman" w:hAnsi="Times New Roman"/>
                <w:kern w:val="0"/>
              </w:rPr>
              <w:t>12.79</w:t>
            </w:r>
          </w:p>
        </w:tc>
        <w:tc>
          <w:tcPr>
            <w:tcW w:w="112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68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1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3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3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2480" w:type="dxa"/>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川价发（2008）141号</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jc w:val="center"/>
        </w:trPr>
        <w:tc>
          <w:tcPr>
            <w:tcW w:w="81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9</w:t>
            </w:r>
          </w:p>
        </w:tc>
        <w:tc>
          <w:tcPr>
            <w:tcW w:w="2340" w:type="dxa"/>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工程量清单编制及审核费</w:t>
            </w:r>
          </w:p>
        </w:tc>
        <w:tc>
          <w:tcPr>
            <w:tcW w:w="89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9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20"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99" w:type="dxa"/>
            <w:shd w:val="clear" w:color="auto" w:fill="auto"/>
            <w:noWrap/>
            <w:vAlign w:val="bottom"/>
          </w:tcPr>
          <w:p>
            <w:pPr>
              <w:widowControl/>
              <w:jc w:val="center"/>
              <w:rPr>
                <w:rFonts w:ascii="Times New Roman" w:hAnsi="Times New Roman"/>
                <w:kern w:val="0"/>
              </w:rPr>
            </w:pPr>
            <w:r>
              <w:rPr>
                <w:rFonts w:ascii="Times New Roman" w:hAnsi="Times New Roman"/>
                <w:kern w:val="0"/>
              </w:rPr>
              <w:t xml:space="preserve">90.99 </w:t>
            </w:r>
          </w:p>
        </w:tc>
        <w:tc>
          <w:tcPr>
            <w:tcW w:w="1004" w:type="dxa"/>
            <w:shd w:val="clear" w:color="auto" w:fill="auto"/>
            <w:noWrap/>
            <w:vAlign w:val="bottom"/>
          </w:tcPr>
          <w:p>
            <w:pPr>
              <w:widowControl/>
              <w:jc w:val="center"/>
              <w:rPr>
                <w:rFonts w:ascii="Times New Roman" w:hAnsi="Times New Roman"/>
                <w:kern w:val="0"/>
              </w:rPr>
            </w:pPr>
            <w:r>
              <w:rPr>
                <w:rFonts w:ascii="Times New Roman" w:hAnsi="Times New Roman"/>
                <w:kern w:val="0"/>
              </w:rPr>
              <w:t>90.99</w:t>
            </w:r>
          </w:p>
        </w:tc>
        <w:tc>
          <w:tcPr>
            <w:tcW w:w="112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68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1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3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3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2480" w:type="dxa"/>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川价发（2008）141号</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jc w:val="center"/>
        </w:trPr>
        <w:tc>
          <w:tcPr>
            <w:tcW w:w="81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10</w:t>
            </w:r>
          </w:p>
        </w:tc>
        <w:tc>
          <w:tcPr>
            <w:tcW w:w="2340" w:type="dxa"/>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全过程造价控制</w:t>
            </w:r>
          </w:p>
        </w:tc>
        <w:tc>
          <w:tcPr>
            <w:tcW w:w="89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9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20"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99" w:type="dxa"/>
            <w:shd w:val="clear" w:color="auto" w:fill="auto"/>
            <w:noWrap/>
            <w:vAlign w:val="bottom"/>
          </w:tcPr>
          <w:p>
            <w:pPr>
              <w:widowControl/>
              <w:jc w:val="center"/>
              <w:rPr>
                <w:rFonts w:ascii="Times New Roman" w:hAnsi="Times New Roman"/>
                <w:kern w:val="0"/>
              </w:rPr>
            </w:pPr>
            <w:r>
              <w:rPr>
                <w:rFonts w:ascii="Times New Roman" w:hAnsi="Times New Roman"/>
                <w:kern w:val="0"/>
              </w:rPr>
              <w:t xml:space="preserve">136.19 </w:t>
            </w:r>
          </w:p>
        </w:tc>
        <w:tc>
          <w:tcPr>
            <w:tcW w:w="1004" w:type="dxa"/>
            <w:shd w:val="clear" w:color="auto" w:fill="auto"/>
            <w:noWrap/>
            <w:vAlign w:val="bottom"/>
          </w:tcPr>
          <w:p>
            <w:pPr>
              <w:widowControl/>
              <w:jc w:val="center"/>
              <w:rPr>
                <w:rFonts w:ascii="Times New Roman" w:hAnsi="Times New Roman"/>
                <w:kern w:val="0"/>
              </w:rPr>
            </w:pPr>
            <w:r>
              <w:rPr>
                <w:rFonts w:ascii="Times New Roman" w:hAnsi="Times New Roman"/>
                <w:kern w:val="0"/>
              </w:rPr>
              <w:t>136.19</w:t>
            </w:r>
          </w:p>
        </w:tc>
        <w:tc>
          <w:tcPr>
            <w:tcW w:w="112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68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1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3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3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2480" w:type="dxa"/>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川价发（2008）141号</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jc w:val="center"/>
        </w:trPr>
        <w:tc>
          <w:tcPr>
            <w:tcW w:w="81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11</w:t>
            </w:r>
          </w:p>
        </w:tc>
        <w:tc>
          <w:tcPr>
            <w:tcW w:w="2340" w:type="dxa"/>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设备运输费</w:t>
            </w:r>
          </w:p>
        </w:tc>
        <w:tc>
          <w:tcPr>
            <w:tcW w:w="89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9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20"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99" w:type="dxa"/>
            <w:shd w:val="clear" w:color="auto" w:fill="auto"/>
            <w:noWrap/>
            <w:vAlign w:val="bottom"/>
          </w:tcPr>
          <w:p>
            <w:pPr>
              <w:widowControl/>
              <w:jc w:val="center"/>
              <w:rPr>
                <w:rFonts w:ascii="Times New Roman" w:hAnsi="Times New Roman"/>
                <w:kern w:val="0"/>
              </w:rPr>
            </w:pPr>
            <w:r>
              <w:rPr>
                <w:rFonts w:ascii="Times New Roman" w:hAnsi="Times New Roman"/>
                <w:kern w:val="0"/>
              </w:rPr>
              <w:t xml:space="preserve">7.60 </w:t>
            </w:r>
          </w:p>
        </w:tc>
        <w:tc>
          <w:tcPr>
            <w:tcW w:w="1004" w:type="dxa"/>
            <w:shd w:val="clear" w:color="auto" w:fill="auto"/>
            <w:noWrap/>
            <w:vAlign w:val="bottom"/>
          </w:tcPr>
          <w:p>
            <w:pPr>
              <w:widowControl/>
              <w:jc w:val="center"/>
              <w:rPr>
                <w:rFonts w:ascii="Times New Roman" w:hAnsi="Times New Roman"/>
                <w:kern w:val="0"/>
              </w:rPr>
            </w:pPr>
            <w:r>
              <w:rPr>
                <w:rFonts w:ascii="Times New Roman" w:hAnsi="Times New Roman"/>
                <w:kern w:val="0"/>
              </w:rPr>
              <w:t>7.60</w:t>
            </w:r>
          </w:p>
        </w:tc>
        <w:tc>
          <w:tcPr>
            <w:tcW w:w="112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68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1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3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3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2480" w:type="dxa"/>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参考当地市场价</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jc w:val="center"/>
        </w:trPr>
        <w:tc>
          <w:tcPr>
            <w:tcW w:w="81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12</w:t>
            </w:r>
          </w:p>
        </w:tc>
        <w:tc>
          <w:tcPr>
            <w:tcW w:w="2340" w:type="dxa"/>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环境影响评价费</w:t>
            </w:r>
          </w:p>
        </w:tc>
        <w:tc>
          <w:tcPr>
            <w:tcW w:w="89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9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20"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99" w:type="dxa"/>
            <w:shd w:val="clear" w:color="auto" w:fill="auto"/>
            <w:noWrap/>
            <w:vAlign w:val="bottom"/>
          </w:tcPr>
          <w:p>
            <w:pPr>
              <w:widowControl/>
              <w:jc w:val="center"/>
              <w:rPr>
                <w:rFonts w:ascii="Times New Roman" w:hAnsi="Times New Roman"/>
                <w:kern w:val="0"/>
              </w:rPr>
            </w:pPr>
            <w:r>
              <w:rPr>
                <w:rFonts w:ascii="Times New Roman" w:hAnsi="Times New Roman"/>
                <w:kern w:val="0"/>
              </w:rPr>
              <w:t>10.5</w:t>
            </w:r>
            <w:r>
              <w:rPr>
                <w:rFonts w:hint="eastAsia" w:ascii="Times New Roman" w:hAnsi="Times New Roman"/>
                <w:kern w:val="0"/>
              </w:rPr>
              <w:t>3</w:t>
            </w:r>
          </w:p>
        </w:tc>
        <w:tc>
          <w:tcPr>
            <w:tcW w:w="1004" w:type="dxa"/>
            <w:shd w:val="clear" w:color="auto" w:fill="auto"/>
            <w:noWrap/>
            <w:vAlign w:val="bottom"/>
          </w:tcPr>
          <w:p>
            <w:pPr>
              <w:widowControl/>
              <w:jc w:val="center"/>
              <w:rPr>
                <w:rFonts w:ascii="Times New Roman" w:hAnsi="Times New Roman"/>
                <w:kern w:val="0"/>
              </w:rPr>
            </w:pPr>
            <w:r>
              <w:rPr>
                <w:rFonts w:ascii="Times New Roman" w:hAnsi="Times New Roman"/>
                <w:kern w:val="0"/>
              </w:rPr>
              <w:t>10.5</w:t>
            </w:r>
            <w:r>
              <w:rPr>
                <w:rFonts w:hint="eastAsia" w:ascii="Times New Roman" w:hAnsi="Times New Roman"/>
                <w:kern w:val="0"/>
              </w:rPr>
              <w:t>3</w:t>
            </w:r>
          </w:p>
        </w:tc>
        <w:tc>
          <w:tcPr>
            <w:tcW w:w="112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68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1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3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3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2480" w:type="dxa"/>
            <w:shd w:val="clear" w:color="auto" w:fill="auto"/>
            <w:vAlign w:val="bottom"/>
          </w:tcPr>
          <w:p>
            <w:pPr>
              <w:widowControl/>
              <w:jc w:val="left"/>
              <w:rPr>
                <w:rFonts w:ascii="宋体" w:hAnsi="宋体" w:cs="宋体"/>
                <w:kern w:val="0"/>
                <w:sz w:val="20"/>
                <w:szCs w:val="20"/>
              </w:rPr>
            </w:pPr>
            <w:r>
              <w:rPr>
                <w:rFonts w:hint="eastAsia" w:ascii="宋体" w:hAnsi="宋体" w:cs="宋体"/>
                <w:kern w:val="0"/>
                <w:sz w:val="20"/>
                <w:szCs w:val="20"/>
              </w:rPr>
              <w:t>计价格〔2002〕125号文</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jc w:val="center"/>
        </w:trPr>
        <w:tc>
          <w:tcPr>
            <w:tcW w:w="81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13</w:t>
            </w:r>
          </w:p>
        </w:tc>
        <w:tc>
          <w:tcPr>
            <w:tcW w:w="2340" w:type="dxa"/>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地质灾害评估费</w:t>
            </w:r>
          </w:p>
        </w:tc>
        <w:tc>
          <w:tcPr>
            <w:tcW w:w="89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9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20"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99" w:type="dxa"/>
            <w:shd w:val="clear" w:color="auto" w:fill="auto"/>
            <w:noWrap/>
            <w:vAlign w:val="bottom"/>
          </w:tcPr>
          <w:p>
            <w:pPr>
              <w:widowControl/>
              <w:jc w:val="center"/>
              <w:rPr>
                <w:rFonts w:ascii="Times New Roman" w:hAnsi="Times New Roman"/>
                <w:kern w:val="0"/>
              </w:rPr>
            </w:pPr>
            <w:r>
              <w:rPr>
                <w:rFonts w:ascii="Times New Roman" w:hAnsi="Times New Roman"/>
                <w:kern w:val="0"/>
              </w:rPr>
              <w:t xml:space="preserve">2.42 </w:t>
            </w:r>
          </w:p>
        </w:tc>
        <w:tc>
          <w:tcPr>
            <w:tcW w:w="1004" w:type="dxa"/>
            <w:shd w:val="clear" w:color="auto" w:fill="auto"/>
            <w:noWrap/>
            <w:vAlign w:val="bottom"/>
          </w:tcPr>
          <w:p>
            <w:pPr>
              <w:widowControl/>
              <w:jc w:val="center"/>
              <w:rPr>
                <w:rFonts w:ascii="Times New Roman" w:hAnsi="Times New Roman"/>
                <w:kern w:val="0"/>
              </w:rPr>
            </w:pPr>
            <w:r>
              <w:rPr>
                <w:rFonts w:ascii="Times New Roman" w:hAnsi="Times New Roman"/>
                <w:kern w:val="0"/>
              </w:rPr>
              <w:t>2.42</w:t>
            </w:r>
          </w:p>
        </w:tc>
        <w:tc>
          <w:tcPr>
            <w:tcW w:w="112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68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1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3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3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2480" w:type="dxa"/>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川价函〔2005〕1号</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jc w:val="center"/>
        </w:trPr>
        <w:tc>
          <w:tcPr>
            <w:tcW w:w="81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14</w:t>
            </w:r>
          </w:p>
        </w:tc>
        <w:tc>
          <w:tcPr>
            <w:tcW w:w="2340" w:type="dxa"/>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水土保持费</w:t>
            </w:r>
          </w:p>
        </w:tc>
        <w:tc>
          <w:tcPr>
            <w:tcW w:w="89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9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20"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99" w:type="dxa"/>
            <w:shd w:val="clear" w:color="auto" w:fill="auto"/>
            <w:noWrap/>
            <w:vAlign w:val="bottom"/>
          </w:tcPr>
          <w:p>
            <w:pPr>
              <w:widowControl/>
              <w:jc w:val="center"/>
              <w:rPr>
                <w:rFonts w:ascii="Times New Roman" w:hAnsi="Times New Roman"/>
                <w:kern w:val="0"/>
              </w:rPr>
            </w:pPr>
            <w:r>
              <w:rPr>
                <w:rFonts w:ascii="Times New Roman" w:hAnsi="Times New Roman"/>
                <w:kern w:val="0"/>
              </w:rPr>
              <w:t xml:space="preserve">0.67 </w:t>
            </w:r>
          </w:p>
        </w:tc>
        <w:tc>
          <w:tcPr>
            <w:tcW w:w="1004" w:type="dxa"/>
            <w:shd w:val="clear" w:color="auto" w:fill="auto"/>
            <w:noWrap/>
            <w:vAlign w:val="bottom"/>
          </w:tcPr>
          <w:p>
            <w:pPr>
              <w:widowControl/>
              <w:jc w:val="center"/>
              <w:rPr>
                <w:rFonts w:ascii="Times New Roman" w:hAnsi="Times New Roman"/>
                <w:kern w:val="0"/>
              </w:rPr>
            </w:pPr>
            <w:r>
              <w:rPr>
                <w:rFonts w:ascii="Times New Roman" w:hAnsi="Times New Roman"/>
                <w:kern w:val="0"/>
              </w:rPr>
              <w:t>0.67</w:t>
            </w:r>
          </w:p>
        </w:tc>
        <w:tc>
          <w:tcPr>
            <w:tcW w:w="112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68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1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3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3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2480" w:type="dxa"/>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川发价格〔2017〕347号</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jc w:val="center"/>
        </w:trPr>
        <w:tc>
          <w:tcPr>
            <w:tcW w:w="81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15</w:t>
            </w:r>
          </w:p>
        </w:tc>
        <w:tc>
          <w:tcPr>
            <w:tcW w:w="2340" w:type="dxa"/>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工程保险费</w:t>
            </w:r>
          </w:p>
        </w:tc>
        <w:tc>
          <w:tcPr>
            <w:tcW w:w="89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9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20"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99" w:type="dxa"/>
            <w:shd w:val="clear" w:color="auto" w:fill="auto"/>
            <w:noWrap/>
            <w:vAlign w:val="bottom"/>
          </w:tcPr>
          <w:p>
            <w:pPr>
              <w:widowControl/>
              <w:jc w:val="center"/>
              <w:rPr>
                <w:rFonts w:ascii="Times New Roman" w:hAnsi="Times New Roman"/>
                <w:kern w:val="0"/>
              </w:rPr>
            </w:pPr>
            <w:r>
              <w:rPr>
                <w:rFonts w:ascii="Times New Roman" w:hAnsi="Times New Roman"/>
                <w:kern w:val="0"/>
              </w:rPr>
              <w:t xml:space="preserve">86.39 </w:t>
            </w:r>
          </w:p>
        </w:tc>
        <w:tc>
          <w:tcPr>
            <w:tcW w:w="1004" w:type="dxa"/>
            <w:shd w:val="clear" w:color="auto" w:fill="auto"/>
            <w:noWrap/>
            <w:vAlign w:val="bottom"/>
          </w:tcPr>
          <w:p>
            <w:pPr>
              <w:widowControl/>
              <w:jc w:val="center"/>
              <w:rPr>
                <w:rFonts w:ascii="Times New Roman" w:hAnsi="Times New Roman"/>
                <w:kern w:val="0"/>
              </w:rPr>
            </w:pPr>
            <w:r>
              <w:rPr>
                <w:rFonts w:ascii="Times New Roman" w:hAnsi="Times New Roman"/>
                <w:kern w:val="0"/>
              </w:rPr>
              <w:t>86.39</w:t>
            </w:r>
          </w:p>
        </w:tc>
        <w:tc>
          <w:tcPr>
            <w:tcW w:w="112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68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1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3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3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2480" w:type="dxa"/>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工程费用的0.6%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jc w:val="center"/>
        </w:trPr>
        <w:tc>
          <w:tcPr>
            <w:tcW w:w="81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16</w:t>
            </w:r>
          </w:p>
        </w:tc>
        <w:tc>
          <w:tcPr>
            <w:tcW w:w="2340" w:type="dxa"/>
            <w:shd w:val="clear" w:color="auto" w:fill="auto"/>
            <w:vAlign w:val="bottom"/>
          </w:tcPr>
          <w:p>
            <w:pPr>
              <w:widowControl/>
              <w:jc w:val="left"/>
              <w:rPr>
                <w:rFonts w:ascii="宋体" w:hAnsi="宋体" w:cs="宋体"/>
                <w:kern w:val="0"/>
                <w:sz w:val="20"/>
                <w:szCs w:val="20"/>
              </w:rPr>
            </w:pPr>
            <w:r>
              <w:rPr>
                <w:rFonts w:hint="eastAsia" w:ascii="宋体" w:hAnsi="宋体" w:cs="宋体"/>
                <w:kern w:val="0"/>
                <w:sz w:val="20"/>
                <w:szCs w:val="20"/>
              </w:rPr>
              <w:t>防雷审查费及防雷设施检测费</w:t>
            </w:r>
          </w:p>
        </w:tc>
        <w:tc>
          <w:tcPr>
            <w:tcW w:w="89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9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20"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99" w:type="dxa"/>
            <w:shd w:val="clear" w:color="auto" w:fill="auto"/>
            <w:noWrap/>
            <w:vAlign w:val="bottom"/>
          </w:tcPr>
          <w:p>
            <w:pPr>
              <w:widowControl/>
              <w:jc w:val="center"/>
              <w:rPr>
                <w:rFonts w:ascii="Times New Roman" w:hAnsi="Times New Roman"/>
                <w:kern w:val="0"/>
              </w:rPr>
            </w:pPr>
            <w:r>
              <w:rPr>
                <w:rFonts w:ascii="Times New Roman" w:hAnsi="Times New Roman"/>
                <w:kern w:val="0"/>
              </w:rPr>
              <w:t xml:space="preserve">1.44 </w:t>
            </w:r>
          </w:p>
        </w:tc>
        <w:tc>
          <w:tcPr>
            <w:tcW w:w="1004" w:type="dxa"/>
            <w:shd w:val="clear" w:color="auto" w:fill="auto"/>
            <w:noWrap/>
            <w:vAlign w:val="bottom"/>
          </w:tcPr>
          <w:p>
            <w:pPr>
              <w:widowControl/>
              <w:jc w:val="center"/>
              <w:rPr>
                <w:rFonts w:ascii="Times New Roman" w:hAnsi="Times New Roman"/>
                <w:kern w:val="0"/>
              </w:rPr>
            </w:pPr>
            <w:r>
              <w:rPr>
                <w:rFonts w:ascii="Times New Roman" w:hAnsi="Times New Roman"/>
                <w:kern w:val="0"/>
              </w:rPr>
              <w:t>1.44</w:t>
            </w:r>
          </w:p>
        </w:tc>
        <w:tc>
          <w:tcPr>
            <w:tcW w:w="112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68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1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3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3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2480" w:type="dxa"/>
            <w:shd w:val="clear" w:color="auto" w:fill="auto"/>
            <w:vAlign w:val="bottom"/>
          </w:tcPr>
          <w:p>
            <w:pPr>
              <w:widowControl/>
              <w:jc w:val="left"/>
              <w:rPr>
                <w:rFonts w:ascii="宋体" w:hAnsi="宋体" w:cs="宋体"/>
                <w:kern w:val="0"/>
                <w:sz w:val="20"/>
                <w:szCs w:val="20"/>
              </w:rPr>
            </w:pPr>
            <w:r>
              <w:rPr>
                <w:rFonts w:hint="eastAsia" w:ascii="宋体" w:hAnsi="宋体" w:cs="宋体"/>
                <w:kern w:val="0"/>
                <w:sz w:val="20"/>
                <w:szCs w:val="20"/>
              </w:rPr>
              <w:t>按照工程费用的0.1‰估算</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jc w:val="center"/>
        </w:trPr>
        <w:tc>
          <w:tcPr>
            <w:tcW w:w="81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17</w:t>
            </w:r>
          </w:p>
        </w:tc>
        <w:tc>
          <w:tcPr>
            <w:tcW w:w="2340" w:type="dxa"/>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场地准备及临时设施费</w:t>
            </w:r>
          </w:p>
        </w:tc>
        <w:tc>
          <w:tcPr>
            <w:tcW w:w="89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9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20"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99" w:type="dxa"/>
            <w:shd w:val="clear" w:color="auto" w:fill="auto"/>
            <w:noWrap/>
            <w:vAlign w:val="bottom"/>
          </w:tcPr>
          <w:p>
            <w:pPr>
              <w:widowControl/>
              <w:jc w:val="center"/>
              <w:rPr>
                <w:rFonts w:ascii="Times New Roman" w:hAnsi="Times New Roman"/>
                <w:kern w:val="0"/>
              </w:rPr>
            </w:pPr>
            <w:r>
              <w:rPr>
                <w:rFonts w:ascii="Times New Roman" w:hAnsi="Times New Roman"/>
                <w:kern w:val="0"/>
              </w:rPr>
              <w:t xml:space="preserve">86.39 </w:t>
            </w:r>
          </w:p>
        </w:tc>
        <w:tc>
          <w:tcPr>
            <w:tcW w:w="1004" w:type="dxa"/>
            <w:shd w:val="clear" w:color="auto" w:fill="auto"/>
            <w:noWrap/>
            <w:vAlign w:val="bottom"/>
          </w:tcPr>
          <w:p>
            <w:pPr>
              <w:widowControl/>
              <w:jc w:val="center"/>
              <w:rPr>
                <w:rFonts w:ascii="Times New Roman" w:hAnsi="Times New Roman"/>
                <w:kern w:val="0"/>
              </w:rPr>
            </w:pPr>
            <w:r>
              <w:rPr>
                <w:rFonts w:ascii="Times New Roman" w:hAnsi="Times New Roman"/>
                <w:kern w:val="0"/>
              </w:rPr>
              <w:t>86.39</w:t>
            </w:r>
          </w:p>
        </w:tc>
        <w:tc>
          <w:tcPr>
            <w:tcW w:w="112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68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1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3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3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2480" w:type="dxa"/>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工程费用的0.6%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jc w:val="center"/>
        </w:trPr>
        <w:tc>
          <w:tcPr>
            <w:tcW w:w="81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18</w:t>
            </w:r>
          </w:p>
        </w:tc>
        <w:tc>
          <w:tcPr>
            <w:tcW w:w="2340" w:type="dxa"/>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人防易地建设费</w:t>
            </w:r>
          </w:p>
        </w:tc>
        <w:tc>
          <w:tcPr>
            <w:tcW w:w="89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9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20"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99" w:type="dxa"/>
            <w:shd w:val="clear" w:color="auto" w:fill="auto"/>
            <w:noWrap/>
            <w:vAlign w:val="bottom"/>
          </w:tcPr>
          <w:p>
            <w:pPr>
              <w:widowControl/>
              <w:jc w:val="center"/>
              <w:rPr>
                <w:rFonts w:ascii="Times New Roman" w:hAnsi="Times New Roman"/>
                <w:kern w:val="0"/>
              </w:rPr>
            </w:pPr>
            <w:r>
              <w:rPr>
                <w:rFonts w:ascii="Times New Roman" w:hAnsi="Times New Roman"/>
                <w:kern w:val="0"/>
              </w:rPr>
              <w:t xml:space="preserve">76.64 </w:t>
            </w:r>
          </w:p>
        </w:tc>
        <w:tc>
          <w:tcPr>
            <w:tcW w:w="1004" w:type="dxa"/>
            <w:shd w:val="clear" w:color="auto" w:fill="auto"/>
            <w:noWrap/>
            <w:vAlign w:val="bottom"/>
          </w:tcPr>
          <w:p>
            <w:pPr>
              <w:widowControl/>
              <w:jc w:val="center"/>
              <w:rPr>
                <w:rFonts w:ascii="Times New Roman" w:hAnsi="Times New Roman"/>
                <w:kern w:val="0"/>
              </w:rPr>
            </w:pPr>
            <w:r>
              <w:rPr>
                <w:rFonts w:ascii="Times New Roman" w:hAnsi="Times New Roman"/>
                <w:kern w:val="0"/>
              </w:rPr>
              <w:t>76.64</w:t>
            </w:r>
          </w:p>
        </w:tc>
        <w:tc>
          <w:tcPr>
            <w:tcW w:w="112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68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1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3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3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2480" w:type="dxa"/>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广府发〔2017〕13号</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jc w:val="center"/>
        </w:trPr>
        <w:tc>
          <w:tcPr>
            <w:tcW w:w="81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19</w:t>
            </w:r>
          </w:p>
        </w:tc>
        <w:tc>
          <w:tcPr>
            <w:tcW w:w="2340" w:type="dxa"/>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城市基础设施配套费</w:t>
            </w:r>
          </w:p>
        </w:tc>
        <w:tc>
          <w:tcPr>
            <w:tcW w:w="89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99"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20" w:type="dxa"/>
            <w:shd w:val="clear" w:color="auto" w:fill="auto"/>
            <w:noWrap/>
            <w:vAlign w:val="bottom"/>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99" w:type="dxa"/>
            <w:shd w:val="clear" w:color="auto" w:fill="auto"/>
            <w:noWrap/>
            <w:vAlign w:val="bottom"/>
          </w:tcPr>
          <w:p>
            <w:pPr>
              <w:widowControl/>
              <w:jc w:val="center"/>
              <w:rPr>
                <w:rFonts w:ascii="Times New Roman" w:hAnsi="Times New Roman"/>
                <w:kern w:val="0"/>
              </w:rPr>
            </w:pPr>
            <w:r>
              <w:rPr>
                <w:rFonts w:ascii="Times New Roman" w:hAnsi="Times New Roman"/>
                <w:kern w:val="0"/>
              </w:rPr>
              <w:t xml:space="preserve">98.54 </w:t>
            </w:r>
          </w:p>
        </w:tc>
        <w:tc>
          <w:tcPr>
            <w:tcW w:w="1004" w:type="dxa"/>
            <w:shd w:val="clear" w:color="auto" w:fill="auto"/>
            <w:noWrap/>
            <w:vAlign w:val="bottom"/>
          </w:tcPr>
          <w:p>
            <w:pPr>
              <w:widowControl/>
              <w:jc w:val="center"/>
              <w:rPr>
                <w:rFonts w:ascii="Times New Roman" w:hAnsi="Times New Roman"/>
                <w:kern w:val="0"/>
              </w:rPr>
            </w:pPr>
            <w:r>
              <w:rPr>
                <w:rFonts w:ascii="Times New Roman" w:hAnsi="Times New Roman"/>
                <w:kern w:val="0"/>
              </w:rPr>
              <w:t>98.54</w:t>
            </w:r>
          </w:p>
        </w:tc>
        <w:tc>
          <w:tcPr>
            <w:tcW w:w="112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68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1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3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13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2480" w:type="dxa"/>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广府发〔2017〕13号</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jc w:val="center"/>
        </w:trPr>
        <w:tc>
          <w:tcPr>
            <w:tcW w:w="819" w:type="dxa"/>
            <w:shd w:val="clear" w:color="auto" w:fill="auto"/>
            <w:vAlign w:val="bottom"/>
          </w:tcPr>
          <w:p>
            <w:pPr>
              <w:widowControl/>
              <w:jc w:val="center"/>
              <w:rPr>
                <w:rFonts w:ascii="宋体" w:hAnsi="宋体" w:cs="宋体"/>
                <w:b/>
                <w:bCs/>
                <w:kern w:val="0"/>
                <w:sz w:val="20"/>
                <w:szCs w:val="20"/>
              </w:rPr>
            </w:pPr>
            <w:r>
              <w:rPr>
                <w:rFonts w:hint="eastAsia" w:ascii="宋体" w:hAnsi="宋体" w:cs="宋体"/>
                <w:b/>
                <w:bCs/>
                <w:kern w:val="0"/>
                <w:sz w:val="20"/>
                <w:szCs w:val="20"/>
              </w:rPr>
              <w:t>三</w:t>
            </w:r>
          </w:p>
        </w:tc>
        <w:tc>
          <w:tcPr>
            <w:tcW w:w="2340" w:type="dxa"/>
            <w:shd w:val="clear" w:color="auto" w:fill="auto"/>
            <w:vAlign w:val="bottom"/>
          </w:tcPr>
          <w:p>
            <w:pPr>
              <w:widowControl/>
              <w:jc w:val="left"/>
              <w:rPr>
                <w:rFonts w:ascii="宋体" w:hAnsi="宋体" w:cs="宋体"/>
                <w:b/>
                <w:bCs/>
                <w:kern w:val="0"/>
                <w:sz w:val="20"/>
                <w:szCs w:val="20"/>
              </w:rPr>
            </w:pPr>
            <w:r>
              <w:rPr>
                <w:rFonts w:hint="eastAsia" w:ascii="宋体" w:hAnsi="宋体" w:cs="宋体"/>
                <w:b/>
                <w:bCs/>
                <w:kern w:val="0"/>
                <w:sz w:val="20"/>
                <w:szCs w:val="20"/>
              </w:rPr>
              <w:t>预备费</w:t>
            </w:r>
          </w:p>
        </w:tc>
        <w:tc>
          <w:tcPr>
            <w:tcW w:w="899" w:type="dxa"/>
            <w:shd w:val="clear" w:color="auto" w:fill="auto"/>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899" w:type="dxa"/>
            <w:shd w:val="clear" w:color="auto" w:fill="auto"/>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820" w:type="dxa"/>
            <w:shd w:val="clear" w:color="auto" w:fill="auto"/>
            <w:vAlign w:val="bottom"/>
          </w:tcPr>
          <w:p>
            <w:pPr>
              <w:widowControl/>
              <w:jc w:val="right"/>
              <w:rPr>
                <w:rFonts w:ascii="宋体" w:hAnsi="宋体" w:cs="宋体"/>
                <w:b/>
                <w:bCs/>
                <w:kern w:val="0"/>
                <w:sz w:val="20"/>
                <w:szCs w:val="20"/>
              </w:rPr>
            </w:pPr>
            <w:r>
              <w:rPr>
                <w:rFonts w:hint="eastAsia" w:ascii="宋体" w:hAnsi="宋体" w:cs="宋体"/>
                <w:b/>
                <w:bCs/>
                <w:kern w:val="0"/>
                <w:sz w:val="20"/>
                <w:szCs w:val="20"/>
              </w:rPr>
              <w:t>　</w:t>
            </w:r>
          </w:p>
        </w:tc>
        <w:tc>
          <w:tcPr>
            <w:tcW w:w="899"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840.86</w:t>
            </w:r>
          </w:p>
        </w:tc>
        <w:tc>
          <w:tcPr>
            <w:tcW w:w="1004" w:type="dxa"/>
            <w:shd w:val="clear" w:color="auto" w:fill="auto"/>
            <w:vAlign w:val="bottom"/>
          </w:tcPr>
          <w:p>
            <w:pPr>
              <w:widowControl/>
              <w:jc w:val="center"/>
              <w:rPr>
                <w:rFonts w:ascii="Times New Roman" w:hAnsi="Times New Roman"/>
                <w:b/>
                <w:bCs/>
                <w:kern w:val="0"/>
              </w:rPr>
            </w:pPr>
            <w:r>
              <w:rPr>
                <w:rFonts w:ascii="Times New Roman" w:hAnsi="Times New Roman"/>
                <w:b/>
                <w:bCs/>
                <w:kern w:val="0"/>
              </w:rPr>
              <w:t>840.86</w:t>
            </w:r>
          </w:p>
        </w:tc>
        <w:tc>
          <w:tcPr>
            <w:tcW w:w="1120" w:type="dxa"/>
            <w:shd w:val="clear" w:color="auto" w:fill="auto"/>
            <w:vAlign w:val="bottom"/>
          </w:tcPr>
          <w:p>
            <w:pPr>
              <w:widowControl/>
              <w:jc w:val="center"/>
              <w:rPr>
                <w:rFonts w:ascii="Times New Roman" w:hAnsi="Times New Roman"/>
                <w:b/>
                <w:bCs/>
                <w:kern w:val="0"/>
              </w:rPr>
            </w:pPr>
            <w:r>
              <w:rPr>
                <w:rFonts w:ascii="Times New Roman" w:hAnsi="Times New Roman"/>
                <w:b/>
                <w:bCs/>
                <w:kern w:val="0"/>
              </w:rPr>
              <w:t>　</w:t>
            </w:r>
          </w:p>
        </w:tc>
        <w:tc>
          <w:tcPr>
            <w:tcW w:w="680" w:type="dxa"/>
            <w:shd w:val="clear" w:color="auto" w:fill="auto"/>
            <w:vAlign w:val="bottom"/>
          </w:tcPr>
          <w:p>
            <w:pPr>
              <w:widowControl/>
              <w:jc w:val="center"/>
              <w:rPr>
                <w:rFonts w:ascii="Times New Roman" w:hAnsi="Times New Roman"/>
                <w:b/>
                <w:bCs/>
                <w:kern w:val="0"/>
              </w:rPr>
            </w:pPr>
            <w:r>
              <w:rPr>
                <w:rFonts w:ascii="Times New Roman" w:hAnsi="Times New Roman"/>
                <w:b/>
                <w:bCs/>
                <w:kern w:val="0"/>
              </w:rPr>
              <w:t>　</w:t>
            </w:r>
          </w:p>
        </w:tc>
        <w:tc>
          <w:tcPr>
            <w:tcW w:w="1100" w:type="dxa"/>
            <w:shd w:val="clear" w:color="auto" w:fill="auto"/>
            <w:vAlign w:val="bottom"/>
          </w:tcPr>
          <w:p>
            <w:pPr>
              <w:widowControl/>
              <w:jc w:val="center"/>
              <w:rPr>
                <w:rFonts w:ascii="Times New Roman" w:hAnsi="Times New Roman"/>
                <w:b/>
                <w:bCs/>
                <w:kern w:val="0"/>
              </w:rPr>
            </w:pPr>
            <w:r>
              <w:rPr>
                <w:rFonts w:ascii="Times New Roman" w:hAnsi="Times New Roman"/>
                <w:b/>
                <w:bCs/>
                <w:kern w:val="0"/>
              </w:rPr>
              <w:t>　</w:t>
            </w:r>
          </w:p>
        </w:tc>
        <w:tc>
          <w:tcPr>
            <w:tcW w:w="1300" w:type="dxa"/>
            <w:shd w:val="clear" w:color="auto" w:fill="auto"/>
            <w:vAlign w:val="bottom"/>
          </w:tcPr>
          <w:p>
            <w:pPr>
              <w:widowControl/>
              <w:jc w:val="center"/>
              <w:rPr>
                <w:rFonts w:ascii="Times New Roman" w:hAnsi="Times New Roman"/>
                <w:b/>
                <w:bCs/>
                <w:kern w:val="0"/>
              </w:rPr>
            </w:pPr>
            <w:r>
              <w:rPr>
                <w:rFonts w:ascii="Times New Roman" w:hAnsi="Times New Roman"/>
                <w:b/>
                <w:bCs/>
                <w:kern w:val="0"/>
              </w:rPr>
              <w:t>383.99</w:t>
            </w:r>
          </w:p>
        </w:tc>
        <w:tc>
          <w:tcPr>
            <w:tcW w:w="130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xml:space="preserve">4.80 </w:t>
            </w:r>
          </w:p>
        </w:tc>
        <w:tc>
          <w:tcPr>
            <w:tcW w:w="2480" w:type="dxa"/>
            <w:shd w:val="clear" w:color="auto" w:fill="auto"/>
            <w:vAlign w:val="bottom"/>
          </w:tcPr>
          <w:p>
            <w:pPr>
              <w:widowControl/>
              <w:jc w:val="left"/>
              <w:rPr>
                <w:rFonts w:ascii="宋体" w:hAnsi="宋体" w:cs="宋体"/>
                <w:kern w:val="0"/>
                <w:sz w:val="20"/>
                <w:szCs w:val="20"/>
              </w:rPr>
            </w:pPr>
            <w:r>
              <w:rPr>
                <w:rFonts w:hint="eastAsia" w:ascii="宋体" w:hAnsi="宋体" w:cs="宋体"/>
                <w:kern w:val="0"/>
                <w:sz w:val="20"/>
                <w:szCs w:val="20"/>
              </w:rPr>
              <w:t>（一</w:t>
            </w:r>
            <w:r>
              <w:rPr>
                <w:rFonts w:ascii="Times New Roman" w:hAnsi="Times New Roman"/>
                <w:kern w:val="0"/>
                <w:sz w:val="20"/>
                <w:szCs w:val="20"/>
              </w:rPr>
              <w:t>+</w:t>
            </w:r>
            <w:r>
              <w:rPr>
                <w:rFonts w:hint="eastAsia" w:ascii="宋体" w:hAnsi="宋体" w:cs="宋体"/>
                <w:kern w:val="0"/>
                <w:sz w:val="20"/>
                <w:szCs w:val="20"/>
              </w:rPr>
              <w:t>二）*5.31%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jc w:val="center"/>
        </w:trPr>
        <w:tc>
          <w:tcPr>
            <w:tcW w:w="819" w:type="dxa"/>
            <w:shd w:val="clear" w:color="auto" w:fill="auto"/>
            <w:vAlign w:val="bottom"/>
          </w:tcPr>
          <w:p>
            <w:pPr>
              <w:widowControl/>
              <w:jc w:val="center"/>
              <w:rPr>
                <w:rFonts w:ascii="宋体" w:hAnsi="宋体" w:cs="宋体"/>
                <w:b/>
                <w:bCs/>
                <w:kern w:val="0"/>
                <w:sz w:val="20"/>
                <w:szCs w:val="20"/>
              </w:rPr>
            </w:pPr>
            <w:r>
              <w:rPr>
                <w:rFonts w:hint="eastAsia" w:ascii="宋体" w:hAnsi="宋体" w:cs="宋体"/>
                <w:b/>
                <w:bCs/>
                <w:kern w:val="0"/>
                <w:sz w:val="20"/>
                <w:szCs w:val="20"/>
              </w:rPr>
              <w:t>四</w:t>
            </w:r>
          </w:p>
        </w:tc>
        <w:tc>
          <w:tcPr>
            <w:tcW w:w="2340" w:type="dxa"/>
            <w:shd w:val="clear" w:color="auto" w:fill="auto"/>
            <w:vAlign w:val="bottom"/>
          </w:tcPr>
          <w:p>
            <w:pPr>
              <w:widowControl/>
              <w:jc w:val="left"/>
              <w:rPr>
                <w:rFonts w:ascii="宋体" w:hAnsi="宋体" w:cs="宋体"/>
                <w:b/>
                <w:bCs/>
                <w:kern w:val="0"/>
                <w:sz w:val="20"/>
                <w:szCs w:val="20"/>
              </w:rPr>
            </w:pPr>
            <w:r>
              <w:rPr>
                <w:rFonts w:hint="eastAsia" w:ascii="宋体" w:hAnsi="宋体" w:cs="宋体"/>
                <w:b/>
                <w:bCs/>
                <w:kern w:val="0"/>
                <w:sz w:val="20"/>
                <w:szCs w:val="20"/>
              </w:rPr>
              <w:t>与债券发行相关的费用</w:t>
            </w:r>
          </w:p>
        </w:tc>
        <w:tc>
          <w:tcPr>
            <w:tcW w:w="899" w:type="dxa"/>
            <w:shd w:val="clear" w:color="auto" w:fill="auto"/>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899" w:type="dxa"/>
            <w:shd w:val="clear" w:color="auto" w:fill="auto"/>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820" w:type="dxa"/>
            <w:shd w:val="clear" w:color="auto" w:fill="auto"/>
            <w:vAlign w:val="bottom"/>
          </w:tcPr>
          <w:p>
            <w:pPr>
              <w:widowControl/>
              <w:jc w:val="right"/>
              <w:rPr>
                <w:rFonts w:ascii="宋体" w:hAnsi="宋体" w:cs="宋体"/>
                <w:b/>
                <w:bCs/>
                <w:kern w:val="0"/>
                <w:sz w:val="20"/>
                <w:szCs w:val="20"/>
              </w:rPr>
            </w:pPr>
            <w:r>
              <w:rPr>
                <w:rFonts w:hint="eastAsia" w:ascii="宋体" w:hAnsi="宋体" w:cs="宋体"/>
                <w:b/>
                <w:bCs/>
                <w:kern w:val="0"/>
                <w:sz w:val="20"/>
                <w:szCs w:val="20"/>
              </w:rPr>
              <w:t>　</w:t>
            </w:r>
          </w:p>
        </w:tc>
        <w:tc>
          <w:tcPr>
            <w:tcW w:w="899"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860.00</w:t>
            </w:r>
          </w:p>
        </w:tc>
        <w:tc>
          <w:tcPr>
            <w:tcW w:w="1004" w:type="dxa"/>
            <w:shd w:val="clear" w:color="auto" w:fill="auto"/>
            <w:vAlign w:val="bottom"/>
          </w:tcPr>
          <w:p>
            <w:pPr>
              <w:widowControl/>
              <w:jc w:val="center"/>
              <w:rPr>
                <w:rFonts w:ascii="Times New Roman" w:hAnsi="Times New Roman"/>
                <w:b/>
                <w:bCs/>
                <w:kern w:val="0"/>
              </w:rPr>
            </w:pPr>
            <w:r>
              <w:rPr>
                <w:rFonts w:ascii="Times New Roman" w:hAnsi="Times New Roman"/>
                <w:b/>
                <w:bCs/>
                <w:kern w:val="0"/>
              </w:rPr>
              <w:t>860.00</w:t>
            </w:r>
          </w:p>
        </w:tc>
        <w:tc>
          <w:tcPr>
            <w:tcW w:w="1120" w:type="dxa"/>
            <w:shd w:val="clear" w:color="auto" w:fill="auto"/>
            <w:vAlign w:val="bottom"/>
          </w:tcPr>
          <w:p>
            <w:pPr>
              <w:widowControl/>
              <w:jc w:val="center"/>
              <w:rPr>
                <w:rFonts w:ascii="Times New Roman" w:hAnsi="Times New Roman"/>
                <w:b/>
                <w:bCs/>
                <w:kern w:val="0"/>
              </w:rPr>
            </w:pPr>
            <w:r>
              <w:rPr>
                <w:rFonts w:ascii="Times New Roman" w:hAnsi="Times New Roman"/>
                <w:b/>
                <w:bCs/>
                <w:kern w:val="0"/>
              </w:rPr>
              <w:t>　</w:t>
            </w:r>
          </w:p>
        </w:tc>
        <w:tc>
          <w:tcPr>
            <w:tcW w:w="680" w:type="dxa"/>
            <w:shd w:val="clear" w:color="auto" w:fill="auto"/>
            <w:vAlign w:val="bottom"/>
          </w:tcPr>
          <w:p>
            <w:pPr>
              <w:widowControl/>
              <w:jc w:val="center"/>
              <w:rPr>
                <w:rFonts w:ascii="Times New Roman" w:hAnsi="Times New Roman"/>
                <w:b/>
                <w:bCs/>
                <w:kern w:val="0"/>
              </w:rPr>
            </w:pPr>
            <w:r>
              <w:rPr>
                <w:rFonts w:ascii="Times New Roman" w:hAnsi="Times New Roman"/>
                <w:b/>
                <w:bCs/>
                <w:kern w:val="0"/>
              </w:rPr>
              <w:t>　</w:t>
            </w:r>
          </w:p>
        </w:tc>
        <w:tc>
          <w:tcPr>
            <w:tcW w:w="1100" w:type="dxa"/>
            <w:shd w:val="clear" w:color="auto" w:fill="auto"/>
            <w:vAlign w:val="bottom"/>
          </w:tcPr>
          <w:p>
            <w:pPr>
              <w:widowControl/>
              <w:jc w:val="center"/>
              <w:rPr>
                <w:rFonts w:ascii="Times New Roman" w:hAnsi="Times New Roman"/>
                <w:b/>
                <w:bCs/>
                <w:kern w:val="0"/>
              </w:rPr>
            </w:pPr>
            <w:r>
              <w:rPr>
                <w:rFonts w:ascii="Times New Roman" w:hAnsi="Times New Roman"/>
                <w:b/>
                <w:bCs/>
                <w:kern w:val="0"/>
              </w:rPr>
              <w:t>　</w:t>
            </w:r>
          </w:p>
        </w:tc>
        <w:tc>
          <w:tcPr>
            <w:tcW w:w="1300" w:type="dxa"/>
            <w:shd w:val="clear" w:color="auto" w:fill="auto"/>
            <w:vAlign w:val="bottom"/>
          </w:tcPr>
          <w:p>
            <w:pPr>
              <w:widowControl/>
              <w:jc w:val="center"/>
              <w:rPr>
                <w:rFonts w:ascii="Times New Roman" w:hAnsi="Times New Roman"/>
                <w:b/>
                <w:bCs/>
                <w:kern w:val="0"/>
              </w:rPr>
            </w:pPr>
            <w:r>
              <w:rPr>
                <w:rFonts w:ascii="Times New Roman" w:hAnsi="Times New Roman"/>
                <w:b/>
                <w:bCs/>
                <w:kern w:val="0"/>
              </w:rPr>
              <w:t>　</w:t>
            </w:r>
          </w:p>
        </w:tc>
        <w:tc>
          <w:tcPr>
            <w:tcW w:w="130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w:t>
            </w:r>
          </w:p>
        </w:tc>
        <w:tc>
          <w:tcPr>
            <w:tcW w:w="2480" w:type="dxa"/>
            <w:shd w:val="clear" w:color="auto" w:fill="auto"/>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jc w:val="center"/>
        </w:trPr>
        <w:tc>
          <w:tcPr>
            <w:tcW w:w="819" w:type="dxa"/>
            <w:shd w:val="clear" w:color="auto" w:fill="auto"/>
            <w:vAlign w:val="bottom"/>
          </w:tcPr>
          <w:p>
            <w:pPr>
              <w:widowControl/>
              <w:jc w:val="center"/>
              <w:rPr>
                <w:rFonts w:ascii="宋体" w:hAnsi="宋体" w:cs="宋体"/>
                <w:kern w:val="0"/>
                <w:sz w:val="20"/>
                <w:szCs w:val="20"/>
              </w:rPr>
            </w:pPr>
            <w:r>
              <w:rPr>
                <w:rFonts w:hint="eastAsia" w:ascii="宋体" w:hAnsi="宋体" w:cs="宋体"/>
                <w:kern w:val="0"/>
                <w:sz w:val="20"/>
                <w:szCs w:val="20"/>
              </w:rPr>
              <w:t>1</w:t>
            </w:r>
          </w:p>
        </w:tc>
        <w:tc>
          <w:tcPr>
            <w:tcW w:w="2340" w:type="dxa"/>
            <w:shd w:val="clear" w:color="auto" w:fill="auto"/>
            <w:vAlign w:val="bottom"/>
          </w:tcPr>
          <w:p>
            <w:pPr>
              <w:widowControl/>
              <w:jc w:val="left"/>
              <w:rPr>
                <w:rFonts w:ascii="宋体" w:hAnsi="宋体" w:cs="宋体"/>
                <w:kern w:val="0"/>
                <w:sz w:val="20"/>
                <w:szCs w:val="20"/>
              </w:rPr>
            </w:pPr>
            <w:r>
              <w:rPr>
                <w:rFonts w:hint="eastAsia" w:ascii="宋体" w:hAnsi="宋体" w:cs="宋体"/>
                <w:kern w:val="0"/>
                <w:sz w:val="20"/>
                <w:szCs w:val="20"/>
              </w:rPr>
              <w:t>建设期利息</w:t>
            </w:r>
          </w:p>
        </w:tc>
        <w:tc>
          <w:tcPr>
            <w:tcW w:w="899" w:type="dxa"/>
            <w:shd w:val="clear" w:color="auto" w:fill="auto"/>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899" w:type="dxa"/>
            <w:shd w:val="clear" w:color="auto" w:fill="auto"/>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820" w:type="dxa"/>
            <w:shd w:val="clear" w:color="auto" w:fill="auto"/>
            <w:vAlign w:val="bottom"/>
          </w:tcPr>
          <w:p>
            <w:pPr>
              <w:widowControl/>
              <w:jc w:val="right"/>
              <w:rPr>
                <w:rFonts w:ascii="宋体" w:hAnsi="宋体" w:cs="宋体"/>
                <w:kern w:val="0"/>
                <w:sz w:val="20"/>
                <w:szCs w:val="20"/>
              </w:rPr>
            </w:pPr>
            <w:r>
              <w:rPr>
                <w:rFonts w:hint="eastAsia" w:ascii="宋体" w:hAnsi="宋体" w:cs="宋体"/>
                <w:kern w:val="0"/>
                <w:sz w:val="20"/>
                <w:szCs w:val="20"/>
              </w:rPr>
              <w:t>　</w:t>
            </w:r>
          </w:p>
        </w:tc>
        <w:tc>
          <w:tcPr>
            <w:tcW w:w="899" w:type="dxa"/>
            <w:shd w:val="clear" w:color="auto" w:fill="auto"/>
            <w:noWrap/>
            <w:vAlign w:val="bottom"/>
          </w:tcPr>
          <w:p>
            <w:pPr>
              <w:widowControl/>
              <w:jc w:val="center"/>
              <w:rPr>
                <w:rFonts w:ascii="Times New Roman" w:hAnsi="Times New Roman"/>
                <w:kern w:val="0"/>
              </w:rPr>
            </w:pPr>
            <w:r>
              <w:rPr>
                <w:rFonts w:ascii="Times New Roman" w:hAnsi="Times New Roman"/>
                <w:kern w:val="0"/>
              </w:rPr>
              <w:t>850.00</w:t>
            </w:r>
          </w:p>
        </w:tc>
        <w:tc>
          <w:tcPr>
            <w:tcW w:w="1004" w:type="dxa"/>
            <w:shd w:val="clear" w:color="auto" w:fill="auto"/>
            <w:vAlign w:val="bottom"/>
          </w:tcPr>
          <w:p>
            <w:pPr>
              <w:widowControl/>
              <w:jc w:val="center"/>
              <w:rPr>
                <w:rFonts w:ascii="Times New Roman" w:hAnsi="Times New Roman"/>
                <w:kern w:val="0"/>
              </w:rPr>
            </w:pPr>
            <w:r>
              <w:rPr>
                <w:rFonts w:ascii="Times New Roman" w:hAnsi="Times New Roman"/>
                <w:kern w:val="0"/>
              </w:rPr>
              <w:t>850.00</w:t>
            </w:r>
          </w:p>
        </w:tc>
        <w:tc>
          <w:tcPr>
            <w:tcW w:w="1120" w:type="dxa"/>
            <w:shd w:val="clear" w:color="auto" w:fill="auto"/>
            <w:vAlign w:val="bottom"/>
          </w:tcPr>
          <w:p>
            <w:pPr>
              <w:widowControl/>
              <w:jc w:val="center"/>
              <w:rPr>
                <w:rFonts w:ascii="Times New Roman" w:hAnsi="Times New Roman"/>
                <w:kern w:val="0"/>
              </w:rPr>
            </w:pPr>
            <w:r>
              <w:rPr>
                <w:rFonts w:ascii="Times New Roman" w:hAnsi="Times New Roman"/>
                <w:kern w:val="0"/>
              </w:rPr>
              <w:t>　</w:t>
            </w:r>
          </w:p>
        </w:tc>
        <w:tc>
          <w:tcPr>
            <w:tcW w:w="680" w:type="dxa"/>
            <w:shd w:val="clear" w:color="auto" w:fill="auto"/>
            <w:vAlign w:val="bottom"/>
          </w:tcPr>
          <w:p>
            <w:pPr>
              <w:widowControl/>
              <w:jc w:val="center"/>
              <w:rPr>
                <w:rFonts w:ascii="Times New Roman" w:hAnsi="Times New Roman"/>
                <w:kern w:val="0"/>
              </w:rPr>
            </w:pPr>
            <w:r>
              <w:rPr>
                <w:rFonts w:ascii="Times New Roman" w:hAnsi="Times New Roman"/>
                <w:kern w:val="0"/>
              </w:rPr>
              <w:t>　</w:t>
            </w:r>
          </w:p>
        </w:tc>
        <w:tc>
          <w:tcPr>
            <w:tcW w:w="1100" w:type="dxa"/>
            <w:shd w:val="clear" w:color="auto" w:fill="auto"/>
            <w:vAlign w:val="bottom"/>
          </w:tcPr>
          <w:p>
            <w:pPr>
              <w:widowControl/>
              <w:jc w:val="center"/>
              <w:rPr>
                <w:rFonts w:ascii="Times New Roman" w:hAnsi="Times New Roman"/>
                <w:kern w:val="0"/>
              </w:rPr>
            </w:pPr>
            <w:r>
              <w:rPr>
                <w:rFonts w:ascii="Times New Roman" w:hAnsi="Times New Roman"/>
                <w:kern w:val="0"/>
              </w:rPr>
              <w:t>　</w:t>
            </w:r>
          </w:p>
        </w:tc>
        <w:tc>
          <w:tcPr>
            <w:tcW w:w="1300" w:type="dxa"/>
            <w:shd w:val="clear" w:color="auto" w:fill="auto"/>
            <w:vAlign w:val="bottom"/>
          </w:tcPr>
          <w:p>
            <w:pPr>
              <w:widowControl/>
              <w:jc w:val="center"/>
              <w:rPr>
                <w:rFonts w:ascii="Times New Roman" w:hAnsi="Times New Roman"/>
                <w:kern w:val="0"/>
              </w:rPr>
            </w:pPr>
            <w:r>
              <w:rPr>
                <w:rFonts w:ascii="Times New Roman" w:hAnsi="Times New Roman"/>
                <w:kern w:val="0"/>
              </w:rPr>
              <w:t>　</w:t>
            </w:r>
          </w:p>
        </w:tc>
        <w:tc>
          <w:tcPr>
            <w:tcW w:w="13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2480" w:type="dxa"/>
            <w:shd w:val="clear" w:color="auto" w:fill="auto"/>
            <w:vAlign w:val="bottom"/>
          </w:tcPr>
          <w:p>
            <w:pPr>
              <w:widowControl/>
              <w:jc w:val="left"/>
              <w:rPr>
                <w:rFonts w:ascii="宋体" w:hAnsi="宋体" w:cs="宋体"/>
                <w:kern w:val="0"/>
                <w:sz w:val="20"/>
                <w:szCs w:val="20"/>
              </w:rPr>
            </w:pPr>
            <w:r>
              <w:rPr>
                <w:rFonts w:hint="eastAsia" w:ascii="宋体" w:hAnsi="宋体" w:cs="宋体"/>
                <w:kern w:val="0"/>
                <w:sz w:val="20"/>
                <w:szCs w:val="20"/>
              </w:rPr>
              <w:t>按照4%估算</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jc w:val="center"/>
        </w:trPr>
        <w:tc>
          <w:tcPr>
            <w:tcW w:w="819" w:type="dxa"/>
            <w:shd w:val="clear" w:color="auto" w:fill="auto"/>
            <w:vAlign w:val="bottom"/>
          </w:tcPr>
          <w:p>
            <w:pPr>
              <w:widowControl/>
              <w:jc w:val="center"/>
              <w:rPr>
                <w:rFonts w:ascii="宋体" w:hAnsi="宋体" w:cs="宋体"/>
                <w:kern w:val="0"/>
                <w:sz w:val="20"/>
                <w:szCs w:val="20"/>
              </w:rPr>
            </w:pPr>
            <w:r>
              <w:rPr>
                <w:rFonts w:hint="eastAsia" w:ascii="宋体" w:hAnsi="宋体" w:cs="宋体"/>
                <w:kern w:val="0"/>
                <w:sz w:val="20"/>
                <w:szCs w:val="20"/>
              </w:rPr>
              <w:t>2</w:t>
            </w:r>
          </w:p>
        </w:tc>
        <w:tc>
          <w:tcPr>
            <w:tcW w:w="2340" w:type="dxa"/>
            <w:shd w:val="clear" w:color="auto" w:fill="auto"/>
            <w:vAlign w:val="bottom"/>
          </w:tcPr>
          <w:p>
            <w:pPr>
              <w:widowControl/>
              <w:jc w:val="left"/>
              <w:rPr>
                <w:rFonts w:ascii="宋体" w:hAnsi="宋体" w:cs="宋体"/>
                <w:kern w:val="0"/>
                <w:sz w:val="20"/>
                <w:szCs w:val="20"/>
              </w:rPr>
            </w:pPr>
            <w:r>
              <w:rPr>
                <w:rFonts w:hint="eastAsia" w:ascii="宋体" w:hAnsi="宋体" w:cs="宋体"/>
                <w:kern w:val="0"/>
                <w:sz w:val="20"/>
                <w:szCs w:val="20"/>
              </w:rPr>
              <w:t>债券发行费</w:t>
            </w:r>
          </w:p>
        </w:tc>
        <w:tc>
          <w:tcPr>
            <w:tcW w:w="899" w:type="dxa"/>
            <w:shd w:val="clear" w:color="auto" w:fill="auto"/>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899" w:type="dxa"/>
            <w:shd w:val="clear" w:color="auto" w:fill="auto"/>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820" w:type="dxa"/>
            <w:shd w:val="clear" w:color="auto" w:fill="auto"/>
            <w:vAlign w:val="bottom"/>
          </w:tcPr>
          <w:p>
            <w:pPr>
              <w:widowControl/>
              <w:jc w:val="right"/>
              <w:rPr>
                <w:rFonts w:ascii="宋体" w:hAnsi="宋体" w:cs="宋体"/>
                <w:kern w:val="0"/>
                <w:sz w:val="20"/>
                <w:szCs w:val="20"/>
              </w:rPr>
            </w:pPr>
            <w:r>
              <w:rPr>
                <w:rFonts w:hint="eastAsia" w:ascii="宋体" w:hAnsi="宋体" w:cs="宋体"/>
                <w:kern w:val="0"/>
                <w:sz w:val="20"/>
                <w:szCs w:val="20"/>
              </w:rPr>
              <w:t>　</w:t>
            </w:r>
          </w:p>
        </w:tc>
        <w:tc>
          <w:tcPr>
            <w:tcW w:w="899" w:type="dxa"/>
            <w:shd w:val="clear" w:color="auto" w:fill="auto"/>
            <w:noWrap/>
            <w:vAlign w:val="bottom"/>
          </w:tcPr>
          <w:p>
            <w:pPr>
              <w:widowControl/>
              <w:jc w:val="center"/>
              <w:rPr>
                <w:rFonts w:ascii="Times New Roman" w:hAnsi="Times New Roman"/>
                <w:kern w:val="0"/>
              </w:rPr>
            </w:pPr>
            <w:r>
              <w:rPr>
                <w:rFonts w:ascii="Times New Roman" w:hAnsi="Times New Roman"/>
                <w:kern w:val="0"/>
              </w:rPr>
              <w:t>10.00</w:t>
            </w:r>
          </w:p>
        </w:tc>
        <w:tc>
          <w:tcPr>
            <w:tcW w:w="1004" w:type="dxa"/>
            <w:shd w:val="clear" w:color="auto" w:fill="auto"/>
            <w:vAlign w:val="bottom"/>
          </w:tcPr>
          <w:p>
            <w:pPr>
              <w:widowControl/>
              <w:jc w:val="center"/>
              <w:rPr>
                <w:rFonts w:ascii="Times New Roman" w:hAnsi="Times New Roman"/>
                <w:kern w:val="0"/>
              </w:rPr>
            </w:pPr>
            <w:r>
              <w:rPr>
                <w:rFonts w:ascii="Times New Roman" w:hAnsi="Times New Roman"/>
                <w:kern w:val="0"/>
              </w:rPr>
              <w:t>10.00</w:t>
            </w:r>
          </w:p>
        </w:tc>
        <w:tc>
          <w:tcPr>
            <w:tcW w:w="1120" w:type="dxa"/>
            <w:shd w:val="clear" w:color="auto" w:fill="auto"/>
            <w:vAlign w:val="bottom"/>
          </w:tcPr>
          <w:p>
            <w:pPr>
              <w:widowControl/>
              <w:jc w:val="center"/>
              <w:rPr>
                <w:rFonts w:ascii="Times New Roman" w:hAnsi="Times New Roman"/>
                <w:kern w:val="0"/>
              </w:rPr>
            </w:pPr>
            <w:r>
              <w:rPr>
                <w:rFonts w:ascii="Times New Roman" w:hAnsi="Times New Roman"/>
                <w:kern w:val="0"/>
              </w:rPr>
              <w:t>　</w:t>
            </w:r>
          </w:p>
        </w:tc>
        <w:tc>
          <w:tcPr>
            <w:tcW w:w="680" w:type="dxa"/>
            <w:shd w:val="clear" w:color="auto" w:fill="auto"/>
            <w:vAlign w:val="bottom"/>
          </w:tcPr>
          <w:p>
            <w:pPr>
              <w:widowControl/>
              <w:jc w:val="center"/>
              <w:rPr>
                <w:rFonts w:ascii="Times New Roman" w:hAnsi="Times New Roman"/>
                <w:kern w:val="0"/>
              </w:rPr>
            </w:pPr>
            <w:r>
              <w:rPr>
                <w:rFonts w:ascii="Times New Roman" w:hAnsi="Times New Roman"/>
                <w:kern w:val="0"/>
              </w:rPr>
              <w:t>　</w:t>
            </w:r>
          </w:p>
        </w:tc>
        <w:tc>
          <w:tcPr>
            <w:tcW w:w="1100" w:type="dxa"/>
            <w:shd w:val="clear" w:color="auto" w:fill="auto"/>
            <w:vAlign w:val="bottom"/>
          </w:tcPr>
          <w:p>
            <w:pPr>
              <w:widowControl/>
              <w:jc w:val="center"/>
              <w:rPr>
                <w:rFonts w:ascii="Times New Roman" w:hAnsi="Times New Roman"/>
                <w:kern w:val="0"/>
              </w:rPr>
            </w:pPr>
            <w:r>
              <w:rPr>
                <w:rFonts w:ascii="Times New Roman" w:hAnsi="Times New Roman"/>
                <w:kern w:val="0"/>
              </w:rPr>
              <w:t>　</w:t>
            </w:r>
          </w:p>
        </w:tc>
        <w:tc>
          <w:tcPr>
            <w:tcW w:w="1300" w:type="dxa"/>
            <w:shd w:val="clear" w:color="auto" w:fill="auto"/>
            <w:vAlign w:val="bottom"/>
          </w:tcPr>
          <w:p>
            <w:pPr>
              <w:widowControl/>
              <w:jc w:val="center"/>
              <w:rPr>
                <w:rFonts w:ascii="Times New Roman" w:hAnsi="Times New Roman"/>
                <w:kern w:val="0"/>
              </w:rPr>
            </w:pPr>
            <w:r>
              <w:rPr>
                <w:rFonts w:ascii="Times New Roman" w:hAnsi="Times New Roman"/>
                <w:kern w:val="0"/>
              </w:rPr>
              <w:t>　</w:t>
            </w:r>
          </w:p>
        </w:tc>
        <w:tc>
          <w:tcPr>
            <w:tcW w:w="1300" w:type="dxa"/>
            <w:shd w:val="clear" w:color="auto" w:fill="auto"/>
            <w:noWrap/>
            <w:vAlign w:val="bottom"/>
          </w:tcPr>
          <w:p>
            <w:pPr>
              <w:widowControl/>
              <w:jc w:val="center"/>
              <w:rPr>
                <w:rFonts w:ascii="Times New Roman" w:hAnsi="Times New Roman"/>
                <w:kern w:val="0"/>
              </w:rPr>
            </w:pPr>
            <w:r>
              <w:rPr>
                <w:rFonts w:ascii="Times New Roman" w:hAnsi="Times New Roman"/>
                <w:kern w:val="0"/>
              </w:rPr>
              <w:t>　</w:t>
            </w:r>
          </w:p>
        </w:tc>
        <w:tc>
          <w:tcPr>
            <w:tcW w:w="2480" w:type="dxa"/>
            <w:shd w:val="clear" w:color="auto" w:fill="auto"/>
            <w:vAlign w:val="bottom"/>
          </w:tcPr>
          <w:p>
            <w:pPr>
              <w:widowControl/>
              <w:jc w:val="left"/>
              <w:rPr>
                <w:rFonts w:ascii="宋体" w:hAnsi="宋体" w:cs="宋体"/>
                <w:kern w:val="0"/>
                <w:sz w:val="20"/>
                <w:szCs w:val="20"/>
              </w:rPr>
            </w:pPr>
            <w:r>
              <w:rPr>
                <w:rFonts w:hint="eastAsia" w:ascii="宋体" w:hAnsi="宋体" w:cs="宋体"/>
                <w:kern w:val="0"/>
                <w:sz w:val="20"/>
                <w:szCs w:val="20"/>
              </w:rPr>
              <w:t>按照1‰估算</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jc w:val="center"/>
        </w:trPr>
        <w:tc>
          <w:tcPr>
            <w:tcW w:w="819" w:type="dxa"/>
            <w:shd w:val="clear" w:color="auto" w:fill="auto"/>
            <w:vAlign w:val="bottom"/>
          </w:tcPr>
          <w:p>
            <w:pPr>
              <w:widowControl/>
              <w:jc w:val="center"/>
              <w:rPr>
                <w:rFonts w:ascii="宋体" w:hAnsi="宋体" w:cs="宋体"/>
                <w:b/>
                <w:bCs/>
                <w:kern w:val="0"/>
                <w:sz w:val="20"/>
                <w:szCs w:val="20"/>
              </w:rPr>
            </w:pPr>
            <w:r>
              <w:rPr>
                <w:rFonts w:hint="eastAsia" w:ascii="宋体" w:hAnsi="宋体" w:cs="宋体"/>
                <w:b/>
                <w:bCs/>
                <w:kern w:val="0"/>
                <w:sz w:val="20"/>
                <w:szCs w:val="20"/>
              </w:rPr>
              <w:t>五</w:t>
            </w:r>
          </w:p>
        </w:tc>
        <w:tc>
          <w:tcPr>
            <w:tcW w:w="2340" w:type="dxa"/>
            <w:shd w:val="clear" w:color="auto" w:fill="auto"/>
            <w:vAlign w:val="bottom"/>
          </w:tcPr>
          <w:p>
            <w:pPr>
              <w:widowControl/>
              <w:jc w:val="left"/>
              <w:rPr>
                <w:rFonts w:ascii="宋体" w:hAnsi="宋体" w:cs="宋体"/>
                <w:b/>
                <w:bCs/>
                <w:kern w:val="0"/>
                <w:sz w:val="20"/>
                <w:szCs w:val="20"/>
              </w:rPr>
            </w:pPr>
            <w:r>
              <w:rPr>
                <w:rFonts w:hint="eastAsia" w:ascii="宋体" w:hAnsi="宋体" w:cs="宋体"/>
                <w:b/>
                <w:bCs/>
                <w:kern w:val="0"/>
                <w:sz w:val="20"/>
                <w:szCs w:val="20"/>
              </w:rPr>
              <w:t>总投资</w:t>
            </w:r>
          </w:p>
        </w:tc>
        <w:tc>
          <w:tcPr>
            <w:tcW w:w="899" w:type="dxa"/>
            <w:shd w:val="clear" w:color="auto" w:fill="auto"/>
            <w:vAlign w:val="bottom"/>
          </w:tcPr>
          <w:p>
            <w:pPr>
              <w:widowControl/>
              <w:jc w:val="left"/>
              <w:rPr>
                <w:rFonts w:ascii="宋体" w:hAnsi="宋体" w:cs="宋体"/>
                <w:b/>
                <w:bCs/>
                <w:kern w:val="0"/>
                <w:sz w:val="20"/>
                <w:szCs w:val="20"/>
              </w:rPr>
            </w:pPr>
            <w:r>
              <w:rPr>
                <w:rFonts w:hint="eastAsia" w:ascii="宋体" w:hAnsi="宋体" w:cs="宋体"/>
                <w:b/>
                <w:bCs/>
                <w:kern w:val="0"/>
                <w:sz w:val="20"/>
                <w:szCs w:val="20"/>
              </w:rPr>
              <w:t>　</w:t>
            </w:r>
          </w:p>
        </w:tc>
        <w:tc>
          <w:tcPr>
            <w:tcW w:w="899" w:type="dxa"/>
            <w:shd w:val="clear" w:color="auto" w:fill="auto"/>
            <w:vAlign w:val="bottom"/>
          </w:tcPr>
          <w:p>
            <w:pPr>
              <w:widowControl/>
              <w:jc w:val="left"/>
              <w:rPr>
                <w:rFonts w:ascii="宋体" w:hAnsi="宋体" w:cs="宋体"/>
                <w:b/>
                <w:bCs/>
                <w:kern w:val="0"/>
                <w:sz w:val="20"/>
                <w:szCs w:val="20"/>
              </w:rPr>
            </w:pPr>
            <w:r>
              <w:rPr>
                <w:rFonts w:hint="eastAsia" w:ascii="宋体" w:hAnsi="宋体" w:cs="宋体"/>
                <w:b/>
                <w:bCs/>
                <w:kern w:val="0"/>
                <w:sz w:val="20"/>
                <w:szCs w:val="20"/>
              </w:rPr>
              <w:t>　</w:t>
            </w:r>
          </w:p>
        </w:tc>
        <w:tc>
          <w:tcPr>
            <w:tcW w:w="820" w:type="dxa"/>
            <w:shd w:val="clear" w:color="auto" w:fill="auto"/>
            <w:vAlign w:val="bottom"/>
          </w:tcPr>
          <w:p>
            <w:pPr>
              <w:widowControl/>
              <w:jc w:val="left"/>
              <w:rPr>
                <w:rFonts w:ascii="宋体" w:hAnsi="宋体" w:cs="宋体"/>
                <w:b/>
                <w:bCs/>
                <w:kern w:val="0"/>
                <w:sz w:val="20"/>
                <w:szCs w:val="20"/>
              </w:rPr>
            </w:pPr>
            <w:r>
              <w:rPr>
                <w:rFonts w:hint="eastAsia" w:ascii="宋体" w:hAnsi="宋体" w:cs="宋体"/>
                <w:b/>
                <w:bCs/>
                <w:kern w:val="0"/>
                <w:sz w:val="20"/>
                <w:szCs w:val="20"/>
              </w:rPr>
              <w:t>　</w:t>
            </w:r>
          </w:p>
        </w:tc>
        <w:tc>
          <w:tcPr>
            <w:tcW w:w="899" w:type="dxa"/>
            <w:shd w:val="clear" w:color="auto" w:fill="auto"/>
            <w:vAlign w:val="bottom"/>
          </w:tcPr>
          <w:p>
            <w:pPr>
              <w:widowControl/>
              <w:jc w:val="right"/>
              <w:rPr>
                <w:rFonts w:ascii="宋体" w:hAnsi="宋体" w:cs="宋体"/>
                <w:b/>
                <w:bCs/>
                <w:kern w:val="0"/>
              </w:rPr>
            </w:pPr>
            <w:r>
              <w:rPr>
                <w:rFonts w:hint="eastAsia" w:ascii="宋体" w:hAnsi="宋体" w:cs="宋体"/>
                <w:b/>
                <w:bCs/>
                <w:kern w:val="0"/>
              </w:rPr>
              <w:t>　</w:t>
            </w:r>
          </w:p>
        </w:tc>
        <w:tc>
          <w:tcPr>
            <w:tcW w:w="1004" w:type="dxa"/>
            <w:shd w:val="clear" w:color="auto" w:fill="auto"/>
            <w:vAlign w:val="bottom"/>
          </w:tcPr>
          <w:p>
            <w:pPr>
              <w:widowControl/>
              <w:jc w:val="center"/>
              <w:rPr>
                <w:rFonts w:ascii="Times New Roman" w:hAnsi="Times New Roman"/>
                <w:b/>
                <w:bCs/>
                <w:kern w:val="0"/>
              </w:rPr>
            </w:pPr>
            <w:r>
              <w:rPr>
                <w:rFonts w:ascii="Times New Roman" w:hAnsi="Times New Roman"/>
                <w:b/>
                <w:bCs/>
                <w:kern w:val="0"/>
              </w:rPr>
              <w:t xml:space="preserve">17518.00 </w:t>
            </w:r>
          </w:p>
        </w:tc>
        <w:tc>
          <w:tcPr>
            <w:tcW w:w="1120" w:type="dxa"/>
            <w:shd w:val="clear" w:color="auto" w:fill="auto"/>
            <w:vAlign w:val="bottom"/>
          </w:tcPr>
          <w:p>
            <w:pPr>
              <w:widowControl/>
              <w:jc w:val="center"/>
              <w:rPr>
                <w:rFonts w:ascii="Times New Roman" w:hAnsi="Times New Roman"/>
                <w:b/>
                <w:bCs/>
                <w:kern w:val="0"/>
              </w:rPr>
            </w:pPr>
            <w:r>
              <w:rPr>
                <w:rFonts w:ascii="Times New Roman" w:hAnsi="Times New Roman"/>
                <w:b/>
                <w:bCs/>
                <w:kern w:val="0"/>
              </w:rPr>
              <w:t>　</w:t>
            </w:r>
          </w:p>
        </w:tc>
        <w:tc>
          <w:tcPr>
            <w:tcW w:w="680" w:type="dxa"/>
            <w:shd w:val="clear" w:color="auto" w:fill="auto"/>
            <w:vAlign w:val="bottom"/>
          </w:tcPr>
          <w:p>
            <w:pPr>
              <w:widowControl/>
              <w:jc w:val="center"/>
              <w:rPr>
                <w:rFonts w:ascii="Times New Roman" w:hAnsi="Times New Roman"/>
                <w:b/>
                <w:bCs/>
                <w:kern w:val="0"/>
              </w:rPr>
            </w:pPr>
            <w:r>
              <w:rPr>
                <w:rFonts w:ascii="Times New Roman" w:hAnsi="Times New Roman"/>
                <w:b/>
                <w:bCs/>
                <w:kern w:val="0"/>
              </w:rPr>
              <w:t>　</w:t>
            </w:r>
          </w:p>
        </w:tc>
        <w:tc>
          <w:tcPr>
            <w:tcW w:w="1100" w:type="dxa"/>
            <w:shd w:val="clear" w:color="auto" w:fill="auto"/>
            <w:vAlign w:val="bottom"/>
          </w:tcPr>
          <w:p>
            <w:pPr>
              <w:widowControl/>
              <w:jc w:val="center"/>
              <w:rPr>
                <w:rFonts w:ascii="Times New Roman" w:hAnsi="Times New Roman"/>
                <w:b/>
                <w:bCs/>
                <w:kern w:val="0"/>
              </w:rPr>
            </w:pPr>
            <w:r>
              <w:rPr>
                <w:rFonts w:ascii="Times New Roman" w:hAnsi="Times New Roman"/>
                <w:b/>
                <w:bCs/>
                <w:kern w:val="0"/>
              </w:rPr>
              <w:t>　</w:t>
            </w:r>
          </w:p>
        </w:tc>
        <w:tc>
          <w:tcPr>
            <w:tcW w:w="1300" w:type="dxa"/>
            <w:shd w:val="clear" w:color="auto" w:fill="auto"/>
            <w:vAlign w:val="bottom"/>
          </w:tcPr>
          <w:p>
            <w:pPr>
              <w:widowControl/>
              <w:jc w:val="center"/>
              <w:rPr>
                <w:rFonts w:ascii="Times New Roman" w:hAnsi="Times New Roman"/>
                <w:b/>
                <w:bCs/>
                <w:kern w:val="0"/>
              </w:rPr>
            </w:pPr>
            <w:r>
              <w:rPr>
                <w:rFonts w:ascii="Times New Roman" w:hAnsi="Times New Roman"/>
                <w:b/>
                <w:bCs/>
                <w:kern w:val="0"/>
              </w:rPr>
              <w:t xml:space="preserve">7999.85 </w:t>
            </w:r>
          </w:p>
        </w:tc>
        <w:tc>
          <w:tcPr>
            <w:tcW w:w="1300" w:type="dxa"/>
            <w:shd w:val="clear" w:color="auto" w:fill="auto"/>
            <w:noWrap/>
            <w:vAlign w:val="bottom"/>
          </w:tcPr>
          <w:p>
            <w:pPr>
              <w:widowControl/>
              <w:jc w:val="center"/>
              <w:rPr>
                <w:rFonts w:ascii="Times New Roman" w:hAnsi="Times New Roman"/>
                <w:b/>
                <w:bCs/>
                <w:kern w:val="0"/>
              </w:rPr>
            </w:pPr>
            <w:r>
              <w:rPr>
                <w:rFonts w:ascii="Times New Roman" w:hAnsi="Times New Roman"/>
                <w:b/>
                <w:bCs/>
                <w:kern w:val="0"/>
              </w:rPr>
              <w:t xml:space="preserve">100.00 </w:t>
            </w:r>
          </w:p>
        </w:tc>
        <w:tc>
          <w:tcPr>
            <w:tcW w:w="2480" w:type="dxa"/>
            <w:shd w:val="clear" w:color="auto" w:fill="auto"/>
            <w:vAlign w:val="bottom"/>
          </w:tcPr>
          <w:p>
            <w:pPr>
              <w:widowControl/>
              <w:jc w:val="left"/>
              <w:rPr>
                <w:rFonts w:ascii="宋体" w:hAnsi="宋体" w:cs="宋体"/>
                <w:b/>
                <w:bCs/>
                <w:kern w:val="0"/>
                <w:sz w:val="20"/>
                <w:szCs w:val="20"/>
              </w:rPr>
            </w:pPr>
            <w:r>
              <w:rPr>
                <w:rFonts w:hint="eastAsia" w:ascii="宋体" w:hAnsi="宋体" w:cs="宋体"/>
                <w:b/>
                <w:bCs/>
                <w:kern w:val="0"/>
                <w:sz w:val="20"/>
                <w:szCs w:val="20"/>
              </w:rPr>
              <w:t>一+二+三+四</w:t>
            </w:r>
          </w:p>
        </w:tc>
      </w:tr>
    </w:tbl>
    <w:p>
      <w:pPr>
        <w:pStyle w:val="5"/>
      </w:pPr>
    </w:p>
    <w:p>
      <w:pPr>
        <w:pStyle w:val="2"/>
        <w:spacing w:before="312" w:after="156"/>
        <w:ind w:left="0"/>
        <w:rPr>
          <w:rFonts w:ascii="宋体" w:hAnsi="宋体" w:eastAsia="宋体"/>
        </w:rPr>
        <w:sectPr>
          <w:pgSz w:w="16838" w:h="11906" w:orient="landscape"/>
          <w:pgMar w:top="1588" w:right="1588" w:bottom="1474" w:left="1588" w:header="720" w:footer="720" w:gutter="0"/>
          <w:cols w:space="720" w:num="1"/>
          <w:docGrid w:type="linesAndChars" w:linePitch="312" w:charSpace="0"/>
        </w:sectPr>
      </w:pPr>
    </w:p>
    <w:p>
      <w:pPr>
        <w:spacing w:line="360" w:lineRule="auto"/>
        <w:ind w:firstLine="640" w:firstLineChars="200"/>
        <w:jc w:val="center"/>
        <w:rPr>
          <w:rFonts w:ascii="宋体" w:hAnsi="宋体"/>
          <w:b/>
          <w:sz w:val="32"/>
          <w:szCs w:val="32"/>
        </w:rPr>
      </w:pPr>
      <w:r>
        <w:rPr>
          <w:rFonts w:hint="eastAsia" w:ascii="宋体" w:hAnsi="宋体"/>
          <w:b/>
          <w:sz w:val="32"/>
          <w:szCs w:val="32"/>
        </w:rPr>
        <w:t>表2  设备清单表</w:t>
      </w:r>
    </w:p>
    <w:tbl>
      <w:tblPr>
        <w:tblStyle w:val="10"/>
        <w:tblW w:w="13198" w:type="dxa"/>
        <w:tblInd w:w="93" w:type="dxa"/>
        <w:tblLayout w:type="autofit"/>
        <w:tblCellMar>
          <w:top w:w="0" w:type="dxa"/>
          <w:left w:w="108" w:type="dxa"/>
          <w:bottom w:w="0" w:type="dxa"/>
          <w:right w:w="108" w:type="dxa"/>
        </w:tblCellMar>
      </w:tblPr>
      <w:tblGrid>
        <w:gridCol w:w="840"/>
        <w:gridCol w:w="4562"/>
        <w:gridCol w:w="1270"/>
        <w:gridCol w:w="856"/>
        <w:gridCol w:w="1276"/>
        <w:gridCol w:w="4394"/>
      </w:tblGrid>
      <w:tr>
        <w:tblPrEx>
          <w:tblCellMar>
            <w:top w:w="0" w:type="dxa"/>
            <w:left w:w="108" w:type="dxa"/>
            <w:bottom w:w="0" w:type="dxa"/>
            <w:right w:w="108" w:type="dxa"/>
          </w:tblCellMar>
        </w:tblPrEx>
        <w:trPr>
          <w:trHeight w:val="285" w:hRule="atLeast"/>
        </w:trPr>
        <w:tc>
          <w:tcPr>
            <w:tcW w:w="84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24"/>
                <w:szCs w:val="24"/>
              </w:rPr>
            </w:pPr>
            <w:r>
              <w:rPr>
                <w:rFonts w:hint="eastAsia" w:ascii="宋体" w:hAnsi="宋体" w:cs="宋体"/>
                <w:b/>
                <w:bCs/>
                <w:kern w:val="0"/>
                <w:sz w:val="24"/>
                <w:szCs w:val="24"/>
              </w:rPr>
              <w:t>序号</w:t>
            </w:r>
          </w:p>
        </w:tc>
        <w:tc>
          <w:tcPr>
            <w:tcW w:w="4562"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cs="宋体"/>
                <w:b/>
                <w:bCs/>
                <w:kern w:val="0"/>
                <w:sz w:val="24"/>
                <w:szCs w:val="24"/>
              </w:rPr>
            </w:pPr>
            <w:r>
              <w:rPr>
                <w:rFonts w:hint="eastAsia" w:ascii="宋体" w:hAnsi="宋体" w:cs="宋体"/>
                <w:b/>
                <w:bCs/>
                <w:kern w:val="0"/>
                <w:sz w:val="24"/>
                <w:szCs w:val="24"/>
              </w:rPr>
              <w:t>名   称</w:t>
            </w:r>
          </w:p>
        </w:tc>
        <w:tc>
          <w:tcPr>
            <w:tcW w:w="127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24"/>
                <w:szCs w:val="24"/>
              </w:rPr>
            </w:pPr>
            <w:r>
              <w:rPr>
                <w:rFonts w:hint="eastAsia" w:ascii="宋体" w:hAnsi="宋体" w:cs="宋体"/>
                <w:b/>
                <w:bCs/>
                <w:kern w:val="0"/>
                <w:sz w:val="24"/>
                <w:szCs w:val="24"/>
              </w:rPr>
              <w:t>规格型号</w:t>
            </w:r>
          </w:p>
        </w:tc>
        <w:tc>
          <w:tcPr>
            <w:tcW w:w="85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24"/>
                <w:szCs w:val="24"/>
              </w:rPr>
            </w:pPr>
            <w:r>
              <w:rPr>
                <w:rFonts w:hint="eastAsia" w:ascii="宋体" w:hAnsi="宋体" w:cs="宋体"/>
                <w:b/>
                <w:bCs/>
                <w:kern w:val="0"/>
                <w:sz w:val="24"/>
                <w:szCs w:val="24"/>
              </w:rPr>
              <w:t>单位</w:t>
            </w:r>
          </w:p>
        </w:tc>
        <w:tc>
          <w:tcPr>
            <w:tcW w:w="127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24"/>
                <w:szCs w:val="24"/>
              </w:rPr>
            </w:pPr>
            <w:r>
              <w:rPr>
                <w:rFonts w:hint="eastAsia" w:ascii="宋体" w:hAnsi="宋体" w:cs="宋体"/>
                <w:b/>
                <w:bCs/>
                <w:kern w:val="0"/>
                <w:sz w:val="24"/>
                <w:szCs w:val="24"/>
              </w:rPr>
              <w:t>数 量</w:t>
            </w:r>
          </w:p>
        </w:tc>
        <w:tc>
          <w:tcPr>
            <w:tcW w:w="4394"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24"/>
                <w:szCs w:val="24"/>
              </w:rPr>
            </w:pPr>
            <w:r>
              <w:rPr>
                <w:rFonts w:hint="eastAsia" w:ascii="宋体" w:hAnsi="宋体" w:cs="宋体"/>
                <w:b/>
                <w:bCs/>
                <w:kern w:val="0"/>
                <w:sz w:val="24"/>
                <w:szCs w:val="24"/>
              </w:rPr>
              <w:t>单价(万元）</w:t>
            </w:r>
          </w:p>
        </w:tc>
      </w:tr>
      <w:tr>
        <w:tblPrEx>
          <w:tblCellMar>
            <w:top w:w="0" w:type="dxa"/>
            <w:left w:w="108" w:type="dxa"/>
            <w:bottom w:w="0" w:type="dxa"/>
            <w:right w:w="108" w:type="dxa"/>
          </w:tblCellMar>
        </w:tblPrEx>
        <w:trPr>
          <w:trHeight w:val="270" w:hRule="atLeast"/>
        </w:trPr>
        <w:tc>
          <w:tcPr>
            <w:tcW w:w="8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1</w:t>
            </w:r>
          </w:p>
        </w:tc>
        <w:tc>
          <w:tcPr>
            <w:tcW w:w="456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rPr>
            </w:pPr>
            <w:r>
              <w:rPr>
                <w:rFonts w:hint="eastAsia" w:ascii="宋体" w:hAnsi="宋体" w:cs="宋体"/>
                <w:color w:val="000000"/>
                <w:kern w:val="0"/>
                <w:sz w:val="22"/>
              </w:rPr>
              <w:t>ECMO</w:t>
            </w:r>
          </w:p>
        </w:tc>
        <w:tc>
          <w:tcPr>
            <w:tcW w:w="127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c>
          <w:tcPr>
            <w:tcW w:w="85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台</w:t>
            </w:r>
          </w:p>
        </w:tc>
        <w:tc>
          <w:tcPr>
            <w:tcW w:w="127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1</w:t>
            </w:r>
          </w:p>
        </w:tc>
        <w:tc>
          <w:tcPr>
            <w:tcW w:w="4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300</w:t>
            </w:r>
          </w:p>
        </w:tc>
      </w:tr>
      <w:tr>
        <w:tblPrEx>
          <w:tblCellMar>
            <w:top w:w="0" w:type="dxa"/>
            <w:left w:w="108" w:type="dxa"/>
            <w:bottom w:w="0" w:type="dxa"/>
            <w:right w:w="108" w:type="dxa"/>
          </w:tblCellMar>
        </w:tblPrEx>
        <w:trPr>
          <w:trHeight w:val="270" w:hRule="atLeast"/>
        </w:trPr>
        <w:tc>
          <w:tcPr>
            <w:tcW w:w="8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2</w:t>
            </w:r>
          </w:p>
        </w:tc>
        <w:tc>
          <w:tcPr>
            <w:tcW w:w="456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rPr>
            </w:pPr>
            <w:r>
              <w:rPr>
                <w:rFonts w:hint="eastAsia" w:ascii="宋体" w:hAnsi="宋体" w:cs="宋体"/>
                <w:color w:val="000000"/>
                <w:kern w:val="0"/>
                <w:sz w:val="22"/>
              </w:rPr>
              <w:t>呼吸机（有创）</w:t>
            </w:r>
          </w:p>
        </w:tc>
        <w:tc>
          <w:tcPr>
            <w:tcW w:w="127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c>
          <w:tcPr>
            <w:tcW w:w="85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台</w:t>
            </w:r>
          </w:p>
        </w:tc>
        <w:tc>
          <w:tcPr>
            <w:tcW w:w="127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6</w:t>
            </w:r>
          </w:p>
        </w:tc>
        <w:tc>
          <w:tcPr>
            <w:tcW w:w="4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218</w:t>
            </w:r>
          </w:p>
        </w:tc>
      </w:tr>
      <w:tr>
        <w:tblPrEx>
          <w:tblCellMar>
            <w:top w:w="0" w:type="dxa"/>
            <w:left w:w="108" w:type="dxa"/>
            <w:bottom w:w="0" w:type="dxa"/>
            <w:right w:w="108" w:type="dxa"/>
          </w:tblCellMar>
        </w:tblPrEx>
        <w:trPr>
          <w:trHeight w:val="270" w:hRule="atLeast"/>
        </w:trPr>
        <w:tc>
          <w:tcPr>
            <w:tcW w:w="8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3</w:t>
            </w:r>
          </w:p>
        </w:tc>
        <w:tc>
          <w:tcPr>
            <w:tcW w:w="456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rPr>
            </w:pPr>
            <w:r>
              <w:rPr>
                <w:rFonts w:hint="eastAsia" w:ascii="宋体" w:hAnsi="宋体" w:cs="宋体"/>
                <w:color w:val="000000"/>
                <w:kern w:val="0"/>
                <w:sz w:val="22"/>
              </w:rPr>
              <w:t>IABP</w:t>
            </w:r>
          </w:p>
        </w:tc>
        <w:tc>
          <w:tcPr>
            <w:tcW w:w="127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c>
          <w:tcPr>
            <w:tcW w:w="85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台</w:t>
            </w:r>
          </w:p>
        </w:tc>
        <w:tc>
          <w:tcPr>
            <w:tcW w:w="127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1</w:t>
            </w:r>
          </w:p>
        </w:tc>
        <w:tc>
          <w:tcPr>
            <w:tcW w:w="4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70</w:t>
            </w:r>
          </w:p>
        </w:tc>
      </w:tr>
      <w:tr>
        <w:tblPrEx>
          <w:tblCellMar>
            <w:top w:w="0" w:type="dxa"/>
            <w:left w:w="108" w:type="dxa"/>
            <w:bottom w:w="0" w:type="dxa"/>
            <w:right w:w="108" w:type="dxa"/>
          </w:tblCellMar>
        </w:tblPrEx>
        <w:trPr>
          <w:trHeight w:val="270" w:hRule="atLeast"/>
        </w:trPr>
        <w:tc>
          <w:tcPr>
            <w:tcW w:w="8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4</w:t>
            </w:r>
          </w:p>
        </w:tc>
        <w:tc>
          <w:tcPr>
            <w:tcW w:w="456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rPr>
            </w:pPr>
            <w:r>
              <w:rPr>
                <w:rFonts w:hint="eastAsia" w:ascii="宋体" w:hAnsi="宋体" w:cs="宋体"/>
                <w:color w:val="000000"/>
                <w:kern w:val="0"/>
                <w:sz w:val="22"/>
              </w:rPr>
              <w:t>ECT</w:t>
            </w:r>
          </w:p>
        </w:tc>
        <w:tc>
          <w:tcPr>
            <w:tcW w:w="127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c>
          <w:tcPr>
            <w:tcW w:w="85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台</w:t>
            </w:r>
          </w:p>
        </w:tc>
        <w:tc>
          <w:tcPr>
            <w:tcW w:w="127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1</w:t>
            </w:r>
          </w:p>
        </w:tc>
        <w:tc>
          <w:tcPr>
            <w:tcW w:w="4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850</w:t>
            </w:r>
          </w:p>
        </w:tc>
      </w:tr>
      <w:tr>
        <w:tblPrEx>
          <w:tblCellMar>
            <w:top w:w="0" w:type="dxa"/>
            <w:left w:w="108" w:type="dxa"/>
            <w:bottom w:w="0" w:type="dxa"/>
            <w:right w:w="108" w:type="dxa"/>
          </w:tblCellMar>
        </w:tblPrEx>
        <w:trPr>
          <w:trHeight w:val="270" w:hRule="atLeast"/>
        </w:trPr>
        <w:tc>
          <w:tcPr>
            <w:tcW w:w="8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5</w:t>
            </w:r>
          </w:p>
        </w:tc>
        <w:tc>
          <w:tcPr>
            <w:tcW w:w="456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rPr>
            </w:pPr>
            <w:r>
              <w:rPr>
                <w:rFonts w:hint="eastAsia" w:ascii="宋体" w:hAnsi="宋体" w:cs="宋体"/>
                <w:color w:val="000000"/>
                <w:kern w:val="0"/>
                <w:sz w:val="22"/>
              </w:rPr>
              <w:t>螺旋CT</w:t>
            </w:r>
          </w:p>
        </w:tc>
        <w:tc>
          <w:tcPr>
            <w:tcW w:w="127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c>
          <w:tcPr>
            <w:tcW w:w="85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台</w:t>
            </w:r>
          </w:p>
        </w:tc>
        <w:tc>
          <w:tcPr>
            <w:tcW w:w="127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1</w:t>
            </w:r>
          </w:p>
        </w:tc>
        <w:tc>
          <w:tcPr>
            <w:tcW w:w="4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850</w:t>
            </w:r>
          </w:p>
        </w:tc>
      </w:tr>
      <w:tr>
        <w:tblPrEx>
          <w:tblCellMar>
            <w:top w:w="0" w:type="dxa"/>
            <w:left w:w="108" w:type="dxa"/>
            <w:bottom w:w="0" w:type="dxa"/>
            <w:right w:w="108" w:type="dxa"/>
          </w:tblCellMar>
        </w:tblPrEx>
        <w:trPr>
          <w:trHeight w:val="270" w:hRule="atLeast"/>
        </w:trPr>
        <w:tc>
          <w:tcPr>
            <w:tcW w:w="8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6</w:t>
            </w:r>
          </w:p>
        </w:tc>
        <w:tc>
          <w:tcPr>
            <w:tcW w:w="456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rPr>
            </w:pPr>
            <w:r>
              <w:rPr>
                <w:rFonts w:hint="eastAsia" w:ascii="宋体" w:hAnsi="宋体" w:cs="宋体"/>
                <w:color w:val="000000"/>
                <w:kern w:val="0"/>
                <w:sz w:val="22"/>
              </w:rPr>
              <w:t>大型C臂</w:t>
            </w:r>
          </w:p>
        </w:tc>
        <w:tc>
          <w:tcPr>
            <w:tcW w:w="127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c>
          <w:tcPr>
            <w:tcW w:w="85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台</w:t>
            </w:r>
          </w:p>
        </w:tc>
        <w:tc>
          <w:tcPr>
            <w:tcW w:w="127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1</w:t>
            </w:r>
          </w:p>
        </w:tc>
        <w:tc>
          <w:tcPr>
            <w:tcW w:w="4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900</w:t>
            </w:r>
          </w:p>
        </w:tc>
      </w:tr>
      <w:tr>
        <w:tblPrEx>
          <w:tblCellMar>
            <w:top w:w="0" w:type="dxa"/>
            <w:left w:w="108" w:type="dxa"/>
            <w:bottom w:w="0" w:type="dxa"/>
            <w:right w:w="108" w:type="dxa"/>
          </w:tblCellMar>
        </w:tblPrEx>
        <w:trPr>
          <w:trHeight w:val="270" w:hRule="atLeast"/>
        </w:trPr>
        <w:tc>
          <w:tcPr>
            <w:tcW w:w="8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7</w:t>
            </w:r>
          </w:p>
        </w:tc>
        <w:tc>
          <w:tcPr>
            <w:tcW w:w="456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rPr>
            </w:pPr>
            <w:r>
              <w:rPr>
                <w:rFonts w:hint="eastAsia" w:ascii="宋体" w:hAnsi="宋体" w:cs="宋体"/>
                <w:color w:val="000000"/>
                <w:kern w:val="0"/>
                <w:sz w:val="22"/>
              </w:rPr>
              <w:t>超导型磁共振成像系统（核磁共振）</w:t>
            </w:r>
          </w:p>
        </w:tc>
        <w:tc>
          <w:tcPr>
            <w:tcW w:w="127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 xml:space="preserve">3.0 </w:t>
            </w:r>
          </w:p>
        </w:tc>
        <w:tc>
          <w:tcPr>
            <w:tcW w:w="85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台</w:t>
            </w:r>
          </w:p>
        </w:tc>
        <w:tc>
          <w:tcPr>
            <w:tcW w:w="127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1</w:t>
            </w:r>
          </w:p>
        </w:tc>
        <w:tc>
          <w:tcPr>
            <w:tcW w:w="4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950</w:t>
            </w:r>
          </w:p>
        </w:tc>
      </w:tr>
      <w:tr>
        <w:tblPrEx>
          <w:tblCellMar>
            <w:top w:w="0" w:type="dxa"/>
            <w:left w:w="108" w:type="dxa"/>
            <w:bottom w:w="0" w:type="dxa"/>
            <w:right w:w="108" w:type="dxa"/>
          </w:tblCellMar>
        </w:tblPrEx>
        <w:trPr>
          <w:trHeight w:val="270" w:hRule="atLeast"/>
        </w:trPr>
        <w:tc>
          <w:tcPr>
            <w:tcW w:w="8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8</w:t>
            </w:r>
          </w:p>
        </w:tc>
        <w:tc>
          <w:tcPr>
            <w:tcW w:w="456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rPr>
            </w:pPr>
            <w:r>
              <w:rPr>
                <w:rFonts w:hint="eastAsia" w:ascii="宋体" w:hAnsi="宋体" w:cs="宋体"/>
                <w:color w:val="000000"/>
                <w:kern w:val="0"/>
                <w:sz w:val="22"/>
              </w:rPr>
              <w:t>直线加速器</w:t>
            </w:r>
          </w:p>
        </w:tc>
        <w:tc>
          <w:tcPr>
            <w:tcW w:w="127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c>
          <w:tcPr>
            <w:tcW w:w="85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台</w:t>
            </w:r>
          </w:p>
        </w:tc>
        <w:tc>
          <w:tcPr>
            <w:tcW w:w="127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1</w:t>
            </w:r>
          </w:p>
        </w:tc>
        <w:tc>
          <w:tcPr>
            <w:tcW w:w="4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862</w:t>
            </w:r>
          </w:p>
        </w:tc>
      </w:tr>
      <w:tr>
        <w:tblPrEx>
          <w:tblCellMar>
            <w:top w:w="0" w:type="dxa"/>
            <w:left w:w="108" w:type="dxa"/>
            <w:bottom w:w="0" w:type="dxa"/>
            <w:right w:w="108" w:type="dxa"/>
          </w:tblCellMar>
        </w:tblPrEx>
        <w:trPr>
          <w:trHeight w:val="270" w:hRule="atLeast"/>
        </w:trPr>
        <w:tc>
          <w:tcPr>
            <w:tcW w:w="8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合计</w:t>
            </w:r>
          </w:p>
        </w:tc>
        <w:tc>
          <w:tcPr>
            <w:tcW w:w="456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rPr>
            </w:pPr>
            <w:r>
              <w:rPr>
                <w:rFonts w:hint="eastAsia" w:ascii="宋体" w:hAnsi="宋体" w:cs="宋体"/>
                <w:color w:val="000000"/>
                <w:kern w:val="0"/>
                <w:sz w:val="22"/>
              </w:rPr>
              <w:t>　</w:t>
            </w:r>
          </w:p>
        </w:tc>
        <w:tc>
          <w:tcPr>
            <w:tcW w:w="127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c>
          <w:tcPr>
            <w:tcW w:w="85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台</w:t>
            </w:r>
          </w:p>
        </w:tc>
        <w:tc>
          <w:tcPr>
            <w:tcW w:w="127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13</w:t>
            </w:r>
          </w:p>
        </w:tc>
        <w:tc>
          <w:tcPr>
            <w:tcW w:w="4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5000</w:t>
            </w:r>
          </w:p>
        </w:tc>
      </w:tr>
    </w:tbl>
    <w:p/>
    <w:p/>
    <w:p/>
    <w:p/>
    <w:p/>
    <w:p/>
    <w:p/>
    <w:p/>
    <w:p>
      <w:pPr>
        <w:spacing w:line="360" w:lineRule="auto"/>
        <w:jc w:val="center"/>
        <w:rPr>
          <w:rFonts w:ascii="仿宋_GB2312"/>
          <w:b/>
          <w:bCs/>
          <w:sz w:val="32"/>
          <w:szCs w:val="32"/>
        </w:rPr>
      </w:pPr>
      <w:r>
        <w:rPr>
          <w:rFonts w:hint="eastAsia" w:ascii="仿宋_GB2312"/>
          <w:b/>
          <w:bCs/>
          <w:sz w:val="32"/>
          <w:szCs w:val="32"/>
        </w:rPr>
        <w:t>表3各科室现有使用面积及本次建设使用面积对比表</w:t>
      </w:r>
    </w:p>
    <w:tbl>
      <w:tblPr>
        <w:tblStyle w:val="10"/>
        <w:tblW w:w="5000" w:type="pct"/>
        <w:jc w:val="center"/>
        <w:tblLayout w:type="autofit"/>
        <w:tblCellMar>
          <w:top w:w="0" w:type="dxa"/>
          <w:left w:w="108" w:type="dxa"/>
          <w:bottom w:w="0" w:type="dxa"/>
          <w:right w:w="108" w:type="dxa"/>
        </w:tblCellMar>
      </w:tblPr>
      <w:tblGrid>
        <w:gridCol w:w="4673"/>
        <w:gridCol w:w="4318"/>
        <w:gridCol w:w="4377"/>
      </w:tblGrid>
      <w:tr>
        <w:tblPrEx>
          <w:tblCellMar>
            <w:top w:w="0" w:type="dxa"/>
            <w:left w:w="108" w:type="dxa"/>
            <w:bottom w:w="0" w:type="dxa"/>
            <w:right w:w="108" w:type="dxa"/>
          </w:tblCellMar>
        </w:tblPrEx>
        <w:trPr>
          <w:trHeight w:val="435" w:hRule="atLeast"/>
          <w:jc w:val="center"/>
        </w:trPr>
        <w:tc>
          <w:tcPr>
            <w:tcW w:w="1748" w:type="pct"/>
            <w:vMerge w:val="restart"/>
            <w:tcBorders>
              <w:top w:val="single" w:color="auto" w:sz="4" w:space="0"/>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科室</w:t>
            </w:r>
          </w:p>
        </w:tc>
        <w:tc>
          <w:tcPr>
            <w:tcW w:w="1615" w:type="pct"/>
            <w:vMerge w:val="restart"/>
            <w:tcBorders>
              <w:top w:val="single" w:color="auto" w:sz="4" w:space="0"/>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现有使用面积(㎡）</w:t>
            </w:r>
          </w:p>
        </w:tc>
        <w:tc>
          <w:tcPr>
            <w:tcW w:w="1637"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新增使用面积（㎡）</w:t>
            </w:r>
          </w:p>
        </w:tc>
      </w:tr>
      <w:tr>
        <w:tblPrEx>
          <w:tblCellMar>
            <w:top w:w="0" w:type="dxa"/>
            <w:left w:w="108" w:type="dxa"/>
            <w:bottom w:w="0" w:type="dxa"/>
            <w:right w:w="108" w:type="dxa"/>
          </w:tblCellMar>
        </w:tblPrEx>
        <w:trPr>
          <w:trHeight w:val="435" w:hRule="atLeast"/>
          <w:jc w:val="center"/>
        </w:trPr>
        <w:tc>
          <w:tcPr>
            <w:tcW w:w="1748" w:type="pct"/>
            <w:vMerge w:val="continue"/>
            <w:tcBorders>
              <w:top w:val="single" w:color="auto" w:sz="4" w:space="0"/>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1615" w:type="pct"/>
            <w:vMerge w:val="continue"/>
            <w:tcBorders>
              <w:top w:val="single" w:color="auto" w:sz="4" w:space="0"/>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1637" w:type="pct"/>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r>
      <w:tr>
        <w:tblPrEx>
          <w:tblCellMar>
            <w:top w:w="0" w:type="dxa"/>
            <w:left w:w="108" w:type="dxa"/>
            <w:bottom w:w="0" w:type="dxa"/>
            <w:right w:w="108" w:type="dxa"/>
          </w:tblCellMar>
        </w:tblPrEx>
        <w:trPr>
          <w:trHeight w:val="283" w:hRule="atLeast"/>
          <w:jc w:val="center"/>
        </w:trPr>
        <w:tc>
          <w:tcPr>
            <w:tcW w:w="1748"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放射科</w:t>
            </w:r>
          </w:p>
        </w:tc>
        <w:tc>
          <w:tcPr>
            <w:tcW w:w="161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474.4</w:t>
            </w:r>
          </w:p>
        </w:tc>
        <w:tc>
          <w:tcPr>
            <w:tcW w:w="163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1392</w:t>
            </w:r>
          </w:p>
        </w:tc>
      </w:tr>
      <w:tr>
        <w:tblPrEx>
          <w:tblCellMar>
            <w:top w:w="0" w:type="dxa"/>
            <w:left w:w="108" w:type="dxa"/>
            <w:bottom w:w="0" w:type="dxa"/>
            <w:right w:w="108" w:type="dxa"/>
          </w:tblCellMar>
        </w:tblPrEx>
        <w:trPr>
          <w:trHeight w:val="285" w:hRule="atLeast"/>
          <w:jc w:val="center"/>
        </w:trPr>
        <w:tc>
          <w:tcPr>
            <w:tcW w:w="1748"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介入手术室</w:t>
            </w:r>
          </w:p>
        </w:tc>
        <w:tc>
          <w:tcPr>
            <w:tcW w:w="161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591</w:t>
            </w:r>
          </w:p>
        </w:tc>
        <w:tc>
          <w:tcPr>
            <w:tcW w:w="163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1194.76</w:t>
            </w:r>
          </w:p>
        </w:tc>
      </w:tr>
      <w:tr>
        <w:tblPrEx>
          <w:tblCellMar>
            <w:top w:w="0" w:type="dxa"/>
            <w:left w:w="108" w:type="dxa"/>
            <w:bottom w:w="0" w:type="dxa"/>
            <w:right w:w="108" w:type="dxa"/>
          </w:tblCellMar>
        </w:tblPrEx>
        <w:trPr>
          <w:trHeight w:val="285" w:hRule="atLeast"/>
          <w:jc w:val="center"/>
        </w:trPr>
        <w:tc>
          <w:tcPr>
            <w:tcW w:w="1748"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中心供应</w:t>
            </w:r>
          </w:p>
        </w:tc>
        <w:tc>
          <w:tcPr>
            <w:tcW w:w="161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29.88</w:t>
            </w:r>
          </w:p>
        </w:tc>
        <w:tc>
          <w:tcPr>
            <w:tcW w:w="163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1194.77</w:t>
            </w:r>
          </w:p>
        </w:tc>
      </w:tr>
      <w:tr>
        <w:tblPrEx>
          <w:tblCellMar>
            <w:top w:w="0" w:type="dxa"/>
            <w:left w:w="108" w:type="dxa"/>
            <w:bottom w:w="0" w:type="dxa"/>
            <w:right w:w="108" w:type="dxa"/>
          </w:tblCellMar>
        </w:tblPrEx>
        <w:trPr>
          <w:trHeight w:val="285" w:hRule="atLeast"/>
          <w:jc w:val="center"/>
        </w:trPr>
        <w:tc>
          <w:tcPr>
            <w:tcW w:w="1748"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检验、内窥镜</w:t>
            </w:r>
          </w:p>
        </w:tc>
        <w:tc>
          <w:tcPr>
            <w:tcW w:w="161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235</w:t>
            </w:r>
          </w:p>
        </w:tc>
        <w:tc>
          <w:tcPr>
            <w:tcW w:w="163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1194.78</w:t>
            </w:r>
          </w:p>
        </w:tc>
      </w:tr>
      <w:tr>
        <w:tblPrEx>
          <w:tblCellMar>
            <w:top w:w="0" w:type="dxa"/>
            <w:left w:w="108" w:type="dxa"/>
            <w:bottom w:w="0" w:type="dxa"/>
            <w:right w:w="108" w:type="dxa"/>
          </w:tblCellMar>
        </w:tblPrEx>
        <w:trPr>
          <w:trHeight w:val="285" w:hRule="atLeast"/>
          <w:jc w:val="center"/>
        </w:trPr>
        <w:tc>
          <w:tcPr>
            <w:tcW w:w="1748"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血透室（肾内科）</w:t>
            </w:r>
          </w:p>
        </w:tc>
        <w:tc>
          <w:tcPr>
            <w:tcW w:w="161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853</w:t>
            </w:r>
          </w:p>
        </w:tc>
        <w:tc>
          <w:tcPr>
            <w:tcW w:w="163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1194.79</w:t>
            </w:r>
          </w:p>
        </w:tc>
      </w:tr>
      <w:tr>
        <w:tblPrEx>
          <w:tblCellMar>
            <w:top w:w="0" w:type="dxa"/>
            <w:left w:w="108" w:type="dxa"/>
            <w:bottom w:w="0" w:type="dxa"/>
            <w:right w:w="108" w:type="dxa"/>
          </w:tblCellMar>
        </w:tblPrEx>
        <w:trPr>
          <w:trHeight w:val="285" w:hRule="atLeast"/>
          <w:jc w:val="center"/>
        </w:trPr>
        <w:tc>
          <w:tcPr>
            <w:tcW w:w="1748"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ICU</w:t>
            </w:r>
          </w:p>
        </w:tc>
        <w:tc>
          <w:tcPr>
            <w:tcW w:w="161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591</w:t>
            </w:r>
          </w:p>
        </w:tc>
        <w:tc>
          <w:tcPr>
            <w:tcW w:w="163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1194.8</w:t>
            </w:r>
          </w:p>
        </w:tc>
      </w:tr>
      <w:tr>
        <w:tblPrEx>
          <w:tblCellMar>
            <w:top w:w="0" w:type="dxa"/>
            <w:left w:w="108" w:type="dxa"/>
            <w:bottom w:w="0" w:type="dxa"/>
            <w:right w:w="108" w:type="dxa"/>
          </w:tblCellMar>
        </w:tblPrEx>
        <w:trPr>
          <w:trHeight w:val="285" w:hRule="atLeast"/>
          <w:jc w:val="center"/>
        </w:trPr>
        <w:tc>
          <w:tcPr>
            <w:tcW w:w="1748"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病案</w:t>
            </w:r>
          </w:p>
        </w:tc>
        <w:tc>
          <w:tcPr>
            <w:tcW w:w="161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p>
        </w:tc>
        <w:tc>
          <w:tcPr>
            <w:tcW w:w="163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1194.76</w:t>
            </w:r>
          </w:p>
        </w:tc>
      </w:tr>
      <w:tr>
        <w:tblPrEx>
          <w:tblCellMar>
            <w:top w:w="0" w:type="dxa"/>
            <w:left w:w="108" w:type="dxa"/>
            <w:bottom w:w="0" w:type="dxa"/>
            <w:right w:w="108" w:type="dxa"/>
          </w:tblCellMar>
        </w:tblPrEx>
        <w:trPr>
          <w:trHeight w:val="315" w:hRule="atLeast"/>
          <w:jc w:val="center"/>
        </w:trPr>
        <w:tc>
          <w:tcPr>
            <w:tcW w:w="1748"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病房</w:t>
            </w:r>
          </w:p>
        </w:tc>
        <w:tc>
          <w:tcPr>
            <w:tcW w:w="161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1392</w:t>
            </w:r>
          </w:p>
        </w:tc>
        <w:tc>
          <w:tcPr>
            <w:tcW w:w="163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5973.86</w:t>
            </w:r>
          </w:p>
        </w:tc>
      </w:tr>
      <w:tr>
        <w:tblPrEx>
          <w:tblCellMar>
            <w:top w:w="0" w:type="dxa"/>
            <w:left w:w="108" w:type="dxa"/>
            <w:bottom w:w="0" w:type="dxa"/>
            <w:right w:w="108" w:type="dxa"/>
          </w:tblCellMar>
        </w:tblPrEx>
        <w:trPr>
          <w:trHeight w:val="315" w:hRule="atLeast"/>
          <w:jc w:val="center"/>
        </w:trPr>
        <w:tc>
          <w:tcPr>
            <w:tcW w:w="1748"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教研室</w:t>
            </w:r>
          </w:p>
        </w:tc>
        <w:tc>
          <w:tcPr>
            <w:tcW w:w="161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p>
        </w:tc>
        <w:tc>
          <w:tcPr>
            <w:tcW w:w="163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1194.76</w:t>
            </w:r>
          </w:p>
        </w:tc>
      </w:tr>
      <w:tr>
        <w:tblPrEx>
          <w:tblCellMar>
            <w:top w:w="0" w:type="dxa"/>
            <w:left w:w="108" w:type="dxa"/>
            <w:bottom w:w="0" w:type="dxa"/>
            <w:right w:w="108" w:type="dxa"/>
          </w:tblCellMar>
        </w:tblPrEx>
        <w:trPr>
          <w:trHeight w:val="315" w:hRule="atLeast"/>
          <w:jc w:val="center"/>
        </w:trPr>
        <w:tc>
          <w:tcPr>
            <w:tcW w:w="1748"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合计</w:t>
            </w:r>
          </w:p>
        </w:tc>
        <w:tc>
          <w:tcPr>
            <w:tcW w:w="161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4166.28</w:t>
            </w:r>
          </w:p>
        </w:tc>
        <w:tc>
          <w:tcPr>
            <w:tcW w:w="163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15729.28</w:t>
            </w:r>
          </w:p>
        </w:tc>
      </w:tr>
    </w:tbl>
    <w:p>
      <w:pPr>
        <w:spacing w:line="360" w:lineRule="auto"/>
        <w:ind w:firstLine="555"/>
        <w:jc w:val="center"/>
        <w:rPr>
          <w:rFonts w:ascii="宋体" w:hAnsi="宋体"/>
          <w:sz w:val="32"/>
          <w:szCs w:val="32"/>
        </w:rPr>
      </w:pPr>
    </w:p>
    <w:p>
      <w:pPr>
        <w:spacing w:line="360" w:lineRule="auto"/>
        <w:ind w:firstLine="555"/>
        <w:jc w:val="center"/>
        <w:rPr>
          <w:rFonts w:ascii="宋体" w:hAnsi="宋体"/>
          <w:sz w:val="32"/>
          <w:szCs w:val="32"/>
        </w:rPr>
      </w:pPr>
    </w:p>
    <w:p>
      <w:pPr>
        <w:spacing w:line="360" w:lineRule="auto"/>
        <w:ind w:firstLine="555"/>
        <w:jc w:val="center"/>
        <w:rPr>
          <w:rFonts w:ascii="宋体" w:hAnsi="宋体"/>
          <w:sz w:val="32"/>
          <w:szCs w:val="32"/>
        </w:rPr>
      </w:pPr>
    </w:p>
    <w:p>
      <w:pPr>
        <w:spacing w:line="360" w:lineRule="auto"/>
        <w:ind w:firstLine="555"/>
        <w:jc w:val="center"/>
        <w:rPr>
          <w:rFonts w:ascii="仿宋" w:hAnsi="仿宋" w:eastAsia="仿宋"/>
          <w:sz w:val="28"/>
        </w:rPr>
      </w:pPr>
      <w:r>
        <w:rPr>
          <w:rFonts w:hint="eastAsia" w:ascii="仿宋_GB2312"/>
          <w:b/>
          <w:bCs/>
          <w:sz w:val="32"/>
          <w:szCs w:val="32"/>
        </w:rPr>
        <w:t xml:space="preserve">表4  各科室历史收入统计表     </w:t>
      </w:r>
      <w:r>
        <w:rPr>
          <w:rFonts w:hint="eastAsia" w:ascii="仿宋" w:hAnsi="仿宋" w:eastAsia="仿宋"/>
          <w:sz w:val="28"/>
        </w:rPr>
        <w:t xml:space="preserve">    单位：人</w:t>
      </w:r>
    </w:p>
    <w:tbl>
      <w:tblPr>
        <w:tblStyle w:val="10"/>
        <w:tblW w:w="5192" w:type="pct"/>
        <w:tblInd w:w="0" w:type="dxa"/>
        <w:tblLayout w:type="fixed"/>
        <w:tblCellMar>
          <w:top w:w="0" w:type="dxa"/>
          <w:left w:w="108" w:type="dxa"/>
          <w:bottom w:w="0" w:type="dxa"/>
          <w:right w:w="108" w:type="dxa"/>
        </w:tblCellMar>
      </w:tblPr>
      <w:tblGrid>
        <w:gridCol w:w="3155"/>
        <w:gridCol w:w="2054"/>
        <w:gridCol w:w="1324"/>
        <w:gridCol w:w="1327"/>
        <w:gridCol w:w="1596"/>
        <w:gridCol w:w="1591"/>
        <w:gridCol w:w="1449"/>
        <w:gridCol w:w="1385"/>
      </w:tblGrid>
      <w:tr>
        <w:tblPrEx>
          <w:tblCellMar>
            <w:top w:w="0" w:type="dxa"/>
            <w:left w:w="108" w:type="dxa"/>
            <w:bottom w:w="0" w:type="dxa"/>
            <w:right w:w="108" w:type="dxa"/>
          </w:tblCellMar>
        </w:tblPrEx>
        <w:trPr>
          <w:trHeight w:val="285" w:hRule="atLeast"/>
        </w:trPr>
        <w:tc>
          <w:tcPr>
            <w:tcW w:w="1136" w:type="pct"/>
            <w:vMerge w:val="restart"/>
            <w:tcBorders>
              <w:top w:val="single" w:color="auto" w:sz="4" w:space="0"/>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科室</w:t>
            </w:r>
          </w:p>
        </w:tc>
        <w:tc>
          <w:tcPr>
            <w:tcW w:w="740" w:type="pct"/>
            <w:vMerge w:val="restart"/>
            <w:tcBorders>
              <w:top w:val="single" w:color="auto" w:sz="4" w:space="0"/>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现有使用面积(㎡）</w:t>
            </w:r>
          </w:p>
        </w:tc>
        <w:tc>
          <w:tcPr>
            <w:tcW w:w="1530" w:type="pct"/>
            <w:gridSpan w:val="3"/>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收入（万元）</w:t>
            </w:r>
          </w:p>
        </w:tc>
        <w:tc>
          <w:tcPr>
            <w:tcW w:w="1594" w:type="pct"/>
            <w:gridSpan w:val="3"/>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人次（人）</w:t>
            </w:r>
          </w:p>
        </w:tc>
      </w:tr>
      <w:tr>
        <w:tblPrEx>
          <w:tblCellMar>
            <w:top w:w="0" w:type="dxa"/>
            <w:left w:w="108" w:type="dxa"/>
            <w:bottom w:w="0" w:type="dxa"/>
            <w:right w:w="108" w:type="dxa"/>
          </w:tblCellMar>
        </w:tblPrEx>
        <w:trPr>
          <w:trHeight w:val="285" w:hRule="atLeast"/>
        </w:trPr>
        <w:tc>
          <w:tcPr>
            <w:tcW w:w="1136" w:type="pct"/>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kern w:val="0"/>
                <w:szCs w:val="21"/>
              </w:rPr>
            </w:pPr>
          </w:p>
        </w:tc>
        <w:tc>
          <w:tcPr>
            <w:tcW w:w="740" w:type="pct"/>
            <w:vMerge w:val="continue"/>
            <w:tcBorders>
              <w:top w:val="single" w:color="auto" w:sz="4" w:space="0"/>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7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2017</w:t>
            </w:r>
          </w:p>
        </w:tc>
        <w:tc>
          <w:tcPr>
            <w:tcW w:w="478"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2018</w:t>
            </w:r>
          </w:p>
        </w:tc>
        <w:tc>
          <w:tcPr>
            <w:tcW w:w="57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2019</w:t>
            </w:r>
          </w:p>
        </w:tc>
        <w:tc>
          <w:tcPr>
            <w:tcW w:w="573"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2017</w:t>
            </w:r>
          </w:p>
        </w:tc>
        <w:tc>
          <w:tcPr>
            <w:tcW w:w="52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2018</w:t>
            </w:r>
          </w:p>
        </w:tc>
        <w:tc>
          <w:tcPr>
            <w:tcW w:w="498"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2019</w:t>
            </w:r>
          </w:p>
        </w:tc>
      </w:tr>
      <w:tr>
        <w:tblPrEx>
          <w:tblCellMar>
            <w:top w:w="0" w:type="dxa"/>
            <w:left w:w="108" w:type="dxa"/>
            <w:bottom w:w="0" w:type="dxa"/>
            <w:right w:w="108" w:type="dxa"/>
          </w:tblCellMar>
        </w:tblPrEx>
        <w:trPr>
          <w:trHeight w:val="285" w:hRule="atLeast"/>
        </w:trPr>
        <w:tc>
          <w:tcPr>
            <w:tcW w:w="1136" w:type="pc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Cs w:val="21"/>
              </w:rPr>
            </w:pPr>
            <w:r>
              <w:rPr>
                <w:rFonts w:hint="eastAsia" w:ascii="宋体" w:hAnsi="宋体" w:cs="宋体"/>
                <w:kern w:val="0"/>
                <w:szCs w:val="21"/>
              </w:rPr>
              <w:t>放射科</w:t>
            </w:r>
          </w:p>
        </w:tc>
        <w:tc>
          <w:tcPr>
            <w:tcW w:w="74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474.4</w:t>
            </w:r>
          </w:p>
        </w:tc>
        <w:tc>
          <w:tcPr>
            <w:tcW w:w="47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396.3</w:t>
            </w:r>
          </w:p>
        </w:tc>
        <w:tc>
          <w:tcPr>
            <w:tcW w:w="478"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518</w:t>
            </w:r>
          </w:p>
        </w:tc>
        <w:tc>
          <w:tcPr>
            <w:tcW w:w="57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523</w:t>
            </w:r>
          </w:p>
        </w:tc>
        <w:tc>
          <w:tcPr>
            <w:tcW w:w="573"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20230</w:t>
            </w:r>
          </w:p>
        </w:tc>
        <w:tc>
          <w:tcPr>
            <w:tcW w:w="52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21996</w:t>
            </w:r>
          </w:p>
        </w:tc>
        <w:tc>
          <w:tcPr>
            <w:tcW w:w="498"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31586</w:t>
            </w:r>
          </w:p>
        </w:tc>
      </w:tr>
      <w:tr>
        <w:tblPrEx>
          <w:tblCellMar>
            <w:top w:w="0" w:type="dxa"/>
            <w:left w:w="108" w:type="dxa"/>
            <w:bottom w:w="0" w:type="dxa"/>
            <w:right w:w="108" w:type="dxa"/>
          </w:tblCellMar>
        </w:tblPrEx>
        <w:trPr>
          <w:trHeight w:val="285" w:hRule="atLeast"/>
        </w:trPr>
        <w:tc>
          <w:tcPr>
            <w:tcW w:w="1136" w:type="pc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Cs w:val="21"/>
              </w:rPr>
            </w:pPr>
            <w:r>
              <w:rPr>
                <w:rFonts w:hint="eastAsia" w:ascii="宋体" w:hAnsi="宋体" w:cs="宋体"/>
                <w:kern w:val="0"/>
                <w:szCs w:val="21"/>
              </w:rPr>
              <w:t>介入手术室</w:t>
            </w:r>
          </w:p>
        </w:tc>
        <w:tc>
          <w:tcPr>
            <w:tcW w:w="74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591</w:t>
            </w:r>
          </w:p>
        </w:tc>
        <w:tc>
          <w:tcPr>
            <w:tcW w:w="47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p>
        </w:tc>
        <w:tc>
          <w:tcPr>
            <w:tcW w:w="478"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p>
        </w:tc>
        <w:tc>
          <w:tcPr>
            <w:tcW w:w="57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451</w:t>
            </w:r>
          </w:p>
        </w:tc>
        <w:tc>
          <w:tcPr>
            <w:tcW w:w="573"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p>
        </w:tc>
        <w:tc>
          <w:tcPr>
            <w:tcW w:w="52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p>
        </w:tc>
        <w:tc>
          <w:tcPr>
            <w:tcW w:w="498"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1042</w:t>
            </w:r>
          </w:p>
        </w:tc>
      </w:tr>
      <w:tr>
        <w:tblPrEx>
          <w:tblCellMar>
            <w:top w:w="0" w:type="dxa"/>
            <w:left w:w="108" w:type="dxa"/>
            <w:bottom w:w="0" w:type="dxa"/>
            <w:right w:w="108" w:type="dxa"/>
          </w:tblCellMar>
        </w:tblPrEx>
        <w:trPr>
          <w:trHeight w:val="285" w:hRule="atLeast"/>
        </w:trPr>
        <w:tc>
          <w:tcPr>
            <w:tcW w:w="1136" w:type="pc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Cs w:val="21"/>
              </w:rPr>
            </w:pPr>
            <w:r>
              <w:rPr>
                <w:rFonts w:hint="eastAsia" w:ascii="宋体" w:hAnsi="宋体" w:cs="宋体"/>
                <w:kern w:val="0"/>
                <w:szCs w:val="21"/>
              </w:rPr>
              <w:t>中心供应</w:t>
            </w:r>
          </w:p>
        </w:tc>
        <w:tc>
          <w:tcPr>
            <w:tcW w:w="74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29.88</w:t>
            </w:r>
          </w:p>
        </w:tc>
        <w:tc>
          <w:tcPr>
            <w:tcW w:w="47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p>
        </w:tc>
        <w:tc>
          <w:tcPr>
            <w:tcW w:w="478"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p>
        </w:tc>
        <w:tc>
          <w:tcPr>
            <w:tcW w:w="57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p>
        </w:tc>
        <w:tc>
          <w:tcPr>
            <w:tcW w:w="573"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p>
        </w:tc>
        <w:tc>
          <w:tcPr>
            <w:tcW w:w="52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p>
        </w:tc>
        <w:tc>
          <w:tcPr>
            <w:tcW w:w="498"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p>
        </w:tc>
      </w:tr>
      <w:tr>
        <w:tblPrEx>
          <w:tblCellMar>
            <w:top w:w="0" w:type="dxa"/>
            <w:left w:w="108" w:type="dxa"/>
            <w:bottom w:w="0" w:type="dxa"/>
            <w:right w:w="108" w:type="dxa"/>
          </w:tblCellMar>
        </w:tblPrEx>
        <w:trPr>
          <w:trHeight w:val="285" w:hRule="atLeast"/>
        </w:trPr>
        <w:tc>
          <w:tcPr>
            <w:tcW w:w="1136" w:type="pc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Cs w:val="21"/>
              </w:rPr>
            </w:pPr>
            <w:r>
              <w:rPr>
                <w:rFonts w:hint="eastAsia" w:ascii="宋体" w:hAnsi="宋体" w:cs="宋体"/>
                <w:kern w:val="0"/>
                <w:szCs w:val="21"/>
              </w:rPr>
              <w:t>检验、内窥镜</w:t>
            </w:r>
          </w:p>
        </w:tc>
        <w:tc>
          <w:tcPr>
            <w:tcW w:w="74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235</w:t>
            </w:r>
          </w:p>
        </w:tc>
        <w:tc>
          <w:tcPr>
            <w:tcW w:w="47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916</w:t>
            </w:r>
          </w:p>
        </w:tc>
        <w:tc>
          <w:tcPr>
            <w:tcW w:w="478"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1125</w:t>
            </w:r>
          </w:p>
        </w:tc>
        <w:tc>
          <w:tcPr>
            <w:tcW w:w="57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1430</w:t>
            </w:r>
          </w:p>
        </w:tc>
        <w:tc>
          <w:tcPr>
            <w:tcW w:w="573"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140580</w:t>
            </w:r>
          </w:p>
        </w:tc>
        <w:tc>
          <w:tcPr>
            <w:tcW w:w="52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146790</w:t>
            </w:r>
          </w:p>
        </w:tc>
        <w:tc>
          <w:tcPr>
            <w:tcW w:w="498"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155110</w:t>
            </w:r>
          </w:p>
        </w:tc>
      </w:tr>
      <w:tr>
        <w:tblPrEx>
          <w:tblCellMar>
            <w:top w:w="0" w:type="dxa"/>
            <w:left w:w="108" w:type="dxa"/>
            <w:bottom w:w="0" w:type="dxa"/>
            <w:right w:w="108" w:type="dxa"/>
          </w:tblCellMar>
        </w:tblPrEx>
        <w:trPr>
          <w:trHeight w:val="285" w:hRule="atLeast"/>
        </w:trPr>
        <w:tc>
          <w:tcPr>
            <w:tcW w:w="1136" w:type="pc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Cs w:val="21"/>
              </w:rPr>
            </w:pPr>
            <w:r>
              <w:rPr>
                <w:rFonts w:hint="eastAsia" w:ascii="宋体" w:hAnsi="宋体" w:cs="宋体"/>
                <w:kern w:val="0"/>
                <w:szCs w:val="21"/>
              </w:rPr>
              <w:t>血透室（肾内科）</w:t>
            </w:r>
          </w:p>
        </w:tc>
        <w:tc>
          <w:tcPr>
            <w:tcW w:w="74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853</w:t>
            </w:r>
          </w:p>
        </w:tc>
        <w:tc>
          <w:tcPr>
            <w:tcW w:w="47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188</w:t>
            </w:r>
          </w:p>
        </w:tc>
        <w:tc>
          <w:tcPr>
            <w:tcW w:w="478"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297</w:t>
            </w:r>
          </w:p>
        </w:tc>
        <w:tc>
          <w:tcPr>
            <w:tcW w:w="57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309</w:t>
            </w:r>
          </w:p>
        </w:tc>
        <w:tc>
          <w:tcPr>
            <w:tcW w:w="573"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5040</w:t>
            </w:r>
          </w:p>
        </w:tc>
        <w:tc>
          <w:tcPr>
            <w:tcW w:w="52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5569</w:t>
            </w:r>
          </w:p>
        </w:tc>
        <w:tc>
          <w:tcPr>
            <w:tcW w:w="498"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6120</w:t>
            </w:r>
          </w:p>
        </w:tc>
      </w:tr>
      <w:tr>
        <w:tblPrEx>
          <w:tblCellMar>
            <w:top w:w="0" w:type="dxa"/>
            <w:left w:w="108" w:type="dxa"/>
            <w:bottom w:w="0" w:type="dxa"/>
            <w:right w:w="108" w:type="dxa"/>
          </w:tblCellMar>
        </w:tblPrEx>
        <w:trPr>
          <w:trHeight w:val="285" w:hRule="atLeast"/>
        </w:trPr>
        <w:tc>
          <w:tcPr>
            <w:tcW w:w="1136" w:type="pc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Cs w:val="21"/>
              </w:rPr>
            </w:pPr>
            <w:r>
              <w:rPr>
                <w:rFonts w:hint="eastAsia" w:ascii="宋体" w:hAnsi="宋体" w:cs="宋体"/>
                <w:kern w:val="0"/>
                <w:szCs w:val="21"/>
              </w:rPr>
              <w:t>ICU</w:t>
            </w:r>
          </w:p>
        </w:tc>
        <w:tc>
          <w:tcPr>
            <w:tcW w:w="74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591</w:t>
            </w:r>
          </w:p>
        </w:tc>
        <w:tc>
          <w:tcPr>
            <w:tcW w:w="47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335</w:t>
            </w:r>
          </w:p>
        </w:tc>
        <w:tc>
          <w:tcPr>
            <w:tcW w:w="478"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413</w:t>
            </w:r>
          </w:p>
        </w:tc>
        <w:tc>
          <w:tcPr>
            <w:tcW w:w="57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465</w:t>
            </w:r>
          </w:p>
        </w:tc>
        <w:tc>
          <w:tcPr>
            <w:tcW w:w="573"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2621</w:t>
            </w:r>
          </w:p>
        </w:tc>
        <w:tc>
          <w:tcPr>
            <w:tcW w:w="52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3193</w:t>
            </w:r>
          </w:p>
        </w:tc>
        <w:tc>
          <w:tcPr>
            <w:tcW w:w="498"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3509</w:t>
            </w:r>
          </w:p>
        </w:tc>
      </w:tr>
      <w:tr>
        <w:tblPrEx>
          <w:tblCellMar>
            <w:top w:w="0" w:type="dxa"/>
            <w:left w:w="108" w:type="dxa"/>
            <w:bottom w:w="0" w:type="dxa"/>
            <w:right w:w="108" w:type="dxa"/>
          </w:tblCellMar>
        </w:tblPrEx>
        <w:trPr>
          <w:trHeight w:val="285" w:hRule="atLeast"/>
        </w:trPr>
        <w:tc>
          <w:tcPr>
            <w:tcW w:w="1136" w:type="pc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Cs w:val="21"/>
              </w:rPr>
            </w:pPr>
            <w:r>
              <w:rPr>
                <w:rFonts w:hint="eastAsia" w:ascii="宋体" w:hAnsi="宋体" w:cs="宋体"/>
                <w:kern w:val="0"/>
                <w:szCs w:val="21"/>
              </w:rPr>
              <w:t>病案</w:t>
            </w:r>
          </w:p>
        </w:tc>
        <w:tc>
          <w:tcPr>
            <w:tcW w:w="74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p>
        </w:tc>
        <w:tc>
          <w:tcPr>
            <w:tcW w:w="47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p>
        </w:tc>
        <w:tc>
          <w:tcPr>
            <w:tcW w:w="478"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p>
        </w:tc>
        <w:tc>
          <w:tcPr>
            <w:tcW w:w="57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p>
        </w:tc>
        <w:tc>
          <w:tcPr>
            <w:tcW w:w="573"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p>
        </w:tc>
        <w:tc>
          <w:tcPr>
            <w:tcW w:w="52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p>
        </w:tc>
        <w:tc>
          <w:tcPr>
            <w:tcW w:w="498"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p>
        </w:tc>
      </w:tr>
      <w:tr>
        <w:tblPrEx>
          <w:tblCellMar>
            <w:top w:w="0" w:type="dxa"/>
            <w:left w:w="108" w:type="dxa"/>
            <w:bottom w:w="0" w:type="dxa"/>
            <w:right w:w="108" w:type="dxa"/>
          </w:tblCellMar>
        </w:tblPrEx>
        <w:trPr>
          <w:trHeight w:val="285" w:hRule="atLeast"/>
        </w:trPr>
        <w:tc>
          <w:tcPr>
            <w:tcW w:w="1136" w:type="pc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Cs w:val="21"/>
              </w:rPr>
            </w:pPr>
            <w:r>
              <w:rPr>
                <w:rFonts w:hint="eastAsia" w:ascii="宋体" w:hAnsi="宋体" w:cs="宋体"/>
                <w:kern w:val="0"/>
                <w:szCs w:val="21"/>
              </w:rPr>
              <w:t>病房</w:t>
            </w:r>
          </w:p>
        </w:tc>
        <w:tc>
          <w:tcPr>
            <w:tcW w:w="74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1392</w:t>
            </w:r>
          </w:p>
        </w:tc>
        <w:tc>
          <w:tcPr>
            <w:tcW w:w="47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83.2</w:t>
            </w:r>
          </w:p>
        </w:tc>
        <w:tc>
          <w:tcPr>
            <w:tcW w:w="478"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162</w:t>
            </w:r>
          </w:p>
        </w:tc>
        <w:tc>
          <w:tcPr>
            <w:tcW w:w="57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643</w:t>
            </w:r>
          </w:p>
        </w:tc>
        <w:tc>
          <w:tcPr>
            <w:tcW w:w="573"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22008</w:t>
            </w:r>
          </w:p>
        </w:tc>
        <w:tc>
          <w:tcPr>
            <w:tcW w:w="52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22955</w:t>
            </w:r>
          </w:p>
        </w:tc>
        <w:tc>
          <w:tcPr>
            <w:tcW w:w="498"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28332</w:t>
            </w:r>
          </w:p>
        </w:tc>
      </w:tr>
      <w:tr>
        <w:tblPrEx>
          <w:tblCellMar>
            <w:top w:w="0" w:type="dxa"/>
            <w:left w:w="108" w:type="dxa"/>
            <w:bottom w:w="0" w:type="dxa"/>
            <w:right w:w="108" w:type="dxa"/>
          </w:tblCellMar>
        </w:tblPrEx>
        <w:trPr>
          <w:trHeight w:val="285" w:hRule="atLeast"/>
        </w:trPr>
        <w:tc>
          <w:tcPr>
            <w:tcW w:w="1136" w:type="pc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Cs w:val="21"/>
              </w:rPr>
            </w:pPr>
            <w:r>
              <w:rPr>
                <w:rFonts w:hint="eastAsia" w:ascii="宋体" w:hAnsi="宋体" w:cs="宋体"/>
                <w:kern w:val="0"/>
                <w:szCs w:val="21"/>
              </w:rPr>
              <w:t>教研室</w:t>
            </w:r>
          </w:p>
        </w:tc>
        <w:tc>
          <w:tcPr>
            <w:tcW w:w="74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p>
        </w:tc>
        <w:tc>
          <w:tcPr>
            <w:tcW w:w="47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p>
        </w:tc>
        <w:tc>
          <w:tcPr>
            <w:tcW w:w="478"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p>
        </w:tc>
        <w:tc>
          <w:tcPr>
            <w:tcW w:w="57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p>
        </w:tc>
        <w:tc>
          <w:tcPr>
            <w:tcW w:w="573"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p>
        </w:tc>
        <w:tc>
          <w:tcPr>
            <w:tcW w:w="52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p>
        </w:tc>
        <w:tc>
          <w:tcPr>
            <w:tcW w:w="498"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p>
        </w:tc>
      </w:tr>
    </w:tbl>
    <w:p>
      <w:pPr>
        <w:ind w:firstLine="640" w:firstLineChars="200"/>
        <w:jc w:val="center"/>
        <w:rPr>
          <w:rFonts w:ascii="仿宋_GB2312"/>
          <w:b/>
          <w:bCs/>
          <w:sz w:val="32"/>
          <w:szCs w:val="32"/>
        </w:rPr>
      </w:pPr>
    </w:p>
    <w:p>
      <w:pPr>
        <w:ind w:firstLine="640" w:firstLineChars="200"/>
        <w:jc w:val="center"/>
        <w:rPr>
          <w:rFonts w:ascii="仿宋_GB2312"/>
          <w:b/>
          <w:bCs/>
          <w:sz w:val="32"/>
          <w:szCs w:val="32"/>
        </w:rPr>
      </w:pPr>
    </w:p>
    <w:p>
      <w:pPr>
        <w:ind w:firstLine="640" w:firstLineChars="200"/>
        <w:jc w:val="center"/>
        <w:rPr>
          <w:rFonts w:ascii="仿宋_GB2312"/>
          <w:b/>
          <w:bCs/>
          <w:sz w:val="32"/>
          <w:szCs w:val="32"/>
        </w:rPr>
      </w:pPr>
    </w:p>
    <w:p>
      <w:pPr>
        <w:ind w:firstLine="640" w:firstLineChars="200"/>
        <w:jc w:val="center"/>
        <w:rPr>
          <w:rFonts w:ascii="仿宋" w:hAnsi="仿宋" w:eastAsia="仿宋"/>
          <w:sz w:val="28"/>
        </w:rPr>
      </w:pPr>
      <w:r>
        <w:rPr>
          <w:rFonts w:hint="eastAsia" w:ascii="仿宋_GB2312"/>
          <w:b/>
          <w:bCs/>
          <w:sz w:val="32"/>
          <w:szCs w:val="32"/>
        </w:rPr>
        <w:t>表5  历史收益增长统计表</w:t>
      </w:r>
    </w:p>
    <w:tbl>
      <w:tblPr>
        <w:tblStyle w:val="10"/>
        <w:tblW w:w="5000" w:type="pct"/>
        <w:tblInd w:w="0" w:type="dxa"/>
        <w:tblLayout w:type="autofit"/>
        <w:tblCellMar>
          <w:top w:w="0" w:type="dxa"/>
          <w:left w:w="108" w:type="dxa"/>
          <w:bottom w:w="0" w:type="dxa"/>
          <w:right w:w="108" w:type="dxa"/>
        </w:tblCellMar>
      </w:tblPr>
      <w:tblGrid>
        <w:gridCol w:w="2080"/>
        <w:gridCol w:w="1559"/>
        <w:gridCol w:w="1770"/>
        <w:gridCol w:w="1770"/>
        <w:gridCol w:w="1773"/>
        <w:gridCol w:w="1374"/>
        <w:gridCol w:w="1593"/>
        <w:gridCol w:w="1449"/>
      </w:tblGrid>
      <w:tr>
        <w:tblPrEx>
          <w:tblCellMar>
            <w:top w:w="0" w:type="dxa"/>
            <w:left w:w="108" w:type="dxa"/>
            <w:bottom w:w="0" w:type="dxa"/>
            <w:right w:w="108" w:type="dxa"/>
          </w:tblCellMar>
        </w:tblPrEx>
        <w:trPr>
          <w:trHeight w:val="285" w:hRule="atLeast"/>
        </w:trPr>
        <w:tc>
          <w:tcPr>
            <w:tcW w:w="778"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科室</w:t>
            </w:r>
          </w:p>
        </w:tc>
        <w:tc>
          <w:tcPr>
            <w:tcW w:w="583"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现有使用面积</w:t>
            </w:r>
          </w:p>
        </w:tc>
        <w:tc>
          <w:tcPr>
            <w:tcW w:w="1987" w:type="pct"/>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收入（万元/㎡）</w:t>
            </w:r>
          </w:p>
        </w:tc>
        <w:tc>
          <w:tcPr>
            <w:tcW w:w="1109" w:type="pct"/>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增长率</w:t>
            </w:r>
          </w:p>
        </w:tc>
        <w:tc>
          <w:tcPr>
            <w:tcW w:w="543"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平均增长率</w:t>
            </w:r>
          </w:p>
        </w:tc>
      </w:tr>
      <w:tr>
        <w:tblPrEx>
          <w:tblCellMar>
            <w:top w:w="0" w:type="dxa"/>
            <w:left w:w="108" w:type="dxa"/>
            <w:bottom w:w="0" w:type="dxa"/>
            <w:right w:w="108" w:type="dxa"/>
          </w:tblCellMar>
        </w:tblPrEx>
        <w:trPr>
          <w:trHeight w:val="285" w:hRule="atLeast"/>
        </w:trPr>
        <w:tc>
          <w:tcPr>
            <w:tcW w:w="778" w:type="pct"/>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583" w:type="pct"/>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66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2017</w:t>
            </w:r>
          </w:p>
        </w:tc>
        <w:tc>
          <w:tcPr>
            <w:tcW w:w="66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2018</w:t>
            </w:r>
          </w:p>
        </w:tc>
        <w:tc>
          <w:tcPr>
            <w:tcW w:w="66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2019</w:t>
            </w:r>
          </w:p>
        </w:tc>
        <w:tc>
          <w:tcPr>
            <w:tcW w:w="51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17-18年</w:t>
            </w:r>
          </w:p>
        </w:tc>
        <w:tc>
          <w:tcPr>
            <w:tcW w:w="59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18-19年</w:t>
            </w:r>
          </w:p>
        </w:tc>
        <w:tc>
          <w:tcPr>
            <w:tcW w:w="543" w:type="pct"/>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r>
      <w:tr>
        <w:tblPrEx>
          <w:tblCellMar>
            <w:top w:w="0" w:type="dxa"/>
            <w:left w:w="108" w:type="dxa"/>
            <w:bottom w:w="0" w:type="dxa"/>
            <w:right w:w="108" w:type="dxa"/>
          </w:tblCellMar>
        </w:tblPrEx>
        <w:trPr>
          <w:trHeight w:val="285" w:hRule="atLeast"/>
        </w:trPr>
        <w:tc>
          <w:tcPr>
            <w:tcW w:w="778"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放射科</w:t>
            </w:r>
          </w:p>
        </w:tc>
        <w:tc>
          <w:tcPr>
            <w:tcW w:w="583"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474.4㎡</w:t>
            </w:r>
          </w:p>
        </w:tc>
        <w:tc>
          <w:tcPr>
            <w:tcW w:w="66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0.84</w:t>
            </w:r>
          </w:p>
        </w:tc>
        <w:tc>
          <w:tcPr>
            <w:tcW w:w="66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1.09</w:t>
            </w:r>
          </w:p>
        </w:tc>
        <w:tc>
          <w:tcPr>
            <w:tcW w:w="66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1.10</w:t>
            </w:r>
          </w:p>
        </w:tc>
        <w:tc>
          <w:tcPr>
            <w:tcW w:w="51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30.71%</w:t>
            </w:r>
          </w:p>
        </w:tc>
        <w:tc>
          <w:tcPr>
            <w:tcW w:w="59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0.97%</w:t>
            </w:r>
          </w:p>
        </w:tc>
        <w:tc>
          <w:tcPr>
            <w:tcW w:w="543"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15.84%</w:t>
            </w:r>
          </w:p>
        </w:tc>
      </w:tr>
      <w:tr>
        <w:tblPrEx>
          <w:tblCellMar>
            <w:top w:w="0" w:type="dxa"/>
            <w:left w:w="108" w:type="dxa"/>
            <w:bottom w:w="0" w:type="dxa"/>
            <w:right w:w="108" w:type="dxa"/>
          </w:tblCellMar>
        </w:tblPrEx>
        <w:trPr>
          <w:trHeight w:val="285" w:hRule="atLeast"/>
        </w:trPr>
        <w:tc>
          <w:tcPr>
            <w:tcW w:w="778"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介入手术室</w:t>
            </w:r>
          </w:p>
        </w:tc>
        <w:tc>
          <w:tcPr>
            <w:tcW w:w="583"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591㎡</w:t>
            </w:r>
          </w:p>
        </w:tc>
        <w:tc>
          <w:tcPr>
            <w:tcW w:w="66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p>
        </w:tc>
        <w:tc>
          <w:tcPr>
            <w:tcW w:w="66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p>
        </w:tc>
        <w:tc>
          <w:tcPr>
            <w:tcW w:w="66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0.76</w:t>
            </w:r>
          </w:p>
        </w:tc>
        <w:tc>
          <w:tcPr>
            <w:tcW w:w="51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p>
        </w:tc>
        <w:tc>
          <w:tcPr>
            <w:tcW w:w="59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p>
        </w:tc>
        <w:tc>
          <w:tcPr>
            <w:tcW w:w="543"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p>
        </w:tc>
      </w:tr>
      <w:tr>
        <w:tblPrEx>
          <w:tblCellMar>
            <w:top w:w="0" w:type="dxa"/>
            <w:left w:w="108" w:type="dxa"/>
            <w:bottom w:w="0" w:type="dxa"/>
            <w:right w:w="108" w:type="dxa"/>
          </w:tblCellMar>
        </w:tblPrEx>
        <w:trPr>
          <w:trHeight w:val="285" w:hRule="atLeast"/>
        </w:trPr>
        <w:tc>
          <w:tcPr>
            <w:tcW w:w="778"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中心供应</w:t>
            </w:r>
          </w:p>
        </w:tc>
        <w:tc>
          <w:tcPr>
            <w:tcW w:w="583"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29.88㎡</w:t>
            </w:r>
          </w:p>
        </w:tc>
        <w:tc>
          <w:tcPr>
            <w:tcW w:w="66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p>
        </w:tc>
        <w:tc>
          <w:tcPr>
            <w:tcW w:w="66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p>
        </w:tc>
        <w:tc>
          <w:tcPr>
            <w:tcW w:w="66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p>
        </w:tc>
        <w:tc>
          <w:tcPr>
            <w:tcW w:w="51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p>
        </w:tc>
        <w:tc>
          <w:tcPr>
            <w:tcW w:w="59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p>
        </w:tc>
        <w:tc>
          <w:tcPr>
            <w:tcW w:w="543"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p>
        </w:tc>
      </w:tr>
      <w:tr>
        <w:tblPrEx>
          <w:tblCellMar>
            <w:top w:w="0" w:type="dxa"/>
            <w:left w:w="108" w:type="dxa"/>
            <w:bottom w:w="0" w:type="dxa"/>
            <w:right w:w="108" w:type="dxa"/>
          </w:tblCellMar>
        </w:tblPrEx>
        <w:trPr>
          <w:trHeight w:val="285" w:hRule="atLeast"/>
        </w:trPr>
        <w:tc>
          <w:tcPr>
            <w:tcW w:w="778"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检验、内窥镜</w:t>
            </w:r>
          </w:p>
        </w:tc>
        <w:tc>
          <w:tcPr>
            <w:tcW w:w="583"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235㎡</w:t>
            </w:r>
          </w:p>
        </w:tc>
        <w:tc>
          <w:tcPr>
            <w:tcW w:w="66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3.90</w:t>
            </w:r>
          </w:p>
        </w:tc>
        <w:tc>
          <w:tcPr>
            <w:tcW w:w="66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4.79</w:t>
            </w:r>
          </w:p>
        </w:tc>
        <w:tc>
          <w:tcPr>
            <w:tcW w:w="66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6.09</w:t>
            </w:r>
          </w:p>
        </w:tc>
        <w:tc>
          <w:tcPr>
            <w:tcW w:w="51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22.82%</w:t>
            </w:r>
          </w:p>
        </w:tc>
        <w:tc>
          <w:tcPr>
            <w:tcW w:w="59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27.11%</w:t>
            </w:r>
          </w:p>
        </w:tc>
        <w:tc>
          <w:tcPr>
            <w:tcW w:w="543"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24.96%</w:t>
            </w:r>
          </w:p>
        </w:tc>
      </w:tr>
      <w:tr>
        <w:tblPrEx>
          <w:tblCellMar>
            <w:top w:w="0" w:type="dxa"/>
            <w:left w:w="108" w:type="dxa"/>
            <w:bottom w:w="0" w:type="dxa"/>
            <w:right w:w="108" w:type="dxa"/>
          </w:tblCellMar>
        </w:tblPrEx>
        <w:trPr>
          <w:trHeight w:val="285" w:hRule="atLeast"/>
        </w:trPr>
        <w:tc>
          <w:tcPr>
            <w:tcW w:w="778"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血透室（肾内科）</w:t>
            </w:r>
          </w:p>
        </w:tc>
        <w:tc>
          <w:tcPr>
            <w:tcW w:w="583"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853㎡</w:t>
            </w:r>
          </w:p>
        </w:tc>
        <w:tc>
          <w:tcPr>
            <w:tcW w:w="66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0.22</w:t>
            </w:r>
          </w:p>
        </w:tc>
        <w:tc>
          <w:tcPr>
            <w:tcW w:w="66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0.35</w:t>
            </w:r>
          </w:p>
        </w:tc>
        <w:tc>
          <w:tcPr>
            <w:tcW w:w="66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0.36</w:t>
            </w:r>
          </w:p>
        </w:tc>
        <w:tc>
          <w:tcPr>
            <w:tcW w:w="51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57.98%</w:t>
            </w:r>
          </w:p>
        </w:tc>
        <w:tc>
          <w:tcPr>
            <w:tcW w:w="59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4.04%</w:t>
            </w:r>
          </w:p>
        </w:tc>
        <w:tc>
          <w:tcPr>
            <w:tcW w:w="543"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31.01%</w:t>
            </w:r>
          </w:p>
        </w:tc>
      </w:tr>
      <w:tr>
        <w:tblPrEx>
          <w:tblCellMar>
            <w:top w:w="0" w:type="dxa"/>
            <w:left w:w="108" w:type="dxa"/>
            <w:bottom w:w="0" w:type="dxa"/>
            <w:right w:w="108" w:type="dxa"/>
          </w:tblCellMar>
        </w:tblPrEx>
        <w:trPr>
          <w:trHeight w:val="285" w:hRule="atLeast"/>
        </w:trPr>
        <w:tc>
          <w:tcPr>
            <w:tcW w:w="778"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ICU</w:t>
            </w:r>
          </w:p>
        </w:tc>
        <w:tc>
          <w:tcPr>
            <w:tcW w:w="583"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591㎡</w:t>
            </w:r>
          </w:p>
        </w:tc>
        <w:tc>
          <w:tcPr>
            <w:tcW w:w="66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0.57</w:t>
            </w:r>
          </w:p>
        </w:tc>
        <w:tc>
          <w:tcPr>
            <w:tcW w:w="66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0.70</w:t>
            </w:r>
          </w:p>
        </w:tc>
        <w:tc>
          <w:tcPr>
            <w:tcW w:w="66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0.79</w:t>
            </w:r>
          </w:p>
        </w:tc>
        <w:tc>
          <w:tcPr>
            <w:tcW w:w="51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23.28%</w:t>
            </w:r>
          </w:p>
        </w:tc>
        <w:tc>
          <w:tcPr>
            <w:tcW w:w="59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12.59%</w:t>
            </w:r>
          </w:p>
        </w:tc>
        <w:tc>
          <w:tcPr>
            <w:tcW w:w="543"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17.94%</w:t>
            </w:r>
          </w:p>
        </w:tc>
      </w:tr>
      <w:tr>
        <w:tblPrEx>
          <w:tblCellMar>
            <w:top w:w="0" w:type="dxa"/>
            <w:left w:w="108" w:type="dxa"/>
            <w:bottom w:w="0" w:type="dxa"/>
            <w:right w:w="108" w:type="dxa"/>
          </w:tblCellMar>
        </w:tblPrEx>
        <w:trPr>
          <w:trHeight w:val="285" w:hRule="atLeast"/>
        </w:trPr>
        <w:tc>
          <w:tcPr>
            <w:tcW w:w="778"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病案</w:t>
            </w:r>
          </w:p>
        </w:tc>
        <w:tc>
          <w:tcPr>
            <w:tcW w:w="583"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p>
        </w:tc>
        <w:tc>
          <w:tcPr>
            <w:tcW w:w="66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p>
        </w:tc>
        <w:tc>
          <w:tcPr>
            <w:tcW w:w="66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p>
        </w:tc>
        <w:tc>
          <w:tcPr>
            <w:tcW w:w="66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p>
        </w:tc>
        <w:tc>
          <w:tcPr>
            <w:tcW w:w="51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p>
        </w:tc>
        <w:tc>
          <w:tcPr>
            <w:tcW w:w="59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p>
        </w:tc>
        <w:tc>
          <w:tcPr>
            <w:tcW w:w="543"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p>
        </w:tc>
      </w:tr>
      <w:tr>
        <w:tblPrEx>
          <w:tblCellMar>
            <w:top w:w="0" w:type="dxa"/>
            <w:left w:w="108" w:type="dxa"/>
            <w:bottom w:w="0" w:type="dxa"/>
            <w:right w:w="108" w:type="dxa"/>
          </w:tblCellMar>
        </w:tblPrEx>
        <w:trPr>
          <w:trHeight w:val="285" w:hRule="atLeast"/>
        </w:trPr>
        <w:tc>
          <w:tcPr>
            <w:tcW w:w="778"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病房</w:t>
            </w:r>
          </w:p>
        </w:tc>
        <w:tc>
          <w:tcPr>
            <w:tcW w:w="583"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1392㎡</w:t>
            </w:r>
          </w:p>
        </w:tc>
        <w:tc>
          <w:tcPr>
            <w:tcW w:w="66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0.06</w:t>
            </w:r>
          </w:p>
        </w:tc>
        <w:tc>
          <w:tcPr>
            <w:tcW w:w="66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0.12</w:t>
            </w:r>
          </w:p>
        </w:tc>
        <w:tc>
          <w:tcPr>
            <w:tcW w:w="66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0.46</w:t>
            </w:r>
          </w:p>
        </w:tc>
        <w:tc>
          <w:tcPr>
            <w:tcW w:w="51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94.71%</w:t>
            </w:r>
          </w:p>
        </w:tc>
        <w:tc>
          <w:tcPr>
            <w:tcW w:w="59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296.91%</w:t>
            </w:r>
          </w:p>
        </w:tc>
        <w:tc>
          <w:tcPr>
            <w:tcW w:w="543"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195.81%</w:t>
            </w:r>
          </w:p>
        </w:tc>
      </w:tr>
      <w:tr>
        <w:tblPrEx>
          <w:tblCellMar>
            <w:top w:w="0" w:type="dxa"/>
            <w:left w:w="108" w:type="dxa"/>
            <w:bottom w:w="0" w:type="dxa"/>
            <w:right w:w="108" w:type="dxa"/>
          </w:tblCellMar>
        </w:tblPrEx>
        <w:trPr>
          <w:trHeight w:val="285" w:hRule="atLeast"/>
        </w:trPr>
        <w:tc>
          <w:tcPr>
            <w:tcW w:w="778"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教研室</w:t>
            </w:r>
          </w:p>
        </w:tc>
        <w:tc>
          <w:tcPr>
            <w:tcW w:w="583"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p>
        </w:tc>
        <w:tc>
          <w:tcPr>
            <w:tcW w:w="66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p>
        </w:tc>
        <w:tc>
          <w:tcPr>
            <w:tcW w:w="66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p>
        </w:tc>
        <w:tc>
          <w:tcPr>
            <w:tcW w:w="66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p>
        </w:tc>
        <w:tc>
          <w:tcPr>
            <w:tcW w:w="51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p>
        </w:tc>
        <w:tc>
          <w:tcPr>
            <w:tcW w:w="59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p>
        </w:tc>
        <w:tc>
          <w:tcPr>
            <w:tcW w:w="543"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p>
        </w:tc>
      </w:tr>
    </w:tbl>
    <w:p/>
    <w:p/>
    <w:p>
      <w:pPr>
        <w:spacing w:line="360" w:lineRule="auto"/>
        <w:ind w:left="560" w:leftChars="267" w:firstLine="640" w:firstLineChars="200"/>
        <w:jc w:val="center"/>
        <w:rPr>
          <w:rFonts w:ascii="仿宋_GB2312"/>
          <w:b/>
          <w:bCs/>
          <w:sz w:val="32"/>
          <w:szCs w:val="32"/>
        </w:rPr>
      </w:pPr>
    </w:p>
    <w:p>
      <w:pPr>
        <w:spacing w:line="360" w:lineRule="auto"/>
        <w:ind w:left="560" w:leftChars="267" w:firstLine="640" w:firstLineChars="200"/>
        <w:jc w:val="center"/>
        <w:rPr>
          <w:rFonts w:ascii="仿宋_GB2312"/>
          <w:b/>
          <w:bCs/>
          <w:sz w:val="32"/>
          <w:szCs w:val="32"/>
        </w:rPr>
      </w:pPr>
    </w:p>
    <w:p>
      <w:pPr>
        <w:spacing w:line="360" w:lineRule="auto"/>
        <w:ind w:left="560" w:leftChars="267" w:firstLine="640" w:firstLineChars="200"/>
        <w:jc w:val="center"/>
        <w:rPr>
          <w:rFonts w:ascii="仿宋" w:hAnsi="仿宋" w:eastAsia="仿宋"/>
          <w:sz w:val="28"/>
        </w:rPr>
      </w:pPr>
      <w:r>
        <w:rPr>
          <w:rFonts w:hint="eastAsia" w:ascii="仿宋_GB2312"/>
          <w:b/>
          <w:bCs/>
          <w:sz w:val="32"/>
          <w:szCs w:val="32"/>
        </w:rPr>
        <w:t xml:space="preserve">表6  收入状况一览汇总表  </w:t>
      </w:r>
      <w:r>
        <w:rPr>
          <w:rFonts w:hint="eastAsia" w:ascii="仿宋" w:hAnsi="仿宋" w:eastAsia="仿宋"/>
          <w:sz w:val="28"/>
        </w:rPr>
        <w:t xml:space="preserve">       金额单位：万元</w:t>
      </w:r>
    </w:p>
    <w:tbl>
      <w:tblPr>
        <w:tblStyle w:val="10"/>
        <w:tblW w:w="50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8"/>
        <w:gridCol w:w="2241"/>
        <w:gridCol w:w="816"/>
        <w:gridCol w:w="816"/>
        <w:gridCol w:w="821"/>
        <w:gridCol w:w="821"/>
        <w:gridCol w:w="821"/>
        <w:gridCol w:w="821"/>
        <w:gridCol w:w="821"/>
        <w:gridCol w:w="821"/>
        <w:gridCol w:w="821"/>
        <w:gridCol w:w="821"/>
        <w:gridCol w:w="821"/>
        <w:gridCol w:w="821"/>
        <w:gridCol w:w="821"/>
        <w:gridCol w:w="821"/>
        <w:gridCol w:w="821"/>
        <w:gridCol w:w="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67" w:type="pct"/>
            <w:shd w:val="clear" w:color="000000" w:fill="FFFFFF"/>
            <w:noWrap/>
            <w:vAlign w:val="center"/>
          </w:tcPr>
          <w:p>
            <w:pPr>
              <w:widowControl/>
              <w:jc w:val="center"/>
              <w:rPr>
                <w:rFonts w:ascii="宋体" w:hAnsi="宋体" w:cs="宋体"/>
                <w:b/>
                <w:bCs/>
                <w:color w:val="000000"/>
                <w:kern w:val="0"/>
                <w:sz w:val="15"/>
                <w:szCs w:val="15"/>
              </w:rPr>
            </w:pPr>
            <w:r>
              <w:rPr>
                <w:rFonts w:hint="eastAsia" w:ascii="宋体" w:hAnsi="宋体" w:cs="宋体"/>
                <w:b/>
                <w:bCs/>
                <w:color w:val="000000"/>
                <w:kern w:val="0"/>
                <w:sz w:val="15"/>
                <w:szCs w:val="15"/>
              </w:rPr>
              <w:t>序号</w:t>
            </w:r>
          </w:p>
        </w:tc>
        <w:tc>
          <w:tcPr>
            <w:tcW w:w="668" w:type="pct"/>
            <w:shd w:val="clear" w:color="000000" w:fill="FFFFFF"/>
            <w:noWrap/>
            <w:vAlign w:val="center"/>
          </w:tcPr>
          <w:p>
            <w:pPr>
              <w:widowControl/>
              <w:jc w:val="center"/>
              <w:rPr>
                <w:rFonts w:ascii="宋体" w:hAnsi="宋体" w:cs="宋体"/>
                <w:b/>
                <w:bCs/>
                <w:color w:val="000000"/>
                <w:kern w:val="0"/>
                <w:sz w:val="15"/>
                <w:szCs w:val="15"/>
              </w:rPr>
            </w:pPr>
            <w:r>
              <w:rPr>
                <w:rFonts w:hint="eastAsia" w:ascii="宋体" w:hAnsi="宋体" w:cs="宋体"/>
                <w:b/>
                <w:bCs/>
                <w:color w:val="000000"/>
                <w:kern w:val="0"/>
                <w:sz w:val="15"/>
                <w:szCs w:val="15"/>
              </w:rPr>
              <w:t>项目</w:t>
            </w:r>
          </w:p>
        </w:tc>
        <w:tc>
          <w:tcPr>
            <w:tcW w:w="254" w:type="pct"/>
            <w:shd w:val="clear" w:color="000000" w:fill="FFFFFF"/>
            <w:noWrap/>
            <w:vAlign w:val="center"/>
          </w:tcPr>
          <w:p>
            <w:pPr>
              <w:widowControl/>
              <w:jc w:val="center"/>
              <w:rPr>
                <w:rFonts w:ascii="宋体" w:hAnsi="宋体" w:cs="宋体"/>
                <w:b/>
                <w:bCs/>
                <w:color w:val="000000"/>
                <w:kern w:val="0"/>
                <w:sz w:val="15"/>
                <w:szCs w:val="15"/>
              </w:rPr>
            </w:pPr>
            <w:r>
              <w:rPr>
                <w:rFonts w:hint="eastAsia" w:ascii="宋体" w:hAnsi="宋体" w:cs="宋体"/>
                <w:b/>
                <w:bCs/>
                <w:color w:val="000000"/>
                <w:kern w:val="0"/>
                <w:sz w:val="15"/>
                <w:szCs w:val="15"/>
              </w:rPr>
              <w:t>第1年</w:t>
            </w:r>
          </w:p>
        </w:tc>
        <w:tc>
          <w:tcPr>
            <w:tcW w:w="254" w:type="pct"/>
            <w:shd w:val="clear" w:color="000000" w:fill="FFFFFF"/>
            <w:noWrap/>
            <w:vAlign w:val="center"/>
          </w:tcPr>
          <w:p>
            <w:pPr>
              <w:widowControl/>
              <w:jc w:val="center"/>
              <w:rPr>
                <w:rFonts w:ascii="宋体" w:hAnsi="宋体" w:cs="宋体"/>
                <w:b/>
                <w:bCs/>
                <w:color w:val="000000"/>
                <w:kern w:val="0"/>
                <w:sz w:val="15"/>
                <w:szCs w:val="15"/>
              </w:rPr>
            </w:pPr>
            <w:r>
              <w:rPr>
                <w:rFonts w:hint="eastAsia" w:ascii="宋体" w:hAnsi="宋体" w:cs="宋体"/>
                <w:b/>
                <w:bCs/>
                <w:color w:val="000000"/>
                <w:kern w:val="0"/>
                <w:sz w:val="15"/>
                <w:szCs w:val="15"/>
              </w:rPr>
              <w:t>第2年</w:t>
            </w:r>
          </w:p>
        </w:tc>
        <w:tc>
          <w:tcPr>
            <w:tcW w:w="255" w:type="pct"/>
            <w:shd w:val="clear" w:color="000000" w:fill="FFFFFF"/>
            <w:vAlign w:val="center"/>
          </w:tcPr>
          <w:p>
            <w:pPr>
              <w:widowControl/>
              <w:jc w:val="center"/>
              <w:rPr>
                <w:rFonts w:ascii="宋体" w:hAnsi="宋体" w:cs="宋体"/>
                <w:b/>
                <w:bCs/>
                <w:color w:val="000000"/>
                <w:kern w:val="0"/>
                <w:sz w:val="15"/>
                <w:szCs w:val="15"/>
              </w:rPr>
            </w:pPr>
            <w:r>
              <w:rPr>
                <w:rFonts w:hint="eastAsia" w:ascii="宋体" w:hAnsi="宋体" w:cs="宋体"/>
                <w:b/>
                <w:bCs/>
                <w:color w:val="000000"/>
                <w:kern w:val="0"/>
                <w:sz w:val="15"/>
                <w:szCs w:val="15"/>
              </w:rPr>
              <w:t>第3年</w:t>
            </w:r>
          </w:p>
        </w:tc>
        <w:tc>
          <w:tcPr>
            <w:tcW w:w="342" w:type="pct"/>
            <w:shd w:val="clear" w:color="000000" w:fill="FFFFFF"/>
            <w:noWrap/>
            <w:vAlign w:val="center"/>
          </w:tcPr>
          <w:p>
            <w:pPr>
              <w:widowControl/>
              <w:jc w:val="center"/>
              <w:rPr>
                <w:rFonts w:ascii="宋体" w:hAnsi="宋体" w:cs="宋体"/>
                <w:b/>
                <w:bCs/>
                <w:color w:val="000000"/>
                <w:kern w:val="0"/>
                <w:sz w:val="15"/>
                <w:szCs w:val="15"/>
              </w:rPr>
            </w:pPr>
            <w:r>
              <w:rPr>
                <w:rFonts w:hint="eastAsia" w:ascii="宋体" w:hAnsi="宋体" w:cs="宋体"/>
                <w:b/>
                <w:bCs/>
                <w:color w:val="000000"/>
                <w:kern w:val="0"/>
                <w:sz w:val="15"/>
                <w:szCs w:val="15"/>
              </w:rPr>
              <w:t>第4年</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hint="eastAsia" w:ascii="宋体" w:hAnsi="宋体" w:cs="宋体"/>
                <w:b/>
                <w:bCs/>
                <w:color w:val="000000"/>
                <w:kern w:val="0"/>
                <w:sz w:val="15"/>
                <w:szCs w:val="15"/>
              </w:rPr>
              <w:t>第5年</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hint="eastAsia" w:ascii="宋体" w:hAnsi="宋体" w:cs="宋体"/>
                <w:b/>
                <w:bCs/>
                <w:color w:val="000000"/>
                <w:kern w:val="0"/>
                <w:sz w:val="15"/>
                <w:szCs w:val="15"/>
              </w:rPr>
              <w:t>第6年</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hint="eastAsia" w:ascii="宋体" w:hAnsi="宋体" w:cs="宋体"/>
                <w:b/>
                <w:bCs/>
                <w:color w:val="000000"/>
                <w:kern w:val="0"/>
                <w:sz w:val="15"/>
                <w:szCs w:val="15"/>
              </w:rPr>
              <w:t>第7年</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hint="eastAsia" w:ascii="宋体" w:hAnsi="宋体" w:cs="宋体"/>
                <w:b/>
                <w:bCs/>
                <w:color w:val="000000"/>
                <w:kern w:val="0"/>
                <w:sz w:val="15"/>
                <w:szCs w:val="15"/>
              </w:rPr>
              <w:t>第8年</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hint="eastAsia" w:ascii="宋体" w:hAnsi="宋体" w:cs="宋体"/>
                <w:b/>
                <w:bCs/>
                <w:color w:val="000000"/>
                <w:kern w:val="0"/>
                <w:sz w:val="15"/>
                <w:szCs w:val="15"/>
              </w:rPr>
              <w:t>第9年</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hint="eastAsia" w:ascii="宋体" w:hAnsi="宋体" w:cs="宋体"/>
                <w:b/>
                <w:bCs/>
                <w:color w:val="000000"/>
                <w:kern w:val="0"/>
                <w:sz w:val="15"/>
                <w:szCs w:val="15"/>
              </w:rPr>
              <w:t>第10年</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hint="eastAsia" w:ascii="宋体" w:hAnsi="宋体" w:cs="宋体"/>
                <w:b/>
                <w:bCs/>
                <w:color w:val="000000"/>
                <w:kern w:val="0"/>
                <w:sz w:val="15"/>
                <w:szCs w:val="15"/>
              </w:rPr>
              <w:t>第11年</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hint="eastAsia" w:ascii="宋体" w:hAnsi="宋体" w:cs="宋体"/>
                <w:b/>
                <w:bCs/>
                <w:color w:val="000000"/>
                <w:kern w:val="0"/>
                <w:sz w:val="15"/>
                <w:szCs w:val="15"/>
              </w:rPr>
              <w:t>第12年</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hint="eastAsia" w:ascii="宋体" w:hAnsi="宋体" w:cs="宋体"/>
                <w:b/>
                <w:bCs/>
                <w:color w:val="000000"/>
                <w:kern w:val="0"/>
                <w:sz w:val="15"/>
                <w:szCs w:val="15"/>
              </w:rPr>
              <w:t>第13年</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hint="eastAsia" w:ascii="宋体" w:hAnsi="宋体" w:cs="宋体"/>
                <w:b/>
                <w:bCs/>
                <w:color w:val="000000"/>
                <w:kern w:val="0"/>
                <w:sz w:val="15"/>
                <w:szCs w:val="15"/>
              </w:rPr>
              <w:t>第14年</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hint="eastAsia" w:ascii="宋体" w:hAnsi="宋体" w:cs="宋体"/>
                <w:b/>
                <w:bCs/>
                <w:color w:val="000000"/>
                <w:kern w:val="0"/>
                <w:sz w:val="15"/>
                <w:szCs w:val="15"/>
              </w:rPr>
              <w:t>第15年</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hint="eastAsia" w:ascii="宋体" w:hAnsi="宋体" w:cs="宋体"/>
                <w:b/>
                <w:bCs/>
                <w:color w:val="000000"/>
                <w:kern w:val="0"/>
                <w:sz w:val="15"/>
                <w:szCs w:val="15"/>
              </w:rPr>
              <w:t>第16年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67"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1</w:t>
            </w:r>
          </w:p>
        </w:tc>
        <w:tc>
          <w:tcPr>
            <w:tcW w:w="668" w:type="pct"/>
            <w:shd w:val="clear" w:color="000000" w:fill="FFFFFF"/>
            <w:noWrap/>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医院收入</w:t>
            </w:r>
          </w:p>
        </w:tc>
        <w:tc>
          <w:tcPr>
            <w:tcW w:w="254" w:type="pct"/>
            <w:shd w:val="clear" w:color="000000" w:fill="FFFFFF"/>
            <w:noWrap/>
            <w:vAlign w:val="center"/>
          </w:tcPr>
          <w:p>
            <w:pPr>
              <w:widowControl/>
              <w:jc w:val="center"/>
              <w:rPr>
                <w:rFonts w:ascii="宋体" w:hAnsi="宋体" w:cs="宋体"/>
                <w:color w:val="000000"/>
                <w:kern w:val="0"/>
                <w:sz w:val="15"/>
                <w:szCs w:val="15"/>
              </w:rPr>
            </w:pPr>
          </w:p>
        </w:tc>
        <w:tc>
          <w:tcPr>
            <w:tcW w:w="254" w:type="pct"/>
            <w:shd w:val="clear" w:color="000000" w:fill="FFFFFF"/>
            <w:noWrap/>
            <w:vAlign w:val="center"/>
          </w:tcPr>
          <w:p>
            <w:pPr>
              <w:widowControl/>
              <w:jc w:val="center"/>
              <w:rPr>
                <w:rFonts w:ascii="宋体" w:hAnsi="宋体" w:cs="宋体"/>
                <w:color w:val="000000"/>
                <w:kern w:val="0"/>
                <w:sz w:val="15"/>
                <w:szCs w:val="15"/>
              </w:rPr>
            </w:pP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1,189.22</w:t>
            </w:r>
          </w:p>
        </w:tc>
        <w:tc>
          <w:tcPr>
            <w:tcW w:w="342"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5,004.83</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5,266.09</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5,541.92</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5,833.59</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6,141.55</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6,466.74</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6,810.15</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7,173.28</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7,556.81</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7,961.92</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8,390.32</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8,842.90</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9,321.51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67" w:type="pct"/>
            <w:shd w:val="clear" w:color="000000" w:fill="FFFFFF"/>
            <w:noWrap/>
            <w:vAlign w:val="center"/>
          </w:tcPr>
          <w:p>
            <w:pPr>
              <w:widowControl/>
              <w:jc w:val="center"/>
              <w:rPr>
                <w:rFonts w:ascii="宋体" w:hAnsi="宋体" w:cs="宋体"/>
                <w:color w:val="000000"/>
                <w:kern w:val="0"/>
                <w:sz w:val="15"/>
                <w:szCs w:val="15"/>
              </w:rPr>
            </w:pPr>
          </w:p>
        </w:tc>
        <w:tc>
          <w:tcPr>
            <w:tcW w:w="668" w:type="pct"/>
            <w:shd w:val="clear" w:color="000000" w:fill="FFFFFF"/>
            <w:noWrap/>
            <w:vAlign w:val="center"/>
          </w:tcPr>
          <w:p>
            <w:pPr>
              <w:widowControl/>
              <w:jc w:val="center"/>
              <w:rPr>
                <w:rFonts w:ascii="宋体" w:hAnsi="宋体" w:cs="宋体"/>
                <w:b/>
                <w:bCs/>
                <w:color w:val="000000"/>
                <w:kern w:val="0"/>
                <w:sz w:val="15"/>
                <w:szCs w:val="15"/>
              </w:rPr>
            </w:pPr>
            <w:r>
              <w:rPr>
                <w:rFonts w:hint="eastAsia" w:ascii="宋体" w:hAnsi="宋体" w:cs="宋体"/>
                <w:b/>
                <w:bCs/>
                <w:color w:val="000000"/>
                <w:kern w:val="0"/>
                <w:sz w:val="15"/>
                <w:szCs w:val="15"/>
              </w:rPr>
              <w:t>放射费收入（万元）</w:t>
            </w:r>
          </w:p>
        </w:tc>
        <w:tc>
          <w:tcPr>
            <w:tcW w:w="254" w:type="pct"/>
            <w:shd w:val="clear" w:color="000000" w:fill="FFFFFF"/>
            <w:noWrap/>
            <w:vAlign w:val="center"/>
          </w:tcPr>
          <w:p>
            <w:pPr>
              <w:widowControl/>
              <w:jc w:val="center"/>
              <w:rPr>
                <w:rFonts w:ascii="宋体" w:hAnsi="宋体" w:cs="宋体"/>
                <w:color w:val="000000"/>
                <w:kern w:val="0"/>
                <w:sz w:val="15"/>
                <w:szCs w:val="15"/>
              </w:rPr>
            </w:pPr>
          </w:p>
        </w:tc>
        <w:tc>
          <w:tcPr>
            <w:tcW w:w="254" w:type="pct"/>
            <w:shd w:val="clear" w:color="000000" w:fill="FFFFFF"/>
            <w:noWrap/>
            <w:vAlign w:val="center"/>
          </w:tcPr>
          <w:p>
            <w:pPr>
              <w:widowControl/>
              <w:jc w:val="center"/>
              <w:rPr>
                <w:rFonts w:ascii="宋体" w:hAnsi="宋体" w:cs="宋体"/>
                <w:color w:val="000000"/>
                <w:kern w:val="0"/>
                <w:sz w:val="15"/>
                <w:szCs w:val="15"/>
              </w:rPr>
            </w:pP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206.42</w:t>
            </w:r>
          </w:p>
        </w:tc>
        <w:tc>
          <w:tcPr>
            <w:tcW w:w="342"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850.46</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875.97</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902.25</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929.32</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957.20</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985.91</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1,015.49</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1,045.96</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1,077.34</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1,109.66</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1,142.95</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1,177.23</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1,212.55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67" w:type="pct"/>
            <w:shd w:val="clear" w:color="000000" w:fill="FFFFFF"/>
            <w:noWrap/>
            <w:vAlign w:val="center"/>
          </w:tcPr>
          <w:p>
            <w:pPr>
              <w:widowControl/>
              <w:jc w:val="center"/>
              <w:rPr>
                <w:rFonts w:ascii="宋体" w:hAnsi="宋体" w:cs="宋体"/>
                <w:color w:val="000000"/>
                <w:kern w:val="0"/>
                <w:sz w:val="15"/>
                <w:szCs w:val="15"/>
              </w:rPr>
            </w:pPr>
          </w:p>
        </w:tc>
        <w:tc>
          <w:tcPr>
            <w:tcW w:w="668" w:type="pct"/>
            <w:shd w:val="clear" w:color="000000" w:fill="FFFFFF"/>
            <w:noWrap/>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放射科人次（万人/年）</w:t>
            </w:r>
          </w:p>
        </w:tc>
        <w:tc>
          <w:tcPr>
            <w:tcW w:w="254"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3.44</w:t>
            </w:r>
          </w:p>
        </w:tc>
        <w:tc>
          <w:tcPr>
            <w:tcW w:w="254"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3.75</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1.02</w:t>
            </w:r>
          </w:p>
        </w:tc>
        <w:tc>
          <w:tcPr>
            <w:tcW w:w="342"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4.22</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4.34</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4.47</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4.61</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4.74</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4.89</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5.03</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5.18</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5.34</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5.50</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5.66</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5.83</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6.01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67" w:type="pct"/>
            <w:shd w:val="clear" w:color="000000" w:fill="FFFFFF"/>
            <w:noWrap/>
            <w:vAlign w:val="center"/>
          </w:tcPr>
          <w:p>
            <w:pPr>
              <w:widowControl/>
              <w:jc w:val="center"/>
              <w:rPr>
                <w:rFonts w:ascii="宋体" w:hAnsi="宋体" w:cs="宋体"/>
                <w:color w:val="000000"/>
                <w:kern w:val="0"/>
                <w:sz w:val="15"/>
                <w:szCs w:val="15"/>
              </w:rPr>
            </w:pPr>
          </w:p>
        </w:tc>
        <w:tc>
          <w:tcPr>
            <w:tcW w:w="668" w:type="pct"/>
            <w:shd w:val="clear" w:color="000000" w:fill="FFFFFF"/>
            <w:noWrap/>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放射费（元/人）</w:t>
            </w:r>
          </w:p>
        </w:tc>
        <w:tc>
          <w:tcPr>
            <w:tcW w:w="254"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201.77</w:t>
            </w:r>
          </w:p>
        </w:tc>
        <w:tc>
          <w:tcPr>
            <w:tcW w:w="254"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201.77</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201.77</w:t>
            </w:r>
          </w:p>
        </w:tc>
        <w:tc>
          <w:tcPr>
            <w:tcW w:w="342"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201.77</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201.77</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201.77</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201.77</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201.77</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201.77</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201.77</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201.77</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201.77</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201.77</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201.77</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201.77</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201.77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67" w:type="pct"/>
            <w:shd w:val="clear" w:color="000000" w:fill="FFFFFF"/>
            <w:noWrap/>
            <w:vAlign w:val="center"/>
          </w:tcPr>
          <w:p>
            <w:pPr>
              <w:widowControl/>
              <w:jc w:val="center"/>
              <w:rPr>
                <w:rFonts w:ascii="宋体" w:hAnsi="宋体" w:cs="宋体"/>
                <w:color w:val="000000"/>
                <w:kern w:val="0"/>
                <w:sz w:val="15"/>
                <w:szCs w:val="15"/>
              </w:rPr>
            </w:pPr>
          </w:p>
        </w:tc>
        <w:tc>
          <w:tcPr>
            <w:tcW w:w="668" w:type="pct"/>
            <w:shd w:val="clear" w:color="000000" w:fill="FFFFFF"/>
            <w:noWrap/>
            <w:vAlign w:val="center"/>
          </w:tcPr>
          <w:p>
            <w:pPr>
              <w:widowControl/>
              <w:jc w:val="center"/>
              <w:rPr>
                <w:rFonts w:ascii="宋体" w:hAnsi="宋体" w:cs="宋体"/>
                <w:b/>
                <w:bCs/>
                <w:color w:val="000000"/>
                <w:kern w:val="0"/>
                <w:sz w:val="15"/>
                <w:szCs w:val="15"/>
              </w:rPr>
            </w:pPr>
            <w:r>
              <w:rPr>
                <w:rFonts w:hint="eastAsia" w:ascii="宋体" w:hAnsi="宋体" w:cs="宋体"/>
                <w:b/>
                <w:bCs/>
                <w:color w:val="000000"/>
                <w:kern w:val="0"/>
                <w:sz w:val="15"/>
                <w:szCs w:val="15"/>
              </w:rPr>
              <w:t>介入手术室收入（万元）</w:t>
            </w:r>
          </w:p>
        </w:tc>
        <w:tc>
          <w:tcPr>
            <w:tcW w:w="254" w:type="pct"/>
            <w:shd w:val="clear" w:color="000000" w:fill="FFFFFF"/>
            <w:noWrap/>
            <w:vAlign w:val="center"/>
          </w:tcPr>
          <w:p>
            <w:pPr>
              <w:widowControl/>
              <w:jc w:val="center"/>
              <w:rPr>
                <w:rFonts w:ascii="宋体" w:hAnsi="宋体" w:cs="宋体"/>
                <w:color w:val="000000"/>
                <w:kern w:val="0"/>
                <w:sz w:val="15"/>
                <w:szCs w:val="15"/>
              </w:rPr>
            </w:pPr>
          </w:p>
        </w:tc>
        <w:tc>
          <w:tcPr>
            <w:tcW w:w="254" w:type="pct"/>
            <w:shd w:val="clear" w:color="000000" w:fill="FFFFFF"/>
            <w:noWrap/>
            <w:vAlign w:val="center"/>
          </w:tcPr>
          <w:p>
            <w:pPr>
              <w:widowControl/>
              <w:jc w:val="center"/>
              <w:rPr>
                <w:rFonts w:ascii="宋体" w:hAnsi="宋体" w:cs="宋体"/>
                <w:color w:val="000000"/>
                <w:kern w:val="0"/>
                <w:sz w:val="15"/>
                <w:szCs w:val="15"/>
              </w:rPr>
            </w:pP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134.40</w:t>
            </w:r>
          </w:p>
        </w:tc>
        <w:tc>
          <w:tcPr>
            <w:tcW w:w="342"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554.11</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570.60</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587.54</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605.37</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623.65</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642.37</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661.54</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681.60</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702.11</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723.06</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744.91</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767.19</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790.38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67" w:type="pct"/>
            <w:shd w:val="clear" w:color="000000" w:fill="FFFFFF"/>
            <w:noWrap/>
            <w:vAlign w:val="center"/>
          </w:tcPr>
          <w:p>
            <w:pPr>
              <w:widowControl/>
              <w:jc w:val="center"/>
              <w:rPr>
                <w:rFonts w:ascii="宋体" w:hAnsi="宋体" w:cs="宋体"/>
                <w:color w:val="000000"/>
                <w:kern w:val="0"/>
                <w:sz w:val="15"/>
                <w:szCs w:val="15"/>
              </w:rPr>
            </w:pPr>
          </w:p>
        </w:tc>
        <w:tc>
          <w:tcPr>
            <w:tcW w:w="668" w:type="pct"/>
            <w:shd w:val="clear" w:color="000000" w:fill="FFFFFF"/>
            <w:noWrap/>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介入手术人次（人/年）</w:t>
            </w:r>
          </w:p>
        </w:tc>
        <w:tc>
          <w:tcPr>
            <w:tcW w:w="254"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1,094</w:t>
            </w:r>
          </w:p>
        </w:tc>
        <w:tc>
          <w:tcPr>
            <w:tcW w:w="254"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1,149</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302</w:t>
            </w:r>
          </w:p>
        </w:tc>
        <w:tc>
          <w:tcPr>
            <w:tcW w:w="342"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1,243</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1,280</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1,318</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1,358</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1,399</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1,441</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1,484</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1,529</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1,575</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1,622</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1,671</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1,721</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1,773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67" w:type="pct"/>
            <w:shd w:val="clear" w:color="000000" w:fill="FFFFFF"/>
            <w:noWrap/>
            <w:vAlign w:val="center"/>
          </w:tcPr>
          <w:p>
            <w:pPr>
              <w:widowControl/>
              <w:jc w:val="center"/>
              <w:rPr>
                <w:rFonts w:ascii="宋体" w:hAnsi="宋体" w:cs="宋体"/>
                <w:color w:val="000000"/>
                <w:kern w:val="0"/>
                <w:sz w:val="15"/>
                <w:szCs w:val="15"/>
              </w:rPr>
            </w:pPr>
          </w:p>
        </w:tc>
        <w:tc>
          <w:tcPr>
            <w:tcW w:w="668" w:type="pct"/>
            <w:shd w:val="clear" w:color="000000" w:fill="FFFFFF"/>
            <w:noWrap/>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介入手术费（元/人）</w:t>
            </w:r>
          </w:p>
        </w:tc>
        <w:tc>
          <w:tcPr>
            <w:tcW w:w="254"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4,457.84</w:t>
            </w:r>
          </w:p>
        </w:tc>
        <w:tc>
          <w:tcPr>
            <w:tcW w:w="254"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4,457.84</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4,457.84</w:t>
            </w:r>
          </w:p>
        </w:tc>
        <w:tc>
          <w:tcPr>
            <w:tcW w:w="342"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4,457.84</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4,457.84</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4,457.84</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4,457.84</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4,457.84</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4,457.84</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4,457.84</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4,457.84</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4,457.84</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4,457.84</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4,457.84</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4,457.84</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4,457.84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67" w:type="pct"/>
            <w:shd w:val="clear" w:color="000000" w:fill="FFFFFF"/>
            <w:noWrap/>
            <w:vAlign w:val="center"/>
          </w:tcPr>
          <w:p>
            <w:pPr>
              <w:widowControl/>
              <w:jc w:val="center"/>
              <w:rPr>
                <w:rFonts w:ascii="宋体" w:hAnsi="宋体" w:cs="宋体"/>
                <w:b/>
                <w:bCs/>
                <w:color w:val="000000"/>
                <w:kern w:val="0"/>
                <w:sz w:val="15"/>
                <w:szCs w:val="15"/>
              </w:rPr>
            </w:pPr>
          </w:p>
        </w:tc>
        <w:tc>
          <w:tcPr>
            <w:tcW w:w="668" w:type="pct"/>
            <w:shd w:val="clear" w:color="000000" w:fill="FFFFFF"/>
            <w:noWrap/>
            <w:vAlign w:val="center"/>
          </w:tcPr>
          <w:p>
            <w:pPr>
              <w:widowControl/>
              <w:jc w:val="center"/>
              <w:rPr>
                <w:rFonts w:ascii="宋体" w:hAnsi="宋体" w:cs="宋体"/>
                <w:b/>
                <w:bCs/>
                <w:color w:val="000000"/>
                <w:kern w:val="0"/>
                <w:sz w:val="15"/>
                <w:szCs w:val="15"/>
              </w:rPr>
            </w:pPr>
            <w:r>
              <w:rPr>
                <w:rFonts w:hint="eastAsia" w:ascii="宋体" w:hAnsi="宋体" w:cs="宋体"/>
                <w:b/>
                <w:bCs/>
                <w:color w:val="000000"/>
                <w:kern w:val="0"/>
                <w:sz w:val="15"/>
                <w:szCs w:val="15"/>
              </w:rPr>
              <w:t>检验、内窥镜收入（万元）</w:t>
            </w:r>
          </w:p>
        </w:tc>
        <w:tc>
          <w:tcPr>
            <w:tcW w:w="254" w:type="pct"/>
            <w:shd w:val="clear" w:color="000000" w:fill="FFFFFF"/>
            <w:noWrap/>
            <w:vAlign w:val="center"/>
          </w:tcPr>
          <w:p>
            <w:pPr>
              <w:widowControl/>
              <w:jc w:val="center"/>
              <w:rPr>
                <w:rFonts w:ascii="宋体" w:hAnsi="宋体" w:cs="宋体"/>
                <w:b/>
                <w:bCs/>
                <w:color w:val="000000"/>
                <w:kern w:val="0"/>
                <w:sz w:val="15"/>
                <w:szCs w:val="15"/>
              </w:rPr>
            </w:pPr>
          </w:p>
        </w:tc>
        <w:tc>
          <w:tcPr>
            <w:tcW w:w="254" w:type="pct"/>
            <w:shd w:val="clear" w:color="000000" w:fill="FFFFFF"/>
            <w:noWrap/>
            <w:vAlign w:val="center"/>
          </w:tcPr>
          <w:p>
            <w:pPr>
              <w:widowControl/>
              <w:jc w:val="center"/>
              <w:rPr>
                <w:rFonts w:ascii="宋体" w:hAnsi="宋体" w:cs="宋体"/>
                <w:b/>
                <w:bCs/>
                <w:color w:val="000000"/>
                <w:kern w:val="0"/>
                <w:sz w:val="15"/>
                <w:szCs w:val="15"/>
              </w:rPr>
            </w:pP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425.95</w:t>
            </w:r>
          </w:p>
        </w:tc>
        <w:tc>
          <w:tcPr>
            <w:tcW w:w="342"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1,807.58</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1,917.66</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2,034.45</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2,158.34</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2,289.79</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2,429.24</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2,577.18</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2,734.13</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2,900.63</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3,077.28</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3,264.69</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3,463.51</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3,674.44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67" w:type="pct"/>
            <w:shd w:val="clear" w:color="000000" w:fill="FFFFFF"/>
            <w:noWrap/>
            <w:vAlign w:val="center"/>
          </w:tcPr>
          <w:p>
            <w:pPr>
              <w:widowControl/>
              <w:jc w:val="center"/>
              <w:rPr>
                <w:rFonts w:ascii="宋体" w:hAnsi="宋体" w:cs="宋体"/>
                <w:color w:val="000000"/>
                <w:kern w:val="0"/>
                <w:sz w:val="15"/>
                <w:szCs w:val="15"/>
              </w:rPr>
            </w:pPr>
          </w:p>
        </w:tc>
        <w:tc>
          <w:tcPr>
            <w:tcW w:w="668" w:type="pct"/>
            <w:shd w:val="clear" w:color="000000" w:fill="FFFFFF"/>
            <w:noWrap/>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检验、内窥镜人次（万人/年）</w:t>
            </w:r>
          </w:p>
        </w:tc>
        <w:tc>
          <w:tcPr>
            <w:tcW w:w="254"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15.98</w:t>
            </w:r>
          </w:p>
        </w:tc>
        <w:tc>
          <w:tcPr>
            <w:tcW w:w="254"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16.45</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4.24</w:t>
            </w:r>
          </w:p>
        </w:tc>
        <w:tc>
          <w:tcPr>
            <w:tcW w:w="342"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17.46</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17.98</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18.52</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19.08</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19.65</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20.24</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20.84</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21.47</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22.11</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22.78</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23.46</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24.16</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24.89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67" w:type="pct"/>
            <w:shd w:val="clear" w:color="000000" w:fill="FFFFFF"/>
            <w:noWrap/>
            <w:vAlign w:val="center"/>
          </w:tcPr>
          <w:p>
            <w:pPr>
              <w:widowControl/>
              <w:jc w:val="center"/>
              <w:rPr>
                <w:rFonts w:ascii="宋体" w:hAnsi="宋体" w:cs="宋体"/>
                <w:color w:val="000000"/>
                <w:kern w:val="0"/>
                <w:sz w:val="15"/>
                <w:szCs w:val="15"/>
              </w:rPr>
            </w:pPr>
          </w:p>
        </w:tc>
        <w:tc>
          <w:tcPr>
            <w:tcW w:w="668" w:type="pct"/>
            <w:shd w:val="clear" w:color="000000" w:fill="FFFFFF"/>
            <w:noWrap/>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检验、内窥镜（元/人）</w:t>
            </w:r>
          </w:p>
        </w:tc>
        <w:tc>
          <w:tcPr>
            <w:tcW w:w="254"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94.76</w:t>
            </w:r>
          </w:p>
        </w:tc>
        <w:tc>
          <w:tcPr>
            <w:tcW w:w="254"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97.60</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100.53</w:t>
            </w:r>
          </w:p>
        </w:tc>
        <w:tc>
          <w:tcPr>
            <w:tcW w:w="342"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103.55</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106.65</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109.85</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113.15</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116.54</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120.04</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123.64</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127.35</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131.17</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135.11</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139.16</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143.33</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147.63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67" w:type="pct"/>
            <w:shd w:val="clear" w:color="000000" w:fill="FFFFFF"/>
            <w:noWrap/>
            <w:vAlign w:val="center"/>
          </w:tcPr>
          <w:p>
            <w:pPr>
              <w:widowControl/>
              <w:jc w:val="center"/>
              <w:rPr>
                <w:rFonts w:ascii="宋体" w:hAnsi="宋体" w:cs="宋体"/>
                <w:color w:val="000000"/>
                <w:kern w:val="0"/>
                <w:sz w:val="15"/>
                <w:szCs w:val="15"/>
              </w:rPr>
            </w:pPr>
          </w:p>
        </w:tc>
        <w:tc>
          <w:tcPr>
            <w:tcW w:w="668" w:type="pct"/>
            <w:shd w:val="clear" w:color="000000" w:fill="FFFFFF"/>
            <w:noWrap/>
            <w:vAlign w:val="center"/>
          </w:tcPr>
          <w:p>
            <w:pPr>
              <w:widowControl/>
              <w:jc w:val="center"/>
              <w:rPr>
                <w:rFonts w:ascii="宋体" w:hAnsi="宋体" w:cs="宋体"/>
                <w:b/>
                <w:bCs/>
                <w:color w:val="000000"/>
                <w:kern w:val="0"/>
                <w:sz w:val="15"/>
                <w:szCs w:val="15"/>
              </w:rPr>
            </w:pPr>
            <w:r>
              <w:rPr>
                <w:rFonts w:hint="eastAsia" w:ascii="宋体" w:hAnsi="宋体" w:cs="宋体"/>
                <w:b/>
                <w:bCs/>
                <w:color w:val="000000"/>
                <w:kern w:val="0"/>
                <w:sz w:val="15"/>
                <w:szCs w:val="15"/>
              </w:rPr>
              <w:t>血透室收入（万元）</w:t>
            </w:r>
          </w:p>
        </w:tc>
        <w:tc>
          <w:tcPr>
            <w:tcW w:w="254" w:type="pct"/>
            <w:shd w:val="clear" w:color="000000" w:fill="FFFFFF"/>
            <w:noWrap/>
            <w:vAlign w:val="center"/>
          </w:tcPr>
          <w:p>
            <w:pPr>
              <w:widowControl/>
              <w:jc w:val="center"/>
              <w:rPr>
                <w:rFonts w:ascii="宋体" w:hAnsi="宋体" w:cs="宋体"/>
                <w:color w:val="000000"/>
                <w:kern w:val="0"/>
                <w:sz w:val="15"/>
                <w:szCs w:val="15"/>
              </w:rPr>
            </w:pPr>
          </w:p>
        </w:tc>
        <w:tc>
          <w:tcPr>
            <w:tcW w:w="254" w:type="pct"/>
            <w:shd w:val="clear" w:color="000000" w:fill="FFFFFF"/>
            <w:noWrap/>
            <w:vAlign w:val="center"/>
          </w:tcPr>
          <w:p>
            <w:pPr>
              <w:widowControl/>
              <w:jc w:val="center"/>
              <w:rPr>
                <w:rFonts w:ascii="宋体" w:hAnsi="宋体" w:cs="宋体"/>
                <w:color w:val="000000"/>
                <w:kern w:val="0"/>
                <w:sz w:val="15"/>
                <w:szCs w:val="15"/>
              </w:rPr>
            </w:pP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92.24</w:t>
            </w:r>
          </w:p>
        </w:tc>
        <w:tc>
          <w:tcPr>
            <w:tcW w:w="342"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391.43</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415.27</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440.56</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467.39</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495.85</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526.05</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558.09</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592.07</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628.13</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666.38</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706.97</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750.02</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795.70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67" w:type="pct"/>
            <w:shd w:val="clear" w:color="000000" w:fill="FFFFFF"/>
            <w:noWrap/>
            <w:vAlign w:val="center"/>
          </w:tcPr>
          <w:p>
            <w:pPr>
              <w:widowControl/>
              <w:jc w:val="center"/>
              <w:rPr>
                <w:rFonts w:ascii="宋体" w:hAnsi="宋体" w:cs="宋体"/>
                <w:color w:val="000000"/>
                <w:kern w:val="0"/>
                <w:sz w:val="15"/>
                <w:szCs w:val="15"/>
              </w:rPr>
            </w:pPr>
          </w:p>
        </w:tc>
        <w:tc>
          <w:tcPr>
            <w:tcW w:w="668" w:type="pct"/>
            <w:shd w:val="clear" w:color="000000" w:fill="FFFFFF"/>
            <w:noWrap/>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血透人次（万人/年）</w:t>
            </w:r>
          </w:p>
        </w:tc>
        <w:tc>
          <w:tcPr>
            <w:tcW w:w="254"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0.63</w:t>
            </w:r>
          </w:p>
        </w:tc>
        <w:tc>
          <w:tcPr>
            <w:tcW w:w="254"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0.65</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0.17</w:t>
            </w:r>
          </w:p>
        </w:tc>
        <w:tc>
          <w:tcPr>
            <w:tcW w:w="342"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0.69</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0.71</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0.73</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0.75</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0.78</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0.80</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0.82</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0.85</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0.87</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0.90</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0.93</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0.95</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0.98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67" w:type="pct"/>
            <w:shd w:val="clear" w:color="000000" w:fill="FFFFFF"/>
            <w:noWrap/>
            <w:vAlign w:val="center"/>
          </w:tcPr>
          <w:p>
            <w:pPr>
              <w:widowControl/>
              <w:jc w:val="center"/>
              <w:rPr>
                <w:rFonts w:ascii="宋体" w:hAnsi="宋体" w:cs="宋体"/>
                <w:color w:val="000000"/>
                <w:kern w:val="0"/>
                <w:sz w:val="15"/>
                <w:szCs w:val="15"/>
              </w:rPr>
            </w:pPr>
          </w:p>
        </w:tc>
        <w:tc>
          <w:tcPr>
            <w:tcW w:w="668" w:type="pct"/>
            <w:shd w:val="clear" w:color="000000" w:fill="FFFFFF"/>
            <w:noWrap/>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血透室（元/人）</w:t>
            </w:r>
          </w:p>
        </w:tc>
        <w:tc>
          <w:tcPr>
            <w:tcW w:w="254"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520.05</w:t>
            </w:r>
          </w:p>
        </w:tc>
        <w:tc>
          <w:tcPr>
            <w:tcW w:w="254"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535.65</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551.72</w:t>
            </w:r>
          </w:p>
        </w:tc>
        <w:tc>
          <w:tcPr>
            <w:tcW w:w="342"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568.27</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585.32</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602.88</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620.96</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639.59</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658.78</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678.54</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698.90</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719.87</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741.46</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763.71</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786.62</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810.22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67" w:type="pct"/>
            <w:shd w:val="clear" w:color="000000" w:fill="FFFFFF"/>
            <w:noWrap/>
            <w:vAlign w:val="center"/>
          </w:tcPr>
          <w:p>
            <w:pPr>
              <w:widowControl/>
              <w:jc w:val="center"/>
              <w:rPr>
                <w:rFonts w:ascii="宋体" w:hAnsi="宋体" w:cs="宋体"/>
                <w:color w:val="000000"/>
                <w:kern w:val="0"/>
                <w:sz w:val="15"/>
                <w:szCs w:val="15"/>
              </w:rPr>
            </w:pPr>
          </w:p>
        </w:tc>
        <w:tc>
          <w:tcPr>
            <w:tcW w:w="668" w:type="pct"/>
            <w:shd w:val="clear" w:color="000000" w:fill="FFFFFF"/>
            <w:noWrap/>
            <w:vAlign w:val="center"/>
          </w:tcPr>
          <w:p>
            <w:pPr>
              <w:widowControl/>
              <w:jc w:val="center"/>
              <w:rPr>
                <w:rFonts w:ascii="宋体" w:hAnsi="宋体" w:cs="宋体"/>
                <w:b/>
                <w:bCs/>
                <w:color w:val="000000"/>
                <w:kern w:val="0"/>
                <w:sz w:val="15"/>
                <w:szCs w:val="15"/>
              </w:rPr>
            </w:pPr>
            <w:r>
              <w:rPr>
                <w:rFonts w:hint="eastAsia" w:ascii="宋体" w:hAnsi="宋体" w:cs="宋体"/>
                <w:b/>
                <w:bCs/>
                <w:color w:val="000000"/>
                <w:kern w:val="0"/>
                <w:sz w:val="15"/>
                <w:szCs w:val="15"/>
              </w:rPr>
              <w:t>ICU收入（万元）</w:t>
            </w:r>
          </w:p>
        </w:tc>
        <w:tc>
          <w:tcPr>
            <w:tcW w:w="254" w:type="pct"/>
            <w:shd w:val="clear" w:color="000000" w:fill="FFFFFF"/>
            <w:noWrap/>
            <w:vAlign w:val="center"/>
          </w:tcPr>
          <w:p>
            <w:pPr>
              <w:widowControl/>
              <w:jc w:val="center"/>
              <w:rPr>
                <w:rFonts w:ascii="宋体" w:hAnsi="宋体" w:cs="宋体"/>
                <w:color w:val="000000"/>
                <w:kern w:val="0"/>
                <w:sz w:val="15"/>
                <w:szCs w:val="15"/>
              </w:rPr>
            </w:pPr>
          </w:p>
        </w:tc>
        <w:tc>
          <w:tcPr>
            <w:tcW w:w="254" w:type="pct"/>
            <w:shd w:val="clear" w:color="000000" w:fill="FFFFFF"/>
            <w:noWrap/>
            <w:vAlign w:val="center"/>
          </w:tcPr>
          <w:p>
            <w:pPr>
              <w:widowControl/>
              <w:jc w:val="center"/>
              <w:rPr>
                <w:rFonts w:ascii="宋体" w:hAnsi="宋体" w:cs="宋体"/>
                <w:color w:val="000000"/>
                <w:kern w:val="0"/>
                <w:sz w:val="15"/>
                <w:szCs w:val="15"/>
              </w:rPr>
            </w:pP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138.44</w:t>
            </w:r>
          </w:p>
        </w:tc>
        <w:tc>
          <w:tcPr>
            <w:tcW w:w="342"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587.46</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623.24</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661.20</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701.46</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744.18</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789.50</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837.58</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888.59</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942.71</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1,000.12</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1,061.03</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1,125.64</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1,194.19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67" w:type="pct"/>
            <w:shd w:val="clear" w:color="000000" w:fill="FFFFFF"/>
            <w:noWrap/>
            <w:vAlign w:val="center"/>
          </w:tcPr>
          <w:p>
            <w:pPr>
              <w:widowControl/>
              <w:jc w:val="center"/>
              <w:rPr>
                <w:rFonts w:ascii="宋体" w:hAnsi="宋体" w:cs="宋体"/>
                <w:color w:val="000000"/>
                <w:kern w:val="0"/>
                <w:sz w:val="15"/>
                <w:szCs w:val="15"/>
              </w:rPr>
            </w:pPr>
          </w:p>
        </w:tc>
        <w:tc>
          <w:tcPr>
            <w:tcW w:w="668" w:type="pct"/>
            <w:shd w:val="clear" w:color="000000" w:fill="FFFFFF"/>
            <w:noWrap/>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ICU接诊人次（万人/年）</w:t>
            </w:r>
          </w:p>
        </w:tc>
        <w:tc>
          <w:tcPr>
            <w:tcW w:w="254"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0.36</w:t>
            </w:r>
          </w:p>
        </w:tc>
        <w:tc>
          <w:tcPr>
            <w:tcW w:w="254"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0.37</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0.10</w:t>
            </w:r>
          </w:p>
        </w:tc>
        <w:tc>
          <w:tcPr>
            <w:tcW w:w="342"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0.39</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0.41</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0.42</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0.43</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0.44</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0.46</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0.47</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0.48</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0.50</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0.51</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0.53</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0.55</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67" w:type="pct"/>
            <w:shd w:val="clear" w:color="000000" w:fill="FFFFFF"/>
            <w:noWrap/>
            <w:vAlign w:val="center"/>
          </w:tcPr>
          <w:p>
            <w:pPr>
              <w:widowControl/>
              <w:jc w:val="center"/>
              <w:rPr>
                <w:rFonts w:ascii="宋体" w:hAnsi="宋体" w:cs="宋体"/>
                <w:color w:val="000000"/>
                <w:kern w:val="0"/>
                <w:sz w:val="15"/>
                <w:szCs w:val="15"/>
              </w:rPr>
            </w:pPr>
          </w:p>
        </w:tc>
        <w:tc>
          <w:tcPr>
            <w:tcW w:w="668" w:type="pct"/>
            <w:shd w:val="clear" w:color="000000" w:fill="FFFFFF"/>
            <w:noWrap/>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ICU接诊费（元/人）</w:t>
            </w:r>
          </w:p>
        </w:tc>
        <w:tc>
          <w:tcPr>
            <w:tcW w:w="254"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1,364.75</w:t>
            </w:r>
          </w:p>
        </w:tc>
        <w:tc>
          <w:tcPr>
            <w:tcW w:w="254"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1,405.69</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1,447.86</w:t>
            </w:r>
          </w:p>
        </w:tc>
        <w:tc>
          <w:tcPr>
            <w:tcW w:w="342"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1,491.30</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1,536.04</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1,582.12</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1,629.58</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1,678.47</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1,728.82</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1,780.69</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1,834.11</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1,889.13</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1,945.81</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2,004.18</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2,064.31</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2,126.24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67" w:type="pct"/>
            <w:shd w:val="clear" w:color="000000" w:fill="FFFFFF"/>
            <w:noWrap/>
            <w:vAlign w:val="center"/>
          </w:tcPr>
          <w:p>
            <w:pPr>
              <w:widowControl/>
              <w:jc w:val="center"/>
              <w:rPr>
                <w:rFonts w:ascii="宋体" w:hAnsi="宋体" w:cs="宋体"/>
                <w:color w:val="000000"/>
                <w:kern w:val="0"/>
                <w:sz w:val="15"/>
                <w:szCs w:val="15"/>
              </w:rPr>
            </w:pPr>
          </w:p>
        </w:tc>
        <w:tc>
          <w:tcPr>
            <w:tcW w:w="668" w:type="pct"/>
            <w:shd w:val="clear" w:color="000000" w:fill="FFFFFF"/>
            <w:noWrap/>
            <w:vAlign w:val="center"/>
          </w:tcPr>
          <w:p>
            <w:pPr>
              <w:widowControl/>
              <w:jc w:val="center"/>
              <w:rPr>
                <w:rFonts w:ascii="宋体" w:hAnsi="宋体" w:cs="宋体"/>
                <w:b/>
                <w:bCs/>
                <w:color w:val="000000"/>
                <w:kern w:val="0"/>
                <w:sz w:val="15"/>
                <w:szCs w:val="15"/>
              </w:rPr>
            </w:pPr>
            <w:r>
              <w:rPr>
                <w:rFonts w:hint="eastAsia" w:ascii="宋体" w:hAnsi="宋体" w:cs="宋体"/>
                <w:b/>
                <w:bCs/>
                <w:color w:val="000000"/>
                <w:kern w:val="0"/>
                <w:sz w:val="15"/>
                <w:szCs w:val="15"/>
              </w:rPr>
              <w:t>病房收入（万元）</w:t>
            </w:r>
          </w:p>
        </w:tc>
        <w:tc>
          <w:tcPr>
            <w:tcW w:w="254" w:type="pct"/>
            <w:shd w:val="clear" w:color="000000" w:fill="FFFFFF"/>
            <w:noWrap/>
            <w:vAlign w:val="center"/>
          </w:tcPr>
          <w:p>
            <w:pPr>
              <w:widowControl/>
              <w:jc w:val="center"/>
              <w:rPr>
                <w:rFonts w:ascii="宋体" w:hAnsi="宋体" w:cs="宋体"/>
                <w:color w:val="000000"/>
                <w:kern w:val="0"/>
                <w:sz w:val="15"/>
                <w:szCs w:val="15"/>
              </w:rPr>
            </w:pPr>
          </w:p>
        </w:tc>
        <w:tc>
          <w:tcPr>
            <w:tcW w:w="254" w:type="pct"/>
            <w:shd w:val="clear" w:color="000000" w:fill="FFFFFF"/>
            <w:noWrap/>
            <w:vAlign w:val="center"/>
          </w:tcPr>
          <w:p>
            <w:pPr>
              <w:widowControl/>
              <w:jc w:val="center"/>
              <w:rPr>
                <w:rFonts w:ascii="宋体" w:hAnsi="宋体" w:cs="宋体"/>
                <w:color w:val="000000"/>
                <w:kern w:val="0"/>
                <w:sz w:val="15"/>
                <w:szCs w:val="15"/>
              </w:rPr>
            </w:pP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191.77</w:t>
            </w:r>
          </w:p>
        </w:tc>
        <w:tc>
          <w:tcPr>
            <w:tcW w:w="342"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813.79</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863.35</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915.92</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971.70</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1,030.88</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1,093.66</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1,160.26</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1,230.92</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1,305.89</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1,385.42</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1,469.79</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1,559.30</w:t>
            </w:r>
          </w:p>
        </w:tc>
        <w:tc>
          <w:tcPr>
            <w:tcW w:w="255" w:type="pct"/>
            <w:shd w:val="clear" w:color="000000" w:fill="FFFFFF"/>
            <w:noWrap/>
            <w:vAlign w:val="center"/>
          </w:tcPr>
          <w:p>
            <w:pPr>
              <w:widowControl/>
              <w:jc w:val="center"/>
              <w:rPr>
                <w:rFonts w:ascii="宋体" w:hAnsi="宋体" w:cs="宋体"/>
                <w:b/>
                <w:bCs/>
                <w:color w:val="000000"/>
                <w:kern w:val="0"/>
                <w:sz w:val="15"/>
                <w:szCs w:val="15"/>
              </w:rPr>
            </w:pPr>
            <w:r>
              <w:rPr>
                <w:rFonts w:ascii="宋体" w:hAnsi="宋体" w:cs="宋体"/>
                <w:b/>
                <w:bCs/>
                <w:color w:val="000000"/>
                <w:kern w:val="0"/>
                <w:sz w:val="15"/>
                <w:szCs w:val="15"/>
              </w:rPr>
              <w:t>1,654.26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67" w:type="pct"/>
            <w:shd w:val="clear" w:color="000000" w:fill="FFFFFF"/>
            <w:noWrap/>
            <w:vAlign w:val="center"/>
          </w:tcPr>
          <w:p>
            <w:pPr>
              <w:widowControl/>
              <w:jc w:val="center"/>
              <w:rPr>
                <w:rFonts w:ascii="宋体" w:hAnsi="宋体" w:cs="宋体"/>
                <w:color w:val="000000"/>
                <w:kern w:val="0"/>
                <w:sz w:val="15"/>
                <w:szCs w:val="15"/>
              </w:rPr>
            </w:pPr>
          </w:p>
        </w:tc>
        <w:tc>
          <w:tcPr>
            <w:tcW w:w="668" w:type="pct"/>
            <w:shd w:val="clear" w:color="000000" w:fill="FFFFFF"/>
            <w:noWrap/>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住院人次（万人/年）</w:t>
            </w:r>
          </w:p>
        </w:tc>
        <w:tc>
          <w:tcPr>
            <w:tcW w:w="254"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2.91</w:t>
            </w:r>
          </w:p>
        </w:tc>
        <w:tc>
          <w:tcPr>
            <w:tcW w:w="254"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3.00</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0.77</w:t>
            </w:r>
          </w:p>
        </w:tc>
        <w:tc>
          <w:tcPr>
            <w:tcW w:w="342"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3.19</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3.28</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3.38</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3.48</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3.58</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3.69</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3.80</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3.92</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4.03</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4.16</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4.28</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4.41</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4.54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67" w:type="pct"/>
            <w:shd w:val="clear" w:color="000000" w:fill="FFFFFF"/>
            <w:noWrap/>
            <w:vAlign w:val="center"/>
          </w:tcPr>
          <w:p>
            <w:pPr>
              <w:widowControl/>
              <w:jc w:val="center"/>
              <w:rPr>
                <w:rFonts w:ascii="宋体" w:hAnsi="宋体" w:cs="宋体"/>
                <w:color w:val="000000"/>
                <w:kern w:val="0"/>
                <w:sz w:val="15"/>
                <w:szCs w:val="15"/>
              </w:rPr>
            </w:pPr>
          </w:p>
        </w:tc>
        <w:tc>
          <w:tcPr>
            <w:tcW w:w="668" w:type="pct"/>
            <w:shd w:val="clear" w:color="000000" w:fill="FFFFFF"/>
            <w:noWrap/>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住院费用（元/人）</w:t>
            </w:r>
          </w:p>
        </w:tc>
        <w:tc>
          <w:tcPr>
            <w:tcW w:w="254"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233.81</w:t>
            </w:r>
          </w:p>
        </w:tc>
        <w:tc>
          <w:tcPr>
            <w:tcW w:w="254"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240.82</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248.05</w:t>
            </w:r>
          </w:p>
        </w:tc>
        <w:tc>
          <w:tcPr>
            <w:tcW w:w="342"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255.49</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263.16</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271.05</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279.18</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287.56</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296.18</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305.07</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314.22</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323.65</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333.36</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343.36</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353.66</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364.27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35" w:type="pct"/>
            <w:gridSpan w:val="2"/>
            <w:shd w:val="clear" w:color="000000" w:fill="FFFFFF"/>
            <w:noWrap/>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营业收入总计（万元）</w:t>
            </w:r>
          </w:p>
        </w:tc>
        <w:tc>
          <w:tcPr>
            <w:tcW w:w="254" w:type="pct"/>
            <w:shd w:val="clear" w:color="000000" w:fill="FFFFFF"/>
            <w:noWrap/>
            <w:vAlign w:val="center"/>
          </w:tcPr>
          <w:p>
            <w:pPr>
              <w:widowControl/>
              <w:jc w:val="center"/>
              <w:rPr>
                <w:rFonts w:ascii="宋体" w:hAnsi="宋体" w:cs="宋体"/>
                <w:color w:val="000000"/>
                <w:kern w:val="0"/>
                <w:sz w:val="15"/>
                <w:szCs w:val="15"/>
              </w:rPr>
            </w:pPr>
          </w:p>
        </w:tc>
        <w:tc>
          <w:tcPr>
            <w:tcW w:w="254"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1,189.22</w:t>
            </w:r>
          </w:p>
        </w:tc>
        <w:tc>
          <w:tcPr>
            <w:tcW w:w="342"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5,004.83</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5,266.09</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5,541.92</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5,833.59</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6,141.55</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6,466.74</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6,810.15</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7,173.28</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7,556.81</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7,961.92</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8,390.32</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8,842.90</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9,321.51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67" w:type="pct"/>
            <w:shd w:val="clear" w:color="000000" w:fill="FFFFFF"/>
            <w:noWrap/>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减：</w:t>
            </w:r>
          </w:p>
        </w:tc>
        <w:tc>
          <w:tcPr>
            <w:tcW w:w="668" w:type="pct"/>
            <w:shd w:val="clear" w:color="000000" w:fill="FFFFFF"/>
            <w:noWrap/>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增值税</w:t>
            </w:r>
          </w:p>
        </w:tc>
        <w:tc>
          <w:tcPr>
            <w:tcW w:w="254"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w:t>
            </w:r>
          </w:p>
        </w:tc>
        <w:tc>
          <w:tcPr>
            <w:tcW w:w="254" w:type="pct"/>
            <w:shd w:val="clear" w:color="000000" w:fill="FFFFFF"/>
            <w:noWrap/>
            <w:vAlign w:val="center"/>
          </w:tcPr>
          <w:p>
            <w:pPr>
              <w:widowControl/>
              <w:jc w:val="center"/>
              <w:rPr>
                <w:rFonts w:ascii="宋体" w:hAnsi="宋体" w:cs="宋体"/>
                <w:color w:val="000000"/>
                <w:kern w:val="0"/>
                <w:sz w:val="15"/>
                <w:szCs w:val="15"/>
              </w:rPr>
            </w:pP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w:t>
            </w:r>
          </w:p>
        </w:tc>
        <w:tc>
          <w:tcPr>
            <w:tcW w:w="342"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835" w:type="pct"/>
            <w:gridSpan w:val="2"/>
            <w:shd w:val="clear" w:color="000000" w:fill="FFFFFF"/>
            <w:noWrap/>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营业收入总计（万元，不含税）</w:t>
            </w:r>
          </w:p>
        </w:tc>
        <w:tc>
          <w:tcPr>
            <w:tcW w:w="254"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w:t>
            </w:r>
          </w:p>
        </w:tc>
        <w:tc>
          <w:tcPr>
            <w:tcW w:w="254"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1,189.22</w:t>
            </w:r>
          </w:p>
        </w:tc>
        <w:tc>
          <w:tcPr>
            <w:tcW w:w="342"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5,004.83</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5,266.09</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5,541.92</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5,833.59</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6,141.55</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6,466.74</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6,810.15</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7,173.28</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7,556.81</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7,961.92</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8,390.32</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8,842.90</w:t>
            </w:r>
          </w:p>
        </w:tc>
        <w:tc>
          <w:tcPr>
            <w:tcW w:w="255" w:type="pct"/>
            <w:shd w:val="clear" w:color="000000" w:fill="FFFFFF"/>
            <w:noWrap/>
            <w:vAlign w:val="center"/>
          </w:tcPr>
          <w:p>
            <w:pPr>
              <w:widowControl/>
              <w:jc w:val="center"/>
              <w:rPr>
                <w:rFonts w:ascii="宋体" w:hAnsi="宋体" w:cs="宋体"/>
                <w:color w:val="000000"/>
                <w:kern w:val="0"/>
                <w:sz w:val="15"/>
                <w:szCs w:val="15"/>
              </w:rPr>
            </w:pPr>
            <w:r>
              <w:rPr>
                <w:rFonts w:ascii="宋体" w:hAnsi="宋体" w:cs="宋体"/>
                <w:color w:val="000000"/>
                <w:kern w:val="0"/>
                <w:sz w:val="15"/>
                <w:szCs w:val="15"/>
              </w:rPr>
              <w:t>9,321.51</w:t>
            </w:r>
          </w:p>
        </w:tc>
      </w:tr>
    </w:tbl>
    <w:p>
      <w:pPr>
        <w:spacing w:line="360" w:lineRule="auto"/>
        <w:ind w:firstLine="640" w:firstLineChars="200"/>
        <w:rPr>
          <w:rFonts w:ascii="仿宋_GB2312" w:eastAsia="仿宋_GB2312"/>
          <w:b/>
          <w:sz w:val="32"/>
          <w:szCs w:val="32"/>
        </w:rPr>
        <w:sectPr>
          <w:pgSz w:w="16838" w:h="11906" w:orient="landscape"/>
          <w:pgMar w:top="1644" w:right="2098" w:bottom="1418" w:left="1588" w:header="851" w:footer="992" w:gutter="0"/>
          <w:cols w:space="720" w:num="1"/>
          <w:docGrid w:type="linesAndChars" w:linePitch="435" w:charSpace="0"/>
        </w:sectPr>
      </w:pPr>
    </w:p>
    <w:p>
      <w:pPr>
        <w:spacing w:line="360" w:lineRule="auto"/>
        <w:jc w:val="center"/>
        <w:rPr>
          <w:rFonts w:ascii="宋体" w:hAnsi="宋体"/>
          <w:color w:val="000000"/>
          <w:kern w:val="0"/>
          <w:sz w:val="24"/>
          <w:szCs w:val="24"/>
        </w:rPr>
      </w:pPr>
      <w:r>
        <w:rPr>
          <w:rFonts w:hint="eastAsia" w:ascii="仿宋_GB2312"/>
          <w:b/>
          <w:color w:val="000000"/>
          <w:sz w:val="32"/>
        </w:rPr>
        <w:t xml:space="preserve">表7  经营成本费用估算表   </w:t>
      </w:r>
      <w:r>
        <w:rPr>
          <w:rFonts w:hint="eastAsia" w:ascii="仿宋_GB2312"/>
          <w:sz w:val="32"/>
        </w:rPr>
        <w:t xml:space="preserve">  </w:t>
      </w:r>
      <w:r>
        <w:rPr>
          <w:rFonts w:hint="eastAsia" w:ascii="宋体" w:hAnsi="宋体"/>
          <w:color w:val="000000"/>
          <w:kern w:val="0"/>
          <w:sz w:val="24"/>
          <w:szCs w:val="24"/>
        </w:rPr>
        <w:t xml:space="preserve"> 单位：万元</w:t>
      </w:r>
    </w:p>
    <w:tbl>
      <w:tblPr>
        <w:tblStyle w:val="10"/>
        <w:tblW w:w="5083" w:type="pct"/>
        <w:jc w:val="center"/>
        <w:tblLayout w:type="autofit"/>
        <w:tblCellMar>
          <w:top w:w="0" w:type="dxa"/>
          <w:left w:w="108" w:type="dxa"/>
          <w:bottom w:w="0" w:type="dxa"/>
          <w:right w:w="108" w:type="dxa"/>
        </w:tblCellMar>
      </w:tblPr>
      <w:tblGrid>
        <w:gridCol w:w="538"/>
        <w:gridCol w:w="1341"/>
        <w:gridCol w:w="707"/>
        <w:gridCol w:w="707"/>
        <w:gridCol w:w="839"/>
        <w:gridCol w:w="839"/>
        <w:gridCol w:w="839"/>
        <w:gridCol w:w="839"/>
        <w:gridCol w:w="839"/>
        <w:gridCol w:w="839"/>
        <w:gridCol w:w="839"/>
        <w:gridCol w:w="839"/>
        <w:gridCol w:w="839"/>
        <w:gridCol w:w="839"/>
        <w:gridCol w:w="839"/>
        <w:gridCol w:w="839"/>
        <w:gridCol w:w="839"/>
        <w:gridCol w:w="839"/>
      </w:tblGrid>
      <w:tr>
        <w:tblPrEx>
          <w:tblCellMar>
            <w:top w:w="0" w:type="dxa"/>
            <w:left w:w="108" w:type="dxa"/>
            <w:bottom w:w="0" w:type="dxa"/>
            <w:right w:w="108" w:type="dxa"/>
          </w:tblCellMar>
        </w:tblPrEx>
        <w:trPr>
          <w:trHeight w:val="450" w:hRule="atLeast"/>
          <w:jc w:val="center"/>
        </w:trPr>
        <w:tc>
          <w:tcPr>
            <w:tcW w:w="178" w:type="pct"/>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Arial Narrow" w:hAnsi="Arial Narrow" w:cs="宋体"/>
                <w:b/>
                <w:bCs/>
                <w:color w:val="000000"/>
                <w:kern w:val="0"/>
                <w:sz w:val="16"/>
                <w:szCs w:val="16"/>
              </w:rPr>
            </w:pPr>
            <w:r>
              <w:rPr>
                <w:rFonts w:hint="eastAsia" w:ascii="仿宋" w:hAnsi="仿宋" w:eastAsia="仿宋" w:cs="宋体"/>
                <w:b/>
                <w:bCs/>
                <w:color w:val="000000"/>
                <w:kern w:val="0"/>
                <w:sz w:val="16"/>
                <w:szCs w:val="16"/>
              </w:rPr>
              <w:t>序号</w:t>
            </w:r>
          </w:p>
        </w:tc>
        <w:tc>
          <w:tcPr>
            <w:tcW w:w="434" w:type="pct"/>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b/>
                <w:bCs/>
                <w:color w:val="000000"/>
                <w:kern w:val="0"/>
                <w:sz w:val="16"/>
                <w:szCs w:val="16"/>
              </w:rPr>
            </w:pPr>
            <w:r>
              <w:rPr>
                <w:rFonts w:hint="eastAsia" w:ascii="仿宋" w:hAnsi="仿宋" w:eastAsia="仿宋" w:cs="宋体"/>
                <w:b/>
                <w:bCs/>
                <w:color w:val="000000"/>
                <w:kern w:val="0"/>
                <w:sz w:val="16"/>
                <w:szCs w:val="16"/>
              </w:rPr>
              <w:t>项目</w:t>
            </w:r>
          </w:p>
        </w:tc>
        <w:tc>
          <w:tcPr>
            <w:tcW w:w="232" w:type="pct"/>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b/>
                <w:bCs/>
                <w:color w:val="000000"/>
                <w:kern w:val="0"/>
                <w:sz w:val="16"/>
                <w:szCs w:val="16"/>
              </w:rPr>
            </w:pPr>
            <w:r>
              <w:rPr>
                <w:rFonts w:ascii="Arial Narrow" w:hAnsi="Arial Narrow" w:cs="宋体"/>
                <w:b/>
                <w:bCs/>
                <w:color w:val="000000"/>
                <w:kern w:val="0"/>
                <w:sz w:val="16"/>
                <w:szCs w:val="16"/>
              </w:rPr>
              <w:t>第1年</w:t>
            </w:r>
          </w:p>
        </w:tc>
        <w:tc>
          <w:tcPr>
            <w:tcW w:w="232" w:type="pct"/>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b/>
                <w:bCs/>
                <w:color w:val="000000"/>
                <w:kern w:val="0"/>
                <w:sz w:val="16"/>
                <w:szCs w:val="16"/>
              </w:rPr>
            </w:pPr>
            <w:r>
              <w:rPr>
                <w:rFonts w:ascii="Arial Narrow" w:hAnsi="Arial Narrow" w:cs="宋体"/>
                <w:b/>
                <w:bCs/>
                <w:color w:val="000000"/>
                <w:kern w:val="0"/>
                <w:sz w:val="16"/>
                <w:szCs w:val="16"/>
              </w:rPr>
              <w:t>第2年</w:t>
            </w:r>
          </w:p>
        </w:tc>
        <w:tc>
          <w:tcPr>
            <w:tcW w:w="274"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Arial Narrow" w:hAnsi="Arial Narrow" w:cs="宋体"/>
                <w:b/>
                <w:bCs/>
                <w:color w:val="000000"/>
                <w:kern w:val="0"/>
                <w:sz w:val="16"/>
                <w:szCs w:val="16"/>
              </w:rPr>
            </w:pPr>
            <w:r>
              <w:rPr>
                <w:rFonts w:ascii="Arial Narrow" w:hAnsi="Arial Narrow" w:cs="宋体"/>
                <w:b/>
                <w:bCs/>
                <w:color w:val="000000"/>
                <w:kern w:val="0"/>
                <w:sz w:val="16"/>
                <w:szCs w:val="16"/>
              </w:rPr>
              <w:t>第3年</w:t>
            </w:r>
          </w:p>
        </w:tc>
        <w:tc>
          <w:tcPr>
            <w:tcW w:w="356" w:type="pct"/>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b/>
                <w:bCs/>
                <w:color w:val="000000"/>
                <w:kern w:val="0"/>
                <w:sz w:val="16"/>
                <w:szCs w:val="16"/>
              </w:rPr>
            </w:pPr>
            <w:r>
              <w:rPr>
                <w:rFonts w:ascii="Arial Narrow" w:hAnsi="Arial Narrow" w:cs="宋体"/>
                <w:b/>
                <w:bCs/>
                <w:color w:val="000000"/>
                <w:kern w:val="0"/>
                <w:sz w:val="16"/>
                <w:szCs w:val="16"/>
              </w:rPr>
              <w:t>第4年</w:t>
            </w:r>
          </w:p>
        </w:tc>
        <w:tc>
          <w:tcPr>
            <w:tcW w:w="274" w:type="pct"/>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b/>
                <w:bCs/>
                <w:color w:val="000000"/>
                <w:kern w:val="0"/>
                <w:sz w:val="16"/>
                <w:szCs w:val="16"/>
              </w:rPr>
            </w:pPr>
            <w:r>
              <w:rPr>
                <w:rFonts w:ascii="Arial Narrow" w:hAnsi="Arial Narrow" w:cs="宋体"/>
                <w:b/>
                <w:bCs/>
                <w:color w:val="000000"/>
                <w:kern w:val="0"/>
                <w:sz w:val="16"/>
                <w:szCs w:val="16"/>
              </w:rPr>
              <w:t>第5年</w:t>
            </w:r>
          </w:p>
        </w:tc>
        <w:tc>
          <w:tcPr>
            <w:tcW w:w="274" w:type="pct"/>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b/>
                <w:bCs/>
                <w:color w:val="000000"/>
                <w:kern w:val="0"/>
                <w:sz w:val="16"/>
                <w:szCs w:val="16"/>
              </w:rPr>
            </w:pPr>
            <w:r>
              <w:rPr>
                <w:rFonts w:ascii="Arial Narrow" w:hAnsi="Arial Narrow" w:cs="宋体"/>
                <w:b/>
                <w:bCs/>
                <w:color w:val="000000"/>
                <w:kern w:val="0"/>
                <w:sz w:val="16"/>
                <w:szCs w:val="16"/>
              </w:rPr>
              <w:t>第6年</w:t>
            </w:r>
          </w:p>
        </w:tc>
        <w:tc>
          <w:tcPr>
            <w:tcW w:w="274" w:type="pct"/>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b/>
                <w:bCs/>
                <w:color w:val="000000"/>
                <w:kern w:val="0"/>
                <w:sz w:val="16"/>
                <w:szCs w:val="16"/>
              </w:rPr>
            </w:pPr>
            <w:r>
              <w:rPr>
                <w:rFonts w:ascii="Arial Narrow" w:hAnsi="Arial Narrow" w:cs="宋体"/>
                <w:b/>
                <w:bCs/>
                <w:color w:val="000000"/>
                <w:kern w:val="0"/>
                <w:sz w:val="16"/>
                <w:szCs w:val="16"/>
              </w:rPr>
              <w:t>第7年</w:t>
            </w:r>
          </w:p>
        </w:tc>
        <w:tc>
          <w:tcPr>
            <w:tcW w:w="274" w:type="pct"/>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b/>
                <w:bCs/>
                <w:color w:val="000000"/>
                <w:kern w:val="0"/>
                <w:sz w:val="16"/>
                <w:szCs w:val="16"/>
              </w:rPr>
            </w:pPr>
            <w:r>
              <w:rPr>
                <w:rFonts w:ascii="Arial Narrow" w:hAnsi="Arial Narrow" w:cs="宋体"/>
                <w:b/>
                <w:bCs/>
                <w:color w:val="000000"/>
                <w:kern w:val="0"/>
                <w:sz w:val="16"/>
                <w:szCs w:val="16"/>
              </w:rPr>
              <w:t>第8年</w:t>
            </w:r>
          </w:p>
        </w:tc>
        <w:tc>
          <w:tcPr>
            <w:tcW w:w="274" w:type="pct"/>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b/>
                <w:bCs/>
                <w:color w:val="000000"/>
                <w:kern w:val="0"/>
                <w:sz w:val="16"/>
                <w:szCs w:val="16"/>
              </w:rPr>
            </w:pPr>
            <w:r>
              <w:rPr>
                <w:rFonts w:ascii="Arial Narrow" w:hAnsi="Arial Narrow" w:cs="宋体"/>
                <w:b/>
                <w:bCs/>
                <w:color w:val="000000"/>
                <w:kern w:val="0"/>
                <w:sz w:val="16"/>
                <w:szCs w:val="16"/>
              </w:rPr>
              <w:t>第9年</w:t>
            </w:r>
          </w:p>
        </w:tc>
        <w:tc>
          <w:tcPr>
            <w:tcW w:w="274" w:type="pct"/>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b/>
                <w:bCs/>
                <w:color w:val="000000"/>
                <w:kern w:val="0"/>
                <w:sz w:val="16"/>
                <w:szCs w:val="16"/>
              </w:rPr>
            </w:pPr>
            <w:r>
              <w:rPr>
                <w:rFonts w:ascii="Arial Narrow" w:hAnsi="Arial Narrow" w:cs="宋体"/>
                <w:b/>
                <w:bCs/>
                <w:color w:val="000000"/>
                <w:kern w:val="0"/>
                <w:sz w:val="16"/>
                <w:szCs w:val="16"/>
              </w:rPr>
              <w:t>第10年</w:t>
            </w:r>
          </w:p>
        </w:tc>
        <w:tc>
          <w:tcPr>
            <w:tcW w:w="274" w:type="pct"/>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b/>
                <w:bCs/>
                <w:color w:val="000000"/>
                <w:kern w:val="0"/>
                <w:sz w:val="16"/>
                <w:szCs w:val="16"/>
              </w:rPr>
            </w:pPr>
            <w:r>
              <w:rPr>
                <w:rFonts w:ascii="Arial Narrow" w:hAnsi="Arial Narrow" w:cs="宋体"/>
                <w:b/>
                <w:bCs/>
                <w:color w:val="000000"/>
                <w:kern w:val="0"/>
                <w:sz w:val="16"/>
                <w:szCs w:val="16"/>
              </w:rPr>
              <w:t>第11年</w:t>
            </w:r>
          </w:p>
        </w:tc>
        <w:tc>
          <w:tcPr>
            <w:tcW w:w="274" w:type="pct"/>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b/>
                <w:bCs/>
                <w:color w:val="000000"/>
                <w:kern w:val="0"/>
                <w:sz w:val="16"/>
                <w:szCs w:val="16"/>
              </w:rPr>
            </w:pPr>
            <w:r>
              <w:rPr>
                <w:rFonts w:ascii="Arial Narrow" w:hAnsi="Arial Narrow" w:cs="宋体"/>
                <w:b/>
                <w:bCs/>
                <w:color w:val="000000"/>
                <w:kern w:val="0"/>
                <w:sz w:val="16"/>
                <w:szCs w:val="16"/>
              </w:rPr>
              <w:t>第12年</w:t>
            </w:r>
          </w:p>
        </w:tc>
        <w:tc>
          <w:tcPr>
            <w:tcW w:w="274" w:type="pct"/>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b/>
                <w:bCs/>
                <w:color w:val="000000"/>
                <w:kern w:val="0"/>
                <w:sz w:val="16"/>
                <w:szCs w:val="16"/>
              </w:rPr>
            </w:pPr>
            <w:r>
              <w:rPr>
                <w:rFonts w:ascii="Arial Narrow" w:hAnsi="Arial Narrow" w:cs="宋体"/>
                <w:b/>
                <w:bCs/>
                <w:color w:val="000000"/>
                <w:kern w:val="0"/>
                <w:sz w:val="16"/>
                <w:szCs w:val="16"/>
              </w:rPr>
              <w:t>第13年</w:t>
            </w:r>
          </w:p>
        </w:tc>
        <w:tc>
          <w:tcPr>
            <w:tcW w:w="274" w:type="pct"/>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b/>
                <w:bCs/>
                <w:color w:val="000000"/>
                <w:kern w:val="0"/>
                <w:sz w:val="16"/>
                <w:szCs w:val="16"/>
              </w:rPr>
            </w:pPr>
            <w:r>
              <w:rPr>
                <w:rFonts w:ascii="Arial Narrow" w:hAnsi="Arial Narrow" w:cs="宋体"/>
                <w:b/>
                <w:bCs/>
                <w:color w:val="000000"/>
                <w:kern w:val="0"/>
                <w:sz w:val="16"/>
                <w:szCs w:val="16"/>
              </w:rPr>
              <w:t>第14年</w:t>
            </w:r>
          </w:p>
        </w:tc>
        <w:tc>
          <w:tcPr>
            <w:tcW w:w="274" w:type="pct"/>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b/>
                <w:bCs/>
                <w:color w:val="000000"/>
                <w:kern w:val="0"/>
                <w:sz w:val="16"/>
                <w:szCs w:val="16"/>
              </w:rPr>
            </w:pPr>
            <w:r>
              <w:rPr>
                <w:rFonts w:ascii="Arial Narrow" w:hAnsi="Arial Narrow" w:cs="宋体"/>
                <w:b/>
                <w:bCs/>
                <w:color w:val="000000"/>
                <w:kern w:val="0"/>
                <w:sz w:val="16"/>
                <w:szCs w:val="16"/>
              </w:rPr>
              <w:t>第15年</w:t>
            </w:r>
          </w:p>
        </w:tc>
        <w:tc>
          <w:tcPr>
            <w:tcW w:w="274" w:type="pct"/>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b/>
                <w:bCs/>
                <w:color w:val="000000"/>
                <w:kern w:val="0"/>
                <w:sz w:val="16"/>
                <w:szCs w:val="16"/>
              </w:rPr>
            </w:pPr>
            <w:r>
              <w:rPr>
                <w:rFonts w:ascii="Arial Narrow" w:hAnsi="Arial Narrow" w:cs="宋体"/>
                <w:b/>
                <w:bCs/>
                <w:color w:val="000000"/>
                <w:kern w:val="0"/>
                <w:sz w:val="16"/>
                <w:szCs w:val="16"/>
              </w:rPr>
              <w:t>第16年</w:t>
            </w:r>
          </w:p>
        </w:tc>
      </w:tr>
      <w:tr>
        <w:tblPrEx>
          <w:tblCellMar>
            <w:top w:w="0" w:type="dxa"/>
            <w:left w:w="108" w:type="dxa"/>
            <w:bottom w:w="0" w:type="dxa"/>
            <w:right w:w="108" w:type="dxa"/>
          </w:tblCellMar>
        </w:tblPrEx>
        <w:trPr>
          <w:trHeight w:val="450" w:hRule="atLeast"/>
          <w:jc w:val="center"/>
        </w:trPr>
        <w:tc>
          <w:tcPr>
            <w:tcW w:w="178" w:type="pct"/>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1</w:t>
            </w:r>
          </w:p>
        </w:tc>
        <w:tc>
          <w:tcPr>
            <w:tcW w:w="434" w:type="pct"/>
            <w:tcBorders>
              <w:top w:val="nil"/>
              <w:left w:val="nil"/>
              <w:bottom w:val="single" w:color="auto" w:sz="4" w:space="0"/>
              <w:right w:val="single" w:color="auto" w:sz="4" w:space="0"/>
            </w:tcBorders>
            <w:shd w:val="clear" w:color="000000" w:fill="FFFFFF"/>
            <w:noWrap/>
            <w:vAlign w:val="center"/>
          </w:tcPr>
          <w:p>
            <w:pPr>
              <w:widowControl/>
              <w:jc w:val="center"/>
              <w:rPr>
                <w:rFonts w:ascii="仿宋" w:hAnsi="仿宋" w:eastAsia="仿宋" w:cs="宋体"/>
                <w:b/>
                <w:color w:val="000000"/>
                <w:kern w:val="0"/>
                <w:sz w:val="16"/>
                <w:szCs w:val="16"/>
              </w:rPr>
            </w:pPr>
            <w:r>
              <w:rPr>
                <w:rFonts w:hint="eastAsia" w:ascii="仿宋" w:hAnsi="仿宋" w:eastAsia="仿宋" w:cs="宋体"/>
                <w:b/>
                <w:color w:val="000000"/>
                <w:kern w:val="0"/>
                <w:sz w:val="16"/>
                <w:szCs w:val="16"/>
              </w:rPr>
              <w:t>营业成本</w:t>
            </w:r>
          </w:p>
        </w:tc>
        <w:tc>
          <w:tcPr>
            <w:tcW w:w="232"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p>
        </w:tc>
        <w:tc>
          <w:tcPr>
            <w:tcW w:w="232"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979.01</w:t>
            </w:r>
          </w:p>
        </w:tc>
        <w:tc>
          <w:tcPr>
            <w:tcW w:w="356"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3,784.95</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3,939.10</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4,101.84</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4,273.92</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4,455.62</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4,647.48</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4,850.09</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5,064.34</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5,290.62</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5,529.64</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5,782.39</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6,049.42</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6,331.80</w:t>
            </w:r>
          </w:p>
        </w:tc>
      </w:tr>
      <w:tr>
        <w:tblPrEx>
          <w:tblCellMar>
            <w:top w:w="0" w:type="dxa"/>
            <w:left w:w="108" w:type="dxa"/>
            <w:bottom w:w="0" w:type="dxa"/>
            <w:right w:w="108" w:type="dxa"/>
          </w:tblCellMar>
        </w:tblPrEx>
        <w:trPr>
          <w:trHeight w:val="450" w:hRule="atLeast"/>
          <w:jc w:val="center"/>
        </w:trPr>
        <w:tc>
          <w:tcPr>
            <w:tcW w:w="178" w:type="pct"/>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1.1</w:t>
            </w:r>
          </w:p>
        </w:tc>
        <w:tc>
          <w:tcPr>
            <w:tcW w:w="434" w:type="pct"/>
            <w:tcBorders>
              <w:top w:val="nil"/>
              <w:left w:val="nil"/>
              <w:bottom w:val="single" w:color="auto" w:sz="4" w:space="0"/>
              <w:right w:val="single" w:color="auto" w:sz="4" w:space="0"/>
            </w:tcBorders>
            <w:shd w:val="clear" w:color="000000" w:fill="FFFFFF"/>
            <w:noWrap/>
            <w:vAlign w:val="center"/>
          </w:tcPr>
          <w:p>
            <w:pPr>
              <w:widowControl/>
              <w:jc w:val="center"/>
              <w:rPr>
                <w:rFonts w:ascii="仿宋" w:hAnsi="仿宋" w:eastAsia="仿宋" w:cs="宋体"/>
                <w:b/>
                <w:color w:val="000000"/>
                <w:kern w:val="0"/>
                <w:sz w:val="16"/>
                <w:szCs w:val="16"/>
              </w:rPr>
            </w:pPr>
            <w:r>
              <w:rPr>
                <w:rFonts w:hint="eastAsia" w:ascii="仿宋" w:hAnsi="仿宋" w:eastAsia="仿宋" w:cs="宋体"/>
                <w:b/>
                <w:color w:val="000000"/>
                <w:kern w:val="0"/>
                <w:sz w:val="16"/>
                <w:szCs w:val="16"/>
              </w:rPr>
              <w:t>人员经费</w:t>
            </w:r>
          </w:p>
        </w:tc>
        <w:tc>
          <w:tcPr>
            <w:tcW w:w="232"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p>
        </w:tc>
        <w:tc>
          <w:tcPr>
            <w:tcW w:w="232"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297.31</w:t>
            </w:r>
          </w:p>
        </w:tc>
        <w:tc>
          <w:tcPr>
            <w:tcW w:w="356"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1,251.21</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1,316.52</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1,385.48</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1,458.40</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1,535.39</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1,616.68</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1,702.54</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1,793.32</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1,889.20</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1,990.48</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2,097.58</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2,210.72</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2,330.38</w:t>
            </w:r>
          </w:p>
        </w:tc>
      </w:tr>
      <w:tr>
        <w:tblPrEx>
          <w:tblCellMar>
            <w:top w:w="0" w:type="dxa"/>
            <w:left w:w="108" w:type="dxa"/>
            <w:bottom w:w="0" w:type="dxa"/>
            <w:right w:w="108" w:type="dxa"/>
          </w:tblCellMar>
        </w:tblPrEx>
        <w:trPr>
          <w:trHeight w:val="450" w:hRule="atLeast"/>
          <w:jc w:val="center"/>
        </w:trPr>
        <w:tc>
          <w:tcPr>
            <w:tcW w:w="178" w:type="pct"/>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1.2</w:t>
            </w:r>
          </w:p>
        </w:tc>
        <w:tc>
          <w:tcPr>
            <w:tcW w:w="434" w:type="pct"/>
            <w:tcBorders>
              <w:top w:val="nil"/>
              <w:left w:val="nil"/>
              <w:bottom w:val="single" w:color="auto" w:sz="4" w:space="0"/>
              <w:right w:val="single" w:color="auto" w:sz="4" w:space="0"/>
            </w:tcBorders>
            <w:shd w:val="clear" w:color="000000" w:fill="FFFFFF"/>
            <w:noWrap/>
            <w:vAlign w:val="center"/>
          </w:tcPr>
          <w:p>
            <w:pPr>
              <w:widowControl/>
              <w:jc w:val="center"/>
              <w:rPr>
                <w:rFonts w:ascii="仿宋" w:hAnsi="仿宋" w:eastAsia="仿宋" w:cs="宋体"/>
                <w:b/>
                <w:color w:val="000000"/>
                <w:kern w:val="0"/>
                <w:sz w:val="16"/>
                <w:szCs w:val="16"/>
              </w:rPr>
            </w:pPr>
            <w:r>
              <w:rPr>
                <w:rFonts w:hint="eastAsia" w:ascii="仿宋" w:hAnsi="仿宋" w:eastAsia="仿宋" w:cs="宋体"/>
                <w:b/>
                <w:color w:val="000000"/>
                <w:kern w:val="0"/>
                <w:sz w:val="16"/>
                <w:szCs w:val="16"/>
              </w:rPr>
              <w:t>药品材料费</w:t>
            </w:r>
          </w:p>
        </w:tc>
        <w:tc>
          <w:tcPr>
            <w:tcW w:w="232"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p>
        </w:tc>
        <w:tc>
          <w:tcPr>
            <w:tcW w:w="232"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297.31</w:t>
            </w:r>
          </w:p>
        </w:tc>
        <w:tc>
          <w:tcPr>
            <w:tcW w:w="356"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1,251.21</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1,316.52</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1,385.48</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1,458.40</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1,535.39</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1,616.68</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1,702.54</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1,793.32</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1,889.20</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1,990.48</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2,097.58</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2,210.72</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2,330.38</w:t>
            </w:r>
          </w:p>
        </w:tc>
      </w:tr>
      <w:tr>
        <w:tblPrEx>
          <w:tblCellMar>
            <w:top w:w="0" w:type="dxa"/>
            <w:left w:w="108" w:type="dxa"/>
            <w:bottom w:w="0" w:type="dxa"/>
            <w:right w:w="108" w:type="dxa"/>
          </w:tblCellMar>
        </w:tblPrEx>
        <w:trPr>
          <w:trHeight w:val="450" w:hRule="atLeast"/>
          <w:jc w:val="center"/>
        </w:trPr>
        <w:tc>
          <w:tcPr>
            <w:tcW w:w="178" w:type="pct"/>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1.3</w:t>
            </w:r>
          </w:p>
        </w:tc>
        <w:tc>
          <w:tcPr>
            <w:tcW w:w="434" w:type="pct"/>
            <w:tcBorders>
              <w:top w:val="nil"/>
              <w:left w:val="nil"/>
              <w:bottom w:val="single" w:color="auto" w:sz="4" w:space="0"/>
              <w:right w:val="single" w:color="auto" w:sz="4" w:space="0"/>
            </w:tcBorders>
            <w:shd w:val="clear" w:color="000000" w:fill="FFFFFF"/>
            <w:noWrap/>
            <w:vAlign w:val="center"/>
          </w:tcPr>
          <w:p>
            <w:pPr>
              <w:widowControl/>
              <w:jc w:val="center"/>
              <w:rPr>
                <w:rFonts w:ascii="仿宋" w:hAnsi="仿宋" w:eastAsia="仿宋" w:cs="宋体"/>
                <w:b/>
                <w:color w:val="000000"/>
                <w:kern w:val="0"/>
                <w:sz w:val="16"/>
                <w:szCs w:val="16"/>
              </w:rPr>
            </w:pPr>
            <w:r>
              <w:rPr>
                <w:rFonts w:hint="eastAsia" w:ascii="仿宋" w:hAnsi="仿宋" w:eastAsia="仿宋" w:cs="宋体"/>
                <w:b/>
                <w:color w:val="000000"/>
                <w:kern w:val="0"/>
                <w:sz w:val="16"/>
                <w:szCs w:val="16"/>
              </w:rPr>
              <w:t>固定资产折旧</w:t>
            </w:r>
          </w:p>
        </w:tc>
        <w:tc>
          <w:tcPr>
            <w:tcW w:w="232"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p>
        </w:tc>
        <w:tc>
          <w:tcPr>
            <w:tcW w:w="232"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277.37</w:t>
            </w:r>
          </w:p>
        </w:tc>
        <w:tc>
          <w:tcPr>
            <w:tcW w:w="356"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832.11</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832.11</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832.11</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832.11</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832.11</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832.11</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832.11</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832.11</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832.11</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832.11</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832.11</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832.11</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832.11</w:t>
            </w:r>
          </w:p>
        </w:tc>
      </w:tr>
      <w:tr>
        <w:tblPrEx>
          <w:tblCellMar>
            <w:top w:w="0" w:type="dxa"/>
            <w:left w:w="108" w:type="dxa"/>
            <w:bottom w:w="0" w:type="dxa"/>
            <w:right w:w="108" w:type="dxa"/>
          </w:tblCellMar>
        </w:tblPrEx>
        <w:trPr>
          <w:trHeight w:val="450" w:hRule="atLeast"/>
          <w:jc w:val="center"/>
        </w:trPr>
        <w:tc>
          <w:tcPr>
            <w:tcW w:w="178" w:type="pct"/>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1.4</w:t>
            </w:r>
          </w:p>
        </w:tc>
        <w:tc>
          <w:tcPr>
            <w:tcW w:w="434" w:type="pct"/>
            <w:tcBorders>
              <w:top w:val="nil"/>
              <w:left w:val="nil"/>
              <w:bottom w:val="single" w:color="auto" w:sz="4" w:space="0"/>
              <w:right w:val="single" w:color="auto" w:sz="4" w:space="0"/>
            </w:tcBorders>
            <w:shd w:val="clear" w:color="000000" w:fill="FFFFFF"/>
            <w:noWrap/>
            <w:vAlign w:val="center"/>
          </w:tcPr>
          <w:p>
            <w:pPr>
              <w:widowControl/>
              <w:jc w:val="center"/>
              <w:rPr>
                <w:rFonts w:ascii="仿宋" w:hAnsi="仿宋" w:eastAsia="仿宋" w:cs="宋体"/>
                <w:b/>
                <w:color w:val="000000"/>
                <w:kern w:val="0"/>
                <w:sz w:val="16"/>
                <w:szCs w:val="16"/>
              </w:rPr>
            </w:pPr>
            <w:r>
              <w:rPr>
                <w:rFonts w:hint="eastAsia" w:ascii="仿宋" w:hAnsi="仿宋" w:eastAsia="仿宋" w:cs="宋体"/>
                <w:b/>
                <w:color w:val="000000"/>
                <w:kern w:val="0"/>
                <w:sz w:val="16"/>
                <w:szCs w:val="16"/>
              </w:rPr>
              <w:t>医疗成本</w:t>
            </w:r>
          </w:p>
        </w:tc>
        <w:tc>
          <w:tcPr>
            <w:tcW w:w="232"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p>
        </w:tc>
        <w:tc>
          <w:tcPr>
            <w:tcW w:w="232"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107.03</w:t>
            </w:r>
          </w:p>
        </w:tc>
        <w:tc>
          <w:tcPr>
            <w:tcW w:w="356"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450.43</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473.95</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498.77</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525.02</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552.74</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582.01</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612.91</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645.59</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680.11</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716.57</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755.13</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795.86</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838.94</w:t>
            </w:r>
          </w:p>
        </w:tc>
      </w:tr>
      <w:tr>
        <w:tblPrEx>
          <w:tblCellMar>
            <w:top w:w="0" w:type="dxa"/>
            <w:left w:w="108" w:type="dxa"/>
            <w:bottom w:w="0" w:type="dxa"/>
            <w:right w:w="108" w:type="dxa"/>
          </w:tblCellMar>
        </w:tblPrEx>
        <w:trPr>
          <w:trHeight w:val="450" w:hRule="atLeast"/>
          <w:jc w:val="center"/>
        </w:trPr>
        <w:tc>
          <w:tcPr>
            <w:tcW w:w="178" w:type="pct"/>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2</w:t>
            </w:r>
          </w:p>
        </w:tc>
        <w:tc>
          <w:tcPr>
            <w:tcW w:w="434" w:type="pct"/>
            <w:tcBorders>
              <w:top w:val="nil"/>
              <w:left w:val="nil"/>
              <w:bottom w:val="single" w:color="auto" w:sz="4" w:space="0"/>
              <w:right w:val="single" w:color="auto" w:sz="4" w:space="0"/>
            </w:tcBorders>
            <w:shd w:val="clear" w:color="000000" w:fill="FFFFFF"/>
            <w:noWrap/>
            <w:vAlign w:val="center"/>
          </w:tcPr>
          <w:p>
            <w:pPr>
              <w:widowControl/>
              <w:jc w:val="center"/>
              <w:rPr>
                <w:rFonts w:ascii="仿宋" w:hAnsi="仿宋" w:eastAsia="仿宋" w:cs="宋体"/>
                <w:b/>
                <w:color w:val="000000"/>
                <w:kern w:val="0"/>
                <w:sz w:val="16"/>
                <w:szCs w:val="16"/>
              </w:rPr>
            </w:pPr>
            <w:r>
              <w:rPr>
                <w:rFonts w:hint="eastAsia" w:ascii="仿宋" w:hAnsi="仿宋" w:eastAsia="仿宋" w:cs="宋体"/>
                <w:b/>
                <w:color w:val="000000"/>
                <w:kern w:val="0"/>
                <w:sz w:val="16"/>
                <w:szCs w:val="16"/>
              </w:rPr>
              <w:t>管理费用</w:t>
            </w:r>
          </w:p>
        </w:tc>
        <w:tc>
          <w:tcPr>
            <w:tcW w:w="232"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p>
        </w:tc>
        <w:tc>
          <w:tcPr>
            <w:tcW w:w="232"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83.25</w:t>
            </w:r>
          </w:p>
        </w:tc>
        <w:tc>
          <w:tcPr>
            <w:tcW w:w="356"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350.34</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368.63</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387.93</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408.35</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429.91</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452.67</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476.71</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502.13</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528.98</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557.33</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587.32</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619.00</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652.51</w:t>
            </w:r>
          </w:p>
        </w:tc>
      </w:tr>
      <w:tr>
        <w:tblPrEx>
          <w:tblCellMar>
            <w:top w:w="0" w:type="dxa"/>
            <w:left w:w="108" w:type="dxa"/>
            <w:bottom w:w="0" w:type="dxa"/>
            <w:right w:w="108" w:type="dxa"/>
          </w:tblCellMar>
        </w:tblPrEx>
        <w:trPr>
          <w:trHeight w:val="450" w:hRule="atLeast"/>
          <w:jc w:val="center"/>
        </w:trPr>
        <w:tc>
          <w:tcPr>
            <w:tcW w:w="178" w:type="pct"/>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3</w:t>
            </w:r>
          </w:p>
        </w:tc>
        <w:tc>
          <w:tcPr>
            <w:tcW w:w="434" w:type="pct"/>
            <w:tcBorders>
              <w:top w:val="nil"/>
              <w:left w:val="nil"/>
              <w:bottom w:val="single" w:color="auto" w:sz="4" w:space="0"/>
              <w:right w:val="single" w:color="auto" w:sz="4" w:space="0"/>
            </w:tcBorders>
            <w:shd w:val="clear" w:color="000000" w:fill="FFFFFF"/>
            <w:noWrap/>
            <w:vAlign w:val="center"/>
          </w:tcPr>
          <w:p>
            <w:pPr>
              <w:widowControl/>
              <w:jc w:val="center"/>
              <w:rPr>
                <w:rFonts w:ascii="仿宋" w:hAnsi="仿宋" w:eastAsia="仿宋" w:cs="宋体"/>
                <w:b/>
                <w:color w:val="000000"/>
                <w:kern w:val="0"/>
                <w:sz w:val="16"/>
                <w:szCs w:val="16"/>
              </w:rPr>
            </w:pPr>
            <w:r>
              <w:rPr>
                <w:rFonts w:hint="eastAsia" w:ascii="仿宋" w:hAnsi="仿宋" w:eastAsia="仿宋" w:cs="宋体"/>
                <w:b/>
                <w:color w:val="000000"/>
                <w:kern w:val="0"/>
                <w:sz w:val="16"/>
                <w:szCs w:val="16"/>
              </w:rPr>
              <w:t>财务费用</w:t>
            </w:r>
          </w:p>
        </w:tc>
        <w:tc>
          <w:tcPr>
            <w:tcW w:w="232"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p>
        </w:tc>
        <w:tc>
          <w:tcPr>
            <w:tcW w:w="232"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133.33</w:t>
            </w:r>
          </w:p>
        </w:tc>
        <w:tc>
          <w:tcPr>
            <w:tcW w:w="356"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400.00</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400.00</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400.00</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400.00</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400.00</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400.00</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400.00</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400.00</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400.00</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400.00</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400.00</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400.00</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250.00</w:t>
            </w:r>
          </w:p>
        </w:tc>
      </w:tr>
      <w:tr>
        <w:tblPrEx>
          <w:tblCellMar>
            <w:top w:w="0" w:type="dxa"/>
            <w:left w:w="108" w:type="dxa"/>
            <w:bottom w:w="0" w:type="dxa"/>
            <w:right w:w="108" w:type="dxa"/>
          </w:tblCellMar>
        </w:tblPrEx>
        <w:trPr>
          <w:trHeight w:val="450" w:hRule="atLeast"/>
          <w:jc w:val="center"/>
        </w:trPr>
        <w:tc>
          <w:tcPr>
            <w:tcW w:w="178" w:type="pct"/>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4</w:t>
            </w:r>
          </w:p>
        </w:tc>
        <w:tc>
          <w:tcPr>
            <w:tcW w:w="434" w:type="pct"/>
            <w:tcBorders>
              <w:top w:val="nil"/>
              <w:left w:val="nil"/>
              <w:bottom w:val="single" w:color="auto" w:sz="4" w:space="0"/>
              <w:right w:val="single" w:color="auto" w:sz="4" w:space="0"/>
            </w:tcBorders>
            <w:shd w:val="clear" w:color="000000" w:fill="FFFFFF"/>
            <w:noWrap/>
            <w:vAlign w:val="center"/>
          </w:tcPr>
          <w:p>
            <w:pPr>
              <w:widowControl/>
              <w:jc w:val="center"/>
              <w:rPr>
                <w:rFonts w:ascii="仿宋" w:hAnsi="仿宋" w:eastAsia="仿宋" w:cs="宋体"/>
                <w:b/>
                <w:color w:val="000000"/>
                <w:kern w:val="0"/>
                <w:sz w:val="16"/>
                <w:szCs w:val="16"/>
              </w:rPr>
            </w:pPr>
            <w:r>
              <w:rPr>
                <w:rFonts w:hint="eastAsia" w:ascii="仿宋" w:hAnsi="仿宋" w:eastAsia="仿宋" w:cs="宋体"/>
                <w:b/>
                <w:color w:val="000000"/>
                <w:kern w:val="0"/>
                <w:sz w:val="16"/>
                <w:szCs w:val="16"/>
              </w:rPr>
              <w:t>维修基金</w:t>
            </w:r>
          </w:p>
        </w:tc>
        <w:tc>
          <w:tcPr>
            <w:tcW w:w="232"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p>
        </w:tc>
        <w:tc>
          <w:tcPr>
            <w:tcW w:w="232"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65.69</w:t>
            </w:r>
          </w:p>
        </w:tc>
        <w:tc>
          <w:tcPr>
            <w:tcW w:w="356"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262.77</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262.77</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262.77</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262.77</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262.77</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262.77</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262.77</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262.77</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262.77</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262.77</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262.77</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262.77</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262.77</w:t>
            </w:r>
          </w:p>
        </w:tc>
      </w:tr>
      <w:tr>
        <w:tblPrEx>
          <w:tblCellMar>
            <w:top w:w="0" w:type="dxa"/>
            <w:left w:w="108" w:type="dxa"/>
            <w:bottom w:w="0" w:type="dxa"/>
            <w:right w:w="108" w:type="dxa"/>
          </w:tblCellMar>
        </w:tblPrEx>
        <w:trPr>
          <w:trHeight w:val="450" w:hRule="atLeast"/>
          <w:jc w:val="center"/>
        </w:trPr>
        <w:tc>
          <w:tcPr>
            <w:tcW w:w="178" w:type="pct"/>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5</w:t>
            </w:r>
          </w:p>
        </w:tc>
        <w:tc>
          <w:tcPr>
            <w:tcW w:w="434" w:type="pct"/>
            <w:tcBorders>
              <w:top w:val="nil"/>
              <w:left w:val="nil"/>
              <w:bottom w:val="single" w:color="auto" w:sz="4" w:space="0"/>
              <w:right w:val="single" w:color="auto" w:sz="4" w:space="0"/>
            </w:tcBorders>
            <w:shd w:val="clear" w:color="000000" w:fill="FFFFFF"/>
            <w:noWrap/>
            <w:vAlign w:val="center"/>
          </w:tcPr>
          <w:p>
            <w:pPr>
              <w:widowControl/>
              <w:jc w:val="center"/>
              <w:rPr>
                <w:rFonts w:ascii="仿宋" w:hAnsi="仿宋" w:eastAsia="仿宋" w:cs="宋体"/>
                <w:b/>
                <w:color w:val="000000"/>
                <w:kern w:val="0"/>
                <w:sz w:val="16"/>
                <w:szCs w:val="16"/>
              </w:rPr>
            </w:pPr>
            <w:r>
              <w:rPr>
                <w:rFonts w:hint="eastAsia" w:ascii="仿宋" w:hAnsi="仿宋" w:eastAsia="仿宋" w:cs="宋体"/>
                <w:b/>
                <w:color w:val="000000"/>
                <w:kern w:val="0"/>
                <w:sz w:val="16"/>
                <w:szCs w:val="16"/>
              </w:rPr>
              <w:t>医疗风险基金</w:t>
            </w:r>
          </w:p>
        </w:tc>
        <w:tc>
          <w:tcPr>
            <w:tcW w:w="232"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p>
        </w:tc>
        <w:tc>
          <w:tcPr>
            <w:tcW w:w="232"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1.19</w:t>
            </w:r>
          </w:p>
        </w:tc>
        <w:tc>
          <w:tcPr>
            <w:tcW w:w="356"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5.00</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5.27</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5.54</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5.83</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6.14</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6.47</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6.81</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7.17</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7.56</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7.96</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8.39</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8.84</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9.32</w:t>
            </w:r>
          </w:p>
        </w:tc>
      </w:tr>
      <w:tr>
        <w:tblPrEx>
          <w:tblCellMar>
            <w:top w:w="0" w:type="dxa"/>
            <w:left w:w="108" w:type="dxa"/>
            <w:bottom w:w="0" w:type="dxa"/>
            <w:right w:w="108" w:type="dxa"/>
          </w:tblCellMar>
        </w:tblPrEx>
        <w:trPr>
          <w:trHeight w:val="450" w:hRule="atLeast"/>
          <w:jc w:val="center"/>
        </w:trPr>
        <w:tc>
          <w:tcPr>
            <w:tcW w:w="178" w:type="pct"/>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6</w:t>
            </w:r>
          </w:p>
        </w:tc>
        <w:tc>
          <w:tcPr>
            <w:tcW w:w="43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b/>
                <w:color w:val="000000"/>
                <w:kern w:val="0"/>
                <w:sz w:val="16"/>
                <w:szCs w:val="16"/>
              </w:rPr>
            </w:pPr>
            <w:r>
              <w:rPr>
                <w:rFonts w:hint="eastAsia" w:ascii="仿宋" w:hAnsi="仿宋" w:eastAsia="仿宋" w:cs="宋体"/>
                <w:b/>
                <w:color w:val="000000"/>
                <w:kern w:val="0"/>
                <w:sz w:val="16"/>
                <w:szCs w:val="16"/>
              </w:rPr>
              <w:t>总成本费用合计</w:t>
            </w:r>
          </w:p>
        </w:tc>
        <w:tc>
          <w:tcPr>
            <w:tcW w:w="232"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p>
        </w:tc>
        <w:tc>
          <w:tcPr>
            <w:tcW w:w="232"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1,262.47</w:t>
            </w:r>
          </w:p>
        </w:tc>
        <w:tc>
          <w:tcPr>
            <w:tcW w:w="356"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4,803.07</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4,975.76</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5,158.08</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5,350.88</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5,554.44</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5,769.39</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5,996.38</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6,236.41</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6,489.92</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6,757.70</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7,040.88</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7,340.03</w:t>
            </w:r>
          </w:p>
        </w:tc>
        <w:tc>
          <w:tcPr>
            <w:tcW w:w="27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6"/>
                <w:szCs w:val="16"/>
              </w:rPr>
            </w:pPr>
            <w:r>
              <w:rPr>
                <w:rFonts w:ascii="Arial Narrow" w:hAnsi="Arial Narrow" w:cs="宋体"/>
                <w:color w:val="000000"/>
                <w:kern w:val="0"/>
                <w:sz w:val="16"/>
                <w:szCs w:val="16"/>
              </w:rPr>
              <w:t>7,506.40</w:t>
            </w:r>
          </w:p>
        </w:tc>
      </w:tr>
    </w:tbl>
    <w:p/>
    <w:p>
      <w:pPr>
        <w:spacing w:line="360" w:lineRule="auto"/>
        <w:ind w:firstLine="640" w:firstLineChars="200"/>
        <w:rPr>
          <w:rFonts w:ascii="宋体" w:hAnsi="宋体"/>
          <w:sz w:val="32"/>
          <w:szCs w:val="32"/>
        </w:rPr>
        <w:sectPr>
          <w:pgSz w:w="16838" w:h="11906" w:orient="landscape"/>
          <w:pgMar w:top="1644" w:right="2098" w:bottom="1418" w:left="1588" w:header="851" w:footer="992" w:gutter="0"/>
          <w:cols w:space="720" w:num="1"/>
          <w:docGrid w:type="linesAndChars" w:linePitch="435" w:charSpace="0"/>
        </w:sectPr>
      </w:pPr>
    </w:p>
    <w:p>
      <w:pPr>
        <w:spacing w:afterLines="50" w:line="560" w:lineRule="exact"/>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表8广元市利州区中医医院医技综合楼项目资金测算平衡表</w:t>
      </w:r>
    </w:p>
    <w:tbl>
      <w:tblPr>
        <w:tblStyle w:val="10"/>
        <w:tblW w:w="5088" w:type="pct"/>
        <w:jc w:val="center"/>
        <w:tblLayout w:type="autofit"/>
        <w:tblCellMar>
          <w:top w:w="0" w:type="dxa"/>
          <w:left w:w="108" w:type="dxa"/>
          <w:bottom w:w="0" w:type="dxa"/>
          <w:right w:w="108" w:type="dxa"/>
        </w:tblCellMar>
      </w:tblPr>
      <w:tblGrid>
        <w:gridCol w:w="476"/>
        <w:gridCol w:w="1451"/>
        <w:gridCol w:w="795"/>
        <w:gridCol w:w="866"/>
        <w:gridCol w:w="723"/>
        <w:gridCol w:w="795"/>
        <w:gridCol w:w="795"/>
        <w:gridCol w:w="795"/>
        <w:gridCol w:w="795"/>
        <w:gridCol w:w="795"/>
        <w:gridCol w:w="795"/>
        <w:gridCol w:w="795"/>
        <w:gridCol w:w="795"/>
        <w:gridCol w:w="795"/>
        <w:gridCol w:w="795"/>
        <w:gridCol w:w="795"/>
        <w:gridCol w:w="795"/>
        <w:gridCol w:w="795"/>
        <w:gridCol w:w="795"/>
        <w:gridCol w:w="795"/>
      </w:tblGrid>
      <w:tr>
        <w:tblPrEx>
          <w:tblCellMar>
            <w:top w:w="0" w:type="dxa"/>
            <w:left w:w="108" w:type="dxa"/>
            <w:bottom w:w="0" w:type="dxa"/>
            <w:right w:w="108" w:type="dxa"/>
          </w:tblCellMar>
        </w:tblPrEx>
        <w:trPr>
          <w:trHeight w:val="20" w:hRule="atLeast"/>
          <w:jc w:val="center"/>
        </w:trPr>
        <w:tc>
          <w:tcPr>
            <w:tcW w:w="152" w:type="pct"/>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cs="宋体"/>
                <w:color w:val="000000"/>
                <w:kern w:val="0"/>
                <w:sz w:val="13"/>
                <w:szCs w:val="13"/>
              </w:rPr>
            </w:pPr>
            <w:r>
              <w:rPr>
                <w:rFonts w:hint="eastAsia" w:ascii="宋体" w:hAnsi="宋体" w:cs="宋体"/>
                <w:color w:val="000000"/>
                <w:kern w:val="0"/>
                <w:sz w:val="13"/>
                <w:szCs w:val="13"/>
              </w:rPr>
              <w:t>项目</w:t>
            </w:r>
          </w:p>
        </w:tc>
        <w:tc>
          <w:tcPr>
            <w:tcW w:w="424" w:type="pct"/>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kern w:val="0"/>
                <w:sz w:val="13"/>
                <w:szCs w:val="13"/>
              </w:rPr>
            </w:pPr>
            <w:r>
              <w:rPr>
                <w:rFonts w:hint="eastAsia" w:ascii="宋体" w:hAnsi="宋体" w:cs="宋体"/>
                <w:color w:val="000000"/>
                <w:kern w:val="0"/>
                <w:sz w:val="13"/>
                <w:szCs w:val="13"/>
              </w:rPr>
              <w:t>项目</w:t>
            </w:r>
          </w:p>
        </w:tc>
        <w:tc>
          <w:tcPr>
            <w:tcW w:w="241" w:type="pct"/>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kern w:val="0"/>
                <w:sz w:val="13"/>
                <w:szCs w:val="13"/>
              </w:rPr>
            </w:pPr>
            <w:r>
              <w:rPr>
                <w:rFonts w:hint="eastAsia" w:ascii="宋体" w:hAnsi="宋体" w:cs="宋体"/>
                <w:color w:val="000000"/>
                <w:kern w:val="0"/>
                <w:sz w:val="13"/>
                <w:szCs w:val="13"/>
              </w:rPr>
              <w:t>合计</w:t>
            </w:r>
          </w:p>
        </w:tc>
        <w:tc>
          <w:tcPr>
            <w:tcW w:w="261" w:type="pct"/>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kern w:val="0"/>
                <w:sz w:val="13"/>
                <w:szCs w:val="13"/>
              </w:rPr>
            </w:pPr>
            <w:r>
              <w:rPr>
                <w:rFonts w:hint="eastAsia" w:ascii="宋体" w:hAnsi="宋体" w:cs="宋体"/>
                <w:color w:val="000000"/>
                <w:kern w:val="0"/>
                <w:sz w:val="13"/>
                <w:szCs w:val="13"/>
              </w:rPr>
              <w:t>第一年以前</w:t>
            </w:r>
          </w:p>
        </w:tc>
        <w:tc>
          <w:tcPr>
            <w:tcW w:w="221"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第1年</w:t>
            </w:r>
          </w:p>
        </w:tc>
        <w:tc>
          <w:tcPr>
            <w:tcW w:w="241"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第2年</w:t>
            </w:r>
          </w:p>
        </w:tc>
        <w:tc>
          <w:tcPr>
            <w:tcW w:w="327"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第3年</w:t>
            </w:r>
          </w:p>
        </w:tc>
        <w:tc>
          <w:tcPr>
            <w:tcW w:w="241"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第4年</w:t>
            </w:r>
          </w:p>
        </w:tc>
        <w:tc>
          <w:tcPr>
            <w:tcW w:w="241"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第5年</w:t>
            </w:r>
          </w:p>
        </w:tc>
        <w:tc>
          <w:tcPr>
            <w:tcW w:w="241"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第6年</w:t>
            </w:r>
          </w:p>
        </w:tc>
        <w:tc>
          <w:tcPr>
            <w:tcW w:w="241"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第7年</w:t>
            </w:r>
          </w:p>
        </w:tc>
        <w:tc>
          <w:tcPr>
            <w:tcW w:w="241"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第8年</w:t>
            </w:r>
          </w:p>
        </w:tc>
        <w:tc>
          <w:tcPr>
            <w:tcW w:w="241"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第9年</w:t>
            </w:r>
          </w:p>
        </w:tc>
        <w:tc>
          <w:tcPr>
            <w:tcW w:w="241"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第10年</w:t>
            </w:r>
          </w:p>
        </w:tc>
        <w:tc>
          <w:tcPr>
            <w:tcW w:w="241"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第11年</w:t>
            </w:r>
          </w:p>
        </w:tc>
        <w:tc>
          <w:tcPr>
            <w:tcW w:w="241"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第12年</w:t>
            </w:r>
          </w:p>
        </w:tc>
        <w:tc>
          <w:tcPr>
            <w:tcW w:w="241"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第13年</w:t>
            </w:r>
          </w:p>
        </w:tc>
        <w:tc>
          <w:tcPr>
            <w:tcW w:w="241"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第14年</w:t>
            </w:r>
          </w:p>
        </w:tc>
        <w:tc>
          <w:tcPr>
            <w:tcW w:w="241"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第15年</w:t>
            </w:r>
          </w:p>
        </w:tc>
        <w:tc>
          <w:tcPr>
            <w:tcW w:w="241"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第16年</w:t>
            </w:r>
          </w:p>
        </w:tc>
      </w:tr>
      <w:tr>
        <w:tblPrEx>
          <w:tblCellMar>
            <w:top w:w="0" w:type="dxa"/>
            <w:left w:w="108" w:type="dxa"/>
            <w:bottom w:w="0" w:type="dxa"/>
            <w:right w:w="108" w:type="dxa"/>
          </w:tblCellMar>
        </w:tblPrEx>
        <w:trPr>
          <w:trHeight w:val="20" w:hRule="atLeast"/>
          <w:jc w:val="center"/>
        </w:trPr>
        <w:tc>
          <w:tcPr>
            <w:tcW w:w="576" w:type="pct"/>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Arial Narrow" w:hAnsi="Arial Narrow" w:cs="宋体"/>
                <w:color w:val="000000"/>
                <w:kern w:val="0"/>
                <w:sz w:val="13"/>
                <w:szCs w:val="13"/>
              </w:rPr>
            </w:pPr>
            <w:r>
              <w:rPr>
                <w:rFonts w:hint="eastAsia" w:ascii="宋体" w:hAnsi="宋体" w:cs="宋体"/>
                <w:color w:val="000000"/>
                <w:kern w:val="0"/>
                <w:sz w:val="13"/>
                <w:szCs w:val="13"/>
              </w:rPr>
              <w:t>资金来源</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6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21" w:type="pct"/>
            <w:tcBorders>
              <w:top w:val="nil"/>
              <w:left w:val="nil"/>
              <w:bottom w:val="single" w:color="auto" w:sz="4" w:space="0"/>
              <w:right w:val="single" w:color="auto" w:sz="4" w:space="0"/>
            </w:tcBorders>
            <w:shd w:val="clear" w:color="000000" w:fill="FFFFFF"/>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vAlign w:val="center"/>
          </w:tcPr>
          <w:p>
            <w:pPr>
              <w:widowControl/>
              <w:jc w:val="center"/>
              <w:rPr>
                <w:rFonts w:ascii="Arial Narrow" w:hAnsi="Arial Narrow" w:cs="宋体"/>
                <w:color w:val="000000"/>
                <w:kern w:val="0"/>
                <w:sz w:val="13"/>
                <w:szCs w:val="13"/>
              </w:rPr>
            </w:pPr>
          </w:p>
        </w:tc>
        <w:tc>
          <w:tcPr>
            <w:tcW w:w="327" w:type="pct"/>
            <w:tcBorders>
              <w:top w:val="nil"/>
              <w:left w:val="nil"/>
              <w:bottom w:val="single" w:color="auto" w:sz="4" w:space="0"/>
              <w:right w:val="single" w:color="auto" w:sz="4" w:space="0"/>
            </w:tcBorders>
            <w:shd w:val="clear" w:color="000000" w:fill="FFFFFF"/>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vAlign w:val="center"/>
          </w:tcPr>
          <w:p>
            <w:pPr>
              <w:widowControl/>
              <w:jc w:val="center"/>
              <w:rPr>
                <w:rFonts w:ascii="Arial Narrow" w:hAnsi="Arial Narrow" w:cs="宋体"/>
                <w:color w:val="000000"/>
                <w:kern w:val="0"/>
                <w:sz w:val="13"/>
                <w:szCs w:val="13"/>
              </w:rPr>
            </w:pPr>
          </w:p>
        </w:tc>
      </w:tr>
      <w:tr>
        <w:tblPrEx>
          <w:tblCellMar>
            <w:top w:w="0" w:type="dxa"/>
            <w:left w:w="108" w:type="dxa"/>
            <w:bottom w:w="0" w:type="dxa"/>
            <w:right w:w="108" w:type="dxa"/>
          </w:tblCellMar>
        </w:tblPrEx>
        <w:trPr>
          <w:trHeight w:val="20" w:hRule="atLeast"/>
          <w:jc w:val="center"/>
        </w:trPr>
        <w:tc>
          <w:tcPr>
            <w:tcW w:w="152" w:type="pct"/>
            <w:tcBorders>
              <w:top w:val="nil"/>
              <w:left w:val="single" w:color="auto" w:sz="4" w:space="0"/>
              <w:bottom w:val="single" w:color="auto" w:sz="4" w:space="0"/>
              <w:right w:val="single" w:color="auto" w:sz="4" w:space="0"/>
            </w:tcBorders>
            <w:shd w:val="clear" w:color="000000" w:fill="FFFFFF"/>
            <w:noWrap/>
            <w:vAlign w:val="center"/>
          </w:tcPr>
          <w:p>
            <w:pPr>
              <w:widowControl/>
              <w:jc w:val="right"/>
              <w:rPr>
                <w:rFonts w:ascii="Arial Narrow" w:hAnsi="Arial Narrow" w:cs="宋体"/>
                <w:color w:val="000000"/>
                <w:kern w:val="0"/>
                <w:sz w:val="13"/>
                <w:szCs w:val="13"/>
              </w:rPr>
            </w:pPr>
            <w:r>
              <w:rPr>
                <w:rFonts w:ascii="Arial Narrow" w:hAnsi="Arial Narrow" w:cs="宋体"/>
                <w:color w:val="000000"/>
                <w:kern w:val="0"/>
                <w:sz w:val="13"/>
                <w:szCs w:val="13"/>
              </w:rPr>
              <w:t>1</w:t>
            </w:r>
          </w:p>
        </w:tc>
        <w:tc>
          <w:tcPr>
            <w:tcW w:w="424" w:type="pct"/>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cs="宋体"/>
                <w:color w:val="000000"/>
                <w:kern w:val="0"/>
                <w:sz w:val="13"/>
                <w:szCs w:val="13"/>
              </w:rPr>
            </w:pPr>
            <w:r>
              <w:rPr>
                <w:rFonts w:hint="eastAsia" w:ascii="宋体" w:hAnsi="宋体" w:cs="宋体"/>
                <w:color w:val="000000"/>
                <w:kern w:val="0"/>
                <w:sz w:val="13"/>
                <w:szCs w:val="13"/>
              </w:rPr>
              <w:t xml:space="preserve"> 项目资本金 </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7,518.00</w:t>
            </w:r>
          </w:p>
        </w:tc>
        <w:tc>
          <w:tcPr>
            <w:tcW w:w="26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hint="eastAsia" w:ascii="Arial Narrow" w:hAnsi="Arial Narrow" w:cs="宋体"/>
                <w:color w:val="000000"/>
                <w:kern w:val="0"/>
                <w:sz w:val="13"/>
                <w:szCs w:val="13"/>
              </w:rPr>
              <w:t>1400.00</w:t>
            </w:r>
          </w:p>
        </w:tc>
        <w:tc>
          <w:tcPr>
            <w:tcW w:w="22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hint="eastAsia" w:ascii="Arial Narrow" w:hAnsi="Arial Narrow" w:cs="宋体"/>
                <w:color w:val="000000"/>
                <w:kern w:val="0"/>
                <w:sz w:val="13"/>
                <w:szCs w:val="13"/>
              </w:rPr>
              <w:t>1000.00</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hint="eastAsia" w:ascii="Arial Narrow" w:hAnsi="Arial Narrow" w:cs="宋体"/>
                <w:color w:val="000000"/>
                <w:kern w:val="0"/>
                <w:sz w:val="13"/>
                <w:szCs w:val="13"/>
              </w:rPr>
              <w:t>3000.00</w:t>
            </w:r>
          </w:p>
        </w:tc>
        <w:tc>
          <w:tcPr>
            <w:tcW w:w="327"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hint="eastAsia" w:ascii="Arial Narrow" w:hAnsi="Arial Narrow" w:cs="宋体"/>
                <w:color w:val="000000"/>
                <w:kern w:val="0"/>
                <w:sz w:val="13"/>
                <w:szCs w:val="13"/>
              </w:rPr>
              <w:t>2118.00</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r>
      <w:tr>
        <w:tblPrEx>
          <w:tblCellMar>
            <w:top w:w="0" w:type="dxa"/>
            <w:left w:w="108" w:type="dxa"/>
            <w:bottom w:w="0" w:type="dxa"/>
            <w:right w:w="108" w:type="dxa"/>
          </w:tblCellMar>
        </w:tblPrEx>
        <w:trPr>
          <w:trHeight w:val="20" w:hRule="atLeast"/>
          <w:jc w:val="center"/>
        </w:trPr>
        <w:tc>
          <w:tcPr>
            <w:tcW w:w="152" w:type="pct"/>
            <w:tcBorders>
              <w:top w:val="nil"/>
              <w:left w:val="single" w:color="auto" w:sz="4" w:space="0"/>
              <w:bottom w:val="single" w:color="auto" w:sz="4" w:space="0"/>
              <w:right w:val="single" w:color="auto" w:sz="4" w:space="0"/>
            </w:tcBorders>
            <w:shd w:val="clear" w:color="000000" w:fill="FFFFFF"/>
            <w:noWrap/>
            <w:vAlign w:val="center"/>
          </w:tcPr>
          <w:p>
            <w:pPr>
              <w:widowControl/>
              <w:jc w:val="right"/>
              <w:rPr>
                <w:rFonts w:ascii="Arial Narrow" w:hAnsi="Arial Narrow" w:cs="宋体"/>
                <w:color w:val="000000"/>
                <w:kern w:val="0"/>
                <w:sz w:val="13"/>
                <w:szCs w:val="13"/>
              </w:rPr>
            </w:pPr>
            <w:r>
              <w:rPr>
                <w:rFonts w:ascii="Arial Narrow" w:hAnsi="Arial Narrow" w:cs="宋体"/>
                <w:color w:val="000000"/>
                <w:kern w:val="0"/>
                <w:sz w:val="13"/>
                <w:szCs w:val="13"/>
              </w:rPr>
              <w:t>2</w:t>
            </w:r>
          </w:p>
        </w:tc>
        <w:tc>
          <w:tcPr>
            <w:tcW w:w="424" w:type="pct"/>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cs="宋体"/>
                <w:color w:val="000000"/>
                <w:kern w:val="0"/>
                <w:sz w:val="13"/>
                <w:szCs w:val="13"/>
              </w:rPr>
            </w:pPr>
            <w:r>
              <w:rPr>
                <w:rFonts w:hint="eastAsia" w:ascii="宋体" w:hAnsi="宋体" w:cs="宋体"/>
                <w:color w:val="000000"/>
                <w:kern w:val="0"/>
                <w:sz w:val="13"/>
                <w:szCs w:val="13"/>
              </w:rPr>
              <w:t xml:space="preserve"> 专项债券 </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10,000.00</w:t>
            </w:r>
          </w:p>
        </w:tc>
        <w:tc>
          <w:tcPr>
            <w:tcW w:w="26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2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5,000.00</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5,000.00</w:t>
            </w:r>
          </w:p>
        </w:tc>
        <w:tc>
          <w:tcPr>
            <w:tcW w:w="327"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r>
      <w:tr>
        <w:tblPrEx>
          <w:tblCellMar>
            <w:top w:w="0" w:type="dxa"/>
            <w:left w:w="108" w:type="dxa"/>
            <w:bottom w:w="0" w:type="dxa"/>
            <w:right w:w="108" w:type="dxa"/>
          </w:tblCellMar>
        </w:tblPrEx>
        <w:trPr>
          <w:trHeight w:val="20" w:hRule="atLeast"/>
          <w:jc w:val="center"/>
        </w:trPr>
        <w:tc>
          <w:tcPr>
            <w:tcW w:w="152" w:type="pct"/>
            <w:tcBorders>
              <w:top w:val="nil"/>
              <w:left w:val="single" w:color="auto" w:sz="4" w:space="0"/>
              <w:bottom w:val="single" w:color="auto" w:sz="4" w:space="0"/>
              <w:right w:val="single" w:color="auto" w:sz="4" w:space="0"/>
            </w:tcBorders>
            <w:shd w:val="clear" w:color="000000" w:fill="FFFFFF"/>
            <w:noWrap/>
            <w:vAlign w:val="center"/>
          </w:tcPr>
          <w:p>
            <w:pPr>
              <w:widowControl/>
              <w:jc w:val="right"/>
              <w:rPr>
                <w:rFonts w:ascii="Arial Narrow" w:hAnsi="Arial Narrow" w:cs="宋体"/>
                <w:color w:val="000000"/>
                <w:kern w:val="0"/>
                <w:sz w:val="13"/>
                <w:szCs w:val="13"/>
              </w:rPr>
            </w:pPr>
            <w:r>
              <w:rPr>
                <w:rFonts w:ascii="Arial Narrow" w:hAnsi="Arial Narrow" w:cs="宋体"/>
                <w:color w:val="000000"/>
                <w:kern w:val="0"/>
                <w:sz w:val="13"/>
                <w:szCs w:val="13"/>
              </w:rPr>
              <w:t>3</w:t>
            </w:r>
          </w:p>
        </w:tc>
        <w:tc>
          <w:tcPr>
            <w:tcW w:w="424" w:type="pct"/>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cs="宋体"/>
                <w:color w:val="000000"/>
                <w:kern w:val="0"/>
                <w:sz w:val="13"/>
                <w:szCs w:val="13"/>
              </w:rPr>
            </w:pPr>
            <w:r>
              <w:rPr>
                <w:rFonts w:hint="eastAsia" w:ascii="宋体" w:hAnsi="宋体" w:cs="宋体"/>
                <w:color w:val="000000"/>
                <w:kern w:val="0"/>
                <w:sz w:val="13"/>
                <w:szCs w:val="13"/>
              </w:rPr>
              <w:t xml:space="preserve"> 企业息前净现金流量 </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27,537.08</w:t>
            </w:r>
          </w:p>
        </w:tc>
        <w:tc>
          <w:tcPr>
            <w:tcW w:w="26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2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w:t>
            </w:r>
          </w:p>
        </w:tc>
        <w:tc>
          <w:tcPr>
            <w:tcW w:w="327"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337.45</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1,433.87</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1,522.44</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1,615.94</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1,714.82</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1,819.22</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1,929.45</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2,045.87</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2,168.97</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2,298.99</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2,436.32</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2,581.55</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2,734.97</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2,897.22</w:t>
            </w:r>
          </w:p>
        </w:tc>
      </w:tr>
      <w:tr>
        <w:tblPrEx>
          <w:tblCellMar>
            <w:top w:w="0" w:type="dxa"/>
            <w:left w:w="108" w:type="dxa"/>
            <w:bottom w:w="0" w:type="dxa"/>
            <w:right w:w="108" w:type="dxa"/>
          </w:tblCellMar>
        </w:tblPrEx>
        <w:trPr>
          <w:trHeight w:val="20" w:hRule="atLeast"/>
          <w:jc w:val="center"/>
        </w:trPr>
        <w:tc>
          <w:tcPr>
            <w:tcW w:w="152" w:type="pct"/>
            <w:tcBorders>
              <w:top w:val="nil"/>
              <w:left w:val="single" w:color="auto" w:sz="4" w:space="0"/>
              <w:bottom w:val="single" w:color="auto" w:sz="4" w:space="0"/>
              <w:right w:val="single" w:color="auto" w:sz="4" w:space="0"/>
            </w:tcBorders>
            <w:shd w:val="clear" w:color="000000" w:fill="FFFFFF"/>
            <w:noWrap/>
            <w:vAlign w:val="center"/>
          </w:tcPr>
          <w:p>
            <w:pPr>
              <w:widowControl/>
              <w:jc w:val="right"/>
              <w:rPr>
                <w:rFonts w:ascii="Arial Narrow" w:hAnsi="Arial Narrow" w:cs="宋体"/>
                <w:color w:val="000000"/>
                <w:kern w:val="0"/>
                <w:sz w:val="13"/>
                <w:szCs w:val="13"/>
              </w:rPr>
            </w:pPr>
            <w:r>
              <w:rPr>
                <w:rFonts w:ascii="Arial Narrow" w:hAnsi="Arial Narrow" w:cs="宋体"/>
                <w:color w:val="000000"/>
                <w:kern w:val="0"/>
                <w:sz w:val="13"/>
                <w:szCs w:val="13"/>
              </w:rPr>
              <w:t>4</w:t>
            </w:r>
          </w:p>
        </w:tc>
        <w:tc>
          <w:tcPr>
            <w:tcW w:w="42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hint="eastAsia" w:ascii="宋体" w:hAnsi="宋体" w:cs="宋体"/>
                <w:color w:val="000000"/>
                <w:kern w:val="0"/>
                <w:sz w:val="13"/>
                <w:szCs w:val="13"/>
              </w:rPr>
              <w:t>资金来源小计</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45,055.08</w:t>
            </w:r>
          </w:p>
        </w:tc>
        <w:tc>
          <w:tcPr>
            <w:tcW w:w="26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hint="eastAsia" w:ascii="Arial Narrow" w:hAnsi="Arial Narrow" w:cs="宋体"/>
                <w:color w:val="000000"/>
                <w:kern w:val="0"/>
                <w:sz w:val="13"/>
                <w:szCs w:val="13"/>
              </w:rPr>
              <w:t>1400.00</w:t>
            </w:r>
          </w:p>
        </w:tc>
        <w:tc>
          <w:tcPr>
            <w:tcW w:w="22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hint="eastAsia" w:ascii="Arial Narrow" w:hAnsi="Arial Narrow" w:cs="宋体"/>
                <w:color w:val="000000"/>
                <w:kern w:val="0"/>
                <w:sz w:val="13"/>
                <w:szCs w:val="13"/>
              </w:rPr>
              <w:t>6000.00</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hint="eastAsia" w:ascii="Arial Narrow" w:hAnsi="Arial Narrow" w:cs="宋体"/>
                <w:color w:val="000000"/>
                <w:kern w:val="0"/>
                <w:sz w:val="13"/>
                <w:szCs w:val="13"/>
              </w:rPr>
              <w:t>8000.00</w:t>
            </w:r>
          </w:p>
        </w:tc>
        <w:tc>
          <w:tcPr>
            <w:tcW w:w="327"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hint="eastAsia" w:ascii="Arial Narrow" w:hAnsi="Arial Narrow" w:cs="宋体"/>
                <w:color w:val="000000"/>
                <w:kern w:val="0"/>
                <w:sz w:val="13"/>
                <w:szCs w:val="13"/>
              </w:rPr>
              <w:t>2455.45</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1,433.87</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1,522.44</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1,615.94</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1,714.82</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1,819.22</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1,929.45</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2,045.87</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2,168.97</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2,298.99</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2,436.32</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2,581.55</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2,734.97</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2,897.22</w:t>
            </w:r>
          </w:p>
        </w:tc>
      </w:tr>
      <w:tr>
        <w:tblPrEx>
          <w:tblCellMar>
            <w:top w:w="0" w:type="dxa"/>
            <w:left w:w="108" w:type="dxa"/>
            <w:bottom w:w="0" w:type="dxa"/>
            <w:right w:w="108" w:type="dxa"/>
          </w:tblCellMar>
        </w:tblPrEx>
        <w:trPr>
          <w:trHeight w:val="20" w:hRule="atLeast"/>
          <w:jc w:val="center"/>
        </w:trPr>
        <w:tc>
          <w:tcPr>
            <w:tcW w:w="576" w:type="pct"/>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Arial Narrow" w:hAnsi="Arial Narrow" w:cs="宋体"/>
                <w:color w:val="000000"/>
                <w:kern w:val="0"/>
                <w:sz w:val="13"/>
                <w:szCs w:val="13"/>
              </w:rPr>
            </w:pPr>
            <w:r>
              <w:rPr>
                <w:rFonts w:hint="eastAsia" w:ascii="宋体" w:hAnsi="宋体" w:cs="宋体"/>
                <w:color w:val="000000"/>
                <w:kern w:val="0"/>
                <w:sz w:val="13"/>
                <w:szCs w:val="13"/>
              </w:rPr>
              <w:t>资金占用</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6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2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327"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r>
      <w:tr>
        <w:tblPrEx>
          <w:tblCellMar>
            <w:top w:w="0" w:type="dxa"/>
            <w:left w:w="108" w:type="dxa"/>
            <w:bottom w:w="0" w:type="dxa"/>
            <w:right w:w="108" w:type="dxa"/>
          </w:tblCellMar>
        </w:tblPrEx>
        <w:trPr>
          <w:trHeight w:val="20" w:hRule="atLeast"/>
          <w:jc w:val="center"/>
        </w:trPr>
        <w:tc>
          <w:tcPr>
            <w:tcW w:w="152" w:type="pct"/>
            <w:tcBorders>
              <w:top w:val="nil"/>
              <w:left w:val="single" w:color="auto" w:sz="4" w:space="0"/>
              <w:bottom w:val="single" w:color="auto" w:sz="4" w:space="0"/>
              <w:right w:val="single" w:color="auto" w:sz="4" w:space="0"/>
            </w:tcBorders>
            <w:shd w:val="clear" w:color="000000" w:fill="FFFFFF"/>
            <w:noWrap/>
            <w:vAlign w:val="center"/>
          </w:tcPr>
          <w:p>
            <w:pPr>
              <w:widowControl/>
              <w:jc w:val="right"/>
              <w:rPr>
                <w:rFonts w:ascii="Arial Narrow" w:hAnsi="Arial Narrow" w:cs="宋体"/>
                <w:color w:val="000000"/>
                <w:kern w:val="0"/>
                <w:sz w:val="13"/>
                <w:szCs w:val="13"/>
              </w:rPr>
            </w:pPr>
            <w:r>
              <w:rPr>
                <w:rFonts w:ascii="Arial Narrow" w:hAnsi="Arial Narrow" w:cs="宋体"/>
                <w:color w:val="000000"/>
                <w:kern w:val="0"/>
                <w:sz w:val="13"/>
                <w:szCs w:val="13"/>
              </w:rPr>
              <w:t>1</w:t>
            </w:r>
          </w:p>
        </w:tc>
        <w:tc>
          <w:tcPr>
            <w:tcW w:w="424" w:type="pct"/>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 w:val="13"/>
                <w:szCs w:val="13"/>
              </w:rPr>
            </w:pPr>
            <w:r>
              <w:rPr>
                <w:rFonts w:hint="eastAsia" w:ascii="宋体" w:hAnsi="宋体" w:cs="宋体"/>
                <w:color w:val="000000"/>
                <w:kern w:val="0"/>
                <w:sz w:val="13"/>
                <w:szCs w:val="13"/>
              </w:rPr>
              <w:t>项目建设投资</w:t>
            </w:r>
            <w:r>
              <w:rPr>
                <w:rFonts w:hint="eastAsia" w:ascii="宋体" w:hAnsi="宋体" w:cs="宋体"/>
                <w:color w:val="000000"/>
                <w:kern w:val="0"/>
                <w:sz w:val="13"/>
                <w:szCs w:val="13"/>
              </w:rPr>
              <w:br w:type="textWrapping"/>
            </w:r>
            <w:r>
              <w:rPr>
                <w:rFonts w:hint="eastAsia" w:ascii="宋体" w:hAnsi="宋体" w:cs="宋体"/>
                <w:color w:val="000000"/>
                <w:kern w:val="0"/>
                <w:sz w:val="13"/>
                <w:szCs w:val="13"/>
              </w:rPr>
              <w:t>（静态，不含发行费）</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7,058.33</w:t>
            </w:r>
          </w:p>
        </w:tc>
        <w:tc>
          <w:tcPr>
            <w:tcW w:w="26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500.00</w:t>
            </w:r>
          </w:p>
        </w:tc>
        <w:tc>
          <w:tcPr>
            <w:tcW w:w="22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2,401.00</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2,017.94</w:t>
            </w:r>
          </w:p>
        </w:tc>
        <w:tc>
          <w:tcPr>
            <w:tcW w:w="327"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2,139.39</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r>
      <w:tr>
        <w:tblPrEx>
          <w:tblCellMar>
            <w:top w:w="0" w:type="dxa"/>
            <w:left w:w="108" w:type="dxa"/>
            <w:bottom w:w="0" w:type="dxa"/>
            <w:right w:w="108" w:type="dxa"/>
          </w:tblCellMar>
        </w:tblPrEx>
        <w:trPr>
          <w:trHeight w:val="20" w:hRule="atLeast"/>
          <w:jc w:val="center"/>
        </w:trPr>
        <w:tc>
          <w:tcPr>
            <w:tcW w:w="152" w:type="pct"/>
            <w:tcBorders>
              <w:top w:val="nil"/>
              <w:left w:val="single" w:color="auto" w:sz="4" w:space="0"/>
              <w:bottom w:val="single" w:color="auto" w:sz="4" w:space="0"/>
              <w:right w:val="single" w:color="auto" w:sz="4" w:space="0"/>
            </w:tcBorders>
            <w:shd w:val="clear" w:color="000000" w:fill="FFFFFF"/>
            <w:noWrap/>
            <w:vAlign w:val="center"/>
          </w:tcPr>
          <w:p>
            <w:pPr>
              <w:widowControl/>
              <w:jc w:val="right"/>
              <w:rPr>
                <w:rFonts w:ascii="Arial Narrow" w:hAnsi="Arial Narrow" w:cs="宋体"/>
                <w:color w:val="000000"/>
                <w:kern w:val="0"/>
                <w:sz w:val="13"/>
                <w:szCs w:val="13"/>
              </w:rPr>
            </w:pPr>
            <w:r>
              <w:rPr>
                <w:rFonts w:ascii="Arial Narrow" w:hAnsi="Arial Narrow" w:cs="宋体"/>
                <w:color w:val="000000"/>
                <w:kern w:val="0"/>
                <w:sz w:val="13"/>
                <w:szCs w:val="13"/>
              </w:rPr>
              <w:t>2</w:t>
            </w:r>
          </w:p>
        </w:tc>
        <w:tc>
          <w:tcPr>
            <w:tcW w:w="424" w:type="pct"/>
            <w:tcBorders>
              <w:top w:val="nil"/>
              <w:left w:val="nil"/>
              <w:bottom w:val="single" w:color="auto" w:sz="4" w:space="0"/>
              <w:right w:val="single" w:color="auto" w:sz="4" w:space="0"/>
            </w:tcBorders>
            <w:shd w:val="clear" w:color="000000" w:fill="FFFFFF"/>
            <w:noWrap/>
            <w:vAlign w:val="center"/>
          </w:tcPr>
          <w:p>
            <w:pPr>
              <w:widowControl/>
              <w:jc w:val="left"/>
              <w:rPr>
                <w:rFonts w:ascii="Arial Narrow" w:hAnsi="Arial Narrow" w:cs="宋体"/>
                <w:color w:val="000000"/>
                <w:kern w:val="0"/>
                <w:sz w:val="13"/>
                <w:szCs w:val="13"/>
              </w:rPr>
            </w:pPr>
            <w:r>
              <w:rPr>
                <w:rFonts w:hint="eastAsia" w:ascii="宋体" w:hAnsi="宋体" w:cs="宋体"/>
                <w:color w:val="000000"/>
                <w:kern w:val="0"/>
                <w:sz w:val="13"/>
                <w:szCs w:val="13"/>
              </w:rPr>
              <w:t>发行费</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10.00</w:t>
            </w:r>
          </w:p>
        </w:tc>
        <w:tc>
          <w:tcPr>
            <w:tcW w:w="26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2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5.00</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5.00</w:t>
            </w:r>
          </w:p>
        </w:tc>
        <w:tc>
          <w:tcPr>
            <w:tcW w:w="327"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r>
      <w:tr>
        <w:tblPrEx>
          <w:tblCellMar>
            <w:top w:w="0" w:type="dxa"/>
            <w:left w:w="108" w:type="dxa"/>
            <w:bottom w:w="0" w:type="dxa"/>
            <w:right w:w="108" w:type="dxa"/>
          </w:tblCellMar>
        </w:tblPrEx>
        <w:trPr>
          <w:trHeight w:val="20" w:hRule="atLeast"/>
          <w:jc w:val="center"/>
        </w:trPr>
        <w:tc>
          <w:tcPr>
            <w:tcW w:w="152" w:type="pct"/>
            <w:tcBorders>
              <w:top w:val="nil"/>
              <w:left w:val="single" w:color="auto" w:sz="4" w:space="0"/>
              <w:bottom w:val="single" w:color="auto" w:sz="4" w:space="0"/>
              <w:right w:val="single" w:color="auto" w:sz="4" w:space="0"/>
            </w:tcBorders>
            <w:shd w:val="clear" w:color="000000" w:fill="FFFFFF"/>
            <w:noWrap/>
            <w:vAlign w:val="center"/>
          </w:tcPr>
          <w:p>
            <w:pPr>
              <w:widowControl/>
              <w:jc w:val="right"/>
              <w:rPr>
                <w:rFonts w:ascii="Arial Narrow" w:hAnsi="Arial Narrow" w:cs="宋体"/>
                <w:color w:val="000000"/>
                <w:kern w:val="0"/>
                <w:sz w:val="13"/>
                <w:szCs w:val="13"/>
              </w:rPr>
            </w:pPr>
            <w:r>
              <w:rPr>
                <w:rFonts w:ascii="Arial Narrow" w:hAnsi="Arial Narrow" w:cs="宋体"/>
                <w:color w:val="000000"/>
                <w:kern w:val="0"/>
                <w:sz w:val="13"/>
                <w:szCs w:val="13"/>
              </w:rPr>
              <w:t>3</w:t>
            </w:r>
          </w:p>
        </w:tc>
        <w:tc>
          <w:tcPr>
            <w:tcW w:w="424" w:type="pct"/>
            <w:tcBorders>
              <w:top w:val="nil"/>
              <w:left w:val="nil"/>
              <w:bottom w:val="single" w:color="auto" w:sz="4" w:space="0"/>
              <w:right w:val="single" w:color="auto" w:sz="4" w:space="0"/>
            </w:tcBorders>
            <w:shd w:val="clear" w:color="000000" w:fill="FFFFFF"/>
            <w:noWrap/>
            <w:vAlign w:val="center"/>
          </w:tcPr>
          <w:p>
            <w:pPr>
              <w:widowControl/>
              <w:jc w:val="left"/>
              <w:rPr>
                <w:rFonts w:ascii="Arial Narrow" w:hAnsi="Arial Narrow" w:cs="宋体"/>
                <w:color w:val="000000"/>
                <w:kern w:val="0"/>
                <w:sz w:val="13"/>
                <w:szCs w:val="13"/>
              </w:rPr>
            </w:pPr>
            <w:r>
              <w:rPr>
                <w:rFonts w:hint="eastAsia" w:ascii="宋体" w:hAnsi="宋体" w:cs="宋体"/>
                <w:color w:val="000000"/>
                <w:kern w:val="0"/>
                <w:sz w:val="13"/>
                <w:szCs w:val="13"/>
              </w:rPr>
              <w:t>归还专项债券本金</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10,000.00</w:t>
            </w:r>
          </w:p>
        </w:tc>
        <w:tc>
          <w:tcPr>
            <w:tcW w:w="26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2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w:t>
            </w:r>
          </w:p>
        </w:tc>
        <w:tc>
          <w:tcPr>
            <w:tcW w:w="327"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10,000.00</w:t>
            </w:r>
          </w:p>
        </w:tc>
      </w:tr>
      <w:tr>
        <w:tblPrEx>
          <w:tblCellMar>
            <w:top w:w="0" w:type="dxa"/>
            <w:left w:w="108" w:type="dxa"/>
            <w:bottom w:w="0" w:type="dxa"/>
            <w:right w:w="108" w:type="dxa"/>
          </w:tblCellMar>
        </w:tblPrEx>
        <w:trPr>
          <w:trHeight w:val="20" w:hRule="atLeast"/>
          <w:jc w:val="center"/>
        </w:trPr>
        <w:tc>
          <w:tcPr>
            <w:tcW w:w="152" w:type="pct"/>
            <w:tcBorders>
              <w:top w:val="nil"/>
              <w:left w:val="single" w:color="auto" w:sz="4" w:space="0"/>
              <w:bottom w:val="single" w:color="auto" w:sz="4" w:space="0"/>
              <w:right w:val="single" w:color="auto" w:sz="4" w:space="0"/>
            </w:tcBorders>
            <w:shd w:val="clear" w:color="000000" w:fill="FFFFFF"/>
            <w:noWrap/>
            <w:vAlign w:val="center"/>
          </w:tcPr>
          <w:p>
            <w:pPr>
              <w:widowControl/>
              <w:jc w:val="right"/>
              <w:rPr>
                <w:rFonts w:ascii="Arial Narrow" w:hAnsi="Arial Narrow" w:cs="宋体"/>
                <w:color w:val="000000"/>
                <w:kern w:val="0"/>
                <w:sz w:val="13"/>
                <w:szCs w:val="13"/>
              </w:rPr>
            </w:pPr>
            <w:r>
              <w:rPr>
                <w:rFonts w:ascii="Arial Narrow" w:hAnsi="Arial Narrow" w:cs="宋体"/>
                <w:color w:val="000000"/>
                <w:kern w:val="0"/>
                <w:sz w:val="13"/>
                <w:szCs w:val="13"/>
              </w:rPr>
              <w:t>4</w:t>
            </w:r>
          </w:p>
        </w:tc>
        <w:tc>
          <w:tcPr>
            <w:tcW w:w="424" w:type="pct"/>
            <w:tcBorders>
              <w:top w:val="nil"/>
              <w:left w:val="nil"/>
              <w:bottom w:val="single" w:color="auto" w:sz="4" w:space="0"/>
              <w:right w:val="single" w:color="auto" w:sz="4" w:space="0"/>
            </w:tcBorders>
            <w:shd w:val="clear" w:color="000000" w:fill="FFFFFF"/>
            <w:noWrap/>
            <w:vAlign w:val="center"/>
          </w:tcPr>
          <w:p>
            <w:pPr>
              <w:widowControl/>
              <w:jc w:val="left"/>
              <w:rPr>
                <w:rFonts w:ascii="Arial Narrow" w:hAnsi="Arial Narrow" w:cs="宋体"/>
                <w:color w:val="000000"/>
                <w:kern w:val="0"/>
                <w:sz w:val="13"/>
                <w:szCs w:val="13"/>
              </w:rPr>
            </w:pPr>
            <w:r>
              <w:rPr>
                <w:rFonts w:hint="eastAsia" w:ascii="宋体" w:hAnsi="宋体" w:cs="宋体"/>
                <w:color w:val="000000"/>
                <w:kern w:val="0"/>
                <w:sz w:val="13"/>
                <w:szCs w:val="13"/>
              </w:rPr>
              <w:t>归还专项债券利息</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6,000.00</w:t>
            </w:r>
          </w:p>
        </w:tc>
        <w:tc>
          <w:tcPr>
            <w:tcW w:w="26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2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150.00</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400.00</w:t>
            </w:r>
          </w:p>
        </w:tc>
        <w:tc>
          <w:tcPr>
            <w:tcW w:w="327"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400.00</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400.00</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400.00</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400.00</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400.00</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400.00</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400.00</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400.00</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400.00</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400.00</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400.00</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400.00</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400.00</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250.00</w:t>
            </w:r>
          </w:p>
        </w:tc>
      </w:tr>
      <w:tr>
        <w:tblPrEx>
          <w:tblCellMar>
            <w:top w:w="0" w:type="dxa"/>
            <w:left w:w="108" w:type="dxa"/>
            <w:bottom w:w="0" w:type="dxa"/>
            <w:right w:w="108" w:type="dxa"/>
          </w:tblCellMar>
        </w:tblPrEx>
        <w:trPr>
          <w:trHeight w:val="20" w:hRule="atLeast"/>
          <w:jc w:val="center"/>
        </w:trPr>
        <w:tc>
          <w:tcPr>
            <w:tcW w:w="152" w:type="pct"/>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Arial Narrow" w:hAnsi="Arial Narrow" w:cs="宋体"/>
                <w:color w:val="000000"/>
                <w:kern w:val="0"/>
                <w:sz w:val="13"/>
                <w:szCs w:val="13"/>
              </w:rPr>
            </w:pPr>
            <w:r>
              <w:rPr>
                <w:rFonts w:ascii="Arial Narrow" w:hAnsi="Arial Narrow" w:cs="宋体"/>
                <w:color w:val="000000"/>
                <w:kern w:val="0"/>
                <w:sz w:val="13"/>
                <w:szCs w:val="13"/>
              </w:rPr>
              <w:t>　</w:t>
            </w:r>
          </w:p>
        </w:tc>
        <w:tc>
          <w:tcPr>
            <w:tcW w:w="424"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hint="eastAsia" w:ascii="宋体" w:hAnsi="宋体" w:cs="宋体"/>
                <w:color w:val="000000"/>
                <w:kern w:val="0"/>
                <w:sz w:val="13"/>
                <w:szCs w:val="13"/>
              </w:rPr>
              <w:t>资金占用小计</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22,568.33</w:t>
            </w:r>
          </w:p>
        </w:tc>
        <w:tc>
          <w:tcPr>
            <w:tcW w:w="26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w:t>
            </w:r>
          </w:p>
        </w:tc>
        <w:tc>
          <w:tcPr>
            <w:tcW w:w="22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2,556.00</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2,422.94</w:t>
            </w:r>
          </w:p>
        </w:tc>
        <w:tc>
          <w:tcPr>
            <w:tcW w:w="327"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2,539.39</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400.00</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400.00</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400.00</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400.00</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400.00</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400.00</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400.00</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400.00</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400.00</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400.00</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400.00</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400.00</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10,250.00</w:t>
            </w:r>
          </w:p>
        </w:tc>
      </w:tr>
      <w:tr>
        <w:tblPrEx>
          <w:tblCellMar>
            <w:top w:w="0" w:type="dxa"/>
            <w:left w:w="108" w:type="dxa"/>
            <w:bottom w:w="0" w:type="dxa"/>
            <w:right w:w="108" w:type="dxa"/>
          </w:tblCellMar>
        </w:tblPrEx>
        <w:trPr>
          <w:trHeight w:val="20" w:hRule="atLeast"/>
          <w:jc w:val="center"/>
        </w:trPr>
        <w:tc>
          <w:tcPr>
            <w:tcW w:w="576" w:type="pct"/>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Arial Narrow" w:hAnsi="Arial Narrow" w:cs="宋体"/>
                <w:color w:val="000000"/>
                <w:kern w:val="0"/>
                <w:sz w:val="13"/>
                <w:szCs w:val="13"/>
              </w:rPr>
            </w:pPr>
            <w:r>
              <w:rPr>
                <w:rFonts w:hint="eastAsia" w:ascii="宋体" w:hAnsi="宋体" w:cs="宋体"/>
                <w:color w:val="000000"/>
                <w:kern w:val="0"/>
                <w:sz w:val="13"/>
                <w:szCs w:val="13"/>
              </w:rPr>
              <w:t>当年资金结余</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22,486.75</w:t>
            </w:r>
          </w:p>
        </w:tc>
        <w:tc>
          <w:tcPr>
            <w:tcW w:w="26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7,518.00</w:t>
            </w:r>
          </w:p>
        </w:tc>
        <w:tc>
          <w:tcPr>
            <w:tcW w:w="22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2,444.00</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2,577.06</w:t>
            </w:r>
          </w:p>
        </w:tc>
        <w:tc>
          <w:tcPr>
            <w:tcW w:w="327"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-2,201.94</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1,033.87</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1,122.44</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1,215.94</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1,314.82</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1,419.22</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1,529.45</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1,645.87</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1,768.97</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1,898.99</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2,036.32</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2,181.55</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2,334.97</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-7,352.78</w:t>
            </w:r>
          </w:p>
        </w:tc>
      </w:tr>
      <w:tr>
        <w:tblPrEx>
          <w:tblCellMar>
            <w:top w:w="0" w:type="dxa"/>
            <w:left w:w="108" w:type="dxa"/>
            <w:bottom w:w="0" w:type="dxa"/>
            <w:right w:w="108" w:type="dxa"/>
          </w:tblCellMar>
        </w:tblPrEx>
        <w:trPr>
          <w:trHeight w:val="20" w:hRule="atLeast"/>
          <w:jc w:val="center"/>
        </w:trPr>
        <w:tc>
          <w:tcPr>
            <w:tcW w:w="576" w:type="pct"/>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Arial Narrow" w:hAnsi="Arial Narrow" w:cs="宋体"/>
                <w:color w:val="000000"/>
                <w:kern w:val="0"/>
                <w:sz w:val="13"/>
                <w:szCs w:val="13"/>
              </w:rPr>
            </w:pPr>
            <w:r>
              <w:rPr>
                <w:rFonts w:hint="eastAsia" w:ascii="宋体" w:hAnsi="宋体" w:cs="宋体"/>
                <w:color w:val="000000"/>
                <w:kern w:val="0"/>
                <w:sz w:val="13"/>
                <w:szCs w:val="13"/>
              </w:rPr>
              <w:t>期末累计资金结余</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p>
        </w:tc>
        <w:tc>
          <w:tcPr>
            <w:tcW w:w="26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7,518.00</w:t>
            </w:r>
          </w:p>
        </w:tc>
        <w:tc>
          <w:tcPr>
            <w:tcW w:w="22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9,962.00</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12,539.06</w:t>
            </w:r>
          </w:p>
        </w:tc>
        <w:tc>
          <w:tcPr>
            <w:tcW w:w="327"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10,337.12</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11,370.99</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12,493.43</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13,709.37</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15,024.19</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16,443.40</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17,972.86</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19,618.73</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21,387.70</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23,286.68</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25,323.01</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27,504.55</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29,839.53</w:t>
            </w:r>
          </w:p>
        </w:tc>
        <w:tc>
          <w:tcPr>
            <w:tcW w:w="241" w:type="pct"/>
            <w:tcBorders>
              <w:top w:val="nil"/>
              <w:left w:val="nil"/>
              <w:bottom w:val="single" w:color="auto" w:sz="4" w:space="0"/>
              <w:right w:val="single" w:color="auto" w:sz="4" w:space="0"/>
            </w:tcBorders>
            <w:shd w:val="clear" w:color="000000" w:fill="FFFFFF"/>
            <w:noWrap/>
            <w:vAlign w:val="center"/>
          </w:tcPr>
          <w:p>
            <w:pPr>
              <w:widowControl/>
              <w:jc w:val="center"/>
              <w:rPr>
                <w:rFonts w:ascii="Arial Narrow" w:hAnsi="Arial Narrow" w:cs="宋体"/>
                <w:color w:val="000000"/>
                <w:kern w:val="0"/>
                <w:sz w:val="13"/>
                <w:szCs w:val="13"/>
              </w:rPr>
            </w:pPr>
            <w:r>
              <w:rPr>
                <w:rFonts w:ascii="Arial Narrow" w:hAnsi="Arial Narrow" w:cs="宋体"/>
                <w:color w:val="000000"/>
                <w:kern w:val="0"/>
                <w:sz w:val="13"/>
                <w:szCs w:val="13"/>
              </w:rPr>
              <w:t>22,486.75</w:t>
            </w:r>
          </w:p>
        </w:tc>
      </w:tr>
    </w:tbl>
    <w:p>
      <w:pPr>
        <w:spacing w:afterLines="50" w:line="560" w:lineRule="exact"/>
        <w:jc w:val="center"/>
        <w:rPr>
          <w:rFonts w:ascii="宋体" w:hAnsi="宋体"/>
          <w:sz w:val="18"/>
          <w:szCs w:val="18"/>
        </w:rPr>
      </w:pPr>
    </w:p>
    <w:p>
      <w:pPr>
        <w:spacing w:line="560" w:lineRule="exact"/>
        <w:rPr>
          <w:rFonts w:ascii="仿宋_GB2312" w:eastAsia="仿宋_GB2312"/>
          <w:sz w:val="32"/>
          <w:szCs w:val="32"/>
        </w:rPr>
        <w:sectPr>
          <w:pgSz w:w="16838" w:h="11906" w:orient="landscape"/>
          <w:pgMar w:top="1644" w:right="2098" w:bottom="1418" w:left="1588" w:header="851" w:footer="992" w:gutter="0"/>
          <w:cols w:space="720" w:num="1"/>
          <w:docGrid w:type="lines" w:linePitch="435" w:charSpace="0"/>
        </w:sectPr>
      </w:pPr>
    </w:p>
    <w:p>
      <w:pPr>
        <w:rPr>
          <w:rFonts w:ascii="宋体" w:hAnsi="宋体"/>
        </w:rPr>
      </w:pPr>
    </w:p>
    <w:sectPr>
      <w:headerReference r:id="rId8" w:type="first"/>
      <w:headerReference r:id="rId6" w:type="default"/>
      <w:footerReference r:id="rId9" w:type="default"/>
      <w:headerReference r:id="rId7" w:type="even"/>
      <w:footerReference r:id="rId10" w:type="even"/>
      <w:pgSz w:w="11906" w:h="16838"/>
      <w:pgMar w:top="2098" w:right="1418" w:bottom="1588" w:left="1644" w:header="851" w:footer="992" w:gutter="0"/>
      <w:cols w:space="72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Narrow">
    <w:altName w:val="Arial"/>
    <w:panose1 w:val="020B0606020202030204"/>
    <w:charset w:val="00"/>
    <w:family w:val="swiss"/>
    <w:pitch w:val="default"/>
    <w:sig w:usb0="00000000" w:usb1="00000000" w:usb2="00000000" w:usb3="00000000" w:csb0="2000009F" w:csb1="DFD7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auto"/>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0" w:after="0" w:line="14" w:lineRule="auto"/>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0" w:after="0" w:line="14" w:lineRule="auto"/>
      <w:rPr>
        <w:sz w:val="20"/>
        <w:szCs w:val="20"/>
      </w:rPr>
    </w:pPr>
    <w:r>
      <w:pict>
        <v:shape id="_x0000_s2050" o:spid="_x0000_s2050" o:spt="202" type="#_x0000_t202" style="position:absolute;left:0pt;margin-left:81.15pt;margin-top:775.1pt;height:16.05pt;width:44.1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pPr>
                  <w:spacing w:before="0" w:line="301" w:lineRule="exact"/>
                  <w:ind w:left="20" w:right="0" w:firstLine="0"/>
                  <w:jc w:val="left"/>
                  <w:rPr>
                    <w:rFonts w:hint="default" w:ascii="宋体" w:hAnsi="宋体" w:eastAsia="宋体" w:cs="宋体"/>
                    <w:sz w:val="28"/>
                    <w:szCs w:val="28"/>
                  </w:rPr>
                </w:pPr>
                <w:r>
                  <w:rPr>
                    <w:rFonts w:ascii="宋体"/>
                    <w:sz w:val="28"/>
                  </w:rPr>
                  <w:t xml:space="preserve">- </w:t>
                </w:r>
                <w:r>
                  <w:fldChar w:fldCharType="begin"/>
                </w:r>
                <w:r>
                  <w:rPr>
                    <w:rFonts w:ascii="宋体"/>
                    <w:sz w:val="28"/>
                  </w:rPr>
                  <w:instrText xml:space="preserve"> PAGE </w:instrText>
                </w:r>
                <w:r>
                  <w:fldChar w:fldCharType="separate"/>
                </w:r>
                <w:r>
                  <w:t>10</w:t>
                </w:r>
                <w:r>
                  <w:fldChar w:fldCharType="end"/>
                </w:r>
                <w:r>
                  <w:rPr>
                    <w:rFonts w:ascii="宋体"/>
                    <w:spacing w:val="2"/>
                    <w:sz w:val="28"/>
                  </w:rPr>
                  <w:t xml:space="preserve"> </w:t>
                </w:r>
                <w:r>
                  <w:rPr>
                    <w:rFonts w:ascii="宋体"/>
                    <w:sz w:val="28"/>
                  </w:rPr>
                  <w:t>-</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0" w:after="0" w:line="14" w:lineRule="auto"/>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6698387"/>
      <w:docPartObj>
        <w:docPartGallery w:val="autotext"/>
      </w:docPartObj>
    </w:sdtPr>
    <w:sdtContent>
      <w:p>
        <w:pPr>
          <w:pStyle w:val="7"/>
          <w:jc w:val="center"/>
        </w:pPr>
        <w:r>
          <w:fldChar w:fldCharType="begin"/>
        </w:r>
        <w:r>
          <w:instrText xml:space="preserve"> PAGE   \* MERGEFORMAT </w:instrText>
        </w:r>
        <w:r>
          <w:fldChar w:fldCharType="separate"/>
        </w:r>
        <w:r>
          <w:rPr>
            <w:lang w:val="zh-CN"/>
          </w:rPr>
          <w:t>25</w:t>
        </w:r>
        <w:r>
          <w:fldChar w:fldCharType="end"/>
        </w:r>
      </w:p>
    </w:sdtContent>
  </w:sdt>
  <w:p>
    <w:pPr>
      <w:pStyle w:val="7"/>
      <w:jc w:val="right"/>
      <w:rPr>
        <w:rFonts w:ascii="宋体" w:hAnsi="宋体"/>
        <w:sz w:val="28"/>
        <w:szCs w:val="2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6698389"/>
      <w:docPartObj>
        <w:docPartGallery w:val="autotext"/>
      </w:docPartObj>
    </w:sdtPr>
    <w:sdtContent>
      <w:p>
        <w:pPr>
          <w:pStyle w:val="7"/>
          <w:jc w:val="center"/>
        </w:pPr>
        <w:r>
          <w:fldChar w:fldCharType="begin"/>
        </w:r>
        <w:r>
          <w:instrText xml:space="preserve"> PAGE   \* MERGEFORMAT </w:instrText>
        </w:r>
        <w:r>
          <w:fldChar w:fldCharType="separate"/>
        </w:r>
        <w:r>
          <w:rPr>
            <w:lang w:val="zh-CN"/>
          </w:rPr>
          <w:t>2</w:t>
        </w:r>
        <w:r>
          <w:fldChar w:fldCharType="end"/>
        </w:r>
      </w:p>
    </w:sdtContent>
  </w:sdt>
  <w:p>
    <w:pPr>
      <w:pStyle w:val="7"/>
      <w:rPr>
        <w:rFonts w:ascii="宋体" w:hAns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74F"/>
    <w:rsid w:val="000044AC"/>
    <w:rsid w:val="00015AF8"/>
    <w:rsid w:val="0002290E"/>
    <w:rsid w:val="00033DBF"/>
    <w:rsid w:val="00044611"/>
    <w:rsid w:val="00055E05"/>
    <w:rsid w:val="000666CD"/>
    <w:rsid w:val="0008391D"/>
    <w:rsid w:val="000B49BA"/>
    <w:rsid w:val="000C580D"/>
    <w:rsid w:val="000F22A2"/>
    <w:rsid w:val="00147DB4"/>
    <w:rsid w:val="00172A27"/>
    <w:rsid w:val="0019119E"/>
    <w:rsid w:val="00197B16"/>
    <w:rsid w:val="001C4A27"/>
    <w:rsid w:val="001D2504"/>
    <w:rsid w:val="001E5CCC"/>
    <w:rsid w:val="00220BA1"/>
    <w:rsid w:val="00226988"/>
    <w:rsid w:val="00245EFF"/>
    <w:rsid w:val="002628D5"/>
    <w:rsid w:val="002C334D"/>
    <w:rsid w:val="002C5123"/>
    <w:rsid w:val="002C63F1"/>
    <w:rsid w:val="002E18F0"/>
    <w:rsid w:val="002E35DD"/>
    <w:rsid w:val="002F3D2D"/>
    <w:rsid w:val="00304D66"/>
    <w:rsid w:val="003119E1"/>
    <w:rsid w:val="003274D1"/>
    <w:rsid w:val="00382F0A"/>
    <w:rsid w:val="00383353"/>
    <w:rsid w:val="00385BD1"/>
    <w:rsid w:val="003D2E1A"/>
    <w:rsid w:val="004175B7"/>
    <w:rsid w:val="004A7C09"/>
    <w:rsid w:val="004B1DD0"/>
    <w:rsid w:val="004B25EB"/>
    <w:rsid w:val="004B7666"/>
    <w:rsid w:val="004E407B"/>
    <w:rsid w:val="004E74C5"/>
    <w:rsid w:val="0054647F"/>
    <w:rsid w:val="00556ADC"/>
    <w:rsid w:val="005B7596"/>
    <w:rsid w:val="005C4576"/>
    <w:rsid w:val="005E6990"/>
    <w:rsid w:val="006248EC"/>
    <w:rsid w:val="00636905"/>
    <w:rsid w:val="00667995"/>
    <w:rsid w:val="006A439B"/>
    <w:rsid w:val="006F1A84"/>
    <w:rsid w:val="006F30F3"/>
    <w:rsid w:val="006F6BAA"/>
    <w:rsid w:val="00701111"/>
    <w:rsid w:val="007323A3"/>
    <w:rsid w:val="00767437"/>
    <w:rsid w:val="007704F3"/>
    <w:rsid w:val="00781DF2"/>
    <w:rsid w:val="00791A71"/>
    <w:rsid w:val="007D3050"/>
    <w:rsid w:val="00814CCC"/>
    <w:rsid w:val="0081728C"/>
    <w:rsid w:val="00822351"/>
    <w:rsid w:val="008529BF"/>
    <w:rsid w:val="00873929"/>
    <w:rsid w:val="008870C7"/>
    <w:rsid w:val="008D2632"/>
    <w:rsid w:val="008D6788"/>
    <w:rsid w:val="008E4531"/>
    <w:rsid w:val="008F32B8"/>
    <w:rsid w:val="009073DF"/>
    <w:rsid w:val="00924384"/>
    <w:rsid w:val="0093137C"/>
    <w:rsid w:val="009346FC"/>
    <w:rsid w:val="00936823"/>
    <w:rsid w:val="0094293A"/>
    <w:rsid w:val="00954378"/>
    <w:rsid w:val="00957363"/>
    <w:rsid w:val="00970978"/>
    <w:rsid w:val="009778B3"/>
    <w:rsid w:val="00990BF9"/>
    <w:rsid w:val="009D3FCE"/>
    <w:rsid w:val="009D5962"/>
    <w:rsid w:val="009D70EF"/>
    <w:rsid w:val="009F51FB"/>
    <w:rsid w:val="00AC24C6"/>
    <w:rsid w:val="00AC6079"/>
    <w:rsid w:val="00AD4CD6"/>
    <w:rsid w:val="00AF23D7"/>
    <w:rsid w:val="00AF6192"/>
    <w:rsid w:val="00B0056A"/>
    <w:rsid w:val="00B255DD"/>
    <w:rsid w:val="00B42643"/>
    <w:rsid w:val="00B7123B"/>
    <w:rsid w:val="00B73A8A"/>
    <w:rsid w:val="00B800AB"/>
    <w:rsid w:val="00B93493"/>
    <w:rsid w:val="00BA780C"/>
    <w:rsid w:val="00BC63FC"/>
    <w:rsid w:val="00BD70F9"/>
    <w:rsid w:val="00BF28FC"/>
    <w:rsid w:val="00C55462"/>
    <w:rsid w:val="00C7742C"/>
    <w:rsid w:val="00C84226"/>
    <w:rsid w:val="00C958B9"/>
    <w:rsid w:val="00CB3868"/>
    <w:rsid w:val="00CE5813"/>
    <w:rsid w:val="00D00640"/>
    <w:rsid w:val="00D01128"/>
    <w:rsid w:val="00D21569"/>
    <w:rsid w:val="00D25CC6"/>
    <w:rsid w:val="00D27D99"/>
    <w:rsid w:val="00D32B4B"/>
    <w:rsid w:val="00D34B90"/>
    <w:rsid w:val="00D3674D"/>
    <w:rsid w:val="00D374C0"/>
    <w:rsid w:val="00D42158"/>
    <w:rsid w:val="00D4281F"/>
    <w:rsid w:val="00D4542B"/>
    <w:rsid w:val="00D666B9"/>
    <w:rsid w:val="00D77851"/>
    <w:rsid w:val="00D816AA"/>
    <w:rsid w:val="00D82A16"/>
    <w:rsid w:val="00D94ECD"/>
    <w:rsid w:val="00DB47B8"/>
    <w:rsid w:val="00DB4E35"/>
    <w:rsid w:val="00DD00D5"/>
    <w:rsid w:val="00DF2885"/>
    <w:rsid w:val="00E03A5C"/>
    <w:rsid w:val="00E3061C"/>
    <w:rsid w:val="00E66945"/>
    <w:rsid w:val="00E67D39"/>
    <w:rsid w:val="00E703CC"/>
    <w:rsid w:val="00F23B64"/>
    <w:rsid w:val="00F45E53"/>
    <w:rsid w:val="00FA386D"/>
    <w:rsid w:val="00FC579C"/>
    <w:rsid w:val="00FC747E"/>
    <w:rsid w:val="062355CD"/>
    <w:rsid w:val="4BFE3FF9"/>
    <w:rsid w:val="7FB05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3"/>
    <w:next w:val="4"/>
    <w:link w:val="18"/>
    <w:qFormat/>
    <w:uiPriority w:val="0"/>
    <w:pPr>
      <w:widowControl/>
      <w:adjustRightInd w:val="0"/>
      <w:snapToGrid w:val="0"/>
      <w:spacing w:beforeLines="100" w:afterLines="50" w:line="600" w:lineRule="exact"/>
      <w:ind w:left="987"/>
      <w:jc w:val="left"/>
      <w:outlineLvl w:val="1"/>
    </w:pPr>
    <w:rPr>
      <w:rFonts w:ascii="华文楷体" w:hAnsi="华文楷体" w:eastAsia="楷体"/>
      <w:kern w:val="0"/>
    </w:rPr>
  </w:style>
  <w:style w:type="paragraph" w:styleId="3">
    <w:name w:val="heading 3"/>
    <w:basedOn w:val="1"/>
    <w:next w:val="1"/>
    <w:link w:val="19"/>
    <w:semiHidden/>
    <w:unhideWhenUsed/>
    <w:qFormat/>
    <w:uiPriority w:val="9"/>
    <w:pPr>
      <w:keepNext/>
      <w:keepLines/>
      <w:spacing w:before="260" w:after="260" w:line="416" w:lineRule="auto"/>
      <w:outlineLvl w:val="2"/>
    </w:pPr>
    <w:rPr>
      <w:b/>
      <w:bCs/>
      <w:sz w:val="32"/>
      <w:szCs w:val="32"/>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7"/>
    <w:uiPriority w:val="99"/>
    <w:pPr>
      <w:widowControl/>
      <w:spacing w:after="120"/>
      <w:jc w:val="left"/>
    </w:pPr>
    <w:rPr>
      <w:rFonts w:ascii="Times New Roman" w:hAnsi="Times New Roman"/>
      <w:szCs w:val="24"/>
    </w:rPr>
  </w:style>
  <w:style w:type="paragraph" w:styleId="5">
    <w:name w:val="table of authorities"/>
    <w:basedOn w:val="1"/>
    <w:next w:val="1"/>
    <w:unhideWhenUsed/>
    <w:uiPriority w:val="99"/>
    <w:pPr>
      <w:adjustRightInd w:val="0"/>
      <w:snapToGrid w:val="0"/>
      <w:ind w:left="420" w:leftChars="200"/>
    </w:pPr>
    <w:rPr>
      <w:rFonts w:ascii="Times New Roman" w:hAnsi="Times New Roman"/>
    </w:rPr>
  </w:style>
  <w:style w:type="paragraph" w:styleId="6">
    <w:name w:val="Plain Text"/>
    <w:basedOn w:val="1"/>
    <w:link w:val="15"/>
    <w:uiPriority w:val="0"/>
    <w:rPr>
      <w:rFonts w:ascii="宋体" w:hAnsi="Courier New" w:eastAsia="仿宋_GB2312"/>
      <w:szCs w:val="21"/>
    </w:rPr>
  </w:style>
  <w:style w:type="paragraph" w:styleId="7">
    <w:name w:val="footer"/>
    <w:basedOn w:val="1"/>
    <w:link w:val="13"/>
    <w:uiPriority w:val="99"/>
    <w:pPr>
      <w:tabs>
        <w:tab w:val="center" w:pos="4153"/>
        <w:tab w:val="right" w:pos="8306"/>
      </w:tabs>
      <w:snapToGrid w:val="0"/>
      <w:jc w:val="left"/>
    </w:pPr>
    <w:rPr>
      <w:rFonts w:ascii="仿宋_GB2312" w:eastAsia="仿宋_GB2312"/>
      <w:sz w:val="18"/>
      <w:szCs w:val="18"/>
    </w:rPr>
  </w:style>
  <w:style w:type="paragraph" w:styleId="8">
    <w:name w:val="header"/>
    <w:basedOn w:val="1"/>
    <w:link w:val="12"/>
    <w:uiPriority w:val="99"/>
    <w:pPr>
      <w:tabs>
        <w:tab w:val="center" w:pos="4153"/>
        <w:tab w:val="right" w:pos="8306"/>
      </w:tabs>
      <w:snapToGrid w:val="0"/>
      <w:spacing w:line="620" w:lineRule="exact"/>
      <w:ind w:firstLine="200" w:firstLineChars="200"/>
      <w:jc w:val="center"/>
    </w:pPr>
    <w:rPr>
      <w:rFonts w:ascii="仿宋_GB2312" w:eastAsia="仿宋_GB2312"/>
      <w:sz w:val="18"/>
      <w:szCs w:val="18"/>
    </w:rPr>
  </w:style>
  <w:style w:type="paragraph" w:styleId="9">
    <w:name w:val="Subtitle"/>
    <w:basedOn w:val="1"/>
    <w:next w:val="1"/>
    <w:link w:val="14"/>
    <w:qFormat/>
    <w:uiPriority w:val="0"/>
    <w:pPr>
      <w:adjustRightInd w:val="0"/>
      <w:snapToGrid w:val="0"/>
      <w:spacing w:before="240" w:after="60" w:line="312" w:lineRule="auto"/>
      <w:jc w:val="center"/>
    </w:pPr>
    <w:rPr>
      <w:rFonts w:ascii="Cambria" w:hAnsi="Cambria" w:eastAsia="黑体"/>
      <w:b/>
      <w:bCs/>
      <w:kern w:val="28"/>
      <w:sz w:val="24"/>
      <w:szCs w:val="32"/>
    </w:rPr>
  </w:style>
  <w:style w:type="character" w:customStyle="1" w:styleId="12">
    <w:name w:val="页眉 Char"/>
    <w:link w:val="8"/>
    <w:qFormat/>
    <w:uiPriority w:val="99"/>
    <w:rPr>
      <w:kern w:val="2"/>
      <w:sz w:val="18"/>
      <w:szCs w:val="18"/>
    </w:rPr>
  </w:style>
  <w:style w:type="character" w:customStyle="1" w:styleId="13">
    <w:name w:val="页脚 Char"/>
    <w:link w:val="7"/>
    <w:uiPriority w:val="99"/>
    <w:rPr>
      <w:kern w:val="2"/>
      <w:sz w:val="18"/>
      <w:szCs w:val="18"/>
    </w:rPr>
  </w:style>
  <w:style w:type="character" w:customStyle="1" w:styleId="14">
    <w:name w:val="副标题 Char"/>
    <w:link w:val="9"/>
    <w:uiPriority w:val="0"/>
    <w:rPr>
      <w:rFonts w:ascii="Cambria" w:hAnsi="Cambria" w:eastAsia="黑体"/>
      <w:b/>
      <w:bCs/>
      <w:kern w:val="28"/>
      <w:sz w:val="24"/>
      <w:szCs w:val="32"/>
    </w:rPr>
  </w:style>
  <w:style w:type="character" w:customStyle="1" w:styleId="15">
    <w:name w:val="纯文本 Char"/>
    <w:link w:val="6"/>
    <w:uiPriority w:val="0"/>
    <w:rPr>
      <w:rFonts w:ascii="宋体" w:hAnsi="Courier New" w:cs="Courier New"/>
      <w:kern w:val="2"/>
      <w:sz w:val="21"/>
      <w:szCs w:val="21"/>
    </w:rPr>
  </w:style>
  <w:style w:type="character" w:customStyle="1" w:styleId="16">
    <w:name w:val="纯文本 字符1"/>
    <w:uiPriority w:val="0"/>
    <w:rPr>
      <w:rFonts w:ascii="宋体" w:hAnsi="Courier New" w:eastAsia="宋体" w:cs="Courier New"/>
      <w:kern w:val="2"/>
      <w:sz w:val="21"/>
      <w:szCs w:val="21"/>
    </w:rPr>
  </w:style>
  <w:style w:type="character" w:customStyle="1" w:styleId="17">
    <w:name w:val="正文文本 Char"/>
    <w:link w:val="4"/>
    <w:uiPriority w:val="99"/>
    <w:rPr>
      <w:rFonts w:ascii="Times New Roman" w:hAnsi="Times New Roman" w:eastAsia="宋体"/>
      <w:kern w:val="2"/>
      <w:sz w:val="21"/>
      <w:szCs w:val="24"/>
    </w:rPr>
  </w:style>
  <w:style w:type="character" w:customStyle="1" w:styleId="18">
    <w:name w:val="标题 2 Char"/>
    <w:link w:val="2"/>
    <w:qFormat/>
    <w:uiPriority w:val="0"/>
    <w:rPr>
      <w:rFonts w:ascii="华文楷体" w:hAnsi="华文楷体" w:eastAsia="楷体"/>
      <w:b/>
      <w:bCs/>
      <w:sz w:val="32"/>
      <w:szCs w:val="32"/>
    </w:rPr>
  </w:style>
  <w:style w:type="character" w:customStyle="1" w:styleId="19">
    <w:name w:val="标题 3 Char"/>
    <w:link w:val="3"/>
    <w:semiHidden/>
    <w:qFormat/>
    <w:uiPriority w:val="9"/>
    <w:rPr>
      <w:rFonts w:ascii="Calibri" w:eastAsia="宋体"/>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205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938F4A-1712-4E4C-92D5-17287B3D3A3A}">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25</Pages>
  <Words>2394</Words>
  <Characters>13649</Characters>
  <Lines>113</Lines>
  <Paragraphs>32</Paragraphs>
  <TotalTime>1</TotalTime>
  <ScaleCrop>false</ScaleCrop>
  <LinksUpToDate>false</LinksUpToDate>
  <CharactersWithSpaces>16011</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2020-07-08T10:00:00Z</dcterms:created>
  <dc:creator>曾智强</dc:creator>
  <cp:lastModifiedBy>Administrator</cp:lastModifiedBy>
  <cp:lastPrinted>2020-07-08T07:02:00Z</cp:lastPrinted>
  <dcterms:modified xsi:type="dcterms:W3CDTF">2022-02-10T11:20:07Z</dcterms:modified>
  <dc:title>内江市市中区乐贤工业集中区</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y fmtid="{D5CDD505-2E9C-101B-9397-08002B2CF9AE}" pid="3" name="ICV">
    <vt:lpwstr>037DD8C0C9794B279B605B667D71F6DA</vt:lpwstr>
  </property>
</Properties>
</file>