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85" w:firstLineChars="400"/>
        <w:rPr>
          <w:rFonts w:ascii="宋体" w:hAnsi="宋体" w:eastAsia="宋体"/>
          <w:b/>
          <w:sz w:val="32"/>
          <w:szCs w:val="32"/>
        </w:rPr>
      </w:pPr>
      <w:r>
        <w:rPr>
          <w:rFonts w:hint="eastAsia" w:ascii="宋体" w:hAnsi="宋体" w:eastAsia="宋体" w:cs="Times New Roman"/>
          <w:b/>
          <w:sz w:val="32"/>
          <w:szCs w:val="32"/>
        </w:rPr>
        <w:t>广元市利州区女皇故里森林旅游项目</w:t>
      </w:r>
      <w:r>
        <w:rPr>
          <w:rFonts w:hint="eastAsia" w:ascii="宋体" w:hAnsi="宋体" w:eastAsia="宋体"/>
          <w:b/>
          <w:sz w:val="32"/>
          <w:szCs w:val="32"/>
        </w:rPr>
        <w:t>情况</w:t>
      </w:r>
    </w:p>
    <w:p>
      <w:pPr>
        <w:ind w:firstLine="602"/>
        <w:rPr>
          <w:rFonts w:ascii="宋体" w:hAnsi="宋体" w:eastAsia="宋体"/>
          <w:b/>
        </w:rPr>
      </w:pPr>
      <w:r>
        <w:rPr>
          <w:rFonts w:hint="eastAsia" w:ascii="宋体" w:hAnsi="宋体" w:eastAsia="宋体"/>
          <w:b/>
        </w:rPr>
        <w:t>一、项目基本情况</w:t>
      </w:r>
    </w:p>
    <w:p>
      <w:pPr>
        <w:ind w:firstLine="602"/>
        <w:rPr>
          <w:rFonts w:ascii="宋体" w:hAnsi="宋体" w:eastAsia="宋体"/>
          <w:b/>
        </w:rPr>
      </w:pPr>
      <w:r>
        <w:rPr>
          <w:rFonts w:hint="eastAsia" w:ascii="宋体" w:hAnsi="宋体" w:eastAsia="宋体"/>
          <w:b/>
        </w:rPr>
        <w:t>（一）市县及行业专项规划概况</w:t>
      </w:r>
    </w:p>
    <w:p>
      <w:pPr>
        <w:ind w:firstLine="602"/>
        <w:rPr>
          <w:rFonts w:ascii="宋体" w:hAnsi="宋体" w:eastAsia="宋体"/>
          <w:b/>
        </w:rPr>
      </w:pPr>
      <w:r>
        <w:rPr>
          <w:rFonts w:hint="eastAsia" w:ascii="宋体" w:hAnsi="宋体" w:eastAsia="宋体"/>
          <w:b/>
        </w:rPr>
        <w:t>1.广元市利州区基本情况介绍</w:t>
      </w:r>
    </w:p>
    <w:p>
      <w:pPr>
        <w:spacing w:line="36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利州区是四川省广元市管辖的一个市辖区，地处四川盆地北部边缘，嘉陵江上游，位于川陕甘三省交汇处，广元市中部，东邻旺苍县，南连剑阁县、昭化区，西接青川县，北界朝天区，是广元市的政治、经济、文化中心。2017年利州区全区实现地区生产总值（GDP）249.35亿元，比上年增长8.7%。全区人均地区生产总值达到45050元，比去年增长8.0%。</w:t>
      </w:r>
    </w:p>
    <w:p>
      <w:pPr>
        <w:spacing w:before="156" w:beforeLines="50"/>
        <w:ind w:firstLine="602"/>
        <w:rPr>
          <w:rFonts w:ascii="宋体" w:hAnsi="宋体" w:eastAsia="宋体"/>
          <w:b/>
        </w:rPr>
      </w:pPr>
      <w:r>
        <w:rPr>
          <w:rFonts w:hint="eastAsia" w:ascii="宋体" w:hAnsi="宋体" w:eastAsia="宋体"/>
          <w:b/>
        </w:rPr>
        <w:t>2.行业专项规划概况</w:t>
      </w:r>
    </w:p>
    <w:p>
      <w:pPr>
        <w:spacing w:line="36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开展天府旅游名县建设，是深入学习贯彻习近平总书记对四川工作系列重要指示精神、落实“一干多支、五区协同”“四向拓展、全域开放”战略部署、推动县域文化旅游经济高质量发展、整体提升四川旅游品质的重要举措。开展天府旅游名县建设，有利于促进四川文化和旅游由资源优势转化为发展优势，加快推动文旅融合发展，进一步提升文化旅游的供给力、四川旅游的吸引力、巴蜀文化的影响力；有利于构建具有四川特色的文化旅游产业体系，提升全省旅游建设管理水平，培塑享誉国内外的县域旅游品牌，让全域旅游旺起来；有利于营造县域旅游发展比学赶超、争当先进的良好氛围，夯实全省文化和旅游大发展的基础，激发县域改革创新和转型发展的活力，推动县域经济社会可持续发展。</w:t>
      </w:r>
    </w:p>
    <w:p>
      <w:pPr>
        <w:ind w:firstLine="602"/>
        <w:rPr>
          <w:rFonts w:ascii="宋体" w:hAnsi="宋体" w:eastAsia="宋体"/>
          <w:b/>
        </w:rPr>
      </w:pPr>
      <w:r>
        <w:rPr>
          <w:rFonts w:hint="eastAsia" w:ascii="宋体" w:hAnsi="宋体" w:eastAsia="宋体"/>
          <w:b/>
        </w:rPr>
        <w:t>（二）项目情况</w:t>
      </w:r>
    </w:p>
    <w:p>
      <w:pPr>
        <w:spacing w:line="240" w:lineRule="auto"/>
        <w:ind w:firstLine="602"/>
        <w:rPr>
          <w:rFonts w:ascii="宋体" w:hAnsi="宋体" w:eastAsia="宋体"/>
          <w:b/>
        </w:rPr>
      </w:pPr>
      <w:r>
        <w:rPr>
          <w:rFonts w:hint="eastAsia" w:ascii="宋体" w:hAnsi="宋体" w:eastAsia="宋体"/>
          <w:b/>
        </w:rPr>
        <w:t>1.参与主体</w:t>
      </w:r>
    </w:p>
    <w:p>
      <w:pPr>
        <w:spacing w:line="36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实施机构：广元市利州区旅游局</w:t>
      </w:r>
    </w:p>
    <w:p>
      <w:pPr>
        <w:spacing w:line="36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项目业主：广元市利州区利元国有投资有限公司</w:t>
      </w:r>
    </w:p>
    <w:p>
      <w:pPr>
        <w:ind w:firstLine="602"/>
        <w:rPr>
          <w:rFonts w:ascii="宋体" w:hAnsi="宋体" w:eastAsia="宋体"/>
          <w:b/>
        </w:rPr>
      </w:pPr>
      <w:r>
        <w:rPr>
          <w:rFonts w:hint="eastAsia" w:ascii="宋体" w:hAnsi="宋体" w:eastAsia="宋体"/>
          <w:b/>
        </w:rPr>
        <w:t>2.项目概况</w:t>
      </w:r>
    </w:p>
    <w:p>
      <w:pPr>
        <w:spacing w:line="360" w:lineRule="auto"/>
        <w:ind w:firstLine="602" w:firstLineChars="200"/>
        <w:rPr>
          <w:rFonts w:eastAsia="仿宋_GB2312"/>
          <w:sz w:val="30"/>
          <w:szCs w:val="30"/>
        </w:rPr>
      </w:pPr>
      <w:r>
        <w:rPr>
          <w:rFonts w:eastAsia="仿宋_GB2312"/>
          <w:b/>
          <w:sz w:val="30"/>
          <w:szCs w:val="30"/>
        </w:rPr>
        <w:t>项目所属领域：</w:t>
      </w:r>
      <w:r>
        <w:rPr>
          <w:rFonts w:hint="eastAsia" w:ascii="Times New Roman" w:hAnsi="Times New Roman" w:eastAsia="仿宋_GB2312" w:cs="Times New Roman"/>
          <w:sz w:val="30"/>
          <w:szCs w:val="30"/>
        </w:rPr>
        <w:t>社会事业（文化旅游基础设施），项目属于有一定收益的公益性项目，符合《关于试点发展项目收益与融资自求平衡的地方政府专项债券品种的通知》（财预[2017]89号）要求。</w:t>
      </w:r>
    </w:p>
    <w:p>
      <w:pPr>
        <w:spacing w:line="360" w:lineRule="auto"/>
        <w:ind w:firstLine="602" w:firstLineChars="200"/>
        <w:rPr>
          <w:rFonts w:eastAsia="仿宋_GB2312"/>
          <w:sz w:val="30"/>
          <w:szCs w:val="30"/>
        </w:rPr>
      </w:pPr>
      <w:r>
        <w:rPr>
          <w:rFonts w:eastAsia="仿宋_GB2312"/>
          <w:b/>
          <w:sz w:val="30"/>
          <w:szCs w:val="30"/>
        </w:rPr>
        <w:t>项目地点</w:t>
      </w:r>
      <w:r>
        <w:rPr>
          <w:rFonts w:hint="eastAsia" w:ascii="Times New Roman" w:hAnsi="Times New Roman" w:eastAsia="仿宋_GB2312" w:cs="Times New Roman"/>
          <w:sz w:val="30"/>
          <w:szCs w:val="30"/>
        </w:rPr>
        <w:t>：广元市利州区。</w:t>
      </w:r>
    </w:p>
    <w:p>
      <w:pPr>
        <w:spacing w:line="360" w:lineRule="auto"/>
        <w:ind w:firstLine="602" w:firstLineChars="200"/>
        <w:rPr>
          <w:rFonts w:ascii="仿宋_GB2312" w:hAnsi="Calibri" w:eastAsia="仿宋_GB2312"/>
          <w:sz w:val="32"/>
          <w:szCs w:val="32"/>
        </w:rPr>
      </w:pPr>
      <w:r>
        <w:rPr>
          <w:rFonts w:eastAsia="仿宋_GB2312"/>
          <w:b/>
          <w:sz w:val="30"/>
          <w:szCs w:val="30"/>
        </w:rPr>
        <w:t>项目</w:t>
      </w:r>
      <w:r>
        <w:rPr>
          <w:rFonts w:hint="eastAsia" w:eastAsia="仿宋_GB2312"/>
          <w:b/>
          <w:sz w:val="30"/>
          <w:szCs w:val="30"/>
        </w:rPr>
        <w:t>实施计划</w:t>
      </w:r>
      <w:r>
        <w:rPr>
          <w:rFonts w:eastAsia="仿宋_GB2312"/>
          <w:b/>
          <w:sz w:val="30"/>
          <w:szCs w:val="30"/>
        </w:rPr>
        <w:t>：</w:t>
      </w:r>
      <w:r>
        <w:rPr>
          <w:rFonts w:hint="eastAsia" w:ascii="Times New Roman" w:hAnsi="Times New Roman" w:eastAsia="仿宋_GB2312" w:cs="Times New Roman"/>
          <w:sz w:val="30"/>
          <w:szCs w:val="30"/>
        </w:rPr>
        <w:t>36个月，即2021年1月～2023年12月。</w:t>
      </w:r>
    </w:p>
    <w:p>
      <w:pPr>
        <w:spacing w:line="360" w:lineRule="auto"/>
        <w:ind w:firstLine="602" w:firstLineChars="200"/>
        <w:rPr>
          <w:rFonts w:hint="eastAsia" w:ascii="Times New Roman" w:hAnsi="Times New Roman" w:eastAsia="仿宋_GB2312" w:cs="Times New Roman"/>
          <w:sz w:val="30"/>
          <w:szCs w:val="30"/>
        </w:rPr>
      </w:pPr>
      <w:r>
        <w:rPr>
          <w:rFonts w:eastAsia="仿宋_GB2312"/>
          <w:b/>
          <w:sz w:val="30"/>
          <w:szCs w:val="30"/>
        </w:rPr>
        <w:t>项目建设内容：</w:t>
      </w:r>
      <w:r>
        <w:rPr>
          <w:rFonts w:hint="eastAsia" w:ascii="Times New Roman" w:hAnsi="Times New Roman" w:eastAsia="仿宋_GB2312" w:cs="Times New Roman"/>
          <w:sz w:val="30"/>
          <w:szCs w:val="30"/>
        </w:rPr>
        <w:t>本项目为广元市利州区女皇故里景区旅游基础设施项目，项目建设主要包括：龙潭合院游客接待中心、芳香南山游客接待中心、龙潭桃花园观光环线道路工程、天曌山国家级森林公园建设项目、月坝景区建设项目等。其具体规模如下：</w:t>
      </w:r>
    </w:p>
    <w:p>
      <w:pPr>
        <w:spacing w:line="36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1、龙潭合院游客接待中心占地35403.87平方米，在内部新建1栋游客接待中心，总建筑面积为14019.84平方米，并配套农业生产示范基地、素质拓展训练基地、儿童娱乐基地等；</w:t>
      </w:r>
    </w:p>
    <w:p>
      <w:pPr>
        <w:spacing w:line="36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2、在芳香南山新建一座游客接待中心，拟占地36411.04 平方米，新建建筑面积9631.04平方米；</w:t>
      </w:r>
    </w:p>
    <w:p>
      <w:pPr>
        <w:spacing w:line="36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3、新建一条龙潭桃花园观光环线道路，道路面积为63130平方米；</w:t>
      </w:r>
    </w:p>
    <w:p>
      <w:pPr>
        <w:spacing w:line="36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4、天曌山国家级森林公园建设项目，总占地169000平方米，新建建筑面积40933平方米，拟建设游客服务中心、森林公园展览厅、服务中心、停车场、天曌山旅游景区道路4.8公里等。</w:t>
      </w:r>
    </w:p>
    <w:p>
      <w:pPr>
        <w:ind w:firstLine="602"/>
        <w:rPr>
          <w:rFonts w:hint="eastAsia" w:ascii="宋体" w:hAnsi="宋体" w:eastAsia="宋体"/>
          <w:b/>
        </w:rPr>
      </w:pPr>
      <w:r>
        <w:rPr>
          <w:rFonts w:hint="eastAsia" w:ascii="Times New Roman" w:hAnsi="Times New Roman" w:eastAsia="仿宋_GB2312" w:cs="Times New Roman"/>
          <w:sz w:val="30"/>
          <w:szCs w:val="30"/>
        </w:rPr>
        <w:t>5、月坝景区建设项目，拟占地14282.53平方米，建筑面积为14000平方米，并配套一个2723.2平方米的生态停车场。</w:t>
      </w:r>
      <w:r>
        <w:rPr>
          <w:rFonts w:hint="eastAsia" w:ascii="宋体" w:hAnsi="宋体" w:eastAsia="宋体"/>
          <w:b/>
        </w:rPr>
        <w:t>二、</w:t>
      </w:r>
    </w:p>
    <w:p>
      <w:pPr>
        <w:ind w:firstLine="602"/>
        <w:rPr>
          <w:rFonts w:hint="eastAsia" w:ascii="宋体" w:hAnsi="宋体" w:eastAsia="宋体"/>
          <w:b/>
        </w:rPr>
      </w:pPr>
    </w:p>
    <w:p>
      <w:pPr>
        <w:ind w:firstLine="602"/>
        <w:rPr>
          <w:rFonts w:ascii="宋体" w:hAnsi="宋体" w:eastAsia="宋体"/>
          <w:b/>
        </w:rPr>
      </w:pPr>
      <w:r>
        <w:rPr>
          <w:rFonts w:hint="eastAsia" w:ascii="宋体" w:hAnsi="宋体" w:eastAsia="宋体"/>
          <w:b/>
        </w:rPr>
        <w:t>经济社会效益分析</w:t>
      </w:r>
    </w:p>
    <w:p>
      <w:pPr>
        <w:spacing w:line="360" w:lineRule="auto"/>
        <w:ind w:firstLine="602" w:firstLineChars="200"/>
        <w:rPr>
          <w:rFonts w:eastAsia="仿宋_GB2312"/>
          <w:sz w:val="30"/>
          <w:szCs w:val="30"/>
        </w:rPr>
      </w:pPr>
      <w:r>
        <w:rPr>
          <w:rFonts w:hint="eastAsia" w:ascii="宋体" w:hAnsi="宋体" w:eastAsia="宋体"/>
          <w:b/>
        </w:rPr>
        <w:t>经济效益分析：</w:t>
      </w:r>
      <w:r>
        <w:rPr>
          <w:rFonts w:eastAsia="仿宋_GB2312"/>
          <w:sz w:val="30"/>
          <w:szCs w:val="30"/>
        </w:rPr>
        <w:t>通过项目实施，整合和开发</w:t>
      </w:r>
      <w:r>
        <w:rPr>
          <w:rFonts w:hint="eastAsia" w:eastAsia="仿宋_GB2312"/>
          <w:sz w:val="30"/>
          <w:szCs w:val="30"/>
        </w:rPr>
        <w:t>景区</w:t>
      </w:r>
      <w:r>
        <w:rPr>
          <w:rFonts w:eastAsia="仿宋_GB2312"/>
          <w:sz w:val="30"/>
          <w:szCs w:val="30"/>
        </w:rPr>
        <w:t>文化资源和产品，延长旅游产业链，丰富旅游产品内容。把项目区内丰富的旅游资源转化为旅游产业，培育成为</w:t>
      </w:r>
      <w:r>
        <w:rPr>
          <w:rFonts w:hint="eastAsia" w:eastAsia="仿宋_GB2312"/>
          <w:sz w:val="30"/>
          <w:szCs w:val="30"/>
        </w:rPr>
        <w:t>广元市</w:t>
      </w:r>
      <w:r>
        <w:rPr>
          <w:rFonts w:eastAsia="仿宋_GB2312"/>
          <w:sz w:val="30"/>
          <w:szCs w:val="30"/>
        </w:rPr>
        <w:t>新的经济增长点，能给</w:t>
      </w:r>
      <w:r>
        <w:rPr>
          <w:rFonts w:hint="eastAsia" w:eastAsia="仿宋_GB2312"/>
          <w:sz w:val="30"/>
          <w:szCs w:val="30"/>
        </w:rPr>
        <w:t>广元市</w:t>
      </w:r>
      <w:r>
        <w:rPr>
          <w:rFonts w:eastAsia="仿宋_GB2312"/>
          <w:sz w:val="30"/>
          <w:szCs w:val="30"/>
        </w:rPr>
        <w:t>带来明显的经济效益。同时也将拉动项目区周边旅游相关产业的发展和繁荣，还可以积极解决部分农村剩余劳动力的就业问题，将大部份当地农村贫困人口转移到旅游行业中来，给当地农村人口带来较为丰厚的经济收入，真正实现社会经济发展和群众增收“双赢”的目标。</w:t>
      </w:r>
    </w:p>
    <w:p>
      <w:pPr>
        <w:spacing w:line="360" w:lineRule="auto"/>
        <w:ind w:firstLine="600" w:firstLineChars="200"/>
        <w:rPr>
          <w:rFonts w:eastAsia="仿宋_GB2312"/>
          <w:sz w:val="30"/>
          <w:szCs w:val="30"/>
        </w:rPr>
      </w:pPr>
      <w:r>
        <w:rPr>
          <w:rFonts w:eastAsia="仿宋_GB2312"/>
          <w:sz w:val="30"/>
          <w:szCs w:val="30"/>
        </w:rPr>
        <w:t>本项目实施的过程中将吸引数百名劳动力投入到工程建设中来， 增加了当地施工企业、建材加工业及餐饮服务等行业的就业人数和收入，因而有效地带动</w:t>
      </w:r>
      <w:r>
        <w:rPr>
          <w:rFonts w:hint="eastAsia" w:eastAsia="仿宋_GB2312"/>
          <w:sz w:val="30"/>
          <w:szCs w:val="30"/>
        </w:rPr>
        <w:t>广元</w:t>
      </w:r>
      <w:r>
        <w:rPr>
          <w:rFonts w:eastAsia="仿宋_GB2312"/>
          <w:sz w:val="30"/>
          <w:szCs w:val="30"/>
        </w:rPr>
        <w:t>区域经济的发展。项目建成后还将直接提供餐饮、服务、清洁环保等相关就业岗位，间接的增加交通运输、商贸餐饮、文化旅游服务等相关行业的从业人员，在一定程度上直接或间接地为本地解决上百人的就业机会，将对</w:t>
      </w:r>
      <w:r>
        <w:rPr>
          <w:rFonts w:hint="eastAsia" w:eastAsia="仿宋_GB2312"/>
          <w:sz w:val="30"/>
          <w:szCs w:val="30"/>
        </w:rPr>
        <w:t>广元</w:t>
      </w:r>
      <w:r>
        <w:rPr>
          <w:rFonts w:eastAsia="仿宋_GB2312"/>
          <w:sz w:val="30"/>
          <w:szCs w:val="30"/>
        </w:rPr>
        <w:t>区域经济的增长及维护社会的稳定起到巨大的作用。</w:t>
      </w:r>
    </w:p>
    <w:p>
      <w:pPr>
        <w:spacing w:line="360" w:lineRule="auto"/>
        <w:ind w:firstLine="602" w:firstLineChars="200"/>
        <w:rPr>
          <w:rFonts w:eastAsia="仿宋_GB2312"/>
          <w:sz w:val="30"/>
          <w:szCs w:val="30"/>
        </w:rPr>
      </w:pPr>
      <w:r>
        <w:rPr>
          <w:rFonts w:hint="eastAsia" w:ascii="宋体" w:hAnsi="宋体" w:eastAsia="宋体"/>
          <w:b/>
        </w:rPr>
        <w:t>社会效益分析：</w:t>
      </w:r>
      <w:r>
        <w:rPr>
          <w:rFonts w:eastAsia="仿宋_GB2312"/>
          <w:sz w:val="30"/>
          <w:szCs w:val="30"/>
        </w:rPr>
        <w:t>文化旅游产品一直是旅游业中的主流产品，</w:t>
      </w:r>
      <w:r>
        <w:rPr>
          <w:rFonts w:hint="eastAsia" w:eastAsia="仿宋_GB2312"/>
          <w:sz w:val="30"/>
          <w:szCs w:val="30"/>
        </w:rPr>
        <w:t>广元市</w:t>
      </w:r>
      <w:r>
        <w:rPr>
          <w:rFonts w:eastAsia="仿宋_GB2312"/>
          <w:sz w:val="30"/>
          <w:szCs w:val="30"/>
        </w:rPr>
        <w:t>旅游资源较为丰富，</w:t>
      </w:r>
      <w:r>
        <w:rPr>
          <w:rFonts w:hint="eastAsia" w:eastAsia="仿宋_GB2312"/>
          <w:sz w:val="30"/>
          <w:szCs w:val="30"/>
        </w:rPr>
        <w:t>广元</w:t>
      </w:r>
      <w:r>
        <w:rPr>
          <w:rFonts w:eastAsia="仿宋_GB2312"/>
          <w:sz w:val="30"/>
          <w:szCs w:val="30"/>
        </w:rPr>
        <w:t>市在发展旅游业时，应借助整个四川地区的旅游大势，依托其自身的资源优势，大力发展文化旅游产业，推动当地旅游业的升级。本项目的建设，一方面，可丰富</w:t>
      </w:r>
      <w:r>
        <w:rPr>
          <w:rFonts w:hint="eastAsia" w:eastAsia="仿宋_GB2312"/>
          <w:sz w:val="30"/>
          <w:szCs w:val="30"/>
        </w:rPr>
        <w:t>广元</w:t>
      </w:r>
      <w:r>
        <w:rPr>
          <w:rFonts w:eastAsia="仿宋_GB2312"/>
          <w:sz w:val="30"/>
          <w:szCs w:val="30"/>
        </w:rPr>
        <w:t>市的文化旅游产品配套体系，另一方面，通过项目的多元化开发，建设成为</w:t>
      </w:r>
      <w:r>
        <w:rPr>
          <w:rFonts w:hint="eastAsia" w:eastAsia="仿宋_GB2312"/>
          <w:sz w:val="30"/>
          <w:szCs w:val="30"/>
        </w:rPr>
        <w:t>广元</w:t>
      </w:r>
      <w:r>
        <w:rPr>
          <w:rFonts w:eastAsia="仿宋_GB2312"/>
          <w:sz w:val="30"/>
          <w:szCs w:val="30"/>
        </w:rPr>
        <w:t>文化旅游综合配套产品，从而使</w:t>
      </w:r>
      <w:r>
        <w:rPr>
          <w:rFonts w:hint="eastAsia" w:eastAsia="仿宋_GB2312"/>
          <w:sz w:val="30"/>
          <w:szCs w:val="30"/>
        </w:rPr>
        <w:t>广元</w:t>
      </w:r>
      <w:r>
        <w:rPr>
          <w:rFonts w:eastAsia="仿宋_GB2312"/>
          <w:sz w:val="30"/>
          <w:szCs w:val="30"/>
        </w:rPr>
        <w:t>市的文化旅游实力全面提升。</w:t>
      </w:r>
    </w:p>
    <w:p>
      <w:pPr>
        <w:spacing w:line="360" w:lineRule="auto"/>
        <w:ind w:firstLine="600" w:firstLineChars="200"/>
        <w:rPr>
          <w:rFonts w:eastAsia="仿宋_GB2312"/>
          <w:sz w:val="30"/>
          <w:szCs w:val="30"/>
        </w:rPr>
      </w:pPr>
      <w:r>
        <w:rPr>
          <w:rFonts w:eastAsia="仿宋_GB2312"/>
          <w:sz w:val="30"/>
          <w:szCs w:val="30"/>
        </w:rPr>
        <w:t>项目依托当地富集的人文、农业和自然旅游资源，将整合多个产业，如农业、旅游业、文化产业等，以形成产业集群。</w:t>
      </w:r>
      <w:r>
        <w:rPr>
          <w:rFonts w:hint="eastAsia" w:eastAsia="仿宋_GB2312"/>
          <w:sz w:val="30"/>
          <w:szCs w:val="30"/>
        </w:rPr>
        <w:t>项目</w:t>
      </w:r>
      <w:r>
        <w:rPr>
          <w:rFonts w:eastAsia="仿宋_GB2312"/>
          <w:sz w:val="30"/>
          <w:szCs w:val="30"/>
        </w:rPr>
        <w:t>区的产业构建直接关系城镇的发展。多元化的产业发展，必将推动当地产业结构的调整和升级，从而促进经济的发展。该项目建设不仅可以为</w:t>
      </w:r>
      <w:r>
        <w:rPr>
          <w:rFonts w:hint="eastAsia" w:eastAsia="仿宋_GB2312"/>
          <w:sz w:val="30"/>
          <w:szCs w:val="30"/>
        </w:rPr>
        <w:t>广元市</w:t>
      </w:r>
      <w:r>
        <w:rPr>
          <w:rFonts w:eastAsia="仿宋_GB2312"/>
          <w:sz w:val="30"/>
          <w:szCs w:val="30"/>
        </w:rPr>
        <w:t>及周边地区游客提供一个特色鲜明、功能完善的文化休闲胜地，还将对四川省旅游经济的增长产生较强的联动效应，提升</w:t>
      </w:r>
      <w:r>
        <w:rPr>
          <w:rFonts w:hint="eastAsia" w:eastAsia="仿宋_GB2312"/>
          <w:sz w:val="30"/>
          <w:szCs w:val="30"/>
        </w:rPr>
        <w:t>广元</w:t>
      </w:r>
      <w:r>
        <w:rPr>
          <w:rFonts w:eastAsia="仿宋_GB2312"/>
          <w:sz w:val="30"/>
          <w:szCs w:val="30"/>
        </w:rPr>
        <w:t>市文化旅游业形象和档次。</w:t>
      </w:r>
    </w:p>
    <w:p>
      <w:pPr>
        <w:spacing w:line="240" w:lineRule="auto"/>
        <w:ind w:firstLine="602"/>
        <w:rPr>
          <w:rFonts w:ascii="宋体" w:hAnsi="宋体" w:eastAsia="宋体"/>
        </w:rPr>
      </w:pPr>
    </w:p>
    <w:p>
      <w:pPr>
        <w:ind w:firstLine="602"/>
        <w:rPr>
          <w:rFonts w:ascii="宋体" w:hAnsi="宋体" w:eastAsia="宋体"/>
          <w:b/>
        </w:rPr>
      </w:pPr>
      <w:r>
        <w:rPr>
          <w:rFonts w:hint="eastAsia" w:ascii="宋体" w:hAnsi="宋体" w:eastAsia="宋体"/>
          <w:b/>
        </w:rPr>
        <w:t>三、项目投资估算及资金筹措方案</w:t>
      </w:r>
    </w:p>
    <w:p>
      <w:pPr>
        <w:ind w:firstLine="602"/>
        <w:rPr>
          <w:rFonts w:ascii="宋体" w:hAnsi="宋体" w:eastAsia="宋体"/>
          <w:b/>
        </w:rPr>
      </w:pPr>
      <w:r>
        <w:rPr>
          <w:rFonts w:hint="eastAsia" w:ascii="宋体" w:hAnsi="宋体" w:eastAsia="宋体"/>
          <w:b/>
        </w:rPr>
        <w:t>（一）投资估算</w:t>
      </w:r>
    </w:p>
    <w:p>
      <w:pPr>
        <w:spacing w:line="360" w:lineRule="auto"/>
        <w:ind w:firstLine="600" w:firstLineChars="200"/>
        <w:rPr>
          <w:rFonts w:eastAsia="仿宋_GB2312"/>
          <w:sz w:val="30"/>
          <w:szCs w:val="30"/>
        </w:rPr>
      </w:pPr>
      <w:r>
        <w:rPr>
          <w:rFonts w:hint="eastAsia" w:eastAsia="仿宋_GB2312"/>
          <w:sz w:val="30"/>
          <w:szCs w:val="30"/>
        </w:rPr>
        <w:t>基于本项目经批复的《可研报告》估算构成情况，本项目总投资</w:t>
      </w:r>
      <w:r>
        <w:rPr>
          <w:rFonts w:eastAsia="仿宋_GB2312"/>
          <w:sz w:val="30"/>
          <w:szCs w:val="30"/>
        </w:rPr>
        <w:t>7</w:t>
      </w:r>
      <w:r>
        <w:rPr>
          <w:rFonts w:hint="eastAsia" w:eastAsia="仿宋_GB2312"/>
          <w:sz w:val="30"/>
          <w:szCs w:val="30"/>
        </w:rPr>
        <w:t>0000万元，其中工程建设投资</w:t>
      </w:r>
      <w:r>
        <w:rPr>
          <w:rFonts w:eastAsia="仿宋_GB2312"/>
          <w:sz w:val="30"/>
          <w:szCs w:val="30"/>
        </w:rPr>
        <w:t>66355</w:t>
      </w:r>
      <w:r>
        <w:rPr>
          <w:rFonts w:hint="eastAsia" w:eastAsia="仿宋_GB2312"/>
          <w:sz w:val="30"/>
          <w:szCs w:val="30"/>
        </w:rPr>
        <w:t>万元，占项目总投资的9</w:t>
      </w:r>
      <w:r>
        <w:rPr>
          <w:rFonts w:eastAsia="仿宋_GB2312"/>
          <w:sz w:val="30"/>
          <w:szCs w:val="30"/>
        </w:rPr>
        <w:t>4.97</w:t>
      </w:r>
      <w:r>
        <w:rPr>
          <w:rFonts w:hint="eastAsia" w:eastAsia="仿宋_GB2312"/>
          <w:sz w:val="30"/>
          <w:szCs w:val="30"/>
        </w:rPr>
        <w:t>%；建设期利息费</w:t>
      </w:r>
      <w:r>
        <w:rPr>
          <w:rFonts w:eastAsia="仿宋_GB2312"/>
          <w:sz w:val="30"/>
          <w:szCs w:val="30"/>
        </w:rPr>
        <w:t>3600</w:t>
      </w:r>
      <w:r>
        <w:rPr>
          <w:rFonts w:hint="eastAsia" w:eastAsia="仿宋_GB2312"/>
          <w:sz w:val="30"/>
          <w:szCs w:val="30"/>
        </w:rPr>
        <w:t>万元，</w:t>
      </w:r>
      <w:r>
        <w:rPr>
          <w:rFonts w:eastAsia="仿宋_GB2312"/>
          <w:sz w:val="30"/>
          <w:szCs w:val="30"/>
        </w:rPr>
        <w:t>占总投资比例为5.14%；</w:t>
      </w:r>
      <w:r>
        <w:rPr>
          <w:rFonts w:hint="eastAsia" w:eastAsia="仿宋_GB2312"/>
          <w:sz w:val="30"/>
          <w:szCs w:val="30"/>
        </w:rPr>
        <w:t>债券发行费为</w:t>
      </w:r>
      <w:r>
        <w:rPr>
          <w:rFonts w:eastAsia="仿宋_GB2312"/>
          <w:sz w:val="30"/>
          <w:szCs w:val="30"/>
        </w:rPr>
        <w:t>45</w:t>
      </w:r>
      <w:r>
        <w:rPr>
          <w:rFonts w:hint="eastAsia" w:eastAsia="仿宋_GB2312"/>
          <w:sz w:val="30"/>
          <w:szCs w:val="30"/>
        </w:rPr>
        <w:t>万元，</w:t>
      </w:r>
      <w:r>
        <w:rPr>
          <w:rFonts w:eastAsia="仿宋_GB2312"/>
          <w:sz w:val="30"/>
          <w:szCs w:val="30"/>
        </w:rPr>
        <w:t>占总投资比例为0.06%</w:t>
      </w:r>
      <w:r>
        <w:rPr>
          <w:rFonts w:hint="eastAsia" w:eastAsia="仿宋_GB2312"/>
          <w:sz w:val="30"/>
          <w:szCs w:val="30"/>
        </w:rPr>
        <w:t>。</w:t>
      </w:r>
    </w:p>
    <w:p>
      <w:pPr>
        <w:ind w:firstLine="602"/>
        <w:rPr>
          <w:rFonts w:ascii="宋体" w:hAnsi="宋体" w:eastAsia="宋体"/>
          <w:b/>
        </w:rPr>
      </w:pPr>
      <w:r>
        <w:rPr>
          <w:rFonts w:hint="eastAsia" w:ascii="宋体" w:hAnsi="宋体" w:eastAsia="宋体"/>
          <w:b/>
        </w:rPr>
        <w:t>（二）资金筹措方案</w:t>
      </w:r>
    </w:p>
    <w:p>
      <w:pPr>
        <w:pStyle w:val="4"/>
        <w:tabs>
          <w:tab w:val="left" w:pos="310"/>
        </w:tabs>
        <w:spacing w:beforeLines="0" w:afterLines="0" w:line="560" w:lineRule="exact"/>
        <w:ind w:firstLine="643" w:firstLineChars="200"/>
        <w:rPr>
          <w:rFonts w:ascii="Times New Roman" w:hAnsi="Times New Roman"/>
          <w:bCs/>
          <w:lang w:val="en-US"/>
        </w:rPr>
      </w:pPr>
      <w:bookmarkStart w:id="0" w:name="_Toc498385729"/>
      <w:bookmarkStart w:id="1" w:name="_Toc498385061"/>
      <w:bookmarkStart w:id="2" w:name="_Toc70586973"/>
      <w:r>
        <w:rPr>
          <w:rFonts w:ascii="Times New Roman" w:hAnsi="Times New Roman"/>
          <w:bCs/>
          <w:lang w:val="en-US"/>
        </w:rPr>
        <w:t>1.资金来源</w:t>
      </w:r>
      <w:bookmarkEnd w:id="0"/>
      <w:bookmarkEnd w:id="1"/>
      <w:bookmarkEnd w:id="2"/>
    </w:p>
    <w:p>
      <w:pPr>
        <w:spacing w:line="360" w:lineRule="auto"/>
        <w:ind w:firstLine="600" w:firstLineChars="200"/>
        <w:rPr>
          <w:rFonts w:eastAsia="仿宋_GB2312"/>
          <w:sz w:val="30"/>
          <w:szCs w:val="30"/>
        </w:rPr>
      </w:pPr>
      <w:r>
        <w:rPr>
          <w:rFonts w:eastAsia="仿宋_GB2312"/>
          <w:sz w:val="30"/>
          <w:szCs w:val="30"/>
        </w:rPr>
        <w:t>资本金来源：本项目总投资为70000万元，其中资本金25000万元，占总投资的35.71%。资金来源：资本金来源于</w:t>
      </w:r>
      <w:r>
        <w:rPr>
          <w:rFonts w:hint="eastAsia" w:eastAsia="仿宋_GB2312"/>
          <w:sz w:val="30"/>
          <w:szCs w:val="30"/>
        </w:rPr>
        <w:t>项目业主</w:t>
      </w:r>
      <w:r>
        <w:rPr>
          <w:rFonts w:eastAsia="仿宋_GB2312"/>
          <w:sz w:val="30"/>
          <w:szCs w:val="30"/>
        </w:rPr>
        <w:t>自筹</w:t>
      </w:r>
      <w:r>
        <w:rPr>
          <w:rFonts w:hint="eastAsia" w:eastAsia="仿宋_GB2312"/>
          <w:sz w:val="30"/>
          <w:szCs w:val="30"/>
        </w:rPr>
        <w:t>资金</w:t>
      </w:r>
      <w:r>
        <w:rPr>
          <w:rFonts w:eastAsia="仿宋_GB2312"/>
          <w:sz w:val="30"/>
          <w:szCs w:val="30"/>
        </w:rPr>
        <w:t>，项目资本金按照项目实际实施进度分年度到位。</w:t>
      </w:r>
    </w:p>
    <w:p>
      <w:pPr>
        <w:pStyle w:val="4"/>
        <w:tabs>
          <w:tab w:val="left" w:pos="310"/>
        </w:tabs>
        <w:spacing w:beforeLines="0" w:afterLines="0" w:line="560" w:lineRule="exact"/>
        <w:ind w:firstLine="643" w:firstLineChars="200"/>
        <w:rPr>
          <w:rFonts w:ascii="Times New Roman" w:hAnsi="Times New Roman"/>
          <w:bCs/>
          <w:lang w:val="en-US"/>
        </w:rPr>
      </w:pPr>
      <w:bookmarkStart w:id="3" w:name="_Toc70586974"/>
      <w:r>
        <w:rPr>
          <w:rFonts w:ascii="Times New Roman" w:hAnsi="Times New Roman"/>
          <w:bCs/>
          <w:lang w:val="en-US"/>
        </w:rPr>
        <w:t>2.融资计划</w:t>
      </w:r>
      <w:bookmarkEnd w:id="3"/>
    </w:p>
    <w:p>
      <w:pPr>
        <w:spacing w:line="360" w:lineRule="auto"/>
        <w:ind w:firstLine="600" w:firstLineChars="200"/>
        <w:rPr>
          <w:rFonts w:eastAsia="仿宋_GB2312"/>
          <w:sz w:val="30"/>
          <w:szCs w:val="30"/>
        </w:rPr>
      </w:pPr>
      <w:r>
        <w:rPr>
          <w:rFonts w:eastAsia="仿宋_GB2312"/>
          <w:sz w:val="30"/>
          <w:szCs w:val="30"/>
        </w:rPr>
        <w:t>融资来源：计划发行10</w:t>
      </w:r>
      <w:r>
        <w:rPr>
          <w:rFonts w:hint="eastAsia" w:eastAsia="仿宋_GB2312"/>
          <w:sz w:val="30"/>
          <w:szCs w:val="30"/>
        </w:rPr>
        <w:t>年期</w:t>
      </w:r>
      <w:r>
        <w:rPr>
          <w:rFonts w:eastAsia="仿宋_GB2312"/>
          <w:sz w:val="30"/>
          <w:szCs w:val="30"/>
        </w:rPr>
        <w:t>专项债券融资45000万元，占项目资金筹措总额的64.29%。根据资金使用计划，拟分3年发行，其中</w:t>
      </w:r>
      <w:r>
        <w:rPr>
          <w:rFonts w:hint="eastAsia" w:eastAsia="仿宋_GB2312"/>
          <w:sz w:val="30"/>
          <w:szCs w:val="30"/>
        </w:rPr>
        <w:t>计划</w:t>
      </w:r>
      <w:r>
        <w:rPr>
          <w:rFonts w:eastAsia="仿宋_GB2312"/>
          <w:sz w:val="30"/>
          <w:szCs w:val="30"/>
        </w:rPr>
        <w:t>2021年发行10年期债券</w:t>
      </w:r>
      <w:r>
        <w:rPr>
          <w:rFonts w:hint="eastAsia" w:eastAsia="仿宋_GB2312"/>
          <w:sz w:val="30"/>
          <w:szCs w:val="30"/>
        </w:rPr>
        <w:t>1</w:t>
      </w:r>
      <w:r>
        <w:rPr>
          <w:rFonts w:eastAsia="仿宋_GB2312"/>
          <w:sz w:val="30"/>
          <w:szCs w:val="30"/>
        </w:rPr>
        <w:t>5000万元、2022年发行10年期</w:t>
      </w:r>
      <w:r>
        <w:rPr>
          <w:rFonts w:hint="eastAsia" w:eastAsia="仿宋_GB2312"/>
          <w:sz w:val="30"/>
          <w:szCs w:val="30"/>
        </w:rPr>
        <w:t>专项</w:t>
      </w:r>
      <w:r>
        <w:rPr>
          <w:rFonts w:eastAsia="仿宋_GB2312"/>
          <w:sz w:val="30"/>
          <w:szCs w:val="30"/>
        </w:rPr>
        <w:t>债券</w:t>
      </w:r>
      <w:r>
        <w:rPr>
          <w:rFonts w:hint="eastAsia" w:eastAsia="仿宋_GB2312"/>
          <w:sz w:val="30"/>
          <w:szCs w:val="30"/>
        </w:rPr>
        <w:t>筹资</w:t>
      </w:r>
      <w:r>
        <w:rPr>
          <w:rFonts w:eastAsia="仿宋_GB2312"/>
          <w:sz w:val="30"/>
          <w:szCs w:val="30"/>
        </w:rPr>
        <w:t>15000万元、2023年发行10年期</w:t>
      </w:r>
      <w:r>
        <w:rPr>
          <w:rFonts w:hint="eastAsia" w:eastAsia="仿宋_GB2312"/>
          <w:sz w:val="30"/>
          <w:szCs w:val="30"/>
        </w:rPr>
        <w:t>专项</w:t>
      </w:r>
      <w:r>
        <w:rPr>
          <w:rFonts w:eastAsia="仿宋_GB2312"/>
          <w:sz w:val="30"/>
          <w:szCs w:val="30"/>
        </w:rPr>
        <w:t>债券</w:t>
      </w:r>
      <w:r>
        <w:rPr>
          <w:rFonts w:hint="eastAsia" w:eastAsia="仿宋_GB2312"/>
          <w:sz w:val="30"/>
          <w:szCs w:val="30"/>
        </w:rPr>
        <w:t>筹资</w:t>
      </w:r>
      <w:r>
        <w:rPr>
          <w:rFonts w:eastAsia="仿宋_GB2312"/>
          <w:sz w:val="30"/>
          <w:szCs w:val="30"/>
        </w:rPr>
        <w:t xml:space="preserve">15000万元。 </w:t>
      </w:r>
    </w:p>
    <w:p>
      <w:pPr>
        <w:pStyle w:val="4"/>
        <w:tabs>
          <w:tab w:val="left" w:pos="310"/>
        </w:tabs>
        <w:spacing w:beforeLines="0" w:afterLines="0" w:line="560" w:lineRule="exact"/>
        <w:ind w:firstLine="643" w:firstLineChars="200"/>
        <w:rPr>
          <w:rFonts w:ascii="Times New Roman" w:hAnsi="Times New Roman"/>
          <w:bCs/>
          <w:lang w:val="en-US"/>
        </w:rPr>
      </w:pPr>
      <w:bookmarkStart w:id="4" w:name="_Toc70586975"/>
      <w:r>
        <w:rPr>
          <w:rFonts w:ascii="Times New Roman" w:hAnsi="Times New Roman"/>
          <w:bCs/>
          <w:lang w:val="en-US"/>
        </w:rPr>
        <w:t>3.资金使用计划</w:t>
      </w:r>
      <w:bookmarkEnd w:id="4"/>
    </w:p>
    <w:p>
      <w:pPr>
        <w:spacing w:line="360" w:lineRule="auto"/>
        <w:ind w:firstLine="594" w:firstLineChars="198"/>
        <w:rPr>
          <w:rFonts w:ascii="Times New Roman" w:hAnsi="Times New Roman" w:eastAsia="仿宋_GB2312"/>
          <w:sz w:val="32"/>
          <w:szCs w:val="32"/>
        </w:rPr>
      </w:pPr>
      <w:r>
        <w:rPr>
          <w:rFonts w:eastAsia="仿宋_GB2312"/>
          <w:sz w:val="30"/>
          <w:szCs w:val="30"/>
        </w:rPr>
        <w:t>本项目</w:t>
      </w:r>
      <w:r>
        <w:rPr>
          <w:rFonts w:hint="eastAsia" w:eastAsia="仿宋_GB2312"/>
          <w:sz w:val="30"/>
          <w:szCs w:val="30"/>
        </w:rPr>
        <w:t>总投资</w:t>
      </w:r>
      <w:r>
        <w:rPr>
          <w:rFonts w:eastAsia="仿宋_GB2312"/>
          <w:sz w:val="30"/>
          <w:szCs w:val="30"/>
        </w:rPr>
        <w:t>7</w:t>
      </w:r>
      <w:r>
        <w:rPr>
          <w:rFonts w:hint="eastAsia" w:eastAsia="仿宋_GB2312"/>
          <w:sz w:val="30"/>
          <w:szCs w:val="30"/>
        </w:rPr>
        <w:t>0000万元</w:t>
      </w:r>
      <w:r>
        <w:rPr>
          <w:rFonts w:eastAsia="仿宋_GB2312"/>
          <w:sz w:val="30"/>
          <w:szCs w:val="30"/>
        </w:rPr>
        <w:t>；</w:t>
      </w:r>
      <w:r>
        <w:rPr>
          <w:rFonts w:ascii="仿宋_GB2312" w:hAnsi="Calibri" w:eastAsia="仿宋_GB2312"/>
          <w:sz w:val="32"/>
          <w:szCs w:val="32"/>
        </w:rPr>
        <w:t>2021年</w:t>
      </w:r>
      <w:r>
        <w:rPr>
          <w:rFonts w:hint="eastAsia" w:ascii="仿宋_GB2312" w:hAnsi="Calibri" w:eastAsia="仿宋_GB2312"/>
          <w:sz w:val="32"/>
          <w:szCs w:val="32"/>
        </w:rPr>
        <w:t>计划</w:t>
      </w:r>
      <w:r>
        <w:rPr>
          <w:rFonts w:ascii="仿宋_GB2312" w:hAnsi="Calibri" w:eastAsia="仿宋_GB2312"/>
          <w:sz w:val="32"/>
          <w:szCs w:val="32"/>
        </w:rPr>
        <w:t>投资23000万元，其中资本金投入8000万元、发行专项债券筹资</w:t>
      </w:r>
      <w:r>
        <w:rPr>
          <w:rFonts w:hint="eastAsia" w:ascii="仿宋_GB2312" w:hAnsi="Calibri" w:eastAsia="仿宋_GB2312"/>
          <w:sz w:val="32"/>
          <w:szCs w:val="32"/>
        </w:rPr>
        <w:t>15</w:t>
      </w:r>
      <w:r>
        <w:rPr>
          <w:rFonts w:ascii="仿宋_GB2312" w:hAnsi="Calibri" w:eastAsia="仿宋_GB2312"/>
          <w:sz w:val="32"/>
          <w:szCs w:val="32"/>
        </w:rPr>
        <w:t>000万元；202</w:t>
      </w:r>
      <w:r>
        <w:rPr>
          <w:rFonts w:hint="eastAsia" w:ascii="仿宋_GB2312" w:hAnsi="Calibri" w:eastAsia="仿宋_GB2312"/>
          <w:sz w:val="32"/>
          <w:szCs w:val="32"/>
          <w:lang w:val="en-US" w:eastAsia="zh-CN"/>
        </w:rPr>
        <w:t>2</w:t>
      </w:r>
      <w:r>
        <w:rPr>
          <w:rFonts w:ascii="仿宋_GB2312" w:hAnsi="Calibri" w:eastAsia="仿宋_GB2312"/>
          <w:sz w:val="32"/>
          <w:szCs w:val="32"/>
        </w:rPr>
        <w:t>年</w:t>
      </w:r>
      <w:r>
        <w:rPr>
          <w:rFonts w:hint="eastAsia" w:ascii="仿宋_GB2312" w:hAnsi="Calibri" w:eastAsia="仿宋_GB2312"/>
          <w:sz w:val="32"/>
          <w:szCs w:val="32"/>
        </w:rPr>
        <w:t>计划</w:t>
      </w:r>
      <w:r>
        <w:rPr>
          <w:rFonts w:ascii="仿宋_GB2312" w:hAnsi="Calibri" w:eastAsia="仿宋_GB2312"/>
          <w:sz w:val="32"/>
          <w:szCs w:val="32"/>
        </w:rPr>
        <w:t>投资</w:t>
      </w:r>
      <w:r>
        <w:rPr>
          <w:rFonts w:hint="eastAsia" w:ascii="仿宋_GB2312" w:hAnsi="Calibri" w:eastAsia="仿宋_GB2312"/>
          <w:sz w:val="32"/>
          <w:szCs w:val="32"/>
        </w:rPr>
        <w:t>2</w:t>
      </w:r>
      <w:r>
        <w:rPr>
          <w:rFonts w:ascii="仿宋_GB2312" w:hAnsi="Calibri" w:eastAsia="仿宋_GB2312"/>
          <w:sz w:val="32"/>
          <w:szCs w:val="32"/>
        </w:rPr>
        <w:t>3000万元，其中资本金投入8000万元、发行专项债券筹资15000万元；2023年</w:t>
      </w:r>
      <w:r>
        <w:rPr>
          <w:rFonts w:hint="eastAsia" w:ascii="仿宋_GB2312" w:hAnsi="Calibri" w:eastAsia="仿宋_GB2312"/>
          <w:sz w:val="32"/>
          <w:szCs w:val="32"/>
        </w:rPr>
        <w:t>计划</w:t>
      </w:r>
      <w:r>
        <w:rPr>
          <w:rFonts w:ascii="仿宋_GB2312" w:hAnsi="Calibri" w:eastAsia="仿宋_GB2312"/>
          <w:sz w:val="32"/>
          <w:szCs w:val="32"/>
        </w:rPr>
        <w:t>投资24000万元，其中资本金投入9000万元、发行专项债券筹资15000万元。</w:t>
      </w:r>
    </w:p>
    <w:p>
      <w:pPr>
        <w:spacing w:line="360" w:lineRule="auto"/>
        <w:ind w:firstLine="600" w:firstLineChars="200"/>
        <w:rPr>
          <w:rFonts w:eastAsia="仿宋_GB2312"/>
          <w:sz w:val="30"/>
          <w:szCs w:val="30"/>
        </w:rPr>
      </w:pPr>
      <w:r>
        <w:rPr>
          <w:rFonts w:eastAsia="仿宋_GB2312"/>
          <w:sz w:val="30"/>
          <w:szCs w:val="30"/>
        </w:rPr>
        <w:t>本项目资本金25000万元，其中3600万元用于支付建设期债券利息，45万元用于支付债券发行费用，21355万元用于项目建设投资。本项目建设期债券利息和发行费用全部由资本金支付。</w:t>
      </w:r>
    </w:p>
    <w:p>
      <w:pPr>
        <w:spacing w:line="360" w:lineRule="auto"/>
        <w:ind w:firstLine="600" w:firstLineChars="200"/>
        <w:rPr>
          <w:rFonts w:asciiTheme="minorEastAsia" w:hAnsiTheme="minorEastAsia"/>
          <w:b/>
          <w:caps/>
          <w:szCs w:val="21"/>
        </w:rPr>
      </w:pPr>
      <w:r>
        <w:rPr>
          <w:rFonts w:eastAsia="仿宋_GB2312"/>
          <w:sz w:val="30"/>
          <w:szCs w:val="30"/>
        </w:rPr>
        <w:t>资金使用和筹措具体安排详见表3-3</w:t>
      </w:r>
    </w:p>
    <w:p>
      <w:pPr>
        <w:spacing w:line="480" w:lineRule="exact"/>
        <w:jc w:val="center"/>
        <w:rPr>
          <w:rFonts w:asciiTheme="minorEastAsia" w:hAnsiTheme="minorEastAsia"/>
          <w:b/>
          <w:caps/>
          <w:szCs w:val="21"/>
        </w:rPr>
      </w:pPr>
    </w:p>
    <w:p>
      <w:pPr>
        <w:spacing w:line="480" w:lineRule="exact"/>
        <w:jc w:val="center"/>
        <w:rPr>
          <w:rFonts w:asciiTheme="minorEastAsia" w:hAnsiTheme="minorEastAsia"/>
          <w:b/>
          <w:caps/>
          <w:szCs w:val="21"/>
        </w:rPr>
      </w:pPr>
      <w:r>
        <w:rPr>
          <w:rFonts w:asciiTheme="minorEastAsia" w:hAnsiTheme="minorEastAsia"/>
          <w:b/>
          <w:caps/>
          <w:szCs w:val="21"/>
        </w:rPr>
        <w:t>资金使用计划表</w:t>
      </w:r>
    </w:p>
    <w:p>
      <w:pPr>
        <w:spacing w:line="240" w:lineRule="atLeast"/>
        <w:rPr>
          <w:rFonts w:asciiTheme="minorEastAsia" w:hAnsiTheme="minorEastAsia"/>
          <w:b/>
          <w:caps/>
          <w:szCs w:val="21"/>
        </w:rPr>
      </w:pPr>
      <w:r>
        <w:rPr>
          <w:rFonts w:asciiTheme="minorEastAsia" w:hAnsiTheme="minorEastAsia"/>
          <w:b/>
          <w:caps/>
          <w:szCs w:val="21"/>
        </w:rPr>
        <w:t>表3-3</w:t>
      </w:r>
    </w:p>
    <w:tbl>
      <w:tblPr>
        <w:tblStyle w:val="10"/>
        <w:tblW w:w="8516" w:type="dxa"/>
        <w:tblInd w:w="0" w:type="dxa"/>
        <w:tblLayout w:type="fixed"/>
        <w:tblCellMar>
          <w:top w:w="0" w:type="dxa"/>
          <w:left w:w="108" w:type="dxa"/>
          <w:bottom w:w="0" w:type="dxa"/>
          <w:right w:w="108" w:type="dxa"/>
        </w:tblCellMar>
      </w:tblPr>
      <w:tblGrid>
        <w:gridCol w:w="836"/>
        <w:gridCol w:w="2394"/>
        <w:gridCol w:w="835"/>
        <w:gridCol w:w="962"/>
        <w:gridCol w:w="1163"/>
        <w:gridCol w:w="1163"/>
        <w:gridCol w:w="1163"/>
      </w:tblGrid>
      <w:tr>
        <w:tblPrEx>
          <w:tblCellMar>
            <w:top w:w="0" w:type="dxa"/>
            <w:left w:w="108" w:type="dxa"/>
            <w:bottom w:w="0" w:type="dxa"/>
            <w:right w:w="108" w:type="dxa"/>
          </w:tblCellMar>
        </w:tblPrEx>
        <w:trPr>
          <w:trHeight w:val="397" w:hRule="atLeast"/>
        </w:trPr>
        <w:tc>
          <w:tcPr>
            <w:tcW w:w="836" w:type="dxa"/>
            <w:tcBorders>
              <w:top w:val="single" w:color="auto" w:sz="4"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2394" w:type="dxa"/>
            <w:tcBorders>
              <w:top w:val="single" w:color="auto" w:sz="4" w:space="0"/>
              <w:left w:val="nil"/>
              <w:bottom w:val="single" w:color="auto" w:sz="8" w:space="0"/>
              <w:right w:val="single" w:color="auto" w:sz="8"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项　　目</w:t>
            </w:r>
          </w:p>
        </w:tc>
        <w:tc>
          <w:tcPr>
            <w:tcW w:w="835" w:type="dxa"/>
            <w:tcBorders>
              <w:top w:val="single" w:color="auto" w:sz="4" w:space="0"/>
              <w:left w:val="nil"/>
              <w:bottom w:val="single" w:color="auto" w:sz="8" w:space="0"/>
              <w:right w:val="single" w:color="auto" w:sz="8"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单位</w:t>
            </w:r>
          </w:p>
        </w:tc>
        <w:tc>
          <w:tcPr>
            <w:tcW w:w="962" w:type="dxa"/>
            <w:tcBorders>
              <w:top w:val="single" w:color="auto" w:sz="4" w:space="0"/>
              <w:left w:val="nil"/>
              <w:bottom w:val="single" w:color="auto" w:sz="8" w:space="0"/>
              <w:right w:val="single" w:color="auto" w:sz="8"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合计</w:t>
            </w:r>
          </w:p>
        </w:tc>
        <w:tc>
          <w:tcPr>
            <w:tcW w:w="1163" w:type="dxa"/>
            <w:tcBorders>
              <w:top w:val="single" w:color="auto" w:sz="4" w:space="0"/>
              <w:left w:val="nil"/>
              <w:bottom w:val="single" w:color="auto" w:sz="8" w:space="0"/>
              <w:right w:val="single" w:color="auto" w:sz="8"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2021年</w:t>
            </w:r>
          </w:p>
        </w:tc>
        <w:tc>
          <w:tcPr>
            <w:tcW w:w="1163" w:type="dxa"/>
            <w:tcBorders>
              <w:top w:val="single" w:color="auto" w:sz="4" w:space="0"/>
              <w:left w:val="nil"/>
              <w:bottom w:val="single" w:color="auto" w:sz="8" w:space="0"/>
              <w:right w:val="single" w:color="auto" w:sz="8"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2022年</w:t>
            </w:r>
          </w:p>
        </w:tc>
        <w:tc>
          <w:tcPr>
            <w:tcW w:w="1163" w:type="dxa"/>
            <w:tcBorders>
              <w:top w:val="single" w:color="auto" w:sz="4" w:space="0"/>
              <w:left w:val="nil"/>
              <w:bottom w:val="single" w:color="auto" w:sz="8" w:space="0"/>
              <w:right w:val="single" w:color="auto" w:sz="8"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2023年</w:t>
            </w:r>
          </w:p>
        </w:tc>
      </w:tr>
      <w:tr>
        <w:tblPrEx>
          <w:tblCellMar>
            <w:top w:w="0" w:type="dxa"/>
            <w:left w:w="108" w:type="dxa"/>
            <w:bottom w:w="0" w:type="dxa"/>
            <w:right w:w="108" w:type="dxa"/>
          </w:tblCellMar>
        </w:tblPrEx>
        <w:trPr>
          <w:trHeight w:val="397" w:hRule="atLeast"/>
        </w:trPr>
        <w:tc>
          <w:tcPr>
            <w:tcW w:w="836"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w:t>
            </w:r>
          </w:p>
        </w:tc>
        <w:tc>
          <w:tcPr>
            <w:tcW w:w="2394"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总投资</w:t>
            </w:r>
          </w:p>
        </w:tc>
        <w:tc>
          <w:tcPr>
            <w:tcW w:w="83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962"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70000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23000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23000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24000</w:t>
            </w:r>
          </w:p>
        </w:tc>
      </w:tr>
      <w:tr>
        <w:tblPrEx>
          <w:tblCellMar>
            <w:top w:w="0" w:type="dxa"/>
            <w:left w:w="108" w:type="dxa"/>
            <w:bottom w:w="0" w:type="dxa"/>
            <w:right w:w="108" w:type="dxa"/>
          </w:tblCellMar>
        </w:tblPrEx>
        <w:trPr>
          <w:trHeight w:val="397" w:hRule="atLeast"/>
        </w:trPr>
        <w:tc>
          <w:tcPr>
            <w:tcW w:w="836"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1</w:t>
            </w:r>
          </w:p>
        </w:tc>
        <w:tc>
          <w:tcPr>
            <w:tcW w:w="2394"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工程建设投资</w:t>
            </w:r>
          </w:p>
        </w:tc>
        <w:tc>
          <w:tcPr>
            <w:tcW w:w="83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962"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66355</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22385</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21785</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22185</w:t>
            </w:r>
          </w:p>
        </w:tc>
      </w:tr>
      <w:tr>
        <w:tblPrEx>
          <w:tblCellMar>
            <w:top w:w="0" w:type="dxa"/>
            <w:left w:w="108" w:type="dxa"/>
            <w:bottom w:w="0" w:type="dxa"/>
            <w:right w:w="108" w:type="dxa"/>
          </w:tblCellMar>
        </w:tblPrEx>
        <w:trPr>
          <w:trHeight w:val="397" w:hRule="atLeast"/>
        </w:trPr>
        <w:tc>
          <w:tcPr>
            <w:tcW w:w="836"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2</w:t>
            </w:r>
          </w:p>
        </w:tc>
        <w:tc>
          <w:tcPr>
            <w:tcW w:w="2394"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建设期债券利息</w:t>
            </w:r>
          </w:p>
        </w:tc>
        <w:tc>
          <w:tcPr>
            <w:tcW w:w="83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962"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3600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20"/>
                <w:szCs w:val="20"/>
              </w:rPr>
            </w:pPr>
            <w:r>
              <w:rPr>
                <w:rFonts w:ascii="Times New Roman" w:hAnsi="Times New Roman" w:eastAsia="等线" w:cs="Times New Roman"/>
                <w:color w:val="000000"/>
                <w:kern w:val="0"/>
                <w:sz w:val="20"/>
                <w:szCs w:val="20"/>
              </w:rPr>
              <w:t>600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20"/>
                <w:szCs w:val="20"/>
              </w:rPr>
            </w:pPr>
            <w:r>
              <w:rPr>
                <w:rFonts w:ascii="Times New Roman" w:hAnsi="Times New Roman" w:eastAsia="等线" w:cs="Times New Roman"/>
                <w:color w:val="000000"/>
                <w:kern w:val="0"/>
                <w:sz w:val="20"/>
                <w:szCs w:val="20"/>
              </w:rPr>
              <w:t>1200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20"/>
                <w:szCs w:val="20"/>
              </w:rPr>
            </w:pPr>
            <w:r>
              <w:rPr>
                <w:rFonts w:ascii="Times New Roman" w:hAnsi="Times New Roman" w:eastAsia="等线" w:cs="Times New Roman"/>
                <w:color w:val="000000"/>
                <w:kern w:val="0"/>
                <w:sz w:val="20"/>
                <w:szCs w:val="20"/>
              </w:rPr>
              <w:t>1800</w:t>
            </w:r>
          </w:p>
        </w:tc>
      </w:tr>
      <w:tr>
        <w:tblPrEx>
          <w:tblCellMar>
            <w:top w:w="0" w:type="dxa"/>
            <w:left w:w="108" w:type="dxa"/>
            <w:bottom w:w="0" w:type="dxa"/>
            <w:right w:w="108" w:type="dxa"/>
          </w:tblCellMar>
        </w:tblPrEx>
        <w:trPr>
          <w:trHeight w:val="397" w:hRule="atLeast"/>
        </w:trPr>
        <w:tc>
          <w:tcPr>
            <w:tcW w:w="836"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3</w:t>
            </w:r>
          </w:p>
        </w:tc>
        <w:tc>
          <w:tcPr>
            <w:tcW w:w="2394"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债券发行费用</w:t>
            </w:r>
          </w:p>
        </w:tc>
        <w:tc>
          <w:tcPr>
            <w:tcW w:w="83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962"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45</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20"/>
                <w:szCs w:val="20"/>
              </w:rPr>
            </w:pPr>
            <w:r>
              <w:rPr>
                <w:rFonts w:ascii="Times New Roman" w:hAnsi="Times New Roman" w:eastAsia="等线" w:cs="Times New Roman"/>
                <w:color w:val="000000"/>
                <w:kern w:val="0"/>
                <w:sz w:val="20"/>
                <w:szCs w:val="20"/>
              </w:rPr>
              <w:t>15</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20"/>
                <w:szCs w:val="20"/>
              </w:rPr>
            </w:pPr>
            <w:r>
              <w:rPr>
                <w:rFonts w:ascii="Times New Roman" w:hAnsi="Times New Roman" w:eastAsia="等线" w:cs="Times New Roman"/>
                <w:color w:val="000000"/>
                <w:kern w:val="0"/>
                <w:sz w:val="20"/>
                <w:szCs w:val="20"/>
              </w:rPr>
              <w:t>15</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20"/>
                <w:szCs w:val="20"/>
              </w:rPr>
            </w:pPr>
            <w:r>
              <w:rPr>
                <w:rFonts w:ascii="Times New Roman" w:hAnsi="Times New Roman" w:eastAsia="等线" w:cs="Times New Roman"/>
                <w:color w:val="000000"/>
                <w:kern w:val="0"/>
                <w:sz w:val="20"/>
                <w:szCs w:val="20"/>
              </w:rPr>
              <w:t>15</w:t>
            </w:r>
          </w:p>
        </w:tc>
      </w:tr>
      <w:tr>
        <w:tblPrEx>
          <w:tblCellMar>
            <w:top w:w="0" w:type="dxa"/>
            <w:left w:w="108" w:type="dxa"/>
            <w:bottom w:w="0" w:type="dxa"/>
            <w:right w:w="108" w:type="dxa"/>
          </w:tblCellMar>
        </w:tblPrEx>
        <w:trPr>
          <w:trHeight w:val="397" w:hRule="atLeast"/>
        </w:trPr>
        <w:tc>
          <w:tcPr>
            <w:tcW w:w="836"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w:t>
            </w:r>
          </w:p>
        </w:tc>
        <w:tc>
          <w:tcPr>
            <w:tcW w:w="2394"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资金筹措</w:t>
            </w:r>
          </w:p>
        </w:tc>
        <w:tc>
          <w:tcPr>
            <w:tcW w:w="83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962"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70000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23000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23000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24000</w:t>
            </w:r>
          </w:p>
        </w:tc>
      </w:tr>
      <w:tr>
        <w:tblPrEx>
          <w:tblCellMar>
            <w:top w:w="0" w:type="dxa"/>
            <w:left w:w="108" w:type="dxa"/>
            <w:bottom w:w="0" w:type="dxa"/>
            <w:right w:w="108" w:type="dxa"/>
          </w:tblCellMar>
        </w:tblPrEx>
        <w:trPr>
          <w:trHeight w:val="397" w:hRule="atLeast"/>
        </w:trPr>
        <w:tc>
          <w:tcPr>
            <w:tcW w:w="836"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1</w:t>
            </w:r>
          </w:p>
        </w:tc>
        <w:tc>
          <w:tcPr>
            <w:tcW w:w="2394"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发行债券</w:t>
            </w:r>
          </w:p>
        </w:tc>
        <w:tc>
          <w:tcPr>
            <w:tcW w:w="83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962"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45000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15000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15000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15000</w:t>
            </w:r>
          </w:p>
        </w:tc>
      </w:tr>
      <w:tr>
        <w:tblPrEx>
          <w:tblCellMar>
            <w:top w:w="0" w:type="dxa"/>
            <w:left w:w="108" w:type="dxa"/>
            <w:bottom w:w="0" w:type="dxa"/>
            <w:right w:w="108" w:type="dxa"/>
          </w:tblCellMar>
        </w:tblPrEx>
        <w:trPr>
          <w:trHeight w:val="397" w:hRule="atLeast"/>
        </w:trPr>
        <w:tc>
          <w:tcPr>
            <w:tcW w:w="836"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2</w:t>
            </w:r>
          </w:p>
        </w:tc>
        <w:tc>
          <w:tcPr>
            <w:tcW w:w="2394"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资本金</w:t>
            </w:r>
          </w:p>
        </w:tc>
        <w:tc>
          <w:tcPr>
            <w:tcW w:w="83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962"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25000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8000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8000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9000</w:t>
            </w:r>
          </w:p>
        </w:tc>
      </w:tr>
      <w:tr>
        <w:tblPrEx>
          <w:tblCellMar>
            <w:top w:w="0" w:type="dxa"/>
            <w:left w:w="108" w:type="dxa"/>
            <w:bottom w:w="0" w:type="dxa"/>
            <w:right w:w="108" w:type="dxa"/>
          </w:tblCellMar>
        </w:tblPrEx>
        <w:trPr>
          <w:trHeight w:val="397" w:hRule="atLeast"/>
        </w:trPr>
        <w:tc>
          <w:tcPr>
            <w:tcW w:w="836"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2.1</w:t>
            </w:r>
          </w:p>
        </w:tc>
        <w:tc>
          <w:tcPr>
            <w:tcW w:w="2394"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用于项目投资</w:t>
            </w:r>
          </w:p>
        </w:tc>
        <w:tc>
          <w:tcPr>
            <w:tcW w:w="83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962"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21355</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20"/>
                <w:szCs w:val="20"/>
              </w:rPr>
            </w:pPr>
            <w:r>
              <w:rPr>
                <w:rFonts w:ascii="Times New Roman" w:hAnsi="Times New Roman" w:eastAsia="等线" w:cs="Times New Roman"/>
                <w:color w:val="000000"/>
                <w:kern w:val="0"/>
                <w:sz w:val="20"/>
                <w:szCs w:val="20"/>
              </w:rPr>
              <w:t>7385</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20"/>
                <w:szCs w:val="20"/>
              </w:rPr>
            </w:pPr>
            <w:r>
              <w:rPr>
                <w:rFonts w:ascii="Times New Roman" w:hAnsi="Times New Roman" w:eastAsia="等线" w:cs="Times New Roman"/>
                <w:color w:val="000000"/>
                <w:kern w:val="0"/>
                <w:sz w:val="20"/>
                <w:szCs w:val="20"/>
              </w:rPr>
              <w:t>6785</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20"/>
                <w:szCs w:val="20"/>
              </w:rPr>
            </w:pPr>
            <w:r>
              <w:rPr>
                <w:rFonts w:ascii="Times New Roman" w:hAnsi="Times New Roman" w:eastAsia="等线" w:cs="Times New Roman"/>
                <w:color w:val="000000"/>
                <w:kern w:val="0"/>
                <w:sz w:val="20"/>
                <w:szCs w:val="20"/>
              </w:rPr>
              <w:t>7185</w:t>
            </w:r>
          </w:p>
        </w:tc>
      </w:tr>
      <w:tr>
        <w:tblPrEx>
          <w:tblCellMar>
            <w:top w:w="0" w:type="dxa"/>
            <w:left w:w="108" w:type="dxa"/>
            <w:bottom w:w="0" w:type="dxa"/>
            <w:right w:w="108" w:type="dxa"/>
          </w:tblCellMar>
        </w:tblPrEx>
        <w:trPr>
          <w:trHeight w:val="397" w:hRule="atLeast"/>
        </w:trPr>
        <w:tc>
          <w:tcPr>
            <w:tcW w:w="836"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2.2</w:t>
            </w:r>
          </w:p>
        </w:tc>
        <w:tc>
          <w:tcPr>
            <w:tcW w:w="2394"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用于建设期利息</w:t>
            </w:r>
          </w:p>
        </w:tc>
        <w:tc>
          <w:tcPr>
            <w:tcW w:w="83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962"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3600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20"/>
                <w:szCs w:val="20"/>
              </w:rPr>
            </w:pPr>
            <w:r>
              <w:rPr>
                <w:rFonts w:ascii="Times New Roman" w:hAnsi="Times New Roman" w:eastAsia="等线" w:cs="Times New Roman"/>
                <w:color w:val="000000"/>
                <w:kern w:val="0"/>
                <w:sz w:val="20"/>
                <w:szCs w:val="20"/>
              </w:rPr>
              <w:t>600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20"/>
                <w:szCs w:val="20"/>
              </w:rPr>
            </w:pPr>
            <w:r>
              <w:rPr>
                <w:rFonts w:ascii="Times New Roman" w:hAnsi="Times New Roman" w:eastAsia="等线" w:cs="Times New Roman"/>
                <w:color w:val="000000"/>
                <w:kern w:val="0"/>
                <w:sz w:val="20"/>
                <w:szCs w:val="20"/>
              </w:rPr>
              <w:t>1200</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20"/>
                <w:szCs w:val="20"/>
              </w:rPr>
            </w:pPr>
            <w:r>
              <w:rPr>
                <w:rFonts w:ascii="Times New Roman" w:hAnsi="Times New Roman" w:eastAsia="等线" w:cs="Times New Roman"/>
                <w:color w:val="000000"/>
                <w:kern w:val="0"/>
                <w:sz w:val="20"/>
                <w:szCs w:val="20"/>
              </w:rPr>
              <w:t>1800</w:t>
            </w:r>
          </w:p>
        </w:tc>
      </w:tr>
      <w:tr>
        <w:tblPrEx>
          <w:tblCellMar>
            <w:top w:w="0" w:type="dxa"/>
            <w:left w:w="108" w:type="dxa"/>
            <w:bottom w:w="0" w:type="dxa"/>
            <w:right w:w="108" w:type="dxa"/>
          </w:tblCellMar>
        </w:tblPrEx>
        <w:trPr>
          <w:trHeight w:val="397" w:hRule="atLeast"/>
        </w:trPr>
        <w:tc>
          <w:tcPr>
            <w:tcW w:w="836"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2.3</w:t>
            </w:r>
          </w:p>
        </w:tc>
        <w:tc>
          <w:tcPr>
            <w:tcW w:w="2394"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用于债券发行费用</w:t>
            </w:r>
          </w:p>
        </w:tc>
        <w:tc>
          <w:tcPr>
            <w:tcW w:w="83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962"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45</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20"/>
                <w:szCs w:val="20"/>
              </w:rPr>
            </w:pPr>
            <w:r>
              <w:rPr>
                <w:rFonts w:ascii="Times New Roman" w:hAnsi="Times New Roman" w:eastAsia="等线" w:cs="Times New Roman"/>
                <w:color w:val="000000"/>
                <w:kern w:val="0"/>
                <w:sz w:val="20"/>
                <w:szCs w:val="20"/>
              </w:rPr>
              <w:t>15</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20"/>
                <w:szCs w:val="20"/>
              </w:rPr>
            </w:pPr>
            <w:r>
              <w:rPr>
                <w:rFonts w:ascii="Times New Roman" w:hAnsi="Times New Roman" w:eastAsia="等线" w:cs="Times New Roman"/>
                <w:color w:val="000000"/>
                <w:kern w:val="0"/>
                <w:sz w:val="20"/>
                <w:szCs w:val="20"/>
              </w:rPr>
              <w:t>15</w:t>
            </w:r>
          </w:p>
        </w:tc>
        <w:tc>
          <w:tcPr>
            <w:tcW w:w="116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等线" w:cs="Times New Roman"/>
                <w:color w:val="000000"/>
                <w:kern w:val="0"/>
                <w:sz w:val="20"/>
                <w:szCs w:val="20"/>
              </w:rPr>
            </w:pPr>
            <w:r>
              <w:rPr>
                <w:rFonts w:ascii="Times New Roman" w:hAnsi="Times New Roman" w:eastAsia="等线" w:cs="Times New Roman"/>
                <w:color w:val="000000"/>
                <w:kern w:val="0"/>
                <w:sz w:val="20"/>
                <w:szCs w:val="20"/>
              </w:rPr>
              <w:t>15</w:t>
            </w:r>
          </w:p>
        </w:tc>
      </w:tr>
    </w:tbl>
    <w:p>
      <w:pPr>
        <w:ind w:firstLine="602"/>
        <w:rPr>
          <w:rFonts w:ascii="宋体" w:hAnsi="宋体" w:eastAsia="宋体"/>
          <w:b/>
        </w:rPr>
      </w:pPr>
      <w:r>
        <w:rPr>
          <w:rFonts w:hint="eastAsia" w:ascii="宋体" w:hAnsi="宋体" w:eastAsia="宋体"/>
          <w:b/>
        </w:rPr>
        <w:t>四、项目预期收益、成本及融资平衡情况</w:t>
      </w:r>
    </w:p>
    <w:p>
      <w:pPr>
        <w:ind w:firstLine="602"/>
        <w:rPr>
          <w:rFonts w:ascii="宋体" w:hAnsi="宋体" w:eastAsia="宋体"/>
          <w:b/>
        </w:rPr>
      </w:pPr>
      <w:r>
        <w:rPr>
          <w:rFonts w:hint="eastAsia" w:ascii="宋体" w:hAnsi="宋体" w:eastAsia="宋体"/>
          <w:b/>
        </w:rPr>
        <w:t>（一）预期收益</w:t>
      </w:r>
    </w:p>
    <w:p>
      <w:pPr>
        <w:ind w:firstLine="602"/>
        <w:rPr>
          <w:rFonts w:ascii="宋体" w:hAnsi="宋体" w:eastAsia="宋体"/>
          <w:b/>
        </w:rPr>
      </w:pPr>
      <w:r>
        <w:rPr>
          <w:rFonts w:hint="eastAsia" w:ascii="宋体" w:hAnsi="宋体" w:eastAsia="宋体"/>
          <w:b/>
        </w:rPr>
        <w:t>1.项目收入</w:t>
      </w:r>
    </w:p>
    <w:p>
      <w:pPr>
        <w:spacing w:line="360" w:lineRule="auto"/>
        <w:ind w:firstLine="600" w:firstLineChars="200"/>
        <w:rPr>
          <w:rFonts w:eastAsia="仿宋_GB2312"/>
          <w:sz w:val="30"/>
          <w:szCs w:val="30"/>
        </w:rPr>
      </w:pPr>
      <w:r>
        <w:rPr>
          <w:rFonts w:eastAsia="仿宋_GB2312"/>
          <w:sz w:val="30"/>
          <w:szCs w:val="30"/>
        </w:rPr>
        <w:t>（1）项目收入可行性</w:t>
      </w:r>
    </w:p>
    <w:p>
      <w:pPr>
        <w:spacing w:line="360" w:lineRule="auto"/>
        <w:ind w:firstLine="600" w:firstLineChars="200"/>
        <w:rPr>
          <w:rFonts w:eastAsia="仿宋_GB2312"/>
          <w:sz w:val="30"/>
          <w:szCs w:val="30"/>
        </w:rPr>
      </w:pPr>
      <w:r>
        <w:rPr>
          <w:rFonts w:eastAsia="仿宋_GB2312"/>
          <w:sz w:val="30"/>
          <w:szCs w:val="30"/>
        </w:rPr>
        <w:t>本项目营业收入来源于景区各个功能区的收入。</w:t>
      </w:r>
    </w:p>
    <w:p>
      <w:pPr>
        <w:spacing w:line="360" w:lineRule="auto"/>
        <w:ind w:firstLine="600" w:firstLineChars="200"/>
        <w:rPr>
          <w:rFonts w:eastAsia="仿宋_GB2312"/>
          <w:sz w:val="30"/>
          <w:szCs w:val="30"/>
        </w:rPr>
      </w:pPr>
      <w:r>
        <w:rPr>
          <w:rFonts w:eastAsia="仿宋_GB2312"/>
          <w:sz w:val="30"/>
          <w:szCs w:val="30"/>
        </w:rPr>
        <w:t>本项目收入来源基于项目建设内容，价格参照周边同类项目市场价格进行收入测算。</w:t>
      </w:r>
    </w:p>
    <w:p>
      <w:pPr>
        <w:spacing w:line="360" w:lineRule="auto"/>
        <w:ind w:firstLine="600" w:firstLineChars="200"/>
        <w:rPr>
          <w:rFonts w:eastAsia="仿宋_GB2312"/>
          <w:sz w:val="30"/>
          <w:szCs w:val="30"/>
        </w:rPr>
      </w:pPr>
      <w:r>
        <w:rPr>
          <w:rFonts w:eastAsia="仿宋_GB2312"/>
          <w:sz w:val="30"/>
          <w:szCs w:val="30"/>
        </w:rPr>
        <w:t>（2）项目收入的分类</w:t>
      </w:r>
    </w:p>
    <w:p>
      <w:pPr>
        <w:spacing w:line="360" w:lineRule="auto"/>
        <w:ind w:firstLine="600" w:firstLineChars="200"/>
        <w:rPr>
          <w:rFonts w:eastAsia="仿宋_GB2312"/>
          <w:sz w:val="30"/>
          <w:szCs w:val="30"/>
        </w:rPr>
      </w:pPr>
      <w:r>
        <w:rPr>
          <w:rFonts w:hint="eastAsia" w:eastAsia="仿宋_GB2312"/>
          <w:sz w:val="30"/>
          <w:szCs w:val="30"/>
        </w:rPr>
        <w:t>本项目收入为门票、观光车、农耕文化体验、自营餐饮服务、商业出租、露营地、广告、停车场等收入，属于专项收入</w:t>
      </w:r>
      <w:r>
        <w:rPr>
          <w:rFonts w:eastAsia="仿宋_GB2312"/>
          <w:sz w:val="30"/>
          <w:szCs w:val="30"/>
        </w:rPr>
        <w:t>。</w:t>
      </w:r>
    </w:p>
    <w:p>
      <w:pPr>
        <w:ind w:firstLine="602"/>
        <w:rPr>
          <w:rFonts w:ascii="宋体" w:hAnsi="宋体" w:eastAsia="宋体"/>
          <w:b/>
        </w:rPr>
      </w:pPr>
      <w:r>
        <w:rPr>
          <w:rFonts w:hint="eastAsia" w:ascii="宋体" w:hAnsi="宋体" w:eastAsia="宋体"/>
          <w:b/>
        </w:rPr>
        <w:t>2.项目成本</w:t>
      </w:r>
    </w:p>
    <w:p>
      <w:pPr>
        <w:spacing w:line="360" w:lineRule="auto"/>
        <w:ind w:firstLine="600" w:firstLineChars="200"/>
        <w:rPr>
          <w:rFonts w:eastAsia="仿宋_GB2312"/>
          <w:sz w:val="30"/>
          <w:szCs w:val="30"/>
        </w:rPr>
      </w:pPr>
      <w:r>
        <w:rPr>
          <w:rFonts w:eastAsia="仿宋_GB2312"/>
          <w:sz w:val="30"/>
          <w:szCs w:val="30"/>
        </w:rPr>
        <w:t>根据项目运营情况分析，本项目成本主要为经营期间成本费用、</w:t>
      </w:r>
      <w:r>
        <w:rPr>
          <w:rFonts w:hint="eastAsia" w:eastAsia="仿宋_GB2312"/>
          <w:sz w:val="30"/>
          <w:szCs w:val="30"/>
        </w:rPr>
        <w:t>折旧与摊销、</w:t>
      </w:r>
      <w:r>
        <w:rPr>
          <w:rFonts w:eastAsia="仿宋_GB2312"/>
          <w:sz w:val="30"/>
          <w:szCs w:val="30"/>
        </w:rPr>
        <w:t>债券发行期财务费用等。</w:t>
      </w:r>
    </w:p>
    <w:p>
      <w:pPr>
        <w:spacing w:line="360" w:lineRule="auto"/>
        <w:ind w:firstLine="600" w:firstLineChars="200"/>
        <w:rPr>
          <w:rFonts w:eastAsia="仿宋_GB2312"/>
          <w:sz w:val="30"/>
          <w:szCs w:val="30"/>
        </w:rPr>
      </w:pPr>
      <w:r>
        <w:rPr>
          <w:rFonts w:hint="eastAsia" w:eastAsia="仿宋_GB2312"/>
          <w:sz w:val="30"/>
          <w:szCs w:val="30"/>
        </w:rPr>
        <w:t>（1）经营期成本</w:t>
      </w:r>
    </w:p>
    <w:p>
      <w:pPr>
        <w:spacing w:line="360" w:lineRule="auto"/>
        <w:ind w:firstLine="600" w:firstLineChars="200"/>
        <w:rPr>
          <w:rFonts w:eastAsia="仿宋_GB2312"/>
          <w:sz w:val="30"/>
          <w:szCs w:val="30"/>
        </w:rPr>
      </w:pPr>
      <w:r>
        <w:rPr>
          <w:rFonts w:eastAsia="仿宋_GB2312"/>
          <w:sz w:val="30"/>
          <w:szCs w:val="30"/>
        </w:rPr>
        <w:t>1）</w:t>
      </w:r>
      <w:r>
        <w:rPr>
          <w:rFonts w:hint="eastAsia" w:eastAsia="仿宋_GB2312"/>
          <w:sz w:val="30"/>
          <w:szCs w:val="30"/>
        </w:rPr>
        <w:t>工资及福利</w:t>
      </w:r>
    </w:p>
    <w:p>
      <w:pPr>
        <w:pStyle w:val="5"/>
        <w:spacing w:after="0" w:line="360" w:lineRule="auto"/>
        <w:ind w:firstLine="600" w:firstLineChars="200"/>
        <w:rPr>
          <w:rFonts w:eastAsia="仿宋_GB2312"/>
          <w:sz w:val="30"/>
          <w:szCs w:val="30"/>
        </w:rPr>
      </w:pPr>
      <w:r>
        <w:rPr>
          <w:rFonts w:hint="eastAsia" w:eastAsia="仿宋_GB2312"/>
          <w:sz w:val="30"/>
          <w:szCs w:val="30"/>
        </w:rPr>
        <w:t>——</w:t>
      </w:r>
      <w:r>
        <w:rPr>
          <w:rFonts w:hint="eastAsia" w:ascii="Times New Roman" w:hAnsi="Times New Roman" w:eastAsia="仿宋_GB2312"/>
          <w:sz w:val="30"/>
          <w:szCs w:val="30"/>
        </w:rPr>
        <w:t>根据项目规划情况，本项目设置岗位70个，参照“广元市2019年统计局全市城镇全部单位就业人员平均工资公告”，结合项目实际情况以及周边同类项目标准情况，本项目管理设置岗位</w:t>
      </w:r>
      <w:r>
        <w:rPr>
          <w:rFonts w:ascii="Times New Roman" w:hAnsi="Times New Roman" w:eastAsia="仿宋_GB2312"/>
          <w:sz w:val="30"/>
          <w:szCs w:val="30"/>
        </w:rPr>
        <w:t>1</w:t>
      </w:r>
      <w:r>
        <w:rPr>
          <w:rFonts w:hint="eastAsia" w:ascii="Times New Roman" w:hAnsi="Times New Roman" w:eastAsia="仿宋_GB2312"/>
          <w:sz w:val="30"/>
          <w:szCs w:val="30"/>
        </w:rPr>
        <w:t>5个对应年均工资及福利按照5万/人/年计算，其他55名员工综合按照4.5万元/人/年计算，工资及福利考虑3</w:t>
      </w:r>
      <w:r>
        <w:rPr>
          <w:rFonts w:ascii="Times New Roman" w:hAnsi="Times New Roman" w:eastAsia="仿宋_GB2312"/>
          <w:sz w:val="30"/>
          <w:szCs w:val="30"/>
        </w:rPr>
        <w:t>%</w:t>
      </w:r>
      <w:r>
        <w:rPr>
          <w:rFonts w:hint="eastAsia" w:ascii="Times New Roman" w:hAnsi="Times New Roman" w:eastAsia="仿宋_GB2312"/>
          <w:sz w:val="30"/>
          <w:szCs w:val="30"/>
        </w:rPr>
        <w:t>的年增长率</w:t>
      </w:r>
      <w:r>
        <w:rPr>
          <w:rFonts w:hint="eastAsia" w:eastAsia="仿宋_GB2312"/>
          <w:sz w:val="30"/>
          <w:szCs w:val="30"/>
        </w:rPr>
        <w:t>。</w:t>
      </w:r>
    </w:p>
    <w:p>
      <w:pPr>
        <w:spacing w:line="360" w:lineRule="auto"/>
        <w:ind w:firstLine="600" w:firstLineChars="200"/>
        <w:rPr>
          <w:rFonts w:eastAsia="仿宋_GB2312"/>
          <w:sz w:val="30"/>
          <w:szCs w:val="30"/>
        </w:rPr>
      </w:pPr>
      <w:r>
        <w:rPr>
          <w:rFonts w:hint="eastAsia" w:eastAsia="仿宋_GB2312"/>
          <w:sz w:val="30"/>
          <w:szCs w:val="30"/>
        </w:rPr>
        <w:t>2）营业成本</w:t>
      </w:r>
    </w:p>
    <w:p>
      <w:pPr>
        <w:spacing w:line="360" w:lineRule="auto"/>
        <w:ind w:firstLine="600" w:firstLineChars="200"/>
        <w:rPr>
          <w:rFonts w:eastAsia="仿宋_GB2312"/>
          <w:sz w:val="30"/>
          <w:szCs w:val="30"/>
        </w:rPr>
      </w:pPr>
      <w:r>
        <w:rPr>
          <w:rFonts w:hint="eastAsia" w:eastAsia="仿宋_GB2312"/>
          <w:sz w:val="30"/>
          <w:szCs w:val="30"/>
        </w:rPr>
        <w:t>——门票、旅拍入场、露营成本按照对应收入的10%计算；</w:t>
      </w:r>
    </w:p>
    <w:p>
      <w:pPr>
        <w:spacing w:line="360" w:lineRule="auto"/>
        <w:ind w:firstLine="600" w:firstLineChars="200"/>
        <w:rPr>
          <w:rFonts w:eastAsia="仿宋_GB2312"/>
          <w:sz w:val="30"/>
          <w:szCs w:val="30"/>
        </w:rPr>
      </w:pPr>
      <w:r>
        <w:rPr>
          <w:rFonts w:hint="eastAsia" w:eastAsia="仿宋_GB2312"/>
          <w:sz w:val="30"/>
          <w:szCs w:val="30"/>
        </w:rPr>
        <w:t>——观光车、游乐设施成本按照观光车收入的20%计算；</w:t>
      </w:r>
    </w:p>
    <w:p>
      <w:pPr>
        <w:spacing w:line="360" w:lineRule="auto"/>
        <w:ind w:firstLine="600" w:firstLineChars="200"/>
        <w:rPr>
          <w:rFonts w:eastAsia="仿宋_GB2312"/>
          <w:sz w:val="30"/>
          <w:szCs w:val="30"/>
        </w:rPr>
      </w:pPr>
      <w:r>
        <w:rPr>
          <w:rFonts w:hint="eastAsia" w:eastAsia="仿宋_GB2312"/>
          <w:sz w:val="30"/>
          <w:szCs w:val="30"/>
        </w:rPr>
        <w:t>——自营餐饮服务、农耕文化体验按照对应收入的30%计算；</w:t>
      </w:r>
    </w:p>
    <w:p>
      <w:pPr>
        <w:spacing w:line="360" w:lineRule="auto"/>
        <w:ind w:firstLine="600" w:firstLineChars="200"/>
        <w:rPr>
          <w:rFonts w:eastAsia="仿宋_GB2312"/>
          <w:sz w:val="30"/>
          <w:szCs w:val="30"/>
        </w:rPr>
      </w:pPr>
      <w:r>
        <w:rPr>
          <w:rFonts w:hint="eastAsia" w:eastAsia="仿宋_GB2312"/>
          <w:sz w:val="30"/>
          <w:szCs w:val="30"/>
        </w:rPr>
        <w:t>——商业出租成本按照出租收入的10%计算；</w:t>
      </w:r>
    </w:p>
    <w:p>
      <w:pPr>
        <w:spacing w:line="360" w:lineRule="auto"/>
        <w:ind w:firstLine="600" w:firstLineChars="200"/>
        <w:rPr>
          <w:rFonts w:eastAsia="仿宋_GB2312"/>
          <w:sz w:val="30"/>
          <w:szCs w:val="30"/>
        </w:rPr>
      </w:pPr>
      <w:r>
        <w:rPr>
          <w:rFonts w:hint="eastAsia" w:eastAsia="仿宋_GB2312"/>
          <w:sz w:val="30"/>
          <w:szCs w:val="30"/>
        </w:rPr>
        <w:t>——停车、广告成本按照停车场和广告收入的10%计算。</w:t>
      </w:r>
    </w:p>
    <w:p>
      <w:pPr>
        <w:numPr>
          <w:ilvl w:val="0"/>
          <w:numId w:val="1"/>
        </w:numPr>
        <w:spacing w:line="360" w:lineRule="auto"/>
        <w:ind w:firstLine="600" w:firstLineChars="200"/>
        <w:rPr>
          <w:rFonts w:eastAsia="仿宋_GB2312"/>
          <w:sz w:val="30"/>
          <w:szCs w:val="30"/>
        </w:rPr>
      </w:pPr>
      <w:r>
        <w:rPr>
          <w:rFonts w:eastAsia="仿宋_GB2312"/>
          <w:sz w:val="30"/>
          <w:szCs w:val="30"/>
        </w:rPr>
        <w:t>维</w:t>
      </w:r>
      <w:r>
        <w:rPr>
          <w:rFonts w:hint="eastAsia" w:eastAsia="仿宋_GB2312"/>
          <w:sz w:val="30"/>
          <w:szCs w:val="30"/>
        </w:rPr>
        <w:t>修</w:t>
      </w:r>
      <w:r>
        <w:rPr>
          <w:rFonts w:eastAsia="仿宋_GB2312"/>
          <w:sz w:val="30"/>
          <w:szCs w:val="30"/>
        </w:rPr>
        <w:t>费</w:t>
      </w:r>
    </w:p>
    <w:p>
      <w:pPr>
        <w:spacing w:line="360" w:lineRule="auto"/>
        <w:ind w:firstLine="600" w:firstLineChars="200"/>
        <w:rPr>
          <w:rFonts w:eastAsia="仿宋_GB2312"/>
          <w:sz w:val="30"/>
          <w:szCs w:val="30"/>
        </w:rPr>
      </w:pPr>
      <w:r>
        <w:rPr>
          <w:rFonts w:hint="eastAsia" w:eastAsia="仿宋_GB2312"/>
          <w:sz w:val="30"/>
          <w:szCs w:val="30"/>
        </w:rPr>
        <w:t>——经营期每年</w:t>
      </w:r>
      <w:r>
        <w:rPr>
          <w:rFonts w:eastAsia="仿宋_GB2312"/>
          <w:sz w:val="30"/>
          <w:szCs w:val="30"/>
        </w:rPr>
        <w:t>按</w:t>
      </w:r>
      <w:r>
        <w:rPr>
          <w:rFonts w:hint="eastAsia" w:eastAsia="仿宋_GB2312"/>
          <w:sz w:val="30"/>
          <w:szCs w:val="30"/>
        </w:rPr>
        <w:t>固定资产</w:t>
      </w:r>
      <w:r>
        <w:rPr>
          <w:rFonts w:eastAsia="仿宋_GB2312"/>
          <w:sz w:val="30"/>
          <w:szCs w:val="30"/>
        </w:rPr>
        <w:t>折旧费的</w:t>
      </w:r>
      <w:r>
        <w:rPr>
          <w:rFonts w:hint="eastAsia" w:eastAsia="仿宋_GB2312"/>
          <w:sz w:val="30"/>
          <w:szCs w:val="30"/>
        </w:rPr>
        <w:t>5</w:t>
      </w:r>
      <w:r>
        <w:rPr>
          <w:rFonts w:eastAsia="仿宋_GB2312"/>
          <w:sz w:val="30"/>
          <w:szCs w:val="30"/>
        </w:rPr>
        <w:t>.0%考虑。</w:t>
      </w:r>
    </w:p>
    <w:p>
      <w:pPr>
        <w:spacing w:line="360" w:lineRule="auto"/>
        <w:ind w:firstLine="600" w:firstLineChars="200"/>
        <w:rPr>
          <w:rFonts w:eastAsia="仿宋_GB2312"/>
          <w:sz w:val="30"/>
          <w:szCs w:val="30"/>
        </w:rPr>
      </w:pPr>
      <w:r>
        <w:rPr>
          <w:rFonts w:hint="eastAsia" w:eastAsia="仿宋_GB2312"/>
          <w:sz w:val="30"/>
          <w:szCs w:val="30"/>
        </w:rPr>
        <w:t>4）能耗</w:t>
      </w:r>
    </w:p>
    <w:p>
      <w:pPr>
        <w:spacing w:line="360" w:lineRule="auto"/>
        <w:ind w:firstLine="600" w:firstLineChars="200"/>
        <w:rPr>
          <w:rFonts w:eastAsia="仿宋_GB2312"/>
          <w:sz w:val="30"/>
          <w:szCs w:val="30"/>
        </w:rPr>
      </w:pPr>
      <w:r>
        <w:rPr>
          <w:rFonts w:hint="eastAsia" w:eastAsia="仿宋_GB2312"/>
          <w:sz w:val="30"/>
          <w:szCs w:val="30"/>
        </w:rPr>
        <w:t>——主要包括水、电、气的使用支出，自经营之日期每年按照资产收入的1.5%计算；</w:t>
      </w:r>
    </w:p>
    <w:p>
      <w:pPr>
        <w:spacing w:line="360" w:lineRule="auto"/>
        <w:ind w:firstLine="600" w:firstLineChars="200"/>
        <w:rPr>
          <w:rFonts w:eastAsia="仿宋_GB2312"/>
          <w:sz w:val="30"/>
          <w:szCs w:val="30"/>
        </w:rPr>
      </w:pPr>
      <w:r>
        <w:rPr>
          <w:rFonts w:hint="eastAsia" w:eastAsia="仿宋_GB2312"/>
          <w:sz w:val="30"/>
          <w:szCs w:val="30"/>
        </w:rPr>
        <w:t>5）其他费用主要包括排污、清运、不可预见费、安全管理费用等，按照经营收入的2%计算。</w:t>
      </w:r>
    </w:p>
    <w:p>
      <w:pPr>
        <w:spacing w:line="240" w:lineRule="auto"/>
        <w:ind w:firstLine="600"/>
        <w:rPr>
          <w:rFonts w:ascii="宋体" w:hAnsi="宋体" w:eastAsia="宋体"/>
        </w:rPr>
      </w:pPr>
      <w:r>
        <w:rPr>
          <w:rFonts w:hint="eastAsia" w:eastAsia="仿宋_GB2312"/>
          <w:sz w:val="30"/>
          <w:szCs w:val="30"/>
        </w:rPr>
        <w:t>综上：经营期成本共计25272.47万元</w:t>
      </w:r>
    </w:p>
    <w:p>
      <w:pPr>
        <w:spacing w:before="156" w:beforeLines="50" w:after="156" w:afterLines="50" w:line="240" w:lineRule="auto"/>
        <w:ind w:firstLine="602"/>
        <w:rPr>
          <w:rFonts w:ascii="Times New Roman" w:hAnsi="Times New Roman" w:eastAsia="仿宋_GB2312"/>
          <w:sz w:val="32"/>
          <w:szCs w:val="32"/>
        </w:rPr>
      </w:pPr>
      <w:r>
        <w:rPr>
          <w:rFonts w:ascii="Times New Roman" w:hAnsi="Times New Roman" w:eastAsia="仿宋_GB2312"/>
          <w:sz w:val="32"/>
          <w:szCs w:val="32"/>
        </w:rPr>
        <w:t>在项目运营期结束时，项目累计资金流入</w:t>
      </w:r>
      <w:r>
        <w:rPr>
          <w:rFonts w:hint="eastAsia" w:ascii="Times New Roman" w:hAnsi="Times New Roman" w:eastAsia="仿宋_GB2312"/>
          <w:sz w:val="32"/>
          <w:szCs w:val="32"/>
        </w:rPr>
        <w:t>173223.38</w:t>
      </w:r>
      <w:r>
        <w:rPr>
          <w:rFonts w:ascii="Times New Roman" w:hAnsi="Times New Roman" w:eastAsia="仿宋_GB2312"/>
          <w:sz w:val="32"/>
          <w:szCs w:val="32"/>
        </w:rPr>
        <w:t>万元，累计资金流出</w:t>
      </w:r>
      <w:r>
        <w:rPr>
          <w:rFonts w:hint="eastAsia" w:ascii="Times New Roman" w:hAnsi="Times New Roman" w:eastAsia="仿宋_GB2312"/>
          <w:sz w:val="32"/>
          <w:szCs w:val="32"/>
        </w:rPr>
        <w:t>159015.06</w:t>
      </w:r>
      <w:r>
        <w:rPr>
          <w:rFonts w:ascii="Times New Roman" w:hAnsi="Times New Roman" w:eastAsia="仿宋_GB2312"/>
          <w:sz w:val="32"/>
          <w:szCs w:val="32"/>
        </w:rPr>
        <w:t>万元，累计现金结余</w:t>
      </w:r>
      <w:r>
        <w:rPr>
          <w:rFonts w:hint="eastAsia" w:ascii="Times New Roman" w:hAnsi="Times New Roman" w:eastAsia="仿宋_GB2312"/>
          <w:sz w:val="32"/>
          <w:szCs w:val="32"/>
        </w:rPr>
        <w:t>14208.32</w:t>
      </w:r>
      <w:r>
        <w:rPr>
          <w:rFonts w:ascii="Times New Roman" w:hAnsi="Times New Roman" w:eastAsia="仿宋_GB2312"/>
          <w:sz w:val="32"/>
          <w:szCs w:val="32"/>
        </w:rPr>
        <w:t>万元。截至专项债</w:t>
      </w:r>
      <w:r>
        <w:rPr>
          <w:rFonts w:hint="eastAsia" w:ascii="Times New Roman" w:hAnsi="Times New Roman" w:eastAsia="仿宋_GB2312"/>
          <w:sz w:val="32"/>
          <w:szCs w:val="32"/>
        </w:rPr>
        <w:t>45</w:t>
      </w:r>
      <w:r>
        <w:rPr>
          <w:rFonts w:ascii="Times New Roman" w:hAnsi="Times New Roman" w:eastAsia="仿宋_GB2312"/>
          <w:sz w:val="32"/>
          <w:szCs w:val="32"/>
        </w:rPr>
        <w:t>000.00万元到期时，偿还当年到期的债券本息后，将仍有</w:t>
      </w:r>
      <w:r>
        <w:rPr>
          <w:rFonts w:hint="eastAsia" w:ascii="Times New Roman" w:hAnsi="Times New Roman" w:eastAsia="仿宋_GB2312"/>
          <w:sz w:val="32"/>
          <w:szCs w:val="32"/>
        </w:rPr>
        <w:t>14208.32</w:t>
      </w:r>
      <w:r>
        <w:rPr>
          <w:rFonts w:ascii="Times New Roman" w:hAnsi="Times New Roman" w:eastAsia="仿宋_GB2312"/>
          <w:sz w:val="32"/>
          <w:szCs w:val="32"/>
        </w:rPr>
        <w:t>万元的累计盈余资金；其中项目收入对债券本息的覆盖倍数为</w:t>
      </w:r>
      <w:r>
        <w:rPr>
          <w:rFonts w:hint="eastAsia" w:ascii="Times New Roman" w:hAnsi="Times New Roman" w:eastAsia="仿宋_GB2312"/>
          <w:sz w:val="32"/>
          <w:szCs w:val="32"/>
        </w:rPr>
        <w:t>1.74</w:t>
      </w:r>
      <w:r>
        <w:rPr>
          <w:rFonts w:ascii="Times New Roman" w:hAnsi="Times New Roman" w:eastAsia="仿宋_GB2312"/>
          <w:sz w:val="32"/>
          <w:szCs w:val="32"/>
        </w:rPr>
        <w:t>倍，项目净现金流对债券本息覆盖倍数为1.</w:t>
      </w:r>
      <w:r>
        <w:rPr>
          <w:rFonts w:hint="eastAsia" w:ascii="Times New Roman" w:hAnsi="Times New Roman" w:eastAsia="仿宋_GB2312"/>
          <w:sz w:val="32"/>
          <w:szCs w:val="32"/>
        </w:rPr>
        <w:t>24</w:t>
      </w:r>
      <w:r>
        <w:rPr>
          <w:rFonts w:ascii="Times New Roman" w:hAnsi="Times New Roman" w:eastAsia="仿宋_GB2312"/>
          <w:sz w:val="32"/>
          <w:szCs w:val="32"/>
        </w:rPr>
        <w:t>倍</w:t>
      </w:r>
    </w:p>
    <w:p>
      <w:pPr>
        <w:pStyle w:val="2"/>
        <w:rPr>
          <w:rFonts w:hint="eastAsia"/>
          <w:lang w:eastAsia="zh-CN"/>
        </w:rPr>
        <w:sectPr>
          <w:headerReference r:id="rId6" w:type="first"/>
          <w:footerReference r:id="rId9" w:type="first"/>
          <w:footerReference r:id="rId7" w:type="default"/>
          <w:headerReference r:id="rId5" w:type="even"/>
          <w:footerReference r:id="rId8" w:type="even"/>
          <w:pgSz w:w="11906" w:h="16838"/>
          <w:pgMar w:top="1440" w:right="1800" w:bottom="1440" w:left="1800" w:header="851" w:footer="992" w:gutter="0"/>
          <w:cols w:space="425" w:num="1"/>
          <w:docGrid w:type="lines" w:linePitch="312" w:charSpace="0"/>
        </w:sectPr>
      </w:pPr>
    </w:p>
    <w:tbl>
      <w:tblPr>
        <w:tblStyle w:val="10"/>
        <w:tblW w:w="13860" w:type="dxa"/>
        <w:tblInd w:w="93" w:type="dxa"/>
        <w:tblLayout w:type="fixed"/>
        <w:tblCellMar>
          <w:top w:w="0" w:type="dxa"/>
          <w:left w:w="108" w:type="dxa"/>
          <w:bottom w:w="0" w:type="dxa"/>
          <w:right w:w="108" w:type="dxa"/>
        </w:tblCellMar>
      </w:tblPr>
      <w:tblGrid>
        <w:gridCol w:w="551"/>
        <w:gridCol w:w="1876"/>
        <w:gridCol w:w="977"/>
        <w:gridCol w:w="895"/>
        <w:gridCol w:w="895"/>
        <w:gridCol w:w="899"/>
        <w:gridCol w:w="845"/>
        <w:gridCol w:w="840"/>
        <w:gridCol w:w="840"/>
        <w:gridCol w:w="840"/>
        <w:gridCol w:w="864"/>
        <w:gridCol w:w="840"/>
        <w:gridCol w:w="895"/>
        <w:gridCol w:w="895"/>
        <w:gridCol w:w="908"/>
      </w:tblGrid>
      <w:tr>
        <w:tblPrEx>
          <w:tblCellMar>
            <w:top w:w="0" w:type="dxa"/>
            <w:left w:w="108" w:type="dxa"/>
            <w:bottom w:w="0" w:type="dxa"/>
            <w:right w:w="108" w:type="dxa"/>
          </w:tblCellMar>
        </w:tblPrEx>
        <w:trPr>
          <w:trHeight w:val="353" w:hRule="atLeast"/>
          <w:tblHeader/>
        </w:trPr>
        <w:tc>
          <w:tcPr>
            <w:tcW w:w="13860" w:type="dxa"/>
            <w:gridSpan w:val="15"/>
            <w:tcBorders>
              <w:top w:val="nil"/>
              <w:left w:val="nil"/>
              <w:bottom w:val="nil"/>
              <w:right w:val="nil"/>
            </w:tcBorders>
            <w:shd w:val="clear" w:color="auto" w:fill="auto"/>
            <w:noWrap/>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资金平衡测算表</w:t>
            </w:r>
          </w:p>
        </w:tc>
      </w:tr>
      <w:tr>
        <w:tblPrEx>
          <w:tblCellMar>
            <w:top w:w="0" w:type="dxa"/>
            <w:left w:w="108" w:type="dxa"/>
            <w:bottom w:w="0" w:type="dxa"/>
            <w:right w:w="108" w:type="dxa"/>
          </w:tblCellMar>
        </w:tblPrEx>
        <w:trPr>
          <w:trHeight w:val="353" w:hRule="atLeast"/>
          <w:tblHeader/>
        </w:trPr>
        <w:tc>
          <w:tcPr>
            <w:tcW w:w="6938" w:type="dxa"/>
            <w:gridSpan w:val="7"/>
            <w:tcBorders>
              <w:top w:val="nil"/>
              <w:left w:val="nil"/>
              <w:bottom w:val="nil"/>
              <w:right w:val="nil"/>
            </w:tcBorders>
            <w:shd w:val="clear" w:color="auto" w:fill="auto"/>
            <w:noWrap/>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表4-11</w:t>
            </w:r>
          </w:p>
        </w:tc>
        <w:tc>
          <w:tcPr>
            <w:tcW w:w="840" w:type="dxa"/>
            <w:tcBorders>
              <w:top w:val="nil"/>
              <w:left w:val="nil"/>
              <w:bottom w:val="nil"/>
              <w:right w:val="nil"/>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nil"/>
              <w:left w:val="nil"/>
              <w:bottom w:val="nil"/>
              <w:right w:val="nil"/>
            </w:tcBorders>
            <w:shd w:val="clear" w:color="auto" w:fill="auto"/>
            <w:noWrap/>
            <w:vAlign w:val="center"/>
          </w:tcPr>
          <w:p>
            <w:pPr>
              <w:rPr>
                <w:rFonts w:ascii="Times New Roman" w:hAnsi="Times New Roman" w:eastAsia="宋体" w:cs="Times New Roman"/>
                <w:color w:val="000000"/>
                <w:sz w:val="16"/>
                <w:szCs w:val="16"/>
              </w:rPr>
            </w:pPr>
          </w:p>
        </w:tc>
        <w:tc>
          <w:tcPr>
            <w:tcW w:w="5242" w:type="dxa"/>
            <w:gridSpan w:val="6"/>
            <w:tcBorders>
              <w:top w:val="nil"/>
              <w:left w:val="nil"/>
              <w:bottom w:val="nil"/>
              <w:right w:val="nil"/>
            </w:tcBorders>
            <w:shd w:val="clear" w:color="auto" w:fill="auto"/>
            <w:noWrap/>
            <w:vAlign w:val="center"/>
          </w:tcPr>
          <w:p>
            <w:pPr>
              <w:widowControl/>
              <w:jc w:val="righ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单位：万元</w:t>
            </w:r>
          </w:p>
        </w:tc>
      </w:tr>
      <w:tr>
        <w:tblPrEx>
          <w:tblCellMar>
            <w:top w:w="0" w:type="dxa"/>
            <w:left w:w="108" w:type="dxa"/>
            <w:bottom w:w="0" w:type="dxa"/>
            <w:right w:w="108" w:type="dxa"/>
          </w:tblCellMar>
        </w:tblPrEx>
        <w:trPr>
          <w:trHeight w:val="418" w:hRule="atLeast"/>
          <w:tblHeader/>
        </w:trPr>
        <w:tc>
          <w:tcPr>
            <w:tcW w:w="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000000"/>
                <w:sz w:val="16"/>
                <w:szCs w:val="16"/>
              </w:rPr>
            </w:pPr>
            <w:r>
              <w:rPr>
                <w:rFonts w:hint="eastAsia" w:ascii="仿宋" w:hAnsi="仿宋" w:eastAsia="仿宋" w:cs="仿宋"/>
                <w:b/>
                <w:bCs/>
                <w:color w:val="000000"/>
                <w:kern w:val="0"/>
                <w:sz w:val="16"/>
                <w:szCs w:val="16"/>
                <w:lang w:bidi="ar"/>
              </w:rPr>
              <w:t>序号</w:t>
            </w:r>
          </w:p>
        </w:tc>
        <w:tc>
          <w:tcPr>
            <w:tcW w:w="1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项目</w:t>
            </w:r>
          </w:p>
        </w:tc>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000000"/>
                <w:sz w:val="16"/>
                <w:szCs w:val="16"/>
              </w:rPr>
            </w:pPr>
            <w:r>
              <w:rPr>
                <w:rFonts w:hint="eastAsia" w:ascii="仿宋" w:hAnsi="仿宋" w:eastAsia="仿宋" w:cs="仿宋"/>
                <w:b/>
                <w:bCs/>
                <w:color w:val="000000"/>
                <w:kern w:val="0"/>
                <w:sz w:val="16"/>
                <w:szCs w:val="16"/>
                <w:lang w:bidi="ar"/>
              </w:rPr>
              <w:t>合计</w:t>
            </w:r>
          </w:p>
        </w:tc>
        <w:tc>
          <w:tcPr>
            <w:tcW w:w="26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建设期</w:t>
            </w:r>
          </w:p>
        </w:tc>
        <w:tc>
          <w:tcPr>
            <w:tcW w:w="7767" w:type="dxa"/>
            <w:gridSpan w:val="9"/>
            <w:tcBorders>
              <w:top w:val="single" w:color="000000" w:sz="4" w:space="0"/>
              <w:left w:val="nil"/>
              <w:bottom w:val="single" w:color="000000" w:sz="4" w:space="0"/>
              <w:right w:val="single" w:color="auto" w:sz="4" w:space="0"/>
            </w:tcBorders>
            <w:shd w:val="clear" w:color="auto" w:fill="auto"/>
            <w:vAlign w:val="center"/>
          </w:tcPr>
          <w:p>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运营期</w:t>
            </w:r>
          </w:p>
        </w:tc>
      </w:tr>
      <w:tr>
        <w:tblPrEx>
          <w:tblCellMar>
            <w:top w:w="0" w:type="dxa"/>
            <w:left w:w="108" w:type="dxa"/>
            <w:bottom w:w="0" w:type="dxa"/>
            <w:right w:w="108" w:type="dxa"/>
          </w:tblCellMar>
        </w:tblPrEx>
        <w:trPr>
          <w:trHeight w:val="383" w:hRule="atLeast"/>
          <w:tblHeader/>
        </w:trPr>
        <w:tc>
          <w:tcPr>
            <w:tcW w:w="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b/>
                <w:bCs/>
                <w:color w:val="000000"/>
                <w:sz w:val="16"/>
                <w:szCs w:val="16"/>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16"/>
                <w:szCs w:val="16"/>
              </w:rPr>
            </w:pP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b/>
                <w:bCs/>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2021</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2022</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2023</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2024</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2025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2026</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2027</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2028</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2029</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2030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2031</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2032</w:t>
            </w: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16"/>
                <w:szCs w:val="16"/>
              </w:rPr>
            </w:pPr>
            <w:r>
              <w:rPr>
                <w:rFonts w:hint="eastAsia" w:ascii="仿宋" w:hAnsi="仿宋" w:eastAsia="仿宋" w:cs="仿宋"/>
                <w:color w:val="000000"/>
                <w:kern w:val="0"/>
                <w:sz w:val="16"/>
                <w:szCs w:val="16"/>
                <w:lang w:bidi="ar"/>
              </w:rPr>
              <w:t>一</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经营活动产生的现金</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经营活动产生的现金净现金流量（</w:t>
            </w:r>
            <w:r>
              <w:rPr>
                <w:rStyle w:val="19"/>
                <w:rFonts w:eastAsia="宋体"/>
                <w:lang w:bidi="ar"/>
              </w:rPr>
              <w:t>1.1-1.2</w:t>
            </w:r>
            <w:r>
              <w:rPr>
                <w:rFonts w:hint="eastAsia" w:ascii="宋体" w:hAnsi="宋体" w:eastAsia="宋体" w:cs="宋体"/>
                <w:color w:val="000000"/>
                <w:kern w:val="0"/>
                <w:sz w:val="16"/>
                <w:szCs w:val="16"/>
                <w:lang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73608.32</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0.00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0.00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0.00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7525.52</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7600.67</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7738.60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7786.30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7877.19</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8753.30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8858.49</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8759.13</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8709.12</w:t>
            </w: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1.1</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经营活动产生的现金流入</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103223.38</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10353.11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10470.35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10659.11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10747.33</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10883.42</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12323.16</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12480.52</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12577.23</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12729.15</w:t>
            </w: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1.1.1</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经营收入</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103223.38</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10353.11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10470.35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10659.11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10747.33</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10883.42</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12323.16</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12480.52</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12577.23</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12729.15</w:t>
            </w: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1.2</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经营活动产生的现金流出</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29615.06</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2827.59</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2869.68</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2920.51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2961.03</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3006.23</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3569.86</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3622.03</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3818.10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4020.03</w:t>
            </w: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1.2.1</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税金及附加</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143.63</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13.82</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13.82</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15.55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16.33</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16.33</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16.33</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17.15</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17.15</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17.15</w:t>
            </w: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1.2.2</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经营成本</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25272.46</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2550.25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2581.05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2621.81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2649.36</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2683.74</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2992.27</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3031.04</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3062.06</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3100.88</w:t>
            </w: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1.2.3</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增值税</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0.00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0.00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0.00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0.00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0.00</w:t>
            </w: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1.2.4</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所得税</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4198.97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263.52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274.81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283.15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295.34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306.16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561.26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573.84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738.90 </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902.00 </w:t>
            </w: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16"/>
                <w:szCs w:val="16"/>
              </w:rPr>
            </w:pPr>
            <w:r>
              <w:rPr>
                <w:rFonts w:hint="eastAsia" w:ascii="仿宋" w:hAnsi="仿宋" w:eastAsia="仿宋" w:cs="仿宋"/>
                <w:color w:val="000000"/>
                <w:kern w:val="0"/>
                <w:sz w:val="16"/>
                <w:szCs w:val="16"/>
                <w:lang w:bidi="ar"/>
              </w:rPr>
              <w:t>二</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投资活动产生的现金</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投资活动产生的净现金流量（</w:t>
            </w:r>
            <w:r>
              <w:rPr>
                <w:rStyle w:val="19"/>
                <w:rFonts w:eastAsia="宋体"/>
                <w:lang w:bidi="ar"/>
              </w:rPr>
              <w:t>2.1-2.2</w:t>
            </w:r>
            <w:r>
              <w:rPr>
                <w:rFonts w:hint="eastAsia" w:ascii="宋体" w:hAnsi="宋体" w:eastAsia="宋体" w:cs="宋体"/>
                <w:color w:val="000000"/>
                <w:kern w:val="0"/>
                <w:sz w:val="16"/>
                <w:szCs w:val="16"/>
                <w:lang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-66355.00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-22385.00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-21785.00 </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-22185.00 </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2.1</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投资活动产生的净现金流入</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2.2</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投资活动产生的净现金流出</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66355.00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22385.00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21785.00 </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22185.00 </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2.2.1</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建设投资</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66355.00 </w:t>
            </w: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22385</w:t>
            </w: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21785</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22185.00 </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2.2.2</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流动资金</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16"/>
                <w:szCs w:val="16"/>
              </w:rPr>
            </w:pPr>
            <w:r>
              <w:rPr>
                <w:rFonts w:hint="eastAsia" w:ascii="仿宋" w:hAnsi="仿宋" w:eastAsia="仿宋" w:cs="仿宋"/>
                <w:color w:val="000000"/>
                <w:kern w:val="0"/>
                <w:sz w:val="16"/>
                <w:szCs w:val="16"/>
                <w:lang w:bidi="ar"/>
              </w:rPr>
              <w:t>三</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融资活动产生的现金</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融资活动净现金流量（</w:t>
            </w:r>
            <w:r>
              <w:rPr>
                <w:rStyle w:val="19"/>
                <w:rFonts w:eastAsia="宋体"/>
                <w:lang w:bidi="ar"/>
              </w:rPr>
              <w:t>3.1-3.2</w:t>
            </w:r>
            <w:r>
              <w:rPr>
                <w:rFonts w:hint="eastAsia" w:ascii="宋体" w:hAnsi="宋体" w:eastAsia="宋体" w:cs="宋体"/>
                <w:color w:val="000000"/>
                <w:kern w:val="0"/>
                <w:sz w:val="16"/>
                <w:szCs w:val="16"/>
                <w:lang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6955.00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22385.00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21785.00 </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22185.00 </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-16800.00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-16200.00 </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-15600.00 </w:t>
            </w: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3.1</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融资活动产生的现金流入</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70000.00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23000.00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23000.00 </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24000.00 </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3.1.1</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项目资本金流入</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25000.00 </w:t>
            </w: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8000</w:t>
            </w: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8000</w:t>
            </w:r>
          </w:p>
        </w:tc>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9000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3.1.2</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债券融资款流入</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45000.00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15000.00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15000.00 </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15000.00 </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3.1.3</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流动资金借款流入</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融资活动产生的现金流出</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63045.00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615.00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1215.00 </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1815.00 </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16800.00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16200.00 </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15600.00 </w:t>
            </w: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3.2.1</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偿还债券本金</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45000.00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0.00 </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0.00 </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0.00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0.00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0.00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0.00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0.00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15000.00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15000.00 </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15000.00 </w:t>
            </w: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3.2.2</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支付债券利息</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600.00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1200.00 </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1800.00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1200.00 </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600.00 </w:t>
            </w: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3.2.3</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支付债券发行费</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45.00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15.00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15.00 </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15.00 </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3.2.4</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其他</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73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16"/>
                <w:szCs w:val="16"/>
              </w:rPr>
            </w:pPr>
            <w:r>
              <w:rPr>
                <w:rFonts w:hint="eastAsia" w:ascii="仿宋" w:hAnsi="仿宋" w:eastAsia="仿宋" w:cs="仿宋"/>
                <w:color w:val="000000"/>
                <w:kern w:val="0"/>
                <w:sz w:val="16"/>
                <w:szCs w:val="16"/>
                <w:lang w:bidi="ar"/>
              </w:rPr>
              <w:t>四</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现金净流量（</w:t>
            </w:r>
            <w:r>
              <w:rPr>
                <w:rStyle w:val="19"/>
                <w:rFonts w:eastAsia="宋体"/>
                <w:lang w:bidi="ar"/>
              </w:rPr>
              <w:t>1+2+3</w:t>
            </w:r>
            <w:r>
              <w:rPr>
                <w:rFonts w:hint="eastAsia" w:ascii="宋体" w:hAnsi="宋体" w:eastAsia="宋体" w:cs="宋体"/>
                <w:color w:val="000000"/>
                <w:kern w:val="0"/>
                <w:sz w:val="16"/>
                <w:szCs w:val="16"/>
                <w:lang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14208.32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0.00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0.00 </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0.00 </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5725.52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5800.67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5938.60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5986.30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6077.19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6953.30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-7941.51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-7440.87 </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-6890.88 </w:t>
            </w:r>
          </w:p>
        </w:tc>
      </w:tr>
      <w:tr>
        <w:tblPrEx>
          <w:tblCellMar>
            <w:top w:w="0" w:type="dxa"/>
            <w:left w:w="108" w:type="dxa"/>
            <w:bottom w:w="0" w:type="dxa"/>
            <w:right w:w="108" w:type="dxa"/>
          </w:tblCellMar>
        </w:tblPrEx>
        <w:trPr>
          <w:trHeight w:val="766"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16"/>
                <w:szCs w:val="16"/>
              </w:rPr>
            </w:pPr>
            <w:r>
              <w:rPr>
                <w:rFonts w:hint="eastAsia" w:ascii="仿宋" w:hAnsi="仿宋" w:eastAsia="仿宋" w:cs="仿宋"/>
                <w:color w:val="000000"/>
                <w:kern w:val="0"/>
                <w:sz w:val="16"/>
                <w:szCs w:val="16"/>
                <w:lang w:bidi="ar"/>
              </w:rPr>
              <w:t>五</w:t>
            </w: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现金余额</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宋体" w:cs="Times New Roman"/>
                <w:color w:val="000000"/>
                <w:sz w:val="16"/>
                <w:szCs w:val="16"/>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0.00 </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0.00 </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5725.52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11526.19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17464.79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23451.08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29528.28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36481.58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28540.07 </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21099.20 </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14208.32 </w:t>
            </w:r>
          </w:p>
        </w:tc>
      </w:tr>
    </w:tbl>
    <w:p>
      <w:pPr>
        <w:tabs>
          <w:tab w:val="left" w:pos="8736"/>
        </w:tabs>
        <w:ind w:firstLine="600"/>
        <w:rPr>
          <w:rFonts w:ascii="宋体" w:hAnsi="宋体" w:eastAsia="宋体"/>
        </w:rPr>
        <w:sectPr>
          <w:pgSz w:w="16838" w:h="11906" w:orient="landscape"/>
          <w:pgMar w:top="1800" w:right="1440" w:bottom="1800" w:left="1440" w:header="851" w:footer="992" w:gutter="0"/>
          <w:cols w:space="425" w:num="1"/>
          <w:docGrid w:type="lines" w:linePitch="408" w:charSpace="0"/>
        </w:sectPr>
      </w:pPr>
    </w:p>
    <w:p>
      <w:pPr>
        <w:spacing w:before="204" w:beforeLines="50" w:after="204" w:afterLines="50" w:line="240" w:lineRule="auto"/>
        <w:ind w:firstLine="602"/>
        <w:rPr>
          <w:rFonts w:ascii="宋体" w:hAnsi="宋体" w:eastAsia="宋体"/>
          <w:b/>
        </w:rPr>
      </w:pPr>
      <w:r>
        <w:rPr>
          <w:rFonts w:hint="eastAsia" w:ascii="宋体" w:hAnsi="宋体" w:eastAsia="宋体"/>
          <w:b/>
        </w:rPr>
        <w:t>五、项目绩效目标</w:t>
      </w:r>
    </w:p>
    <w:p>
      <w:pPr>
        <w:spacing w:line="360" w:lineRule="auto"/>
        <w:ind w:firstLine="600" w:firstLineChars="200"/>
        <w:rPr>
          <w:rFonts w:hint="eastAsia" w:eastAsia="仿宋_GB2312" w:cs="Times New Roman"/>
          <w:sz w:val="30"/>
          <w:szCs w:val="30"/>
          <w:lang w:val="en-US" w:eastAsia="zh-CN"/>
        </w:rPr>
      </w:pPr>
      <w:r>
        <w:rPr>
          <w:rFonts w:hint="eastAsia" w:eastAsia="仿宋_GB2312" w:cs="Times New Roman"/>
          <w:sz w:val="30"/>
          <w:szCs w:val="30"/>
          <w:lang w:val="en-US" w:eastAsia="zh-CN"/>
        </w:rPr>
        <w:t>1.产出指标</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eastAsia="仿宋_GB2312" w:cs="Times New Roman"/>
          <w:sz w:val="30"/>
          <w:szCs w:val="30"/>
          <w:lang w:eastAsia="zh-CN"/>
        </w:rPr>
        <w:t>（</w:t>
      </w:r>
      <w:r>
        <w:rPr>
          <w:rFonts w:hint="eastAsia" w:eastAsia="仿宋_GB2312" w:cs="Times New Roman"/>
          <w:sz w:val="30"/>
          <w:szCs w:val="30"/>
          <w:lang w:val="en-US" w:eastAsia="zh-CN"/>
        </w:rPr>
        <w:t>1</w:t>
      </w:r>
      <w:r>
        <w:rPr>
          <w:rFonts w:hint="eastAsia" w:eastAsia="仿宋_GB2312" w:cs="Times New Roman"/>
          <w:sz w:val="30"/>
          <w:szCs w:val="30"/>
          <w:lang w:eastAsia="zh-CN"/>
        </w:rPr>
        <w:t>）</w:t>
      </w:r>
      <w:r>
        <w:rPr>
          <w:rFonts w:hint="eastAsia" w:ascii="Times New Roman" w:hAnsi="Times New Roman" w:eastAsia="仿宋_GB2312" w:cs="Times New Roman"/>
          <w:sz w:val="30"/>
          <w:szCs w:val="30"/>
        </w:rPr>
        <w:t>时效目标：债券发行期为</w:t>
      </w:r>
      <w:r>
        <w:rPr>
          <w:rFonts w:hint="eastAsia" w:ascii="Times New Roman" w:hAnsi="Times New Roman" w:eastAsia="仿宋_GB2312" w:cs="Times New Roman"/>
          <w:sz w:val="30"/>
          <w:szCs w:val="30"/>
          <w:lang w:val="en-US" w:eastAsia="zh-CN"/>
        </w:rPr>
        <w:t>10</w:t>
      </w:r>
      <w:r>
        <w:rPr>
          <w:rFonts w:hint="eastAsia" w:ascii="Times New Roman" w:hAnsi="Times New Roman" w:eastAsia="仿宋_GB2312" w:cs="Times New Roman"/>
          <w:sz w:val="30"/>
          <w:szCs w:val="30"/>
        </w:rPr>
        <w:t>年。债券</w:t>
      </w:r>
      <w:r>
        <w:rPr>
          <w:rFonts w:hint="eastAsia" w:ascii="Times New Roman" w:hAnsi="Times New Roman" w:eastAsia="仿宋_GB2312" w:cs="Times New Roman"/>
          <w:sz w:val="30"/>
          <w:szCs w:val="30"/>
          <w:lang w:val="en-US" w:eastAsia="zh-CN"/>
        </w:rPr>
        <w:t>10</w:t>
      </w:r>
      <w:r>
        <w:rPr>
          <w:rFonts w:hint="eastAsia" w:ascii="Times New Roman" w:hAnsi="Times New Roman" w:eastAsia="仿宋_GB2312" w:cs="Times New Roman"/>
          <w:sz w:val="30"/>
          <w:szCs w:val="30"/>
        </w:rPr>
        <w:t>年内还本付息，利州区政府可根据项目实施及收益情况提前还本付息。</w:t>
      </w:r>
    </w:p>
    <w:p>
      <w:pPr>
        <w:pStyle w:val="2"/>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仿宋_GB2312" w:cs="Times New Roman"/>
          <w:kern w:val="2"/>
          <w:sz w:val="30"/>
          <w:szCs w:val="30"/>
          <w:lang w:val="en-US" w:eastAsia="zh-CN" w:bidi="ar-SA"/>
        </w:rPr>
      </w:pPr>
      <w:r>
        <w:rPr>
          <w:rFonts w:hint="eastAsia" w:ascii="Times New Roman" w:hAnsi="Times New Roman" w:eastAsia="仿宋_GB2312" w:cs="Times New Roman"/>
          <w:kern w:val="2"/>
          <w:sz w:val="30"/>
          <w:szCs w:val="30"/>
          <w:lang w:val="en-US" w:eastAsia="zh-CN" w:bidi="ar-SA"/>
        </w:rPr>
        <w:t>（2）数量指标：2022年拟建成游客接待（服务）中心</w:t>
      </w:r>
      <w:r>
        <w:rPr>
          <w:rFonts w:hint="eastAsia" w:eastAsia="仿宋_GB2312" w:cs="Times New Roman"/>
          <w:kern w:val="2"/>
          <w:sz w:val="30"/>
          <w:szCs w:val="30"/>
          <w:lang w:val="en-US" w:eastAsia="zh-CN" w:bidi="ar-SA"/>
        </w:rPr>
        <w:t>2</w:t>
      </w:r>
      <w:r>
        <w:rPr>
          <w:rFonts w:hint="eastAsia" w:ascii="Times New Roman" w:hAnsi="Times New Roman" w:eastAsia="仿宋_GB2312" w:cs="Times New Roman"/>
          <w:kern w:val="2"/>
          <w:sz w:val="30"/>
          <w:szCs w:val="30"/>
          <w:lang w:val="en-US" w:eastAsia="zh-CN" w:bidi="ar-SA"/>
        </w:rPr>
        <w:t>个、拟建设天曌山旅游景区道路</w:t>
      </w:r>
      <w:r>
        <w:rPr>
          <w:rFonts w:hint="eastAsia" w:eastAsia="仿宋_GB2312" w:cs="Times New Roman"/>
          <w:kern w:val="2"/>
          <w:sz w:val="30"/>
          <w:szCs w:val="30"/>
          <w:lang w:val="en-US" w:eastAsia="zh-CN" w:bidi="ar-SA"/>
        </w:rPr>
        <w:t>2.4</w:t>
      </w:r>
      <w:r>
        <w:rPr>
          <w:rFonts w:hint="eastAsia" w:ascii="Times New Roman" w:hAnsi="Times New Roman" w:eastAsia="仿宋_GB2312" w:cs="Times New Roman"/>
          <w:kern w:val="2"/>
          <w:sz w:val="30"/>
          <w:szCs w:val="30"/>
          <w:lang w:val="en-US" w:eastAsia="zh-CN" w:bidi="ar-SA"/>
        </w:rPr>
        <w:t>km</w:t>
      </w:r>
      <w:r>
        <w:rPr>
          <w:rFonts w:hint="eastAsia" w:eastAsia="仿宋_GB2312" w:cs="Times New Roman"/>
          <w:kern w:val="2"/>
          <w:sz w:val="30"/>
          <w:szCs w:val="30"/>
          <w:lang w:val="en-US" w:eastAsia="zh-CN" w:bidi="ar-SA"/>
        </w:rPr>
        <w:t>。</w:t>
      </w:r>
    </w:p>
    <w:p>
      <w:pPr>
        <w:pStyle w:val="2"/>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仿宋_GB2312" w:cs="Times New Roman"/>
          <w:kern w:val="2"/>
          <w:sz w:val="30"/>
          <w:szCs w:val="30"/>
          <w:lang w:val="en-US" w:eastAsia="zh-CN" w:bidi="ar-SA"/>
        </w:rPr>
      </w:pPr>
      <w:r>
        <w:rPr>
          <w:rFonts w:hint="eastAsia" w:ascii="Times New Roman" w:hAnsi="Times New Roman" w:eastAsia="仿宋_GB2312" w:cs="Times New Roman"/>
          <w:kern w:val="2"/>
          <w:sz w:val="30"/>
          <w:szCs w:val="30"/>
          <w:lang w:val="en-US" w:eastAsia="zh-CN" w:bidi="ar-SA"/>
        </w:rPr>
        <w:t>（3）质量指标：项目竣工验收达标率高于95%，项目</w:t>
      </w:r>
      <w:r>
        <w:rPr>
          <w:rFonts w:hint="eastAsia" w:eastAsia="仿宋_GB2312" w:cs="Times New Roman"/>
          <w:kern w:val="2"/>
          <w:sz w:val="30"/>
          <w:szCs w:val="30"/>
          <w:lang w:val="en-US" w:eastAsia="zh-CN" w:bidi="ar-SA"/>
        </w:rPr>
        <w:t>设计</w:t>
      </w:r>
      <w:r>
        <w:rPr>
          <w:rFonts w:hint="eastAsia" w:ascii="Times New Roman" w:hAnsi="Times New Roman" w:eastAsia="仿宋_GB2312" w:cs="Times New Roman"/>
          <w:kern w:val="2"/>
          <w:sz w:val="30"/>
          <w:szCs w:val="30"/>
          <w:lang w:val="en-US" w:eastAsia="zh-CN" w:bidi="ar-SA"/>
        </w:rPr>
        <w:t>方案变更率低于5%。</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eastAsia="仿宋_GB2312" w:cs="Times New Roman"/>
          <w:kern w:val="2"/>
          <w:sz w:val="30"/>
          <w:szCs w:val="30"/>
          <w:lang w:val="en-US" w:eastAsia="zh-CN" w:bidi="ar-SA"/>
        </w:rPr>
      </w:pPr>
      <w:r>
        <w:rPr>
          <w:rFonts w:hint="eastAsia" w:eastAsia="仿宋_GB2312" w:cs="Times New Roman"/>
          <w:kern w:val="2"/>
          <w:sz w:val="30"/>
          <w:szCs w:val="30"/>
          <w:lang w:val="en-US" w:eastAsia="zh-CN" w:bidi="ar-SA"/>
        </w:rPr>
        <w:t>2.效益指标</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kern w:val="2"/>
          <w:sz w:val="30"/>
          <w:szCs w:val="30"/>
          <w:lang w:val="en-US" w:eastAsia="zh-CN" w:bidi="ar-SA"/>
        </w:rPr>
      </w:pPr>
      <w:r>
        <w:rPr>
          <w:rFonts w:hint="eastAsia" w:eastAsia="仿宋_GB2312" w:cs="Times New Roman"/>
          <w:kern w:val="2"/>
          <w:sz w:val="30"/>
          <w:szCs w:val="30"/>
          <w:lang w:val="en-US" w:eastAsia="zh-CN" w:bidi="ar-SA"/>
        </w:rPr>
        <w:t>（1）</w:t>
      </w:r>
      <w:r>
        <w:rPr>
          <w:rFonts w:hint="eastAsia" w:ascii="Times New Roman" w:hAnsi="Times New Roman" w:eastAsia="仿宋_GB2312" w:cs="Times New Roman"/>
          <w:kern w:val="2"/>
          <w:sz w:val="30"/>
          <w:szCs w:val="30"/>
          <w:lang w:val="en-US" w:eastAsia="zh-CN" w:bidi="ar-SA"/>
        </w:rPr>
        <w:t>经济效益目标：通过获取项目收入，实现收益和融资自求平衡，增加地方财政收入，提升财政支出能力。</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lang w:eastAsia="zh-CN"/>
        </w:rPr>
      </w:pPr>
      <w:r>
        <w:rPr>
          <w:rFonts w:hint="eastAsia" w:eastAsia="仿宋_GB2312" w:cs="Times New Roman"/>
          <w:sz w:val="30"/>
          <w:szCs w:val="30"/>
          <w:lang w:eastAsia="zh-CN"/>
        </w:rPr>
        <w:t>（</w:t>
      </w:r>
      <w:r>
        <w:rPr>
          <w:rFonts w:hint="eastAsia" w:eastAsia="仿宋_GB2312" w:cs="Times New Roman"/>
          <w:sz w:val="30"/>
          <w:szCs w:val="30"/>
          <w:lang w:val="en-US" w:eastAsia="zh-CN"/>
        </w:rPr>
        <w:t>2</w:t>
      </w:r>
      <w:r>
        <w:rPr>
          <w:rFonts w:hint="eastAsia" w:eastAsia="仿宋_GB2312" w:cs="Times New Roman"/>
          <w:sz w:val="30"/>
          <w:szCs w:val="30"/>
          <w:lang w:eastAsia="zh-CN"/>
        </w:rPr>
        <w:t>）</w:t>
      </w:r>
      <w:r>
        <w:rPr>
          <w:rFonts w:hint="eastAsia" w:ascii="Times New Roman" w:hAnsi="Times New Roman" w:eastAsia="仿宋_GB2312" w:cs="Times New Roman"/>
          <w:sz w:val="30"/>
          <w:szCs w:val="30"/>
        </w:rPr>
        <w:t>社会效益目标：</w:t>
      </w:r>
      <w:r>
        <w:rPr>
          <w:rFonts w:eastAsia="仿宋_GB2312"/>
          <w:sz w:val="30"/>
          <w:szCs w:val="30"/>
        </w:rPr>
        <w:t>项目依托当地富集的人文、农业和自然旅游资源，将整合多个产业，如农业、旅游业、文化产业等，以形成产业集群</w:t>
      </w:r>
      <w:r>
        <w:rPr>
          <w:rFonts w:hint="eastAsia" w:eastAsia="仿宋_GB2312"/>
          <w:sz w:val="30"/>
          <w:szCs w:val="30"/>
          <w:lang w:eastAsia="zh-CN"/>
        </w:rPr>
        <w:t>，</w:t>
      </w:r>
      <w:r>
        <w:rPr>
          <w:rFonts w:eastAsia="仿宋_GB2312"/>
          <w:sz w:val="30"/>
          <w:szCs w:val="30"/>
        </w:rPr>
        <w:t>把项目区内丰富的旅游资源转化为旅游产业，培育成为</w:t>
      </w:r>
      <w:r>
        <w:rPr>
          <w:rFonts w:hint="eastAsia" w:eastAsia="仿宋_GB2312"/>
          <w:sz w:val="30"/>
          <w:szCs w:val="30"/>
        </w:rPr>
        <w:t>广元市</w:t>
      </w:r>
      <w:r>
        <w:rPr>
          <w:rFonts w:eastAsia="仿宋_GB2312"/>
          <w:sz w:val="30"/>
          <w:szCs w:val="30"/>
        </w:rPr>
        <w:t>新的经济增长点，能给</w:t>
      </w:r>
      <w:r>
        <w:rPr>
          <w:rFonts w:hint="eastAsia" w:eastAsia="仿宋_GB2312"/>
          <w:sz w:val="30"/>
          <w:szCs w:val="30"/>
        </w:rPr>
        <w:t>广元市</w:t>
      </w:r>
      <w:r>
        <w:rPr>
          <w:rFonts w:eastAsia="仿宋_GB2312"/>
          <w:sz w:val="30"/>
          <w:szCs w:val="30"/>
        </w:rPr>
        <w:t>带来明显的经济效益。同时也将拉动项目区周边旅游相关产业的发展和繁荣，还可以积极解决部分农村剩余劳动力的就业问题，将大部份当地农村贫困人口转移到旅游行业中来，给当地农村人口带来较为丰厚的经济收入</w:t>
      </w:r>
      <w:r>
        <w:rPr>
          <w:rFonts w:hint="eastAsia" w:eastAsia="仿宋_GB2312"/>
          <w:sz w:val="30"/>
          <w:szCs w:val="30"/>
          <w:lang w:eastAsia="zh-CN"/>
        </w:rPr>
        <w:t>。</w:t>
      </w:r>
      <w:bookmarkStart w:id="36" w:name="_GoBack"/>
      <w:bookmarkEnd w:id="36"/>
    </w:p>
    <w:p>
      <w:pPr>
        <w:spacing w:line="360" w:lineRule="auto"/>
        <w:ind w:firstLine="600" w:firstLineChars="200"/>
        <w:rPr>
          <w:rFonts w:ascii="Times New Roman" w:hAnsi="Times New Roman" w:eastAsia="仿宋_GB2312" w:cs="Times New Roman"/>
          <w:sz w:val="30"/>
          <w:szCs w:val="30"/>
        </w:rPr>
      </w:pPr>
      <w:r>
        <w:rPr>
          <w:rFonts w:hint="eastAsia" w:eastAsia="仿宋_GB2312" w:cs="Times New Roman"/>
          <w:sz w:val="30"/>
          <w:szCs w:val="30"/>
          <w:lang w:eastAsia="zh-CN"/>
        </w:rPr>
        <w:t>（</w:t>
      </w:r>
      <w:r>
        <w:rPr>
          <w:rFonts w:hint="eastAsia" w:eastAsia="仿宋_GB2312" w:cs="Times New Roman"/>
          <w:sz w:val="30"/>
          <w:szCs w:val="30"/>
          <w:lang w:val="en-US" w:eastAsia="zh-CN"/>
        </w:rPr>
        <w:t>3）</w:t>
      </w:r>
      <w:r>
        <w:rPr>
          <w:rFonts w:hint="eastAsia" w:ascii="Times New Roman" w:hAnsi="Times New Roman" w:eastAsia="仿宋_GB2312" w:cs="Times New Roman"/>
          <w:sz w:val="30"/>
          <w:szCs w:val="30"/>
        </w:rPr>
        <w:t>可持续影响目标：保障地方经济可持续发展，加速城市扩张与对外开放，促进相关产业的健康、蓬勃发展。</w:t>
      </w:r>
    </w:p>
    <w:p>
      <w:pPr>
        <w:spacing w:before="204" w:beforeLines="50" w:after="204" w:afterLines="50" w:line="240" w:lineRule="auto"/>
        <w:ind w:firstLine="602"/>
        <w:rPr>
          <w:rFonts w:ascii="宋体" w:hAnsi="宋体" w:eastAsia="宋体"/>
          <w:b/>
        </w:rPr>
      </w:pPr>
      <w:r>
        <w:rPr>
          <w:rFonts w:hint="eastAsia" w:ascii="宋体" w:hAnsi="宋体" w:eastAsia="宋体"/>
          <w:b/>
        </w:rPr>
        <w:t>六、潜在影响项目的风险评估</w:t>
      </w:r>
    </w:p>
    <w:p>
      <w:pPr>
        <w:pStyle w:val="4"/>
        <w:tabs>
          <w:tab w:val="left" w:pos="310"/>
        </w:tabs>
        <w:spacing w:beforeLines="0" w:afterLines="0" w:line="560" w:lineRule="exact"/>
        <w:ind w:firstLine="643" w:firstLineChars="200"/>
        <w:rPr>
          <w:rFonts w:ascii="Times New Roman" w:hAnsi="Times New Roman"/>
          <w:bCs/>
          <w:lang w:val="en-US"/>
        </w:rPr>
      </w:pPr>
      <w:bookmarkStart w:id="5" w:name="_Toc70587022"/>
      <w:bookmarkStart w:id="6" w:name="_Toc498385773"/>
      <w:bookmarkStart w:id="7" w:name="_Toc498385105"/>
      <w:r>
        <w:rPr>
          <w:rFonts w:ascii="Times New Roman" w:hAnsi="Times New Roman"/>
          <w:bCs/>
          <w:lang w:val="en-US"/>
        </w:rPr>
        <w:t>1.经营风险</w:t>
      </w:r>
      <w:bookmarkEnd w:id="5"/>
    </w:p>
    <w:p>
      <w:pPr>
        <w:spacing w:line="360" w:lineRule="auto"/>
        <w:ind w:firstLine="600" w:firstLineChars="200"/>
        <w:rPr>
          <w:rFonts w:eastAsia="仿宋_GB2312"/>
          <w:sz w:val="30"/>
          <w:szCs w:val="30"/>
        </w:rPr>
      </w:pPr>
      <w:r>
        <w:rPr>
          <w:rFonts w:eastAsia="仿宋_GB2312"/>
          <w:sz w:val="30"/>
          <w:szCs w:val="30"/>
        </w:rPr>
        <w:t>风险识别：经营风险是指生产经营的不确定性带来的风险。若项目投入运营后的运营收入未能达到预测值，将影响项目整体收益，对债券还本付息产生影响。</w:t>
      </w:r>
    </w:p>
    <w:p>
      <w:pPr>
        <w:spacing w:line="360" w:lineRule="auto"/>
        <w:ind w:firstLine="600" w:firstLineChars="200"/>
        <w:rPr>
          <w:rFonts w:eastAsia="仿宋_GB2312"/>
          <w:sz w:val="30"/>
          <w:szCs w:val="30"/>
        </w:rPr>
      </w:pPr>
      <w:r>
        <w:rPr>
          <w:rFonts w:eastAsia="仿宋_GB2312"/>
          <w:sz w:val="30"/>
          <w:szCs w:val="30"/>
        </w:rPr>
        <w:t>风险控制措施：要求项目管理单位密切关注该项目的投产情况，包括资金的规范使用和建成后收入的合规性、合理性，防范出现定价混乱的情况，从而保证还本付息资金。因项目取得的政府性基金预算收入暂时难以实现，不能偿还到期债券本金时，可在专项债务限额内发行相关专项债券周转偿还，项目收入实现后予以归还。</w:t>
      </w:r>
    </w:p>
    <w:p>
      <w:pPr>
        <w:pStyle w:val="4"/>
        <w:tabs>
          <w:tab w:val="left" w:pos="310"/>
        </w:tabs>
        <w:spacing w:beforeLines="0" w:afterLines="0" w:line="560" w:lineRule="exact"/>
        <w:ind w:firstLine="643" w:firstLineChars="200"/>
        <w:rPr>
          <w:rFonts w:ascii="Times New Roman" w:hAnsi="Times New Roman"/>
          <w:bCs/>
          <w:lang w:val="en-US"/>
        </w:rPr>
      </w:pPr>
      <w:bookmarkStart w:id="8" w:name="2.市场风险"/>
      <w:bookmarkEnd w:id="8"/>
      <w:bookmarkStart w:id="9" w:name="_bookmark74"/>
      <w:bookmarkEnd w:id="9"/>
      <w:bookmarkStart w:id="10" w:name="_Toc70587023"/>
      <w:r>
        <w:rPr>
          <w:rFonts w:ascii="Times New Roman" w:hAnsi="Times New Roman"/>
          <w:bCs/>
          <w:lang w:val="en-US"/>
        </w:rPr>
        <w:t>2.市场风险</w:t>
      </w:r>
      <w:bookmarkEnd w:id="10"/>
    </w:p>
    <w:p>
      <w:pPr>
        <w:spacing w:line="360" w:lineRule="auto"/>
        <w:ind w:firstLine="600" w:firstLineChars="200"/>
        <w:rPr>
          <w:rFonts w:eastAsia="仿宋_GB2312"/>
          <w:sz w:val="30"/>
          <w:szCs w:val="30"/>
        </w:rPr>
      </w:pPr>
      <w:r>
        <w:rPr>
          <w:rFonts w:eastAsia="仿宋_GB2312"/>
          <w:sz w:val="30"/>
          <w:szCs w:val="30"/>
        </w:rPr>
        <w:t>风险识别：在专项债券存续期内，国际、国内宏观经济环境的变化，国家经济政策变动等因素会引起债务资本市场利率的波动，市场利率波动将会对本项目的财务成本产生一定影响，进而影响项目投资收益的平衡。</w:t>
      </w:r>
    </w:p>
    <w:p>
      <w:pPr>
        <w:spacing w:line="360" w:lineRule="auto"/>
        <w:ind w:firstLine="600" w:firstLineChars="200"/>
        <w:rPr>
          <w:rFonts w:eastAsia="仿宋_GB2312"/>
          <w:sz w:val="30"/>
          <w:szCs w:val="30"/>
        </w:rPr>
      </w:pPr>
      <w:r>
        <w:rPr>
          <w:rFonts w:eastAsia="仿宋_GB2312"/>
          <w:sz w:val="30"/>
          <w:szCs w:val="30"/>
        </w:rPr>
        <w:t>风险控制措施：要求项目单位合理安排债券发行金额和债券期限，做好债券的期限配比、还款计划和资金准备。密切关注宏观经济市场，充分与市场机构沟通，选择合适的发行窗口，降低财务成本，保证项目收益与融资平衡。</w:t>
      </w:r>
      <w:bookmarkStart w:id="11" w:name="_bookmark75"/>
      <w:bookmarkEnd w:id="11"/>
      <w:bookmarkStart w:id="12" w:name="3.财务风险"/>
      <w:bookmarkEnd w:id="12"/>
    </w:p>
    <w:p>
      <w:pPr>
        <w:pStyle w:val="4"/>
        <w:tabs>
          <w:tab w:val="left" w:pos="310"/>
        </w:tabs>
        <w:spacing w:beforeLines="0" w:afterLines="0" w:line="560" w:lineRule="exact"/>
        <w:ind w:firstLine="643" w:firstLineChars="200"/>
        <w:rPr>
          <w:rFonts w:ascii="Times New Roman" w:hAnsi="Times New Roman"/>
          <w:bCs/>
          <w:lang w:val="en-US"/>
        </w:rPr>
      </w:pPr>
      <w:bookmarkStart w:id="13" w:name="_Toc70587024"/>
      <w:r>
        <w:rPr>
          <w:rFonts w:ascii="Times New Roman" w:hAnsi="Times New Roman"/>
          <w:bCs/>
          <w:lang w:val="en-US"/>
        </w:rPr>
        <w:t>3.财务风险</w:t>
      </w:r>
      <w:bookmarkEnd w:id="13"/>
    </w:p>
    <w:p>
      <w:pPr>
        <w:spacing w:line="360" w:lineRule="auto"/>
        <w:ind w:firstLine="600" w:firstLineChars="200"/>
        <w:rPr>
          <w:rFonts w:eastAsia="仿宋_GB2312"/>
          <w:sz w:val="30"/>
          <w:szCs w:val="30"/>
        </w:rPr>
      </w:pPr>
      <w:r>
        <w:rPr>
          <w:rFonts w:eastAsia="仿宋_GB2312"/>
          <w:sz w:val="30"/>
          <w:szCs w:val="30"/>
        </w:rPr>
        <w:t>风险识别：由于项目建设周期较长，如果在项目建设过程中，受市场因素影响，项目施工所需的原材料价格上涨，将导致项目施工成本增加，财务负担加重，进而影响项目建设进度，以及项目建设期内专项债券的利息兑付，因此面临一定财务风险。</w:t>
      </w:r>
    </w:p>
    <w:p>
      <w:pPr>
        <w:spacing w:line="360" w:lineRule="auto"/>
        <w:ind w:firstLine="600" w:firstLineChars="200"/>
        <w:rPr>
          <w:rFonts w:eastAsia="仿宋_GB2312"/>
          <w:sz w:val="30"/>
          <w:szCs w:val="30"/>
        </w:rPr>
      </w:pPr>
      <w:r>
        <w:rPr>
          <w:rFonts w:eastAsia="仿宋_GB2312"/>
          <w:sz w:val="30"/>
          <w:szCs w:val="30"/>
        </w:rPr>
        <w:t>风险控制措施：项目可行性研究报告编制过程中，在测算项目总投资时已考虑相关风险。同时，在项目建设过程中，加强项目施工预算管理、招标及合同管理，尽可能控制建设成本。</w:t>
      </w:r>
    </w:p>
    <w:p>
      <w:pPr>
        <w:pStyle w:val="3"/>
        <w:spacing w:before="0" w:after="0" w:line="560" w:lineRule="exact"/>
        <w:rPr>
          <w:rFonts w:ascii="Times New Roman" w:hAnsi="Times New Roman"/>
          <w:b/>
        </w:rPr>
      </w:pPr>
      <w:bookmarkStart w:id="14" w:name="_Toc70587025"/>
      <w:r>
        <w:rPr>
          <w:rFonts w:ascii="Times New Roman" w:hAnsi="Times New Roman"/>
          <w:b/>
        </w:rPr>
        <w:t>（三）影响融资平衡结果的风险及控制措施</w:t>
      </w:r>
      <w:bookmarkEnd w:id="6"/>
      <w:bookmarkEnd w:id="7"/>
      <w:bookmarkEnd w:id="14"/>
    </w:p>
    <w:p>
      <w:pPr>
        <w:pStyle w:val="4"/>
        <w:tabs>
          <w:tab w:val="left" w:pos="310"/>
        </w:tabs>
        <w:spacing w:beforeLines="0" w:afterLines="0" w:line="560" w:lineRule="exact"/>
        <w:ind w:firstLine="643" w:firstLineChars="200"/>
        <w:rPr>
          <w:rFonts w:ascii="Times New Roman" w:hAnsi="Times New Roman"/>
          <w:bCs/>
          <w:lang w:val="en-US"/>
        </w:rPr>
      </w:pPr>
      <w:bookmarkStart w:id="15" w:name="_Toc498385774"/>
      <w:bookmarkStart w:id="16" w:name="_Toc70587026"/>
      <w:bookmarkStart w:id="17" w:name="_Toc498385106"/>
      <w:r>
        <w:rPr>
          <w:rFonts w:ascii="Times New Roman" w:hAnsi="Times New Roman"/>
          <w:bCs/>
          <w:lang w:val="en-US"/>
        </w:rPr>
        <w:t>1.投资测算不准确风险</w:t>
      </w:r>
      <w:bookmarkEnd w:id="15"/>
      <w:bookmarkEnd w:id="16"/>
      <w:bookmarkEnd w:id="17"/>
    </w:p>
    <w:p>
      <w:pPr>
        <w:spacing w:line="360" w:lineRule="auto"/>
        <w:ind w:firstLine="600" w:firstLineChars="200"/>
        <w:rPr>
          <w:rFonts w:eastAsia="仿宋_GB2312"/>
          <w:sz w:val="30"/>
          <w:szCs w:val="30"/>
        </w:rPr>
      </w:pPr>
      <w:r>
        <w:rPr>
          <w:rFonts w:eastAsia="仿宋_GB2312"/>
          <w:sz w:val="30"/>
          <w:szCs w:val="30"/>
        </w:rPr>
        <w:t>项目融资平衡最大的风险在于对项目进度以及项目整体现金流测算等重要环节出现判断偏差。规划设计规模偏大或偏小直接导致投资总额设计偏大或偏小；对项目进度错判将导致融资节奏错乱，导致资金不能及时足额注入到项目或者大额资金不能充分运用的后果；整体现金流测算出现偏差将导致项目可行性分析不能及时纠偏，项目资金投入和现金流入不能平衡的结果。</w:t>
      </w:r>
    </w:p>
    <w:p>
      <w:pPr>
        <w:spacing w:line="360" w:lineRule="auto"/>
        <w:ind w:firstLine="600" w:firstLineChars="200"/>
        <w:rPr>
          <w:rFonts w:eastAsia="仿宋_GB2312"/>
          <w:sz w:val="30"/>
          <w:szCs w:val="30"/>
        </w:rPr>
      </w:pPr>
      <w:r>
        <w:rPr>
          <w:rFonts w:eastAsia="仿宋_GB2312"/>
          <w:sz w:val="30"/>
          <w:szCs w:val="30"/>
        </w:rPr>
        <w:t>本项目可行性研究报告聘请专业咨询公司经过大量分析论证工作后得出，分析结果较为可靠。本项目现金流测算环节聘请会计师事务所专业团队进行测算，测算结果较为可靠。</w:t>
      </w:r>
    </w:p>
    <w:p>
      <w:pPr>
        <w:pStyle w:val="4"/>
        <w:tabs>
          <w:tab w:val="left" w:pos="310"/>
        </w:tabs>
        <w:spacing w:beforeLines="0" w:afterLines="0" w:line="560" w:lineRule="exact"/>
        <w:ind w:firstLine="643" w:firstLineChars="200"/>
        <w:rPr>
          <w:rFonts w:ascii="Times New Roman" w:hAnsi="Times New Roman"/>
          <w:bCs/>
          <w:lang w:val="en-US"/>
        </w:rPr>
      </w:pPr>
      <w:bookmarkStart w:id="18" w:name="_Toc70587027"/>
      <w:bookmarkStart w:id="19" w:name="_Toc498385107"/>
      <w:bookmarkStart w:id="20" w:name="_Toc498385775"/>
      <w:r>
        <w:rPr>
          <w:rFonts w:ascii="Times New Roman" w:hAnsi="Times New Roman"/>
          <w:bCs/>
          <w:lang w:val="en-US"/>
        </w:rPr>
        <w:t>2.利率波动风险</w:t>
      </w:r>
      <w:bookmarkEnd w:id="18"/>
      <w:bookmarkEnd w:id="19"/>
      <w:bookmarkEnd w:id="20"/>
    </w:p>
    <w:p>
      <w:pPr>
        <w:spacing w:line="360" w:lineRule="auto"/>
        <w:ind w:firstLine="600" w:firstLineChars="200"/>
        <w:rPr>
          <w:rFonts w:eastAsia="仿宋_GB2312"/>
          <w:sz w:val="30"/>
          <w:szCs w:val="30"/>
        </w:rPr>
      </w:pPr>
      <w:r>
        <w:rPr>
          <w:rFonts w:eastAsia="仿宋_GB2312"/>
          <w:sz w:val="30"/>
          <w:szCs w:val="30"/>
        </w:rPr>
        <w:t>国际环境的变化、国家的宏观经济走势及货币政策等因素的变化会引起，债务资本市场利率的波动，市场利率波动将会对融资成本产生影响，进而影响项目投资收益的平衡。</w:t>
      </w:r>
    </w:p>
    <w:p>
      <w:pPr>
        <w:spacing w:line="360" w:lineRule="auto"/>
        <w:ind w:firstLine="600" w:firstLineChars="200"/>
        <w:rPr>
          <w:rFonts w:eastAsia="仿宋_GB2312"/>
          <w:sz w:val="30"/>
          <w:szCs w:val="30"/>
        </w:rPr>
      </w:pPr>
      <w:r>
        <w:rPr>
          <w:rFonts w:eastAsia="仿宋_GB2312"/>
          <w:sz w:val="30"/>
          <w:szCs w:val="30"/>
        </w:rPr>
        <w:t>为控制项目融资成本，可动态调整债券发行期限，做好期限配比、还款计划和准备，加快资金周转，适当增大流动比率，充分盘活资金，用资金使用效率收益对冲利率波动损失。</w:t>
      </w:r>
    </w:p>
    <w:p>
      <w:pPr>
        <w:spacing w:line="240" w:lineRule="auto"/>
        <w:ind w:firstLine="600"/>
        <w:rPr>
          <w:rFonts w:ascii="宋体" w:hAnsi="宋体" w:eastAsia="宋体"/>
        </w:rPr>
      </w:pPr>
    </w:p>
    <w:p>
      <w:pPr>
        <w:spacing w:before="204" w:beforeLines="50" w:after="204" w:afterLines="50" w:line="240" w:lineRule="auto"/>
        <w:ind w:firstLine="602"/>
        <w:rPr>
          <w:rFonts w:ascii="宋体" w:hAnsi="宋体" w:eastAsia="宋体"/>
          <w:b/>
        </w:rPr>
      </w:pPr>
      <w:r>
        <w:rPr>
          <w:rFonts w:hint="eastAsia" w:ascii="宋体" w:hAnsi="宋体" w:eastAsia="宋体"/>
          <w:b/>
        </w:rPr>
        <w:t>七、还款保障情况</w:t>
      </w:r>
    </w:p>
    <w:p>
      <w:pPr>
        <w:pStyle w:val="3"/>
        <w:spacing w:before="0" w:after="0" w:line="560" w:lineRule="exact"/>
        <w:rPr>
          <w:rFonts w:ascii="Times New Roman" w:hAnsi="Times New Roman"/>
          <w:b/>
        </w:rPr>
      </w:pPr>
      <w:bookmarkStart w:id="21" w:name="_Toc1553597"/>
      <w:bookmarkStart w:id="22" w:name="_Toc1576970"/>
      <w:bookmarkStart w:id="23" w:name="_Toc3640161"/>
      <w:bookmarkStart w:id="24" w:name="_Toc70587030"/>
      <w:bookmarkStart w:id="25" w:name="_Toc1546545"/>
      <w:r>
        <w:rPr>
          <w:rFonts w:ascii="Times New Roman" w:hAnsi="Times New Roman"/>
          <w:b/>
        </w:rPr>
        <w:t>（一）还款责任及保障</w:t>
      </w:r>
      <w:bookmarkEnd w:id="21"/>
      <w:bookmarkEnd w:id="22"/>
      <w:bookmarkEnd w:id="23"/>
      <w:bookmarkEnd w:id="24"/>
      <w:bookmarkEnd w:id="25"/>
    </w:p>
    <w:p>
      <w:pPr>
        <w:spacing w:line="360" w:lineRule="auto"/>
        <w:ind w:firstLine="600" w:firstLineChars="200"/>
        <w:rPr>
          <w:rFonts w:eastAsia="仿宋_GB2312"/>
          <w:sz w:val="30"/>
          <w:szCs w:val="30"/>
        </w:rPr>
      </w:pPr>
      <w:r>
        <w:rPr>
          <w:rFonts w:eastAsia="仿宋_GB2312"/>
          <w:sz w:val="30"/>
          <w:szCs w:val="30"/>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pPr>
        <w:pStyle w:val="3"/>
        <w:spacing w:before="0" w:after="0" w:line="560" w:lineRule="exact"/>
        <w:rPr>
          <w:rFonts w:ascii="Times New Roman" w:hAnsi="Times New Roman"/>
          <w:b/>
        </w:rPr>
      </w:pPr>
      <w:bookmarkStart w:id="26" w:name="_Toc3640162"/>
      <w:bookmarkStart w:id="27" w:name="_Toc1553598"/>
      <w:bookmarkStart w:id="28" w:name="_Toc1576971"/>
      <w:bookmarkStart w:id="29" w:name="_Toc70587031"/>
      <w:bookmarkStart w:id="30" w:name="_Toc1546546"/>
      <w:r>
        <w:rPr>
          <w:rFonts w:ascii="Times New Roman" w:hAnsi="Times New Roman"/>
          <w:b/>
        </w:rPr>
        <w:t>（二）项目资产管理</w:t>
      </w:r>
      <w:bookmarkEnd w:id="26"/>
      <w:bookmarkEnd w:id="27"/>
      <w:bookmarkEnd w:id="28"/>
      <w:bookmarkEnd w:id="29"/>
      <w:bookmarkEnd w:id="30"/>
    </w:p>
    <w:p>
      <w:pPr>
        <w:spacing w:line="360" w:lineRule="auto"/>
        <w:ind w:firstLine="600" w:firstLineChars="200"/>
        <w:rPr>
          <w:rFonts w:eastAsia="仿宋_GB2312"/>
          <w:sz w:val="30"/>
          <w:szCs w:val="30"/>
        </w:rPr>
      </w:pPr>
      <w:r>
        <w:rPr>
          <w:rFonts w:eastAsia="仿宋_GB2312"/>
          <w:sz w:val="30"/>
          <w:szCs w:val="30"/>
        </w:rPr>
        <w:t>当前项目资产权属清晰，不存在任何抵押或担保。</w:t>
      </w:r>
    </w:p>
    <w:p>
      <w:pPr>
        <w:spacing w:line="360" w:lineRule="auto"/>
        <w:ind w:firstLine="600" w:firstLineChars="200"/>
        <w:rPr>
          <w:rFonts w:eastAsia="仿宋_GB2312"/>
          <w:sz w:val="30"/>
          <w:szCs w:val="30"/>
        </w:rPr>
      </w:pPr>
      <w:r>
        <w:rPr>
          <w:rFonts w:eastAsia="仿宋_GB2312"/>
          <w:sz w:val="30"/>
          <w:szCs w:val="30"/>
        </w:rPr>
        <w:t>在债券存续期间，定期对项目资产进行检查和盘点。</w:t>
      </w:r>
    </w:p>
    <w:p>
      <w:pPr>
        <w:spacing w:line="360" w:lineRule="auto"/>
        <w:ind w:firstLine="600" w:firstLineChars="200"/>
        <w:rPr>
          <w:rFonts w:eastAsia="仿宋_GB2312"/>
          <w:sz w:val="30"/>
          <w:szCs w:val="30"/>
        </w:rPr>
      </w:pPr>
      <w:r>
        <w:rPr>
          <w:rFonts w:eastAsia="仿宋_GB2312"/>
          <w:sz w:val="30"/>
          <w:szCs w:val="30"/>
        </w:rPr>
        <w:t>在本项目全部债券还本付息完成前，项目资产不会进行任何抵押或担保等影响本项目权益的风险操作。</w:t>
      </w:r>
    </w:p>
    <w:p>
      <w:pPr>
        <w:pStyle w:val="3"/>
        <w:spacing w:before="0" w:after="0" w:line="560" w:lineRule="exact"/>
        <w:rPr>
          <w:rFonts w:ascii="Times New Roman" w:hAnsi="Times New Roman"/>
          <w:b/>
        </w:rPr>
      </w:pPr>
      <w:bookmarkStart w:id="31" w:name="_Toc1576972"/>
      <w:bookmarkStart w:id="32" w:name="_Toc1553599"/>
      <w:bookmarkStart w:id="33" w:name="_Toc1546547"/>
      <w:bookmarkStart w:id="34" w:name="_Toc3640163"/>
      <w:bookmarkStart w:id="35" w:name="_Toc70587032"/>
      <w:r>
        <w:rPr>
          <w:rFonts w:ascii="Times New Roman" w:hAnsi="Times New Roman"/>
          <w:b/>
        </w:rPr>
        <w:t>（三）项目收入管理</w:t>
      </w:r>
      <w:bookmarkEnd w:id="31"/>
      <w:bookmarkEnd w:id="32"/>
      <w:bookmarkEnd w:id="33"/>
      <w:bookmarkEnd w:id="34"/>
      <w:bookmarkEnd w:id="35"/>
    </w:p>
    <w:p>
      <w:pPr>
        <w:spacing w:line="360" w:lineRule="auto"/>
        <w:ind w:firstLine="600" w:firstLineChars="200"/>
        <w:rPr>
          <w:rFonts w:eastAsia="仿宋_GB2312"/>
          <w:sz w:val="30"/>
          <w:szCs w:val="30"/>
        </w:rPr>
      </w:pPr>
      <w:r>
        <w:rPr>
          <w:rFonts w:eastAsia="仿宋_GB2312"/>
          <w:sz w:val="30"/>
          <w:szCs w:val="30"/>
        </w:rPr>
        <w:t>按时完成项目建设，及时实现项目收入，保障项目按时进行债券还本付息。</w:t>
      </w:r>
    </w:p>
    <w:p>
      <w:pPr>
        <w:spacing w:line="360" w:lineRule="auto"/>
        <w:ind w:firstLine="600" w:firstLineChars="200"/>
        <w:rPr>
          <w:rFonts w:eastAsia="仿宋_GB2312"/>
          <w:sz w:val="30"/>
          <w:szCs w:val="30"/>
        </w:rPr>
      </w:pPr>
      <w:r>
        <w:rPr>
          <w:rFonts w:eastAsia="仿宋_GB2312"/>
          <w:sz w:val="30"/>
          <w:szCs w:val="30"/>
        </w:rPr>
        <w:t>严格管理项目收入，杜绝通过第三方转移收入。</w:t>
      </w:r>
    </w:p>
    <w:p>
      <w:pPr>
        <w:spacing w:line="360" w:lineRule="auto"/>
        <w:ind w:firstLine="600" w:firstLineChars="200"/>
        <w:rPr>
          <w:rFonts w:eastAsia="仿宋_GB2312"/>
          <w:sz w:val="30"/>
          <w:szCs w:val="30"/>
        </w:rPr>
      </w:pPr>
      <w:r>
        <w:rPr>
          <w:rFonts w:eastAsia="仿宋_GB2312"/>
          <w:sz w:val="30"/>
          <w:szCs w:val="30"/>
        </w:rPr>
        <w:t>在例行审计之外，项目业主须不定期对项目收入进行内部审计，以保证专款专用，落实对于债权人的承诺。</w:t>
      </w:r>
    </w:p>
    <w:p>
      <w:pPr>
        <w:spacing w:before="204" w:beforeLines="50" w:after="204" w:afterLines="50" w:line="240" w:lineRule="auto"/>
        <w:ind w:firstLine="602"/>
        <w:rPr>
          <w:rFonts w:ascii="宋体" w:hAnsi="宋体" w:eastAsia="宋体"/>
          <w:b/>
        </w:rPr>
      </w:pPr>
      <w:r>
        <w:rPr>
          <w:rFonts w:hint="eastAsia" w:ascii="宋体" w:hAnsi="宋体" w:eastAsia="宋体"/>
          <w:b/>
        </w:rPr>
        <w:t>八、主管部门和项目单位职责</w:t>
      </w:r>
    </w:p>
    <w:p>
      <w:pPr>
        <w:spacing w:line="36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1.主管部门职责</w:t>
      </w:r>
    </w:p>
    <w:p>
      <w:pPr>
        <w:spacing w:line="36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广元市利州区女皇故里森林旅游项目的主管部门为广元市利州区旅游局，主管部门将会配合做好本地区项目收益专项债券发行准备工作，及时准确提供相关资料，配合做好信息披露、信用评级、资产评估等工作。项目运行过程中，主管部门将主动披露项目施工期间的施工进度、项目收益专项债券资金使用情况、项目运营期间的收支情况等信息。在债券资金管理方面，行业主管部门将会履行项目建设运营管理责任，加强成本控制，确保项目形成的收入应收尽收，并按照规定及时足额上交。年终时，行业主管部门配合财政部门编制项目收益债券收支决算，在政府性基金预算报告中全面、准确反映项目收益专项债券收入、支出、还本付息、发行费用、取得的收入等情况。债券对应资产管理方面，主管部门将会协同财政部门将各类项目收益专项债券对应项目形成的资产纳入国有资产管理，建立相应的资产登记和统计报告制度，加强资产日常统计和动态监控。</w:t>
      </w:r>
    </w:p>
    <w:p>
      <w:pPr>
        <w:spacing w:line="36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2.项目单位职责</w:t>
      </w:r>
    </w:p>
    <w:p>
      <w:pPr>
        <w:spacing w:line="36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本项目的项目单位为广元市利州区利元国有投资有限公司，配合做好债券发行准备工作，规范使用债券资金，及时形成支出，提高资金使用效益。定期评估项目成本、预期收益和对应资产价值等，发现风险或异常情况及时向主管部门报告。编制专项债券收支、偿还计划并纳入单位年度预算管理，将债券项目收入及时足额缴入国库。做好数据填报、信息公开等相关工作。</w:t>
      </w:r>
    </w:p>
    <w:p>
      <w:pPr>
        <w:spacing w:before="204" w:beforeLines="50" w:after="204" w:afterLines="50" w:line="240" w:lineRule="auto"/>
        <w:ind w:firstLine="602"/>
        <w:rPr>
          <w:rFonts w:ascii="宋体" w:hAnsi="宋体" w:eastAsia="宋体"/>
          <w:b/>
        </w:rPr>
      </w:pPr>
      <w:r>
        <w:rPr>
          <w:rFonts w:hint="eastAsia" w:ascii="宋体" w:hAnsi="宋体" w:eastAsia="宋体"/>
          <w:b/>
        </w:rPr>
        <w:t>九．补充说明</w:t>
      </w:r>
    </w:p>
    <w:p>
      <w:pPr>
        <w:pStyle w:val="2"/>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根据原发行计划及额度安排,此项目计划于2021年发行</w:t>
      </w:r>
      <w:r>
        <w:rPr>
          <w:rFonts w:hint="eastAsia" w:eastAsia="仿宋_GB2312" w:cs="Times New Roman"/>
          <w:sz w:val="30"/>
          <w:szCs w:val="30"/>
          <w:lang w:val="en-US" w:eastAsia="zh-CN"/>
        </w:rPr>
        <w:t>15000</w:t>
      </w:r>
      <w:r>
        <w:rPr>
          <w:rFonts w:hint="eastAsia" w:ascii="Times New Roman" w:hAnsi="Times New Roman" w:eastAsia="仿宋_GB2312" w:cs="Times New Roman"/>
          <w:sz w:val="30"/>
          <w:szCs w:val="30"/>
        </w:rPr>
        <w:t>万元，因地方政府债务限额管理要求和项目实施进展情况等原因未发行。调整后本次拟发行</w:t>
      </w:r>
      <w:r>
        <w:rPr>
          <w:rFonts w:hint="eastAsia" w:eastAsia="仿宋_GB2312" w:cs="Times New Roman"/>
          <w:sz w:val="30"/>
          <w:szCs w:val="30"/>
          <w:lang w:val="en-US" w:eastAsia="zh-CN"/>
        </w:rPr>
        <w:t>15000</w:t>
      </w:r>
      <w:r>
        <w:rPr>
          <w:rFonts w:hint="eastAsia" w:ascii="Times New Roman" w:hAnsi="Times New Roman" w:eastAsia="仿宋_GB2312" w:cs="Times New Roman"/>
          <w:sz w:val="30"/>
          <w:szCs w:val="30"/>
        </w:rPr>
        <w:t>万元，期限</w:t>
      </w:r>
      <w:r>
        <w:rPr>
          <w:rFonts w:hint="eastAsia" w:eastAsia="仿宋_GB2312" w:cs="Times New Roman"/>
          <w:sz w:val="30"/>
          <w:szCs w:val="30"/>
          <w:lang w:val="en-US" w:eastAsia="zh-CN"/>
        </w:rPr>
        <w:t>10</w:t>
      </w:r>
      <w:r>
        <w:rPr>
          <w:rFonts w:hint="eastAsia" w:ascii="Times New Roman" w:hAnsi="Times New Roman" w:eastAsia="仿宋_GB2312" w:cs="Times New Roman"/>
          <w:sz w:val="30"/>
          <w:szCs w:val="30"/>
        </w:rPr>
        <w:t>年，该项目实施内容及收益来源未发生变动，在不超过项目债券总需求情况下，债券跨年发行对项目整体融资平衡不构成实质影响。</w:t>
      </w:r>
    </w:p>
    <w:p>
      <w:pPr>
        <w:spacing w:line="240" w:lineRule="auto"/>
        <w:ind w:firstLine="600"/>
        <w:rPr>
          <w:rFonts w:ascii="宋体" w:hAnsi="宋体" w:eastAsia="宋体"/>
        </w:rPr>
      </w:pPr>
    </w:p>
    <w:sectPr>
      <w:pgSz w:w="11906" w:h="16838"/>
      <w:pgMar w:top="1440" w:right="1800" w:bottom="1440" w:left="1800" w:header="851" w:footer="992" w:gutter="0"/>
      <w:cols w:space="425"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00"/>
      </w:pPr>
      <w:r>
        <w:separator/>
      </w:r>
    </w:p>
  </w:footnote>
  <w:footnote w:type="continuationSeparator" w:id="1">
    <w:p>
      <w:pPr>
        <w:spacing w:line="360" w:lineRule="auto"/>
        <w:ind w:firstLine="6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F6A555"/>
    <w:multiLevelType w:val="singleLevel"/>
    <w:tmpl w:val="ADF6A555"/>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0"/>
  <w:drawingGridVerticalSpacing w:val="204"/>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DFC"/>
    <w:rsid w:val="000372E9"/>
    <w:rsid w:val="0009292C"/>
    <w:rsid w:val="000F53E9"/>
    <w:rsid w:val="001C223F"/>
    <w:rsid w:val="001C2FB4"/>
    <w:rsid w:val="001D71A1"/>
    <w:rsid w:val="0026770E"/>
    <w:rsid w:val="002B0A3D"/>
    <w:rsid w:val="002F0A66"/>
    <w:rsid w:val="00494A57"/>
    <w:rsid w:val="004C77E9"/>
    <w:rsid w:val="005D03DE"/>
    <w:rsid w:val="006D01F4"/>
    <w:rsid w:val="006E693A"/>
    <w:rsid w:val="00710208"/>
    <w:rsid w:val="00755575"/>
    <w:rsid w:val="007836BE"/>
    <w:rsid w:val="0080424F"/>
    <w:rsid w:val="008153A3"/>
    <w:rsid w:val="00A02865"/>
    <w:rsid w:val="00A25DFC"/>
    <w:rsid w:val="00B65E38"/>
    <w:rsid w:val="00DE57BF"/>
    <w:rsid w:val="00ED1AC4"/>
    <w:rsid w:val="00F13D23"/>
    <w:rsid w:val="00FA0251"/>
    <w:rsid w:val="00FD30B1"/>
    <w:rsid w:val="12C25741"/>
    <w:rsid w:val="2AB63FE3"/>
    <w:rsid w:val="37A710FF"/>
    <w:rsid w:val="397001DF"/>
    <w:rsid w:val="48761E02"/>
    <w:rsid w:val="50AF0404"/>
    <w:rsid w:val="5F7F31D6"/>
    <w:rsid w:val="615C6E28"/>
    <w:rsid w:val="63DF54AA"/>
    <w:rsid w:val="69534EB3"/>
    <w:rsid w:val="726D5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200" w:firstLineChars="200"/>
      <w:jc w:val="both"/>
    </w:pPr>
    <w:rPr>
      <w:rFonts w:ascii="Times New Roman" w:hAnsi="Times New Roman" w:eastAsia="仿宋" w:cs="Times New Roman"/>
      <w:kern w:val="2"/>
      <w:sz w:val="30"/>
      <w:szCs w:val="24"/>
      <w:lang w:val="en-US" w:eastAsia="zh-CN" w:bidi="ar-SA"/>
    </w:rPr>
  </w:style>
  <w:style w:type="paragraph" w:styleId="3">
    <w:name w:val="heading 2"/>
    <w:basedOn w:val="4"/>
    <w:next w:val="5"/>
    <w:qFormat/>
    <w:uiPriority w:val="99"/>
    <w:pPr>
      <w:spacing w:beforeLines="0" w:afterLines="0" w:line="600" w:lineRule="exact"/>
      <w:outlineLvl w:val="1"/>
    </w:pPr>
    <w:rPr>
      <w:rFonts w:eastAsia="楷体"/>
      <w:b w:val="0"/>
    </w:rPr>
  </w:style>
  <w:style w:type="paragraph" w:styleId="4">
    <w:name w:val="heading 3"/>
    <w:basedOn w:val="5"/>
    <w:next w:val="5"/>
    <w:qFormat/>
    <w:uiPriority w:val="0"/>
    <w:pPr>
      <w:keepNext/>
      <w:keepLines/>
      <w:widowControl/>
      <w:adjustRightInd w:val="0"/>
      <w:snapToGrid w:val="0"/>
      <w:spacing w:before="150" w:beforeLines="100" w:after="150" w:afterLines="50" w:line="360" w:lineRule="auto"/>
      <w:jc w:val="left"/>
      <w:outlineLvl w:val="2"/>
    </w:pPr>
    <w:rPr>
      <w:rFonts w:ascii="华文楷体" w:hAnsi="华文楷体" w:eastAsia="仿宋_GB2312" w:cs="Times New Roman"/>
      <w:b/>
      <w:sz w:val="32"/>
      <w:szCs w:val="24"/>
      <w:lang w:val="en-GB"/>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2"/>
    <w:basedOn w:val="1"/>
    <w:unhideWhenUsed/>
    <w:qFormat/>
    <w:uiPriority w:val="99"/>
    <w:pPr>
      <w:tabs>
        <w:tab w:val="left" w:pos="140"/>
      </w:tabs>
      <w:spacing w:after="120" w:afterLines="0" w:line="480" w:lineRule="auto"/>
    </w:pPr>
  </w:style>
  <w:style w:type="paragraph" w:styleId="5">
    <w:name w:val="Body Text"/>
    <w:basedOn w:val="1"/>
    <w:link w:val="14"/>
    <w:unhideWhenUsed/>
    <w:qFormat/>
    <w:uiPriority w:val="99"/>
    <w:pPr>
      <w:spacing w:after="120"/>
    </w:pPr>
  </w:style>
  <w:style w:type="paragraph" w:styleId="6">
    <w:name w:val="Document Map"/>
    <w:basedOn w:val="1"/>
    <w:link w:val="15"/>
    <w:unhideWhenUsed/>
    <w:qFormat/>
    <w:uiPriority w:val="99"/>
    <w:rPr>
      <w:rFonts w:ascii="宋体" w:eastAsia="宋体"/>
      <w:sz w:val="18"/>
      <w:szCs w:val="18"/>
    </w:rPr>
  </w:style>
  <w:style w:type="paragraph" w:styleId="7">
    <w:name w:val="Balloon Text"/>
    <w:basedOn w:val="1"/>
    <w:link w:val="16"/>
    <w:unhideWhenUsed/>
    <w:qFormat/>
    <w:uiPriority w:val="99"/>
    <w:pPr>
      <w:spacing w:line="240" w:lineRule="auto"/>
    </w:pPr>
    <w:rPr>
      <w:sz w:val="18"/>
      <w:szCs w:val="18"/>
    </w:rPr>
  </w:style>
  <w:style w:type="paragraph" w:styleId="8">
    <w:name w:val="footer"/>
    <w:basedOn w:val="1"/>
    <w:link w:val="13"/>
    <w:unhideWhenUsed/>
    <w:qFormat/>
    <w:uiPriority w:val="99"/>
    <w:pPr>
      <w:tabs>
        <w:tab w:val="center" w:pos="4153"/>
        <w:tab w:val="right" w:pos="8306"/>
      </w:tabs>
      <w:jc w:val="left"/>
    </w:pPr>
    <w:rPr>
      <w:sz w:val="18"/>
      <w:szCs w:val="18"/>
    </w:rPr>
  </w:style>
  <w:style w:type="paragraph" w:styleId="9">
    <w:name w:val="header"/>
    <w:basedOn w:val="1"/>
    <w:link w:val="12"/>
    <w:unhideWhenUsed/>
    <w:qFormat/>
    <w:uiPriority w:val="99"/>
    <w:pPr>
      <w:pBdr>
        <w:bottom w:val="single" w:color="auto" w:sz="6" w:space="1"/>
      </w:pBdr>
      <w:tabs>
        <w:tab w:val="center" w:pos="4153"/>
        <w:tab w:val="right" w:pos="8306"/>
      </w:tabs>
      <w:jc w:val="center"/>
    </w:pPr>
    <w:rPr>
      <w:sz w:val="18"/>
      <w:szCs w:val="18"/>
    </w:rPr>
  </w:style>
  <w:style w:type="character" w:customStyle="1" w:styleId="12">
    <w:name w:val="页眉 Char"/>
    <w:basedOn w:val="11"/>
    <w:link w:val="9"/>
    <w:qFormat/>
    <w:uiPriority w:val="99"/>
    <w:rPr>
      <w:sz w:val="18"/>
      <w:szCs w:val="18"/>
    </w:rPr>
  </w:style>
  <w:style w:type="character" w:customStyle="1" w:styleId="13">
    <w:name w:val="页脚 Char"/>
    <w:basedOn w:val="11"/>
    <w:link w:val="8"/>
    <w:qFormat/>
    <w:uiPriority w:val="99"/>
    <w:rPr>
      <w:sz w:val="18"/>
      <w:szCs w:val="18"/>
    </w:rPr>
  </w:style>
  <w:style w:type="character" w:customStyle="1" w:styleId="14">
    <w:name w:val="正文文本 Char"/>
    <w:basedOn w:val="11"/>
    <w:link w:val="5"/>
    <w:semiHidden/>
    <w:qFormat/>
    <w:uiPriority w:val="99"/>
    <w:rPr>
      <w:rFonts w:ascii="Times New Roman" w:hAnsi="Times New Roman" w:eastAsia="仿宋" w:cs="Times New Roman"/>
      <w:sz w:val="30"/>
      <w:szCs w:val="24"/>
    </w:rPr>
  </w:style>
  <w:style w:type="character" w:customStyle="1" w:styleId="15">
    <w:name w:val="文档结构图 Char"/>
    <w:basedOn w:val="11"/>
    <w:link w:val="6"/>
    <w:semiHidden/>
    <w:qFormat/>
    <w:uiPriority w:val="99"/>
    <w:rPr>
      <w:rFonts w:ascii="宋体" w:hAnsi="Times New Roman" w:eastAsia="宋体" w:cs="Times New Roman"/>
      <w:sz w:val="18"/>
      <w:szCs w:val="18"/>
    </w:rPr>
  </w:style>
  <w:style w:type="character" w:customStyle="1" w:styleId="16">
    <w:name w:val="批注框文本 Char"/>
    <w:basedOn w:val="11"/>
    <w:link w:val="7"/>
    <w:semiHidden/>
    <w:qFormat/>
    <w:uiPriority w:val="99"/>
    <w:rPr>
      <w:rFonts w:ascii="Times New Roman" w:hAnsi="Times New Roman" w:eastAsia="仿宋" w:cs="Times New Roman"/>
      <w:sz w:val="18"/>
      <w:szCs w:val="18"/>
    </w:rPr>
  </w:style>
  <w:style w:type="character" w:customStyle="1" w:styleId="17">
    <w:name w:val="font151"/>
    <w:basedOn w:val="11"/>
    <w:qFormat/>
    <w:uiPriority w:val="0"/>
    <w:rPr>
      <w:rFonts w:hint="eastAsia" w:ascii="仿宋" w:hAnsi="仿宋" w:eastAsia="仿宋" w:cs="仿宋"/>
      <w:color w:val="000000"/>
      <w:sz w:val="16"/>
      <w:szCs w:val="16"/>
      <w:u w:val="none"/>
    </w:rPr>
  </w:style>
  <w:style w:type="character" w:customStyle="1" w:styleId="18">
    <w:name w:val="font181"/>
    <w:basedOn w:val="11"/>
    <w:qFormat/>
    <w:uiPriority w:val="0"/>
    <w:rPr>
      <w:rFonts w:hint="eastAsia" w:ascii="宋体" w:hAnsi="宋体" w:eastAsia="宋体" w:cs="宋体"/>
      <w:color w:val="000000"/>
      <w:sz w:val="16"/>
      <w:szCs w:val="16"/>
      <w:u w:val="none"/>
    </w:rPr>
  </w:style>
  <w:style w:type="character" w:customStyle="1" w:styleId="19">
    <w:name w:val="font51"/>
    <w:basedOn w:val="11"/>
    <w:qFormat/>
    <w:uiPriority w:val="0"/>
    <w:rPr>
      <w:rFonts w:hint="default" w:ascii="Times New Roman" w:hAnsi="Times New Roman" w:cs="Times New Roman"/>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747</Words>
  <Characters>4262</Characters>
  <Lines>35</Lines>
  <Paragraphs>9</Paragraphs>
  <TotalTime>23</TotalTime>
  <ScaleCrop>false</ScaleCrop>
  <LinksUpToDate>false</LinksUpToDate>
  <CharactersWithSpaces>5000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2019-12-09T06:37:00Z</dcterms:created>
  <dc:creator>Administrator</dc:creator>
  <cp:lastModifiedBy>Coral</cp:lastModifiedBy>
  <cp:lastPrinted>2022-02-10T00:59:00Z</cp:lastPrinted>
  <dcterms:modified xsi:type="dcterms:W3CDTF">2022-02-10T01:36:23Z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4BB216504A104CAB8FD2BC0E9867ACCF</vt:lpwstr>
  </property>
</Properties>
</file>