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仿宋" w:hAnsi="仿宋" w:eastAsia="仿宋"/>
          <w:b/>
          <w:bCs/>
          <w:kern w:val="28"/>
          <w:sz w:val="36"/>
          <w:szCs w:val="36"/>
        </w:rPr>
      </w:pPr>
      <w:r>
        <w:rPr>
          <w:rFonts w:hint="eastAsia" w:ascii="方正小标宋简体" w:eastAsia="方正小标宋简体"/>
          <w:sz w:val="40"/>
          <w:szCs w:val="40"/>
          <w:lang w:eastAsia="zh-CN"/>
        </w:rPr>
        <w:t>“8.11”洪灾安州区水利工程灾后重建项目</w:t>
      </w:r>
      <w:r>
        <w:rPr>
          <w:rFonts w:hint="eastAsia" w:ascii="方正小标宋简体" w:eastAsia="方正小标宋简体"/>
          <w:sz w:val="40"/>
          <w:szCs w:val="40"/>
        </w:rPr>
        <w:t>情况</w:t>
      </w:r>
    </w:p>
    <w:p>
      <w:pPr>
        <w:pStyle w:val="5"/>
        <w:spacing w:line="360" w:lineRule="auto"/>
        <w:ind w:firstLine="0"/>
        <w:rPr>
          <w:rFonts w:ascii="仿宋" w:hAnsi="仿宋" w:eastAsia="仿宋"/>
          <w:sz w:val="28"/>
          <w:szCs w:val="28"/>
        </w:rPr>
      </w:pPr>
    </w:p>
    <w:p>
      <w:pPr>
        <w:pStyle w:val="3"/>
        <w:spacing w:before="156" w:beforeLines="50" w:after="156" w:line="360" w:lineRule="auto"/>
      </w:pPr>
      <w:bookmarkStart w:id="0" w:name="_Toc21351763"/>
      <w:bookmarkStart w:id="1" w:name="_Toc498385713"/>
      <w:bookmarkStart w:id="2" w:name="_Toc498385044"/>
      <w:r>
        <w:t>项目基本情况</w:t>
      </w:r>
      <w:bookmarkEnd w:id="0"/>
      <w:bookmarkEnd w:id="1"/>
      <w:bookmarkEnd w:id="2"/>
    </w:p>
    <w:p>
      <w:pPr>
        <w:pStyle w:val="4"/>
        <w:spacing w:before="156" w:beforeLines="50" w:after="156" w:line="360" w:lineRule="auto"/>
        <w:rPr>
          <w:rFonts w:ascii="仿宋" w:hAnsi="仿宋" w:eastAsia="仿宋"/>
          <w:sz w:val="30"/>
          <w:szCs w:val="30"/>
        </w:rPr>
      </w:pPr>
      <w:bookmarkStart w:id="3" w:name="_Toc498385717"/>
      <w:bookmarkStart w:id="4" w:name="_Toc498385048"/>
      <w:r>
        <w:rPr>
          <w:rFonts w:hint="eastAsia" w:ascii="仿宋" w:hAnsi="仿宋" w:eastAsia="仿宋" w:cs="仿宋"/>
          <w:sz w:val="30"/>
          <w:szCs w:val="30"/>
        </w:rPr>
        <w:t>市县及行业专项规划概况</w:t>
      </w:r>
    </w:p>
    <w:p>
      <w:pPr>
        <w:pStyle w:val="5"/>
        <w:spacing w:before="0" w:after="0" w:line="360" w:lineRule="auto"/>
        <w:ind w:firstLine="560" w:firstLineChars="200"/>
        <w:rPr>
          <w:rFonts w:hint="eastAsia" w:ascii="仿宋" w:hAnsi="仿宋" w:eastAsia="仿宋" w:cs="仿宋"/>
          <w:kern w:val="2"/>
          <w:sz w:val="28"/>
          <w:szCs w:val="28"/>
          <w:lang w:val="en-US"/>
        </w:rPr>
      </w:pPr>
      <w:r>
        <w:rPr>
          <w:rFonts w:hint="eastAsia" w:ascii="仿宋" w:hAnsi="仿宋" w:eastAsia="仿宋" w:cs="仿宋"/>
          <w:kern w:val="2"/>
          <w:sz w:val="28"/>
          <w:szCs w:val="28"/>
          <w:lang w:val="en-US"/>
        </w:rPr>
        <w:t>2020年8月开始，绵阳市境内大范围连续强降雨，特别是“8.11”特大暴雨洪灾，导致了一大渠灌区主干渠及各条支渠均受到了不同程度的损毁，部分渠道损毁严重，已无法正常运行。</w:t>
      </w:r>
    </w:p>
    <w:p>
      <w:pPr>
        <w:pStyle w:val="5"/>
        <w:spacing w:before="0" w:after="0" w:line="360" w:lineRule="auto"/>
        <w:ind w:firstLine="560" w:firstLineChars="200"/>
        <w:rPr>
          <w:rFonts w:hint="eastAsia" w:ascii="仿宋" w:hAnsi="仿宋" w:eastAsia="仿宋" w:cs="仿宋"/>
          <w:kern w:val="2"/>
          <w:sz w:val="28"/>
          <w:szCs w:val="28"/>
          <w:lang w:val="en-US"/>
        </w:rPr>
      </w:pPr>
      <w:r>
        <w:rPr>
          <w:rFonts w:hint="eastAsia" w:ascii="仿宋" w:hAnsi="仿宋" w:eastAsia="仿宋" w:cs="仿宋"/>
          <w:kern w:val="2"/>
          <w:sz w:val="28"/>
          <w:szCs w:val="28"/>
          <w:lang w:val="en-US"/>
        </w:rPr>
        <w:t>本次水毁共涉及桑枣、秀水、塔水、雎水、高川、河清6个乡镇，水毁点25处，水毁长度4026m，其中桑枣镇4处，均在茶坪河上，水毁长度715m；秀水镇4处，均在秀水河上，水毁长度186m；塔水镇3处，均位于秀水河，水毁长度911m；雎水镇8处，其中4处位于秀水河，水毁长度610m，2处位于干河子，水毁长度320m，2处位于白溪河，水毁长度129m；高川乡1处，位于干河子，水毁长度66m；河清镇5处，均位于白溪河上，水毁长度1089m</w:t>
      </w:r>
      <w:r>
        <w:rPr>
          <w:rFonts w:hint="eastAsia" w:ascii="仿宋" w:hAnsi="仿宋" w:eastAsia="仿宋" w:cs="仿宋"/>
          <w:kern w:val="2"/>
          <w:sz w:val="28"/>
          <w:szCs w:val="28"/>
          <w:lang w:val="en-US" w:eastAsia="zh-CN"/>
        </w:rPr>
        <w:t>，严重影响周边居民</w:t>
      </w:r>
      <w:r>
        <w:rPr>
          <w:rFonts w:hint="eastAsia" w:ascii="仿宋" w:hAnsi="仿宋" w:eastAsia="仿宋" w:cs="仿宋"/>
          <w:kern w:val="2"/>
          <w:sz w:val="28"/>
          <w:szCs w:val="28"/>
          <w:lang w:val="en-US"/>
        </w:rPr>
        <w:t>生活生产用水需要。</w:t>
      </w:r>
    </w:p>
    <w:p>
      <w:pPr>
        <w:pStyle w:val="5"/>
        <w:spacing w:before="0" w:after="0" w:line="360" w:lineRule="auto"/>
        <w:ind w:firstLine="560" w:firstLineChars="200"/>
        <w:rPr>
          <w:rFonts w:hint="eastAsia" w:ascii="仿宋" w:hAnsi="仿宋" w:eastAsia="仿宋" w:cs="仿宋"/>
          <w:kern w:val="2"/>
          <w:sz w:val="28"/>
          <w:szCs w:val="28"/>
          <w:lang w:val="en-US"/>
        </w:rPr>
      </w:pPr>
      <w:r>
        <w:rPr>
          <w:rFonts w:hint="eastAsia" w:ascii="仿宋" w:hAnsi="仿宋" w:eastAsia="仿宋" w:cs="仿宋"/>
          <w:kern w:val="2"/>
          <w:sz w:val="28"/>
          <w:szCs w:val="28"/>
          <w:lang w:val="en-US"/>
        </w:rPr>
        <w:t>工程保护区现状部分堤防完全冲毁，无防洪能力，部分堤段局部损坏严重，现状防洪能力不足10年一遇洪水标准；安州区汛期洪水体量大，持续时间长，水毁河堤若不及时修复将会对沿线居民生命财产安全造成极大威胁，破损河堤将会存在溃堤危险，危害会越来越大。</w:t>
      </w:r>
    </w:p>
    <w:p>
      <w:pPr>
        <w:pStyle w:val="4"/>
        <w:numPr>
          <w:ilvl w:val="1"/>
          <w:numId w:val="0"/>
        </w:numPr>
        <w:spacing w:before="156" w:beforeLines="50" w:after="156" w:line="360" w:lineRule="auto"/>
        <w:rPr>
          <w:rFonts w:ascii="仿宋" w:hAnsi="仿宋" w:eastAsia="仿宋"/>
          <w:sz w:val="30"/>
          <w:szCs w:val="30"/>
        </w:rPr>
      </w:pPr>
      <w:bookmarkStart w:id="5" w:name="_Toc21351765"/>
      <w:r>
        <w:rPr>
          <w:rFonts w:hint="eastAsia" w:ascii="仿宋" w:hAnsi="仿宋" w:eastAsia="仿宋"/>
          <w:sz w:val="30"/>
          <w:szCs w:val="30"/>
        </w:rPr>
        <w:t>（二）</w:t>
      </w:r>
      <w:r>
        <w:rPr>
          <w:rFonts w:ascii="仿宋" w:hAnsi="仿宋" w:eastAsia="仿宋"/>
          <w:sz w:val="30"/>
          <w:szCs w:val="30"/>
        </w:rPr>
        <w:t>项目情况</w:t>
      </w:r>
      <w:bookmarkEnd w:id="3"/>
      <w:bookmarkEnd w:id="4"/>
      <w:bookmarkEnd w:id="5"/>
    </w:p>
    <w:p>
      <w:pPr>
        <w:pStyle w:val="5"/>
        <w:spacing w:before="156" w:beforeLines="50" w:after="156" w:afterLines="50" w:line="360" w:lineRule="auto"/>
        <w:ind w:firstLine="560" w:firstLineChars="200"/>
        <w:outlineLvl w:val="2"/>
        <w:rPr>
          <w:rFonts w:ascii="仿宋" w:hAnsi="仿宋" w:eastAsia="仿宋"/>
          <w:kern w:val="2"/>
          <w:sz w:val="28"/>
          <w:szCs w:val="28"/>
          <w:lang w:val="en-US"/>
        </w:rPr>
      </w:pPr>
      <w:r>
        <w:rPr>
          <w:rFonts w:ascii="仿宋" w:hAnsi="仿宋" w:eastAsia="仿宋"/>
          <w:kern w:val="2"/>
          <w:sz w:val="28"/>
          <w:szCs w:val="28"/>
          <w:lang w:val="en-US"/>
        </w:rPr>
        <w:t>1.参与主体</w:t>
      </w:r>
    </w:p>
    <w:p>
      <w:pPr>
        <w:pStyle w:val="5"/>
        <w:spacing w:before="0" w:after="0" w:line="360" w:lineRule="auto"/>
        <w:ind w:firstLine="560" w:firstLineChars="200"/>
        <w:rPr>
          <w:rFonts w:ascii="仿宋" w:hAnsi="仿宋" w:eastAsia="仿宋"/>
          <w:kern w:val="2"/>
          <w:sz w:val="28"/>
          <w:szCs w:val="28"/>
          <w:lang w:val="en-US"/>
        </w:rPr>
      </w:pPr>
      <w:r>
        <w:rPr>
          <w:rFonts w:ascii="仿宋" w:hAnsi="仿宋" w:eastAsia="仿宋"/>
          <w:kern w:val="2"/>
          <w:sz w:val="28"/>
          <w:szCs w:val="28"/>
          <w:lang w:val="en-US"/>
        </w:rPr>
        <w:t>实施机构：</w:t>
      </w:r>
      <w:bookmarkStart w:id="6" w:name="_Hlk1719850"/>
      <w:r>
        <w:rPr>
          <w:rFonts w:hint="eastAsia" w:ascii="仿宋" w:hAnsi="仿宋" w:eastAsia="仿宋" w:cs="仿宋"/>
          <w:kern w:val="2"/>
          <w:sz w:val="28"/>
          <w:szCs w:val="28"/>
          <w:lang w:val="en-US"/>
        </w:rPr>
        <w:t>绵阳市安州区农业农村局</w:t>
      </w:r>
    </w:p>
    <w:p>
      <w:pPr>
        <w:pStyle w:val="5"/>
        <w:spacing w:before="0" w:after="0" w:line="360" w:lineRule="auto"/>
        <w:ind w:firstLine="560" w:firstLineChars="200"/>
        <w:rPr>
          <w:rFonts w:ascii="仿宋" w:hAnsi="仿宋" w:eastAsia="仿宋"/>
          <w:kern w:val="2"/>
          <w:sz w:val="28"/>
          <w:szCs w:val="28"/>
          <w:lang w:val="en-US"/>
        </w:rPr>
      </w:pPr>
      <w:r>
        <w:rPr>
          <w:rFonts w:ascii="仿宋" w:hAnsi="仿宋" w:eastAsia="仿宋"/>
          <w:kern w:val="2"/>
          <w:sz w:val="28"/>
          <w:szCs w:val="28"/>
          <w:lang w:val="en-US"/>
        </w:rPr>
        <w:t>项目业主：</w:t>
      </w:r>
      <w:bookmarkEnd w:id="6"/>
      <w:r>
        <w:rPr>
          <w:rFonts w:hint="eastAsia" w:ascii="仿宋" w:hAnsi="仿宋" w:eastAsia="仿宋" w:cs="仿宋"/>
          <w:kern w:val="2"/>
          <w:sz w:val="28"/>
          <w:szCs w:val="28"/>
          <w:lang w:val="en-US"/>
        </w:rPr>
        <w:t>绵阳安州区建投矿业有限公司</w:t>
      </w:r>
    </w:p>
    <w:p>
      <w:pPr>
        <w:pStyle w:val="5"/>
        <w:spacing w:before="156" w:beforeLines="50" w:after="156" w:afterLines="50" w:line="360" w:lineRule="auto"/>
        <w:ind w:firstLine="560" w:firstLineChars="200"/>
        <w:outlineLvl w:val="2"/>
        <w:rPr>
          <w:rFonts w:ascii="仿宋" w:hAnsi="仿宋" w:eastAsia="仿宋"/>
          <w:kern w:val="2"/>
          <w:sz w:val="28"/>
          <w:szCs w:val="28"/>
          <w:lang w:val="en-US"/>
        </w:rPr>
      </w:pPr>
      <w:r>
        <w:rPr>
          <w:rFonts w:ascii="仿宋" w:hAnsi="仿宋" w:eastAsia="仿宋"/>
          <w:kern w:val="2"/>
          <w:sz w:val="28"/>
          <w:szCs w:val="28"/>
          <w:lang w:val="en-US"/>
        </w:rPr>
        <w:t>2.项目概况</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rPr>
        <w:t>（1）</w:t>
      </w:r>
      <w:r>
        <w:rPr>
          <w:rFonts w:ascii="仿宋" w:hAnsi="仿宋" w:eastAsia="仿宋"/>
          <w:kern w:val="2"/>
          <w:sz w:val="28"/>
          <w:szCs w:val="28"/>
          <w:lang w:val="en-US"/>
        </w:rPr>
        <w:t>项目所属领域</w:t>
      </w:r>
    </w:p>
    <w:p>
      <w:pPr>
        <w:pStyle w:val="5"/>
        <w:spacing w:before="0" w:after="0" w:line="360" w:lineRule="auto"/>
        <w:ind w:firstLine="560" w:firstLineChars="200"/>
        <w:rPr>
          <w:rFonts w:ascii="仿宋" w:hAnsi="仿宋" w:eastAsia="仿宋"/>
          <w:kern w:val="2"/>
          <w:sz w:val="28"/>
          <w:szCs w:val="28"/>
          <w:highlight w:val="yellow"/>
          <w:lang w:val="en-US"/>
        </w:rPr>
      </w:pPr>
      <w:bookmarkStart w:id="7" w:name="_Hlk19609771"/>
      <w:r>
        <w:rPr>
          <w:rFonts w:hint="eastAsia" w:ascii="仿宋" w:hAnsi="仿宋" w:eastAsia="仿宋"/>
          <w:kern w:val="2"/>
          <w:sz w:val="28"/>
          <w:szCs w:val="28"/>
          <w:lang w:val="en-US"/>
        </w:rPr>
        <w:t>本项目属于</w:t>
      </w:r>
      <w:bookmarkEnd w:id="7"/>
      <w:r>
        <w:rPr>
          <w:rFonts w:hint="eastAsia" w:ascii="仿宋" w:hAnsi="仿宋" w:eastAsia="仿宋" w:cs="仿宋"/>
          <w:kern w:val="2"/>
          <w:sz w:val="28"/>
          <w:szCs w:val="28"/>
          <w:lang w:val="en-US" w:eastAsia="zh-CN"/>
        </w:rPr>
        <w:t>水利工程</w:t>
      </w:r>
      <w:r>
        <w:rPr>
          <w:rFonts w:hint="eastAsia" w:ascii="仿宋" w:hAnsi="仿宋" w:eastAsia="仿宋" w:cs="仿宋"/>
          <w:kern w:val="2"/>
          <w:sz w:val="28"/>
          <w:szCs w:val="28"/>
          <w:lang w:val="en-US"/>
        </w:rPr>
        <w:t>建设领域，符合国家、省市产业化政策和规划，具有一定的公益性。</w:t>
      </w:r>
    </w:p>
    <w:p>
      <w:pPr>
        <w:pStyle w:val="5"/>
        <w:spacing w:before="0" w:after="0" w:line="360" w:lineRule="auto"/>
        <w:ind w:firstLine="560" w:firstLineChars="200"/>
        <w:outlineLvl w:val="2"/>
        <w:rPr>
          <w:rFonts w:hint="eastAsia" w:ascii="仿宋" w:hAnsi="仿宋" w:eastAsia="仿宋" w:cs="仿宋"/>
          <w:kern w:val="2"/>
          <w:sz w:val="28"/>
          <w:szCs w:val="28"/>
          <w:lang w:val="en-US"/>
        </w:rPr>
      </w:pPr>
      <w:r>
        <w:rPr>
          <w:rFonts w:hint="eastAsia" w:ascii="仿宋" w:hAnsi="仿宋" w:eastAsia="仿宋" w:cs="仿宋"/>
          <w:kern w:val="2"/>
          <w:sz w:val="28"/>
          <w:szCs w:val="28"/>
          <w:lang w:val="en-US" w:eastAsia="zh-CN"/>
        </w:rPr>
        <w:t>（2）</w:t>
      </w:r>
      <w:r>
        <w:rPr>
          <w:rFonts w:hint="eastAsia" w:ascii="仿宋" w:hAnsi="仿宋" w:eastAsia="仿宋" w:cs="仿宋"/>
          <w:kern w:val="2"/>
          <w:sz w:val="28"/>
          <w:szCs w:val="28"/>
          <w:lang w:val="en-US"/>
        </w:rPr>
        <w:t>项目建设内容</w:t>
      </w:r>
    </w:p>
    <w:p>
      <w:pPr>
        <w:ind w:firstLine="48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rPr>
        <w:t>本项目主要建设内容为绵阳市安州区水利工程灾后重建，</w:t>
      </w:r>
      <w:r>
        <w:rPr>
          <w:rFonts w:hint="eastAsia" w:ascii="仿宋" w:hAnsi="仿宋" w:eastAsia="仿宋" w:cs="仿宋"/>
          <w:kern w:val="2"/>
          <w:sz w:val="28"/>
          <w:szCs w:val="28"/>
          <w:lang w:val="en-US" w:eastAsia="zh-CN"/>
        </w:rPr>
        <w:t>项目共分为两个标段：一标段：修复、重建堤防4026米，其中原堤加固966米，堤防恢复重建3060米；二标段：一大渠、二大渠修复重建干渠、修复重建泄洪沟，修复重建支渠；铁皮堰修复重建取水枢纽及整治渠道。其中：</w:t>
      </w:r>
    </w:p>
    <w:p>
      <w:pPr>
        <w:ind w:firstLine="48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①一大渠灌区主干渠、左干渠、右干渠等11条渠道总共需要整治水毁147处，综合整治长度5491m。</w:t>
      </w:r>
    </w:p>
    <w:p>
      <w:pPr>
        <w:ind w:firstLine="48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②整治茶坪闸浅水坝坝肩掏空一处。</w:t>
      </w:r>
    </w:p>
    <w:p>
      <w:pPr>
        <w:ind w:firstLine="480"/>
        <w:rPr>
          <w:color w:val="000000" w:themeColor="text1"/>
        </w:rPr>
      </w:pPr>
      <w:r>
        <w:rPr>
          <w:rFonts w:hint="eastAsia" w:ascii="仿宋" w:hAnsi="仿宋" w:eastAsia="仿宋" w:cs="仿宋"/>
          <w:kern w:val="2"/>
          <w:sz w:val="28"/>
          <w:szCs w:val="28"/>
          <w:lang w:val="en-US" w:eastAsia="zh-CN"/>
        </w:rPr>
        <w:t>③二大渠灌区渠系共整治水毁点14处，其中渠首取水闸整治一处，拦河堰整治一处，渠道整治12处（主干渠3处，1支渠1处，4支渠1处，2支渠2处，6支渠5处），综合整治长度4370m，其中明渠整治4328m，跨路涵洞整治8处，共计42m。</w:t>
      </w:r>
    </w:p>
    <w:p>
      <w:pPr>
        <w:pStyle w:val="5"/>
        <w:spacing w:before="0" w:after="0" w:line="360" w:lineRule="auto"/>
        <w:ind w:firstLine="560" w:firstLineChars="200"/>
        <w:outlineLvl w:val="2"/>
        <w:rPr>
          <w:rFonts w:hint="eastAsia" w:ascii="仿宋" w:hAnsi="仿宋" w:eastAsia="仿宋" w:cs="仿宋"/>
          <w:kern w:val="2"/>
          <w:sz w:val="28"/>
          <w:szCs w:val="28"/>
          <w:lang w:val="en-US"/>
        </w:rPr>
      </w:pPr>
      <w:bookmarkStart w:id="8" w:name="_Toc28944"/>
      <w:r>
        <w:rPr>
          <w:rFonts w:hint="eastAsia" w:ascii="仿宋" w:hAnsi="仿宋" w:eastAsia="仿宋" w:cs="仿宋"/>
          <w:kern w:val="2"/>
          <w:sz w:val="28"/>
          <w:szCs w:val="28"/>
          <w:lang w:val="en-US"/>
        </w:rPr>
        <w:t>（4）建设期限</w:t>
      </w:r>
      <w:bookmarkEnd w:id="8"/>
    </w:p>
    <w:p>
      <w:pPr>
        <w:pStyle w:val="5"/>
        <w:spacing w:before="0" w:after="0" w:line="360" w:lineRule="auto"/>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rPr>
        <w:t>项目建设期为1</w:t>
      </w:r>
      <w:r>
        <w:rPr>
          <w:rFonts w:hint="eastAsia" w:ascii="仿宋" w:hAnsi="仿宋" w:eastAsia="仿宋" w:cs="仿宋"/>
          <w:kern w:val="2"/>
          <w:sz w:val="28"/>
          <w:szCs w:val="28"/>
          <w:lang w:val="en-US" w:eastAsia="zh-CN"/>
        </w:rPr>
        <w:t>4</w:t>
      </w:r>
      <w:r>
        <w:rPr>
          <w:rFonts w:hint="eastAsia" w:ascii="仿宋" w:hAnsi="仿宋" w:eastAsia="仿宋" w:cs="仿宋"/>
          <w:kern w:val="2"/>
          <w:sz w:val="28"/>
          <w:szCs w:val="28"/>
          <w:lang w:val="en-US"/>
        </w:rPr>
        <w:t>个月，</w:t>
      </w:r>
      <w:r>
        <w:rPr>
          <w:rFonts w:hint="eastAsia" w:ascii="仿宋" w:hAnsi="仿宋" w:eastAsia="仿宋" w:cs="仿宋"/>
          <w:kern w:val="2"/>
          <w:sz w:val="28"/>
          <w:szCs w:val="28"/>
          <w:lang w:val="en-US" w:eastAsia="zh-CN"/>
        </w:rPr>
        <w:t>即</w:t>
      </w:r>
      <w:r>
        <w:rPr>
          <w:rFonts w:hint="eastAsia" w:ascii="仿宋" w:hAnsi="仿宋" w:eastAsia="仿宋" w:cs="仿宋"/>
          <w:kern w:val="2"/>
          <w:sz w:val="28"/>
          <w:szCs w:val="28"/>
          <w:lang w:val="en-US"/>
        </w:rPr>
        <w:t>2021年</w:t>
      </w:r>
      <w:r>
        <w:rPr>
          <w:rFonts w:hint="eastAsia" w:ascii="仿宋" w:hAnsi="仿宋" w:eastAsia="仿宋" w:cs="仿宋"/>
          <w:kern w:val="2"/>
          <w:sz w:val="28"/>
          <w:szCs w:val="28"/>
          <w:lang w:val="en-US" w:eastAsia="zh-CN"/>
        </w:rPr>
        <w:t>4</w:t>
      </w:r>
      <w:r>
        <w:rPr>
          <w:rFonts w:hint="eastAsia" w:ascii="仿宋" w:hAnsi="仿宋" w:eastAsia="仿宋" w:cs="仿宋"/>
          <w:kern w:val="2"/>
          <w:sz w:val="28"/>
          <w:szCs w:val="28"/>
          <w:lang w:val="en-US"/>
        </w:rPr>
        <w:t>月至20</w:t>
      </w:r>
      <w:r>
        <w:rPr>
          <w:rFonts w:hint="eastAsia" w:ascii="仿宋" w:hAnsi="仿宋" w:eastAsia="仿宋" w:cs="仿宋"/>
          <w:kern w:val="2"/>
          <w:sz w:val="28"/>
          <w:szCs w:val="28"/>
          <w:lang w:val="en-US" w:eastAsia="zh-CN"/>
        </w:rPr>
        <w:t>22</w:t>
      </w:r>
      <w:r>
        <w:rPr>
          <w:rFonts w:hint="eastAsia" w:ascii="仿宋" w:hAnsi="仿宋" w:eastAsia="仿宋" w:cs="仿宋"/>
          <w:kern w:val="2"/>
          <w:sz w:val="28"/>
          <w:szCs w:val="28"/>
          <w:lang w:val="en-US"/>
        </w:rPr>
        <w:t>年</w:t>
      </w:r>
      <w:r>
        <w:rPr>
          <w:rFonts w:hint="eastAsia" w:ascii="仿宋" w:hAnsi="仿宋" w:eastAsia="仿宋" w:cs="仿宋"/>
          <w:kern w:val="2"/>
          <w:sz w:val="28"/>
          <w:szCs w:val="28"/>
          <w:lang w:val="en-US" w:eastAsia="zh-CN"/>
        </w:rPr>
        <w:t>6</w:t>
      </w:r>
      <w:r>
        <w:rPr>
          <w:rFonts w:hint="eastAsia" w:ascii="仿宋" w:hAnsi="仿宋" w:eastAsia="仿宋" w:cs="仿宋"/>
          <w:kern w:val="2"/>
          <w:sz w:val="28"/>
          <w:szCs w:val="28"/>
          <w:lang w:val="en-US"/>
        </w:rPr>
        <w:t>月</w:t>
      </w:r>
      <w:r>
        <w:rPr>
          <w:rFonts w:hint="eastAsia" w:ascii="仿宋" w:hAnsi="仿宋" w:eastAsia="仿宋" w:cs="仿宋"/>
          <w:kern w:val="2"/>
          <w:sz w:val="28"/>
          <w:szCs w:val="28"/>
          <w:lang w:val="en-US" w:eastAsia="zh-CN"/>
        </w:rPr>
        <w:t>。</w:t>
      </w:r>
    </w:p>
    <w:p>
      <w:pPr>
        <w:pStyle w:val="3"/>
        <w:spacing w:before="156" w:beforeLines="50" w:after="156" w:line="360" w:lineRule="auto"/>
      </w:pPr>
      <w:bookmarkStart w:id="9" w:name="_Toc498385721"/>
      <w:bookmarkStart w:id="10" w:name="_Toc498385053"/>
      <w:bookmarkStart w:id="11" w:name="_Toc21351766"/>
      <w:r>
        <w:t>经济社会效益分析</w:t>
      </w:r>
      <w:bookmarkEnd w:id="9"/>
      <w:bookmarkEnd w:id="10"/>
      <w:bookmarkEnd w:id="11"/>
    </w:p>
    <w:p>
      <w:pPr>
        <w:pStyle w:val="4"/>
        <w:spacing w:before="156" w:beforeLines="50" w:after="156" w:line="360" w:lineRule="auto"/>
        <w:rPr>
          <w:rFonts w:ascii="仿宋" w:hAnsi="仿宋" w:eastAsia="仿宋"/>
          <w:sz w:val="30"/>
          <w:szCs w:val="30"/>
        </w:rPr>
      </w:pPr>
      <w:bookmarkStart w:id="12" w:name="_Toc21351767"/>
      <w:bookmarkStart w:id="13" w:name="_Toc395013281"/>
      <w:bookmarkStart w:id="14" w:name="_Toc516711858"/>
      <w:bookmarkStart w:id="15" w:name="_Toc498385055"/>
      <w:bookmarkStart w:id="16" w:name="_Toc498385723"/>
      <w:r>
        <w:rPr>
          <w:rFonts w:ascii="仿宋" w:hAnsi="仿宋" w:eastAsia="仿宋"/>
          <w:sz w:val="30"/>
          <w:szCs w:val="30"/>
        </w:rPr>
        <w:t>经济效益分析</w:t>
      </w:r>
      <w:bookmarkEnd w:id="12"/>
      <w:bookmarkEnd w:id="13"/>
      <w:bookmarkEnd w:id="14"/>
    </w:p>
    <w:p>
      <w:pPr>
        <w:pStyle w:val="5"/>
        <w:spacing w:before="0" w:after="0" w:line="360" w:lineRule="auto"/>
        <w:rPr>
          <w:rFonts w:ascii="仿宋" w:hAnsi="仿宋" w:eastAsia="仿宋"/>
          <w:kern w:val="2"/>
          <w:sz w:val="28"/>
          <w:szCs w:val="28"/>
          <w:lang w:val="en-US"/>
        </w:rPr>
      </w:pPr>
      <w:r>
        <w:rPr>
          <w:rFonts w:hint="eastAsia" w:ascii="仿宋" w:hAnsi="仿宋" w:eastAsia="仿宋" w:cs="仿宋"/>
          <w:kern w:val="2"/>
          <w:sz w:val="28"/>
          <w:szCs w:val="28"/>
          <w:lang w:val="en-US" w:eastAsia="zh-CN"/>
        </w:rPr>
        <w:t>项目的建设和运营，能给当地居民和农民创造更多的就业机会，更好的就业环境，同时项目建设完工后，可以改善周边居民居住环境，优化产业结构，带动经济发展，具有良好的经济效益</w:t>
      </w:r>
      <w:r>
        <w:rPr>
          <w:rFonts w:hint="eastAsia" w:ascii="仿宋" w:hAnsi="仿宋" w:eastAsia="仿宋"/>
          <w:sz w:val="28"/>
          <w:szCs w:val="28"/>
        </w:rPr>
        <w:t>。</w:t>
      </w:r>
    </w:p>
    <w:p>
      <w:pPr>
        <w:pStyle w:val="4"/>
        <w:spacing w:before="156" w:beforeLines="50" w:after="156" w:line="360" w:lineRule="auto"/>
        <w:rPr>
          <w:rFonts w:ascii="仿宋" w:hAnsi="仿宋" w:eastAsia="仿宋"/>
          <w:sz w:val="30"/>
          <w:szCs w:val="30"/>
        </w:rPr>
      </w:pPr>
      <w:bookmarkStart w:id="17" w:name="_Toc1116260890"/>
      <w:bookmarkStart w:id="18" w:name="_Toc516711859"/>
      <w:bookmarkStart w:id="19" w:name="_Toc21351768"/>
      <w:r>
        <w:rPr>
          <w:rFonts w:ascii="仿宋" w:hAnsi="仿宋" w:eastAsia="仿宋"/>
          <w:sz w:val="30"/>
          <w:szCs w:val="30"/>
        </w:rPr>
        <w:t>社会效益分析</w:t>
      </w:r>
      <w:bookmarkEnd w:id="17"/>
      <w:bookmarkEnd w:id="18"/>
      <w:bookmarkEnd w:id="19"/>
    </w:p>
    <w:p>
      <w:pPr>
        <w:pStyle w:val="5"/>
        <w:spacing w:before="156" w:beforeLines="50" w:after="156" w:afterLines="50" w:line="360" w:lineRule="auto"/>
        <w:ind w:firstLine="560" w:firstLineChars="200"/>
        <w:outlineLvl w:val="9"/>
        <w:rPr>
          <w:rFonts w:ascii="仿宋" w:hAnsi="仿宋" w:eastAsia="仿宋" w:cstheme="minorBidi"/>
          <w:kern w:val="2"/>
          <w:sz w:val="28"/>
          <w:szCs w:val="28"/>
        </w:rPr>
      </w:pPr>
      <w:r>
        <w:rPr>
          <w:rFonts w:hint="eastAsia" w:ascii="仿宋" w:hAnsi="仿宋" w:eastAsia="仿宋" w:cs="仿宋"/>
          <w:kern w:val="2"/>
          <w:sz w:val="28"/>
          <w:szCs w:val="28"/>
          <w:lang w:val="en-US" w:eastAsia="zh-CN"/>
        </w:rPr>
        <w:t>1.项目建设是贯彻新时代治水思路、全面提升水生态文明建设的需要。</w:t>
      </w:r>
    </w:p>
    <w:p>
      <w:pPr>
        <w:pStyle w:val="5"/>
        <w:spacing w:before="0" w:after="0" w:line="360" w:lineRule="auto"/>
        <w:ind w:firstLine="560" w:firstLineChars="200"/>
        <w:outlineLvl w:val="9"/>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2.项目建设是加强生态环境系统保护修复和长江大保护的重要任务。</w:t>
      </w:r>
    </w:p>
    <w:p>
      <w:pPr>
        <w:pStyle w:val="5"/>
        <w:spacing w:before="0" w:after="0" w:line="360" w:lineRule="auto"/>
        <w:ind w:firstLine="560" w:firstLineChars="200"/>
        <w:outlineLvl w:val="9"/>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3.项目建设是推进“美丽乡村”建设、打造“滨水安州，美丽花城”的需要。</w:t>
      </w:r>
    </w:p>
    <w:p>
      <w:pPr>
        <w:pStyle w:val="63"/>
        <w:adjustRightInd w:val="0"/>
        <w:snapToGrid w:val="0"/>
        <w:spacing w:line="360" w:lineRule="auto"/>
        <w:ind w:firstLine="560"/>
        <w:rPr>
          <w:rFonts w:hint="eastAsia" w:ascii="仿宋" w:hAnsi="仿宋" w:eastAsia="仿宋"/>
          <w:color w:val="auto"/>
          <w:szCs w:val="28"/>
          <w:lang w:eastAsia="zh-CN"/>
        </w:rPr>
      </w:pPr>
      <w:r>
        <w:rPr>
          <w:rFonts w:hint="eastAsia" w:ascii="仿宋" w:hAnsi="仿宋" w:eastAsia="仿宋"/>
          <w:color w:val="auto"/>
          <w:szCs w:val="28"/>
        </w:rPr>
        <w:t>4.项目建设是加快城镇建设、提高保护区企业及居民生命财产安全的重要保障</w:t>
      </w:r>
      <w:r>
        <w:rPr>
          <w:rFonts w:hint="eastAsia" w:ascii="仿宋" w:hAnsi="仿宋" w:eastAsia="仿宋"/>
          <w:color w:val="auto"/>
          <w:szCs w:val="28"/>
          <w:lang w:eastAsia="zh-CN"/>
        </w:rPr>
        <w:t>。</w:t>
      </w:r>
    </w:p>
    <w:p>
      <w:pPr>
        <w:pStyle w:val="63"/>
        <w:adjustRightInd w:val="0"/>
        <w:snapToGrid w:val="0"/>
        <w:spacing w:line="360" w:lineRule="auto"/>
        <w:ind w:firstLine="560"/>
        <w:rPr>
          <w:rFonts w:hint="eastAsia" w:ascii="仿宋" w:hAnsi="仿宋" w:eastAsia="仿宋"/>
          <w:color w:val="auto"/>
          <w:szCs w:val="28"/>
          <w:lang w:eastAsia="zh-CN"/>
        </w:rPr>
      </w:pPr>
      <w:r>
        <w:rPr>
          <w:rFonts w:hint="eastAsia" w:ascii="仿宋" w:hAnsi="仿宋" w:eastAsia="仿宋"/>
          <w:color w:val="auto"/>
          <w:szCs w:val="28"/>
        </w:rPr>
        <w:t>5.项目建设是保护沿线基本农田、提高人民生活保障的重要举措</w:t>
      </w:r>
      <w:r>
        <w:rPr>
          <w:rFonts w:hint="eastAsia" w:ascii="仿宋" w:hAnsi="仿宋" w:eastAsia="仿宋"/>
          <w:color w:val="auto"/>
          <w:szCs w:val="28"/>
          <w:lang w:eastAsia="zh-CN"/>
        </w:rPr>
        <w:t>。</w:t>
      </w:r>
    </w:p>
    <w:p>
      <w:pPr>
        <w:pStyle w:val="63"/>
        <w:adjustRightInd w:val="0"/>
        <w:snapToGrid w:val="0"/>
        <w:spacing w:line="360" w:lineRule="auto"/>
        <w:ind w:firstLine="560"/>
        <w:rPr>
          <w:rFonts w:hint="eastAsia" w:ascii="仿宋" w:hAnsi="仿宋" w:eastAsia="仿宋"/>
          <w:color w:val="auto"/>
          <w:szCs w:val="28"/>
          <w:lang w:eastAsia="zh-CN"/>
        </w:rPr>
      </w:pPr>
      <w:r>
        <w:rPr>
          <w:rFonts w:hint="eastAsia" w:ascii="仿宋" w:hAnsi="仿宋" w:eastAsia="仿宋"/>
          <w:color w:val="auto"/>
          <w:szCs w:val="28"/>
        </w:rPr>
        <w:t>6.项目的建设有利于全县的粮食生产稳定</w:t>
      </w:r>
      <w:r>
        <w:rPr>
          <w:rFonts w:hint="eastAsia" w:ascii="仿宋" w:hAnsi="仿宋" w:eastAsia="仿宋"/>
          <w:color w:val="auto"/>
          <w:szCs w:val="28"/>
          <w:lang w:eastAsia="zh-CN"/>
        </w:rPr>
        <w:t>。</w:t>
      </w:r>
    </w:p>
    <w:p>
      <w:pPr>
        <w:pStyle w:val="5"/>
        <w:spacing w:before="0" w:after="0" w:line="360" w:lineRule="auto"/>
        <w:ind w:firstLine="560" w:firstLineChars="200"/>
        <w:outlineLvl w:val="9"/>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7. 项目的建设有利于渠道的安全运行。</w:t>
      </w:r>
    </w:p>
    <w:p>
      <w:pPr>
        <w:pStyle w:val="5"/>
        <w:spacing w:before="0" w:after="0" w:line="360" w:lineRule="auto"/>
        <w:ind w:firstLine="560" w:firstLineChars="200"/>
        <w:outlineLvl w:val="9"/>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8.项目的建设有利于适时栽播、适时抗旱、节约水资源。</w:t>
      </w:r>
    </w:p>
    <w:p>
      <w:pPr>
        <w:pStyle w:val="5"/>
        <w:spacing w:before="0" w:after="0" w:line="360" w:lineRule="auto"/>
        <w:ind w:firstLine="560" w:firstLineChars="200"/>
        <w:outlineLvl w:val="9"/>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9.项目的建设有利于农业产业结构的调整。</w:t>
      </w:r>
    </w:p>
    <w:p>
      <w:pPr>
        <w:pStyle w:val="3"/>
        <w:spacing w:before="156" w:beforeLines="50" w:after="156" w:line="360" w:lineRule="auto"/>
      </w:pPr>
      <w:bookmarkStart w:id="20" w:name="_Toc21351769"/>
      <w:r>
        <w:t>项目投资估算及资金筹措方案</w:t>
      </w:r>
      <w:bookmarkEnd w:id="15"/>
      <w:bookmarkEnd w:id="16"/>
      <w:bookmarkEnd w:id="20"/>
    </w:p>
    <w:p>
      <w:pPr>
        <w:pStyle w:val="4"/>
        <w:spacing w:before="156" w:beforeLines="50" w:after="156" w:line="360" w:lineRule="auto"/>
        <w:rPr>
          <w:rFonts w:ascii="仿宋" w:hAnsi="仿宋" w:eastAsia="仿宋"/>
          <w:sz w:val="30"/>
          <w:szCs w:val="30"/>
        </w:rPr>
      </w:pPr>
      <w:bookmarkStart w:id="21" w:name="_Toc497498364"/>
      <w:bookmarkStart w:id="22" w:name="_Toc21351770"/>
      <w:bookmarkStart w:id="23" w:name="_Toc498385056"/>
      <w:bookmarkStart w:id="24" w:name="_Toc498385724"/>
      <w:r>
        <w:rPr>
          <w:rFonts w:ascii="仿宋" w:hAnsi="仿宋" w:eastAsia="仿宋"/>
          <w:sz w:val="30"/>
          <w:szCs w:val="30"/>
        </w:rPr>
        <w:t>投资估算</w:t>
      </w:r>
      <w:bookmarkEnd w:id="21"/>
      <w:bookmarkEnd w:id="22"/>
      <w:bookmarkEnd w:id="23"/>
      <w:bookmarkEnd w:id="24"/>
    </w:p>
    <w:p>
      <w:pPr>
        <w:pStyle w:val="5"/>
        <w:spacing w:before="0" w:after="0" w:line="360" w:lineRule="auto"/>
        <w:rPr>
          <w:rFonts w:ascii="仿宋" w:hAnsi="仿宋" w:eastAsia="仿宋"/>
          <w:sz w:val="28"/>
          <w:szCs w:val="28"/>
          <w:lang w:val="en-US"/>
        </w:rPr>
      </w:pPr>
      <w:bookmarkStart w:id="25" w:name="_Toc497498365"/>
      <w:bookmarkStart w:id="26" w:name="_Toc498385727"/>
      <w:bookmarkStart w:id="27" w:name="_Toc498385059"/>
      <w:r>
        <w:rPr>
          <w:rFonts w:hint="eastAsia" w:ascii="仿宋" w:hAnsi="仿宋" w:eastAsia="仿宋" w:cs="仿宋"/>
          <w:kern w:val="2"/>
          <w:sz w:val="28"/>
          <w:szCs w:val="28"/>
          <w:lang w:val="en-US"/>
        </w:rPr>
        <w:t>本项目总投资为7,780.11万元，其中:工程</w:t>
      </w:r>
      <w:r>
        <w:rPr>
          <w:rFonts w:hint="eastAsia" w:ascii="仿宋" w:hAnsi="仿宋" w:eastAsia="仿宋" w:cs="仿宋"/>
          <w:kern w:val="2"/>
          <w:sz w:val="28"/>
          <w:szCs w:val="28"/>
          <w:lang w:val="en-US" w:eastAsia="zh-CN"/>
        </w:rPr>
        <w:t xml:space="preserve">静态总投资7,710.11 </w:t>
      </w:r>
      <w:r>
        <w:rPr>
          <w:rFonts w:hint="eastAsia" w:ascii="仿宋" w:hAnsi="仿宋" w:eastAsia="仿宋" w:cs="仿宋"/>
          <w:kern w:val="2"/>
          <w:sz w:val="28"/>
          <w:szCs w:val="28"/>
          <w:lang w:val="en-US"/>
        </w:rPr>
        <w:t>万元，占总投资的</w:t>
      </w:r>
      <w:r>
        <w:rPr>
          <w:rFonts w:hint="eastAsia" w:ascii="仿宋" w:hAnsi="仿宋" w:eastAsia="仿宋" w:cs="仿宋"/>
          <w:kern w:val="2"/>
          <w:sz w:val="28"/>
          <w:szCs w:val="28"/>
          <w:lang w:val="en-US" w:eastAsia="zh-CN"/>
        </w:rPr>
        <w:t>99.10</w:t>
      </w:r>
      <w:r>
        <w:rPr>
          <w:rFonts w:hint="eastAsia" w:ascii="仿宋" w:hAnsi="仿宋" w:eastAsia="仿宋" w:cs="仿宋"/>
          <w:kern w:val="2"/>
          <w:sz w:val="28"/>
          <w:szCs w:val="28"/>
          <w:lang w:val="en-US"/>
        </w:rPr>
        <w:t>%；建设期利息</w:t>
      </w:r>
      <w:r>
        <w:rPr>
          <w:rFonts w:hint="eastAsia" w:ascii="仿宋" w:hAnsi="仿宋" w:eastAsia="仿宋" w:cs="仿宋"/>
          <w:kern w:val="2"/>
          <w:sz w:val="28"/>
          <w:szCs w:val="28"/>
          <w:lang w:val="en-US" w:eastAsia="zh-CN"/>
        </w:rPr>
        <w:t>40.00</w:t>
      </w:r>
      <w:r>
        <w:rPr>
          <w:rFonts w:hint="eastAsia" w:ascii="仿宋" w:hAnsi="仿宋" w:eastAsia="仿宋" w:cs="仿宋"/>
          <w:kern w:val="2"/>
          <w:sz w:val="28"/>
          <w:szCs w:val="28"/>
          <w:lang w:val="en-US"/>
        </w:rPr>
        <w:t>万元，占总投资的0.</w:t>
      </w:r>
      <w:r>
        <w:rPr>
          <w:rFonts w:hint="eastAsia" w:ascii="仿宋" w:hAnsi="仿宋" w:eastAsia="仿宋" w:cs="仿宋"/>
          <w:kern w:val="2"/>
          <w:sz w:val="28"/>
          <w:szCs w:val="28"/>
          <w:lang w:val="en-US" w:eastAsia="zh-CN"/>
        </w:rPr>
        <w:t>51</w:t>
      </w:r>
      <w:r>
        <w:rPr>
          <w:rFonts w:hint="eastAsia" w:ascii="仿宋" w:hAnsi="仿宋" w:eastAsia="仿宋" w:cs="仿宋"/>
          <w:kern w:val="2"/>
          <w:sz w:val="28"/>
          <w:szCs w:val="28"/>
          <w:lang w:val="en-US"/>
        </w:rPr>
        <w:t>%；</w:t>
      </w:r>
      <w:r>
        <w:rPr>
          <w:rFonts w:hint="eastAsia" w:ascii="仿宋" w:hAnsi="仿宋" w:eastAsia="仿宋" w:cs="仿宋"/>
          <w:kern w:val="2"/>
          <w:sz w:val="28"/>
          <w:szCs w:val="28"/>
          <w:lang w:val="en-US" w:eastAsia="zh-CN"/>
        </w:rPr>
        <w:t>发行费及</w:t>
      </w:r>
      <w:r>
        <w:rPr>
          <w:rFonts w:hint="eastAsia" w:ascii="仿宋" w:hAnsi="仿宋" w:eastAsia="仿宋" w:cs="仿宋"/>
          <w:kern w:val="2"/>
          <w:sz w:val="28"/>
          <w:szCs w:val="28"/>
          <w:lang w:val="en-US"/>
        </w:rPr>
        <w:t>中介机构融资费30.00万元，占总投资的0.</w:t>
      </w:r>
      <w:r>
        <w:rPr>
          <w:rFonts w:hint="eastAsia" w:ascii="仿宋" w:hAnsi="仿宋" w:eastAsia="仿宋" w:cs="仿宋"/>
          <w:kern w:val="2"/>
          <w:sz w:val="28"/>
          <w:szCs w:val="28"/>
          <w:lang w:val="en-US" w:eastAsia="zh-CN"/>
        </w:rPr>
        <w:t>39</w:t>
      </w:r>
      <w:r>
        <w:rPr>
          <w:rFonts w:hint="eastAsia" w:ascii="仿宋" w:hAnsi="仿宋" w:eastAsia="仿宋" w:cs="仿宋"/>
          <w:kern w:val="2"/>
          <w:sz w:val="28"/>
          <w:szCs w:val="28"/>
          <w:lang w:val="en-US"/>
        </w:rPr>
        <w:t>%。</w:t>
      </w:r>
    </w:p>
    <w:bookmarkEnd w:id="25"/>
    <w:bookmarkEnd w:id="26"/>
    <w:bookmarkEnd w:id="27"/>
    <w:p>
      <w:pPr>
        <w:pStyle w:val="4"/>
        <w:spacing w:before="156" w:beforeLines="50" w:after="156" w:line="360" w:lineRule="auto"/>
        <w:rPr>
          <w:rFonts w:ascii="仿宋" w:hAnsi="仿宋" w:eastAsia="仿宋"/>
          <w:sz w:val="30"/>
          <w:szCs w:val="30"/>
        </w:rPr>
      </w:pPr>
      <w:bookmarkStart w:id="28" w:name="_Toc21351771"/>
      <w:r>
        <w:rPr>
          <w:rFonts w:ascii="仿宋" w:hAnsi="仿宋" w:eastAsia="仿宋"/>
          <w:sz w:val="30"/>
          <w:szCs w:val="30"/>
        </w:rPr>
        <w:t>资金筹措方案</w:t>
      </w:r>
      <w:bookmarkEnd w:id="28"/>
    </w:p>
    <w:p>
      <w:pPr>
        <w:pStyle w:val="5"/>
        <w:spacing w:before="156" w:beforeLines="50" w:after="156" w:afterLines="50" w:line="360" w:lineRule="auto"/>
        <w:ind w:firstLine="560" w:firstLineChars="200"/>
        <w:outlineLvl w:val="2"/>
        <w:rPr>
          <w:rFonts w:ascii="仿宋" w:hAnsi="仿宋" w:eastAsia="仿宋"/>
          <w:kern w:val="2"/>
          <w:sz w:val="28"/>
          <w:szCs w:val="28"/>
          <w:lang w:val="en-US"/>
        </w:rPr>
      </w:pPr>
      <w:bookmarkStart w:id="29" w:name="_Toc498385729"/>
      <w:bookmarkStart w:id="30" w:name="_Toc498385061"/>
      <w:r>
        <w:rPr>
          <w:rFonts w:ascii="仿宋" w:hAnsi="仿宋" w:eastAsia="仿宋"/>
          <w:kern w:val="2"/>
          <w:sz w:val="28"/>
          <w:szCs w:val="28"/>
          <w:lang w:val="en-US"/>
        </w:rPr>
        <w:t>1.资金来源</w:t>
      </w:r>
      <w:bookmarkEnd w:id="29"/>
      <w:bookmarkEnd w:id="30"/>
    </w:p>
    <w:p>
      <w:pPr>
        <w:pStyle w:val="5"/>
        <w:spacing w:before="0" w:after="0" w:line="360" w:lineRule="auto"/>
        <w:ind w:firstLine="560" w:firstLineChars="200"/>
        <w:rPr>
          <w:rFonts w:ascii="仿宋" w:hAnsi="仿宋" w:eastAsia="仿宋"/>
          <w:kern w:val="2"/>
          <w:sz w:val="28"/>
          <w:szCs w:val="28"/>
          <w:highlight w:val="yellow"/>
          <w:lang w:val="en-US"/>
        </w:rPr>
      </w:pPr>
      <w:r>
        <w:rPr>
          <w:rFonts w:hint="eastAsia" w:ascii="仿宋" w:hAnsi="仿宋" w:eastAsia="仿宋" w:cs="仿宋"/>
          <w:kern w:val="2"/>
          <w:sz w:val="28"/>
          <w:szCs w:val="28"/>
          <w:lang w:val="en-US"/>
        </w:rPr>
        <w:t>本项目总投资为7,780.11万元，其中发行专项债券筹集资金3,000.00万元，占比38.56%；项目资本金4,780.11万元，由项目业主自行筹措3,900.11万元，占比50.13%，省级补助资金880.00万元，占11.31%</w:t>
      </w:r>
      <w:r>
        <w:rPr>
          <w:rFonts w:hint="eastAsia" w:ascii="仿宋" w:hAnsi="仿宋" w:eastAsia="仿宋_GB2312"/>
          <w:color w:val="000000"/>
          <w:sz w:val="28"/>
          <w:szCs w:val="28"/>
        </w:rPr>
        <w:t>。</w:t>
      </w:r>
    </w:p>
    <w:p>
      <w:pPr>
        <w:pStyle w:val="5"/>
        <w:spacing w:before="156" w:beforeLines="50" w:after="156" w:afterLines="50" w:line="360" w:lineRule="auto"/>
        <w:ind w:firstLine="560" w:firstLineChars="200"/>
        <w:outlineLvl w:val="2"/>
        <w:rPr>
          <w:rFonts w:ascii="仿宋" w:hAnsi="仿宋" w:eastAsia="仿宋"/>
          <w:kern w:val="2"/>
          <w:sz w:val="28"/>
          <w:szCs w:val="28"/>
          <w:lang w:val="en-US"/>
        </w:rPr>
      </w:pPr>
      <w:r>
        <w:rPr>
          <w:rFonts w:hint="eastAsia" w:ascii="仿宋" w:hAnsi="仿宋" w:eastAsia="仿宋"/>
          <w:kern w:val="2"/>
          <w:sz w:val="28"/>
          <w:szCs w:val="28"/>
          <w:lang w:val="en-US" w:eastAsia="zh-CN"/>
        </w:rPr>
        <w:t>2</w:t>
      </w:r>
      <w:r>
        <w:rPr>
          <w:rFonts w:ascii="仿宋" w:hAnsi="仿宋" w:eastAsia="仿宋"/>
          <w:kern w:val="2"/>
          <w:sz w:val="28"/>
          <w:szCs w:val="28"/>
          <w:lang w:val="en-US"/>
        </w:rPr>
        <w:t>.资金使用计划</w:t>
      </w:r>
    </w:p>
    <w:p>
      <w:pPr>
        <w:pStyle w:val="5"/>
        <w:spacing w:before="0" w:after="0" w:line="360" w:lineRule="auto"/>
        <w:ind w:firstLine="560" w:firstLineChars="200"/>
        <w:rPr>
          <w:rFonts w:ascii="仿宋" w:hAnsi="仿宋" w:eastAsia="仿宋"/>
          <w:kern w:val="2"/>
          <w:sz w:val="28"/>
          <w:szCs w:val="28"/>
          <w:lang w:val="en-US"/>
        </w:rPr>
      </w:pPr>
      <w:r>
        <w:rPr>
          <w:rFonts w:hint="eastAsia" w:ascii="仿宋" w:hAnsi="仿宋" w:eastAsia="仿宋"/>
          <w:kern w:val="2"/>
          <w:sz w:val="28"/>
          <w:szCs w:val="28"/>
          <w:lang w:val="en-US" w:eastAsia="zh-CN"/>
        </w:rPr>
        <w:t>本项目筹集资金</w:t>
      </w:r>
      <w:r>
        <w:rPr>
          <w:rFonts w:hint="eastAsia" w:ascii="仿宋" w:hAnsi="仿宋" w:eastAsia="仿宋"/>
          <w:kern w:val="2"/>
          <w:sz w:val="28"/>
          <w:szCs w:val="28"/>
          <w:lang w:val="en-US"/>
        </w:rPr>
        <w:t>将于</w:t>
      </w:r>
      <w:r>
        <w:rPr>
          <w:rFonts w:hint="eastAsia" w:ascii="仿宋" w:hAnsi="仿宋" w:eastAsia="仿宋" w:cs="仿宋"/>
          <w:kern w:val="2"/>
          <w:sz w:val="28"/>
          <w:szCs w:val="28"/>
          <w:lang w:val="en-US"/>
        </w:rPr>
        <w:t>2021</w:t>
      </w:r>
      <w:r>
        <w:rPr>
          <w:rFonts w:hint="eastAsia" w:ascii="仿宋" w:hAnsi="仿宋" w:eastAsia="仿宋" w:cs="仿宋"/>
          <w:kern w:val="2"/>
          <w:sz w:val="28"/>
          <w:szCs w:val="28"/>
          <w:lang w:val="en-US" w:eastAsia="zh-CN"/>
        </w:rPr>
        <w:t>-2022</w:t>
      </w:r>
      <w:r>
        <w:rPr>
          <w:rFonts w:hint="eastAsia" w:ascii="仿宋" w:hAnsi="仿宋" w:eastAsia="仿宋"/>
          <w:kern w:val="2"/>
          <w:sz w:val="28"/>
          <w:szCs w:val="28"/>
          <w:lang w:val="en-US"/>
        </w:rPr>
        <w:t>年投入到项目工程建设工作中，结合本项目建设计划，后续项目资金使用计划如下表所示：</w:t>
      </w:r>
    </w:p>
    <w:p>
      <w:pPr>
        <w:spacing w:line="360" w:lineRule="auto"/>
        <w:ind w:firstLine="420" w:firstLineChars="200"/>
        <w:jc w:val="center"/>
        <w:rPr>
          <w:rFonts w:hint="eastAsia" w:ascii="仿宋" w:hAnsi="仿宋" w:eastAsia="仿宋" w:cs="仿宋"/>
          <w:sz w:val="24"/>
          <w:szCs w:val="28"/>
        </w:rPr>
      </w:pPr>
      <w:r>
        <w:rPr>
          <w:rFonts w:hint="eastAsia" w:ascii="仿宋" w:hAnsi="仿宋" w:eastAsia="仿宋"/>
          <w:szCs w:val="21"/>
        </w:rPr>
        <w:t>表3-2</w:t>
      </w:r>
      <w:r>
        <w:rPr>
          <w:rFonts w:ascii="仿宋" w:hAnsi="仿宋" w:eastAsia="仿宋"/>
          <w:szCs w:val="21"/>
        </w:rPr>
        <w:t xml:space="preserve"> </w:t>
      </w:r>
      <w:bookmarkStart w:id="31" w:name="_Toc21351772"/>
      <w:bookmarkStart w:id="32" w:name="_Toc498385730"/>
      <w:bookmarkStart w:id="33" w:name="_Toc498385062"/>
      <w:r>
        <w:rPr>
          <w:rFonts w:hint="eastAsia" w:ascii="仿宋" w:hAnsi="仿宋" w:eastAsia="仿宋" w:cs="仿宋"/>
          <w:sz w:val="24"/>
          <w:szCs w:val="28"/>
        </w:rPr>
        <w:t>绵阳市安州区水利工程灾后重建项目年度资金使用计划表</w:t>
      </w:r>
    </w:p>
    <w:tbl>
      <w:tblPr>
        <w:tblStyle w:val="29"/>
        <w:tblW w:w="8522" w:type="dxa"/>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757"/>
        <w:gridCol w:w="1742"/>
        <w:gridCol w:w="11"/>
        <w:gridCol w:w="2396"/>
        <w:gridCol w:w="2616"/>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3" w:hRule="atLeast"/>
          <w:tblHeader/>
          <w:jc w:val="center"/>
        </w:trPr>
        <w:tc>
          <w:tcPr>
            <w:tcW w:w="1757" w:type="dxa"/>
            <w:vMerge w:val="restart"/>
            <w:vAlign w:val="center"/>
          </w:tcPr>
          <w:p>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时间</w:t>
            </w:r>
          </w:p>
        </w:tc>
        <w:tc>
          <w:tcPr>
            <w:tcW w:w="1753" w:type="dxa"/>
            <w:gridSpan w:val="2"/>
            <w:vMerge w:val="restart"/>
            <w:vAlign w:val="center"/>
          </w:tcPr>
          <w:p>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资金使用计划（万元）</w:t>
            </w:r>
          </w:p>
        </w:tc>
        <w:tc>
          <w:tcPr>
            <w:tcW w:w="5012" w:type="dxa"/>
            <w:gridSpan w:val="2"/>
          </w:tcPr>
          <w:p>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资金来源</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3" w:hRule="atLeast"/>
          <w:tblHeader/>
          <w:jc w:val="center"/>
        </w:trPr>
        <w:tc>
          <w:tcPr>
            <w:tcW w:w="1757" w:type="dxa"/>
            <w:vMerge w:val="continue"/>
          </w:tcPr>
          <w:p>
            <w:pPr>
              <w:spacing w:line="500" w:lineRule="exact"/>
              <w:jc w:val="center"/>
              <w:rPr>
                <w:rFonts w:hint="eastAsia" w:ascii="仿宋" w:hAnsi="仿宋" w:eastAsia="仿宋" w:cs="仿宋"/>
                <w:sz w:val="22"/>
                <w:szCs w:val="22"/>
              </w:rPr>
            </w:pPr>
          </w:p>
        </w:tc>
        <w:tc>
          <w:tcPr>
            <w:tcW w:w="1753" w:type="dxa"/>
            <w:gridSpan w:val="2"/>
            <w:vMerge w:val="continue"/>
          </w:tcPr>
          <w:p>
            <w:pPr>
              <w:spacing w:line="500" w:lineRule="exact"/>
              <w:jc w:val="center"/>
              <w:rPr>
                <w:rFonts w:hint="eastAsia" w:ascii="仿宋" w:hAnsi="仿宋" w:eastAsia="仿宋" w:cs="仿宋"/>
                <w:sz w:val="22"/>
                <w:szCs w:val="22"/>
              </w:rPr>
            </w:pPr>
          </w:p>
        </w:tc>
        <w:tc>
          <w:tcPr>
            <w:tcW w:w="2396" w:type="dxa"/>
          </w:tcPr>
          <w:p>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项目资本金（万元）</w:t>
            </w:r>
          </w:p>
        </w:tc>
        <w:tc>
          <w:tcPr>
            <w:tcW w:w="2616" w:type="dxa"/>
          </w:tcPr>
          <w:p>
            <w:pPr>
              <w:spacing w:line="500" w:lineRule="exact"/>
              <w:jc w:val="center"/>
              <w:rPr>
                <w:rFonts w:hint="eastAsia" w:ascii="仿宋" w:hAnsi="仿宋" w:eastAsia="仿宋" w:cs="仿宋"/>
                <w:sz w:val="22"/>
                <w:szCs w:val="22"/>
              </w:rPr>
            </w:pPr>
            <w:r>
              <w:rPr>
                <w:rFonts w:hint="eastAsia" w:ascii="仿宋" w:hAnsi="仿宋" w:eastAsia="仿宋" w:cs="仿宋"/>
                <w:sz w:val="22"/>
                <w:szCs w:val="22"/>
              </w:rPr>
              <w:t>本次债券融资（万元）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3" w:hRule="atLeast"/>
          <w:jc w:val="center"/>
        </w:trPr>
        <w:tc>
          <w:tcPr>
            <w:tcW w:w="1757" w:type="dxa"/>
          </w:tcPr>
          <w:p>
            <w:pPr>
              <w:spacing w:line="500" w:lineRule="exact"/>
              <w:jc w:val="center"/>
              <w:rPr>
                <w:rFonts w:hint="eastAsia" w:ascii="仿宋" w:hAnsi="仿宋" w:eastAsia="仿宋" w:cs="仿宋"/>
                <w:kern w:val="0"/>
                <w:sz w:val="22"/>
                <w:szCs w:val="22"/>
                <w:highlight w:val="yellow"/>
              </w:rPr>
            </w:pPr>
            <w:r>
              <w:rPr>
                <w:rFonts w:hint="eastAsia" w:ascii="仿宋" w:hAnsi="仿宋" w:eastAsia="仿宋" w:cs="仿宋"/>
                <w:kern w:val="0"/>
                <w:sz w:val="22"/>
                <w:szCs w:val="22"/>
                <w:lang w:val="en-US" w:eastAsia="zh-CN"/>
              </w:rPr>
              <w:t>2021</w:t>
            </w:r>
            <w:r>
              <w:rPr>
                <w:rFonts w:hint="eastAsia" w:ascii="仿宋" w:hAnsi="仿宋" w:eastAsia="仿宋" w:cs="仿宋"/>
                <w:kern w:val="0"/>
                <w:sz w:val="22"/>
                <w:szCs w:val="22"/>
              </w:rPr>
              <w:t>年</w:t>
            </w:r>
          </w:p>
        </w:tc>
        <w:tc>
          <w:tcPr>
            <w:tcW w:w="1742" w:type="dxa"/>
            <w:vAlign w:val="center"/>
          </w:tcPr>
          <w:p>
            <w:pPr>
              <w:spacing w:line="500" w:lineRule="exact"/>
              <w:jc w:val="right"/>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 xml:space="preserve"> 2,560.00 </w:t>
            </w:r>
          </w:p>
        </w:tc>
        <w:tc>
          <w:tcPr>
            <w:tcW w:w="2407" w:type="dxa"/>
            <w:gridSpan w:val="2"/>
            <w:vAlign w:val="center"/>
          </w:tcPr>
          <w:p>
            <w:pPr>
              <w:spacing w:line="500" w:lineRule="exact"/>
              <w:jc w:val="righ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 xml:space="preserve"> 2,560.00 </w:t>
            </w:r>
          </w:p>
        </w:tc>
        <w:tc>
          <w:tcPr>
            <w:tcW w:w="2616" w:type="dxa"/>
          </w:tcPr>
          <w:p>
            <w:pPr>
              <w:spacing w:line="500" w:lineRule="exact"/>
              <w:jc w:val="right"/>
              <w:rPr>
                <w:rFonts w:hint="eastAsia" w:ascii="仿宋" w:hAnsi="仿宋" w:eastAsia="仿宋" w:cs="仿宋"/>
                <w:kern w:val="0"/>
                <w:sz w:val="22"/>
                <w:szCs w:val="22"/>
              </w:rPr>
            </w:pP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3" w:hRule="atLeast"/>
          <w:jc w:val="center"/>
        </w:trPr>
        <w:tc>
          <w:tcPr>
            <w:tcW w:w="1757" w:type="dxa"/>
          </w:tcPr>
          <w:p>
            <w:pPr>
              <w:spacing w:line="500" w:lineRule="exact"/>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2022年</w:t>
            </w:r>
          </w:p>
        </w:tc>
        <w:tc>
          <w:tcPr>
            <w:tcW w:w="1742" w:type="dxa"/>
            <w:vAlign w:val="center"/>
          </w:tcPr>
          <w:p>
            <w:pPr>
              <w:spacing w:line="500" w:lineRule="exact"/>
              <w:jc w:val="righ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 xml:space="preserve"> 2,220.11 </w:t>
            </w:r>
          </w:p>
        </w:tc>
        <w:tc>
          <w:tcPr>
            <w:tcW w:w="2407" w:type="dxa"/>
            <w:gridSpan w:val="2"/>
            <w:vAlign w:val="center"/>
          </w:tcPr>
          <w:p>
            <w:pPr>
              <w:spacing w:line="500" w:lineRule="exact"/>
              <w:jc w:val="right"/>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 xml:space="preserve"> 2,220.11 </w:t>
            </w:r>
          </w:p>
        </w:tc>
        <w:tc>
          <w:tcPr>
            <w:tcW w:w="2616" w:type="dxa"/>
          </w:tcPr>
          <w:p>
            <w:pPr>
              <w:spacing w:line="500" w:lineRule="exact"/>
              <w:jc w:val="right"/>
              <w:rPr>
                <w:rFonts w:hint="eastAsia" w:ascii="仿宋" w:hAnsi="仿宋" w:eastAsia="仿宋" w:cs="仿宋"/>
                <w:kern w:val="0"/>
                <w:sz w:val="22"/>
                <w:szCs w:val="22"/>
              </w:rPr>
            </w:pPr>
            <w:r>
              <w:rPr>
                <w:rFonts w:hint="eastAsia" w:ascii="仿宋" w:hAnsi="仿宋" w:eastAsia="仿宋" w:cs="仿宋"/>
                <w:kern w:val="0"/>
                <w:sz w:val="22"/>
                <w:szCs w:val="22"/>
              </w:rPr>
              <w:t>3,000.00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3" w:hRule="atLeast"/>
          <w:jc w:val="center"/>
        </w:trPr>
        <w:tc>
          <w:tcPr>
            <w:tcW w:w="1757" w:type="dxa"/>
          </w:tcPr>
          <w:p>
            <w:pPr>
              <w:spacing w:line="500" w:lineRule="exact"/>
              <w:jc w:val="center"/>
              <w:rPr>
                <w:rFonts w:hint="eastAsia" w:ascii="仿宋" w:hAnsi="仿宋" w:eastAsia="仿宋" w:cs="仿宋"/>
                <w:kern w:val="0"/>
                <w:sz w:val="22"/>
                <w:szCs w:val="22"/>
              </w:rPr>
            </w:pPr>
            <w:r>
              <w:rPr>
                <w:rFonts w:hint="eastAsia" w:ascii="仿宋" w:hAnsi="仿宋" w:eastAsia="仿宋" w:cs="仿宋"/>
                <w:kern w:val="0"/>
                <w:sz w:val="22"/>
                <w:szCs w:val="22"/>
              </w:rPr>
              <w:t>合计</w:t>
            </w:r>
          </w:p>
        </w:tc>
        <w:tc>
          <w:tcPr>
            <w:tcW w:w="1742" w:type="dxa"/>
            <w:vAlign w:val="center"/>
          </w:tcPr>
          <w:p>
            <w:pPr>
              <w:spacing w:line="500" w:lineRule="exact"/>
              <w:jc w:val="right"/>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7</w:t>
            </w:r>
            <w:r>
              <w:rPr>
                <w:rFonts w:hint="eastAsia" w:ascii="仿宋" w:hAnsi="仿宋" w:eastAsia="仿宋" w:cs="仿宋"/>
                <w:kern w:val="0"/>
                <w:sz w:val="22"/>
                <w:szCs w:val="22"/>
              </w:rPr>
              <w:t>,780.11</w:t>
            </w:r>
          </w:p>
        </w:tc>
        <w:tc>
          <w:tcPr>
            <w:tcW w:w="2407" w:type="dxa"/>
            <w:gridSpan w:val="2"/>
            <w:vAlign w:val="center"/>
          </w:tcPr>
          <w:p>
            <w:pPr>
              <w:spacing w:line="500" w:lineRule="exact"/>
              <w:jc w:val="right"/>
              <w:rPr>
                <w:rFonts w:hint="eastAsia" w:ascii="仿宋" w:hAnsi="仿宋" w:eastAsia="仿宋" w:cs="仿宋"/>
                <w:kern w:val="0"/>
                <w:sz w:val="22"/>
                <w:szCs w:val="22"/>
              </w:rPr>
            </w:pPr>
            <w:r>
              <w:rPr>
                <w:rFonts w:hint="eastAsia" w:ascii="仿宋" w:hAnsi="仿宋" w:eastAsia="仿宋" w:cs="仿宋"/>
                <w:kern w:val="0"/>
                <w:sz w:val="22"/>
                <w:szCs w:val="22"/>
              </w:rPr>
              <w:t>4,780.11</w:t>
            </w:r>
          </w:p>
        </w:tc>
        <w:tc>
          <w:tcPr>
            <w:tcW w:w="2616" w:type="dxa"/>
          </w:tcPr>
          <w:p>
            <w:pPr>
              <w:spacing w:line="500" w:lineRule="exact"/>
              <w:jc w:val="right"/>
              <w:rPr>
                <w:rFonts w:hint="eastAsia" w:ascii="仿宋" w:hAnsi="仿宋" w:eastAsia="仿宋" w:cs="仿宋"/>
                <w:kern w:val="0"/>
                <w:sz w:val="22"/>
                <w:szCs w:val="22"/>
              </w:rPr>
            </w:pPr>
            <w:r>
              <w:rPr>
                <w:rFonts w:hint="eastAsia" w:ascii="仿宋" w:hAnsi="仿宋" w:eastAsia="仿宋" w:cs="仿宋"/>
                <w:kern w:val="0"/>
                <w:sz w:val="22"/>
                <w:szCs w:val="22"/>
              </w:rPr>
              <w:t>3,000.00</w:t>
            </w:r>
          </w:p>
        </w:tc>
      </w:tr>
    </w:tbl>
    <w:p>
      <w:pPr>
        <w:pStyle w:val="3"/>
        <w:spacing w:before="156" w:beforeLines="50" w:after="156" w:line="360" w:lineRule="auto"/>
      </w:pPr>
      <w:r>
        <w:t>项目预期收益、成本及融资平衡情况</w:t>
      </w:r>
      <w:bookmarkEnd w:id="31"/>
      <w:bookmarkEnd w:id="32"/>
      <w:bookmarkEnd w:id="33"/>
    </w:p>
    <w:p>
      <w:pPr>
        <w:pStyle w:val="4"/>
        <w:spacing w:before="156" w:beforeLines="50" w:after="156" w:line="360" w:lineRule="auto"/>
        <w:rPr>
          <w:rFonts w:ascii="仿宋" w:hAnsi="仿宋" w:eastAsia="仿宋"/>
          <w:sz w:val="30"/>
          <w:szCs w:val="30"/>
        </w:rPr>
      </w:pPr>
      <w:bookmarkStart w:id="34" w:name="_Toc21351773"/>
      <w:r>
        <w:rPr>
          <w:rFonts w:ascii="仿宋" w:hAnsi="仿宋" w:eastAsia="仿宋"/>
          <w:sz w:val="30"/>
          <w:szCs w:val="30"/>
        </w:rPr>
        <w:t>预期收益</w:t>
      </w:r>
      <w:bookmarkEnd w:id="34"/>
    </w:p>
    <w:p>
      <w:pPr>
        <w:adjustRightInd w:val="0"/>
        <w:snapToGrid w:val="0"/>
        <w:spacing w:line="360" w:lineRule="auto"/>
        <w:ind w:firstLine="560" w:firstLineChars="200"/>
        <w:outlineLvl w:val="2"/>
        <w:rPr>
          <w:rFonts w:hint="default" w:ascii="仿宋" w:hAnsi="仿宋" w:eastAsia="仿宋"/>
          <w:kern w:val="2"/>
          <w:sz w:val="28"/>
          <w:szCs w:val="28"/>
          <w:lang w:val="en-US" w:eastAsia="zh-CN"/>
        </w:rPr>
      </w:pPr>
      <w:r>
        <w:rPr>
          <w:rFonts w:hint="eastAsia" w:ascii="仿宋" w:hAnsi="仿宋" w:eastAsia="仿宋"/>
          <w:kern w:val="2"/>
          <w:sz w:val="28"/>
          <w:szCs w:val="28"/>
          <w:lang w:val="en-US" w:eastAsia="zh-CN"/>
        </w:rPr>
        <w:t>1.项目收入</w:t>
      </w:r>
    </w:p>
    <w:p>
      <w:pPr>
        <w:spacing w:line="520" w:lineRule="exact"/>
        <w:ind w:firstLine="560" w:firstLineChars="200"/>
        <w:rPr>
          <w:rFonts w:hint="eastAsia" w:ascii="仿宋" w:hAnsi="仿宋" w:eastAsia="仿宋"/>
          <w:color w:val="000000"/>
          <w:sz w:val="28"/>
          <w:szCs w:val="28"/>
          <w:lang w:eastAsia="zh-CN"/>
        </w:rPr>
      </w:pPr>
      <w:r>
        <w:rPr>
          <w:rFonts w:hint="eastAsia" w:ascii="仿宋" w:hAnsi="仿宋" w:eastAsia="仿宋" w:cs="仿宋"/>
          <w:kern w:val="2"/>
          <w:sz w:val="28"/>
          <w:szCs w:val="28"/>
          <w:lang w:val="en-US" w:eastAsia="zh-CN"/>
        </w:rPr>
        <w:t>本项目中的一、</w:t>
      </w:r>
      <w:r>
        <w:rPr>
          <w:rFonts w:hint="eastAsia" w:ascii="仿宋" w:hAnsi="仿宋" w:eastAsia="仿宋" w:cs="仿宋"/>
          <w:kern w:val="2"/>
          <w:sz w:val="28"/>
          <w:szCs w:val="28"/>
          <w:lang w:val="en-US"/>
        </w:rPr>
        <w:t>二大渠是以灌溉为主，并为灌区城镇生活、工业和农村人畜供水</w:t>
      </w:r>
      <w:r>
        <w:rPr>
          <w:rFonts w:hint="eastAsia" w:ascii="仿宋" w:hAnsi="仿宋" w:eastAsia="仿宋" w:cs="仿宋"/>
          <w:kern w:val="2"/>
          <w:sz w:val="28"/>
          <w:szCs w:val="28"/>
          <w:lang w:val="en-US" w:eastAsia="zh-CN"/>
        </w:rPr>
        <w:t>的水利工程，其中</w:t>
      </w:r>
      <w:r>
        <w:rPr>
          <w:rFonts w:hint="eastAsia" w:ascii="仿宋" w:hAnsi="仿宋" w:eastAsia="仿宋" w:cs="仿宋"/>
          <w:kern w:val="2"/>
          <w:sz w:val="28"/>
          <w:szCs w:val="28"/>
          <w:lang w:val="en-US"/>
        </w:rPr>
        <w:t>一大渠灌区分布于晓坝</w:t>
      </w:r>
      <w:r>
        <w:rPr>
          <w:rFonts w:hint="eastAsia" w:ascii="仿宋" w:hAnsi="仿宋" w:eastAsia="仿宋" w:cs="仿宋"/>
          <w:kern w:val="2"/>
          <w:sz w:val="28"/>
          <w:szCs w:val="28"/>
          <w:lang w:val="en-US" w:eastAsia="zh-CN"/>
        </w:rPr>
        <w:t>镇</w:t>
      </w:r>
      <w:r>
        <w:rPr>
          <w:rFonts w:hint="eastAsia" w:ascii="仿宋" w:hAnsi="仿宋" w:eastAsia="仿宋" w:cs="仿宋"/>
          <w:kern w:val="2"/>
          <w:sz w:val="28"/>
          <w:szCs w:val="28"/>
          <w:lang w:val="en-US"/>
        </w:rPr>
        <w:t>、乐兴</w:t>
      </w:r>
      <w:r>
        <w:rPr>
          <w:rFonts w:hint="eastAsia" w:ascii="仿宋" w:hAnsi="仿宋" w:eastAsia="仿宋" w:cs="仿宋"/>
          <w:kern w:val="2"/>
          <w:sz w:val="28"/>
          <w:szCs w:val="28"/>
          <w:lang w:val="en-US" w:eastAsia="zh-CN"/>
        </w:rPr>
        <w:t>镇</w:t>
      </w:r>
      <w:r>
        <w:rPr>
          <w:rFonts w:hint="eastAsia" w:ascii="仿宋" w:hAnsi="仿宋" w:eastAsia="仿宋" w:cs="仿宋"/>
          <w:kern w:val="2"/>
          <w:sz w:val="28"/>
          <w:szCs w:val="28"/>
          <w:lang w:val="en-US"/>
        </w:rPr>
        <w:t>、兴仁乡</w:t>
      </w:r>
      <w:r>
        <w:rPr>
          <w:rFonts w:hint="eastAsia" w:ascii="仿宋" w:hAnsi="仿宋" w:eastAsia="仿宋" w:cs="仿宋"/>
          <w:kern w:val="2"/>
          <w:sz w:val="28"/>
          <w:szCs w:val="28"/>
          <w:lang w:val="en-US" w:eastAsia="zh-CN"/>
        </w:rPr>
        <w:t>，</w:t>
      </w:r>
      <w:r>
        <w:rPr>
          <w:rFonts w:hint="eastAsia" w:ascii="仿宋" w:hAnsi="仿宋" w:eastAsia="仿宋" w:cs="仿宋"/>
          <w:kern w:val="2"/>
          <w:sz w:val="28"/>
          <w:szCs w:val="28"/>
          <w:lang w:val="en-US"/>
        </w:rPr>
        <w:t>二大渠灌区分布于雎水镇、秀水镇。项目投产后，收入来源主要包括以下部分：</w:t>
      </w:r>
      <w:r>
        <w:rPr>
          <w:rFonts w:hint="eastAsia" w:ascii="仿宋" w:hAnsi="仿宋" w:eastAsia="仿宋" w:cs="仿宋"/>
          <w:kern w:val="2"/>
          <w:sz w:val="28"/>
          <w:szCs w:val="28"/>
          <w:lang w:val="en-US" w:eastAsia="zh-CN"/>
        </w:rPr>
        <w:t>供水收入、</w:t>
      </w:r>
      <w:r>
        <w:rPr>
          <w:rFonts w:hint="eastAsia" w:ascii="仿宋" w:hAnsi="仿宋" w:eastAsia="仿宋" w:cs="仿宋"/>
          <w:kern w:val="2"/>
          <w:sz w:val="28"/>
          <w:szCs w:val="28"/>
          <w:lang w:val="en-US"/>
        </w:rPr>
        <w:t>灌溉收入。</w:t>
      </w:r>
      <w:r>
        <w:rPr>
          <w:rFonts w:hint="eastAsia" w:ascii="仿宋" w:hAnsi="仿宋" w:eastAsia="仿宋"/>
          <w:color w:val="000000"/>
          <w:sz w:val="28"/>
          <w:szCs w:val="28"/>
        </w:rPr>
        <w:t>经测算，本项目计算期内可实现收入合计</w:t>
      </w:r>
      <w:r>
        <w:rPr>
          <w:rFonts w:hint="eastAsia" w:ascii="仿宋" w:hAnsi="仿宋" w:eastAsia="仿宋"/>
          <w:color w:val="000000"/>
          <w:sz w:val="28"/>
          <w:szCs w:val="28"/>
          <w:lang w:val="en-US" w:eastAsia="zh-CN"/>
        </w:rPr>
        <w:t>11056.78</w:t>
      </w:r>
      <w:r>
        <w:rPr>
          <w:rFonts w:hint="eastAsia" w:ascii="仿宋" w:hAnsi="仿宋" w:eastAsia="仿宋"/>
          <w:color w:val="000000"/>
          <w:sz w:val="28"/>
          <w:szCs w:val="28"/>
        </w:rPr>
        <w:t>万元</w:t>
      </w:r>
      <w:r>
        <w:rPr>
          <w:rFonts w:hint="eastAsia" w:ascii="仿宋" w:hAnsi="仿宋" w:eastAsia="仿宋"/>
          <w:color w:val="000000"/>
          <w:sz w:val="28"/>
          <w:szCs w:val="28"/>
          <w:lang w:eastAsia="zh-CN"/>
        </w:rPr>
        <w:t>。</w:t>
      </w:r>
    </w:p>
    <w:p>
      <w:pPr>
        <w:adjustRightInd w:val="0"/>
        <w:snapToGrid w:val="0"/>
        <w:spacing w:line="360" w:lineRule="auto"/>
        <w:ind w:firstLine="560" w:firstLineChars="200"/>
        <w:outlineLvl w:val="2"/>
        <w:rPr>
          <w:rFonts w:ascii="仿宋" w:hAnsi="仿宋" w:eastAsia="仿宋"/>
          <w:sz w:val="28"/>
          <w:szCs w:val="28"/>
        </w:rPr>
      </w:pPr>
      <w:r>
        <w:rPr>
          <w:rFonts w:hint="eastAsia" w:ascii="仿宋" w:hAnsi="仿宋" w:eastAsia="仿宋"/>
          <w:sz w:val="28"/>
          <w:szCs w:val="28"/>
        </w:rPr>
        <w:t>2.项目成本</w:t>
      </w:r>
    </w:p>
    <w:p>
      <w:pPr>
        <w:pStyle w:val="5"/>
        <w:spacing w:before="0" w:after="0" w:line="360" w:lineRule="auto"/>
        <w:ind w:firstLine="561"/>
        <w:rPr>
          <w:rFonts w:hint="eastAsia" w:ascii="仿宋" w:hAnsi="仿宋" w:eastAsia="仿宋" w:cs="仿宋"/>
          <w:kern w:val="2"/>
          <w:sz w:val="28"/>
          <w:szCs w:val="28"/>
          <w:lang w:val="en-US"/>
        </w:rPr>
      </w:pPr>
      <w:r>
        <w:rPr>
          <w:rFonts w:hint="eastAsia" w:ascii="仿宋" w:hAnsi="仿宋" w:eastAsia="仿宋" w:cs="仿宋"/>
          <w:kern w:val="2"/>
          <w:sz w:val="28"/>
          <w:szCs w:val="28"/>
          <w:lang w:val="en-US"/>
        </w:rPr>
        <w:t>（1）项目运营成本</w:t>
      </w:r>
    </w:p>
    <w:p>
      <w:pPr>
        <w:pStyle w:val="5"/>
        <w:spacing w:before="0" w:after="0" w:line="360" w:lineRule="auto"/>
        <w:ind w:firstLine="561"/>
        <w:rPr>
          <w:rFonts w:hint="eastAsia" w:ascii="仿宋" w:hAnsi="仿宋" w:eastAsia="仿宋" w:cs="仿宋"/>
          <w:kern w:val="2"/>
          <w:sz w:val="28"/>
          <w:szCs w:val="28"/>
          <w:lang w:val="en-US"/>
        </w:rPr>
      </w:pPr>
      <w:r>
        <w:rPr>
          <w:rFonts w:hint="eastAsia" w:ascii="仿宋" w:hAnsi="仿宋" w:eastAsia="仿宋" w:cs="仿宋"/>
          <w:kern w:val="2"/>
          <w:sz w:val="28"/>
          <w:szCs w:val="28"/>
          <w:lang w:val="en-US"/>
        </w:rPr>
        <w:t>本次项目运营成本主要包括运营期水资源费、工资及福利费、材料费、燃料及动力费、维修费、管理费、折旧摊销费用、财务费用等。</w:t>
      </w:r>
    </w:p>
    <w:p>
      <w:pPr>
        <w:spacing w:line="240" w:lineRule="auto"/>
        <w:rPr>
          <w:rFonts w:hint="eastAsia" w:ascii="仿宋" w:hAnsi="仿宋" w:eastAsia="仿宋"/>
          <w:color w:val="000000"/>
          <w:kern w:val="0"/>
          <w:sz w:val="28"/>
          <w:szCs w:val="28"/>
          <w:lang w:eastAsia="zh-CN"/>
        </w:rPr>
        <w:sectPr>
          <w:footerReference r:id="rId3" w:type="default"/>
          <w:pgSz w:w="11906" w:h="16838"/>
          <w:pgMar w:top="1240" w:right="1800" w:bottom="1118" w:left="1800" w:header="851" w:footer="992" w:gutter="0"/>
          <w:cols w:space="425" w:num="1"/>
          <w:docGrid w:type="lines" w:linePitch="312" w:charSpace="0"/>
        </w:sectPr>
      </w:pPr>
      <w:r>
        <w:rPr>
          <w:rFonts w:hint="eastAsia" w:ascii="仿宋" w:hAnsi="仿宋" w:eastAsia="仿宋"/>
          <w:color w:val="000000"/>
          <w:sz w:val="28"/>
          <w:szCs w:val="28"/>
        </w:rPr>
        <w:t>经计算，项目计算期</w:t>
      </w:r>
      <w:r>
        <w:rPr>
          <w:rFonts w:hint="eastAsia" w:ascii="仿宋" w:hAnsi="仿宋" w:eastAsia="仿宋"/>
          <w:color w:val="000000"/>
          <w:sz w:val="28"/>
          <w:szCs w:val="28"/>
          <w:lang w:eastAsia="zh-CN"/>
        </w:rPr>
        <w:t>运</w:t>
      </w:r>
      <w:r>
        <w:rPr>
          <w:rFonts w:hint="eastAsia" w:ascii="仿宋" w:hAnsi="仿宋" w:eastAsia="仿宋"/>
          <w:color w:val="000000"/>
          <w:sz w:val="28"/>
          <w:szCs w:val="28"/>
        </w:rPr>
        <w:t>营成本共计</w:t>
      </w:r>
      <w:r>
        <w:rPr>
          <w:rFonts w:hint="eastAsia" w:ascii="仿宋" w:hAnsi="仿宋" w:eastAsia="仿宋"/>
          <w:color w:val="000000"/>
          <w:sz w:val="28"/>
          <w:szCs w:val="28"/>
          <w:lang w:val="en-US" w:eastAsia="zh-CN"/>
        </w:rPr>
        <w:t>5172.96</w:t>
      </w:r>
      <w:r>
        <w:rPr>
          <w:rFonts w:hint="eastAsia" w:ascii="仿宋" w:hAnsi="仿宋" w:eastAsia="仿宋"/>
          <w:color w:val="000000"/>
          <w:sz w:val="28"/>
          <w:szCs w:val="28"/>
        </w:rPr>
        <w:t>万元，项目总成本为</w:t>
      </w:r>
      <w:r>
        <w:rPr>
          <w:rFonts w:hint="eastAsia" w:ascii="仿宋" w:hAnsi="仿宋" w:eastAsia="仿宋"/>
          <w:color w:val="000000"/>
          <w:sz w:val="28"/>
          <w:szCs w:val="28"/>
          <w:lang w:val="en-US" w:eastAsia="zh-CN"/>
        </w:rPr>
        <w:t>9587.59</w:t>
      </w:r>
      <w:r>
        <w:rPr>
          <w:rFonts w:hint="eastAsia" w:ascii="仿宋" w:hAnsi="仿宋" w:eastAsia="仿宋"/>
          <w:color w:val="000000"/>
          <w:sz w:val="28"/>
          <w:szCs w:val="28"/>
        </w:rPr>
        <w:t>万元</w:t>
      </w:r>
      <w:r>
        <w:rPr>
          <w:rFonts w:hint="eastAsia" w:ascii="仿宋" w:hAnsi="仿宋" w:eastAsia="仿宋"/>
          <w:color w:val="000000"/>
          <w:sz w:val="28"/>
          <w:szCs w:val="28"/>
          <w:lang w:eastAsia="zh-CN"/>
        </w:rPr>
        <w:t>。</w:t>
      </w:r>
    </w:p>
    <w:p>
      <w:pPr>
        <w:pStyle w:val="4"/>
        <w:spacing w:before="156" w:beforeLines="50" w:after="156" w:line="360" w:lineRule="auto"/>
        <w:rPr>
          <w:rFonts w:ascii="仿宋" w:hAnsi="仿宋" w:eastAsia="仿宋"/>
          <w:sz w:val="30"/>
          <w:szCs w:val="30"/>
        </w:rPr>
      </w:pPr>
      <w:bookmarkStart w:id="35" w:name="_Toc21351774"/>
      <w:r>
        <w:rPr>
          <w:rFonts w:ascii="仿宋" w:hAnsi="仿宋" w:eastAsia="仿宋"/>
          <w:sz w:val="30"/>
          <w:szCs w:val="30"/>
        </w:rPr>
        <w:t>资金测算平衡情况</w:t>
      </w:r>
      <w:bookmarkEnd w:id="35"/>
    </w:p>
    <w:p>
      <w:pPr>
        <w:pStyle w:val="5"/>
        <w:spacing w:before="156" w:beforeLines="50" w:after="156" w:afterLines="50" w:line="360" w:lineRule="auto"/>
        <w:ind w:firstLine="0"/>
        <w:jc w:val="left"/>
        <w:rPr>
          <w:rFonts w:ascii="仿宋" w:hAnsi="仿宋" w:eastAsia="仿宋"/>
          <w:szCs w:val="24"/>
        </w:rPr>
      </w:pPr>
      <w:r>
        <w:rPr>
          <w:rFonts w:ascii="仿宋" w:hAnsi="仿宋" w:eastAsia="仿宋_GB2312"/>
          <w:sz w:val="28"/>
          <w:szCs w:val="32"/>
        </w:rPr>
        <w:t>根据</w:t>
      </w:r>
      <w:r>
        <w:rPr>
          <w:rFonts w:hint="eastAsia" w:ascii="仿宋" w:hAnsi="仿宋" w:eastAsia="仿宋_GB2312"/>
          <w:sz w:val="28"/>
          <w:szCs w:val="32"/>
        </w:rPr>
        <w:t>项目收入</w:t>
      </w:r>
      <w:r>
        <w:rPr>
          <w:rFonts w:ascii="仿宋" w:hAnsi="仿宋" w:eastAsia="仿宋_GB2312"/>
          <w:sz w:val="28"/>
          <w:szCs w:val="32"/>
        </w:rPr>
        <w:t>的稳定现金流收益规模分析项目年现金流</w:t>
      </w:r>
      <w:r>
        <w:rPr>
          <w:rFonts w:hint="eastAsia" w:ascii="仿宋" w:hAnsi="仿宋" w:eastAsia="仿宋_GB2312"/>
          <w:sz w:val="28"/>
          <w:szCs w:val="32"/>
        </w:rPr>
        <w:t>。详见下表：</w:t>
      </w:r>
    </w:p>
    <w:p>
      <w:pPr>
        <w:pStyle w:val="5"/>
        <w:spacing w:before="156" w:beforeLines="50" w:after="156" w:afterLines="50" w:line="360" w:lineRule="auto"/>
        <w:ind w:firstLine="0"/>
        <w:jc w:val="center"/>
        <w:rPr>
          <w:rFonts w:hint="eastAsia" w:ascii="仿宋" w:hAnsi="仿宋" w:eastAsia="仿宋" w:cs="仿宋"/>
          <w:sz w:val="21"/>
          <w:szCs w:val="21"/>
        </w:rPr>
      </w:pPr>
      <w:r>
        <w:rPr>
          <w:rFonts w:ascii="仿宋" w:hAnsi="仿宋" w:eastAsia="仿宋"/>
          <w:szCs w:val="24"/>
        </w:rPr>
        <w:t>表4-</w:t>
      </w:r>
      <w:r>
        <w:rPr>
          <w:rFonts w:hint="eastAsia" w:ascii="仿宋" w:hAnsi="仿宋" w:eastAsia="仿宋"/>
          <w:szCs w:val="24"/>
          <w:lang w:val="en-US"/>
        </w:rPr>
        <w:t>3</w:t>
      </w:r>
      <w:r>
        <w:rPr>
          <w:rFonts w:ascii="仿宋" w:hAnsi="仿宋" w:eastAsia="仿宋"/>
          <w:szCs w:val="24"/>
        </w:rPr>
        <w:t xml:space="preserve"> </w:t>
      </w:r>
      <w:r>
        <w:rPr>
          <w:rFonts w:hint="eastAsia" w:ascii="仿宋" w:hAnsi="仿宋" w:eastAsia="仿宋" w:cs="仿宋"/>
          <w:sz w:val="21"/>
          <w:szCs w:val="21"/>
        </w:rPr>
        <w:t>绵阳市安州区水利工程灾后重建项目资金测算平衡表（单位：万元）</w:t>
      </w:r>
    </w:p>
    <w:tbl>
      <w:tblPr>
        <w:tblStyle w:val="29"/>
        <w:tblW w:w="5232" w:type="pct"/>
        <w:tblInd w:w="0" w:type="dxa"/>
        <w:tblLayout w:type="autofit"/>
        <w:tblCellMar>
          <w:top w:w="0" w:type="dxa"/>
          <w:left w:w="108" w:type="dxa"/>
          <w:bottom w:w="0" w:type="dxa"/>
          <w:right w:w="108" w:type="dxa"/>
        </w:tblCellMar>
      </w:tblPr>
      <w:tblGrid>
        <w:gridCol w:w="724"/>
        <w:gridCol w:w="1438"/>
        <w:gridCol w:w="1037"/>
        <w:gridCol w:w="1037"/>
        <w:gridCol w:w="1037"/>
        <w:gridCol w:w="1037"/>
        <w:gridCol w:w="1037"/>
        <w:gridCol w:w="1037"/>
        <w:gridCol w:w="1037"/>
        <w:gridCol w:w="1037"/>
        <w:gridCol w:w="1043"/>
        <w:gridCol w:w="1043"/>
        <w:gridCol w:w="1144"/>
        <w:gridCol w:w="1144"/>
      </w:tblGrid>
      <w:tr>
        <w:tblPrEx>
          <w:tblCellMar>
            <w:top w:w="0" w:type="dxa"/>
            <w:left w:w="108" w:type="dxa"/>
            <w:bottom w:w="0" w:type="dxa"/>
            <w:right w:w="108" w:type="dxa"/>
          </w:tblCellMar>
        </w:tblPrEx>
        <w:trPr>
          <w:trHeight w:val="397" w:hRule="atLeast"/>
        </w:trPr>
        <w:tc>
          <w:tcPr>
            <w:tcW w:w="245"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序号</w:t>
            </w:r>
          </w:p>
        </w:tc>
        <w:tc>
          <w:tcPr>
            <w:tcW w:w="485"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w:t>
            </w:r>
          </w:p>
        </w:tc>
        <w:tc>
          <w:tcPr>
            <w:tcW w:w="349"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2021年</w:t>
            </w:r>
          </w:p>
        </w:tc>
        <w:tc>
          <w:tcPr>
            <w:tcW w:w="349"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2022年</w:t>
            </w:r>
          </w:p>
        </w:tc>
        <w:tc>
          <w:tcPr>
            <w:tcW w:w="349"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2023年</w:t>
            </w:r>
          </w:p>
        </w:tc>
        <w:tc>
          <w:tcPr>
            <w:tcW w:w="349"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2024年</w:t>
            </w:r>
          </w:p>
        </w:tc>
        <w:tc>
          <w:tcPr>
            <w:tcW w:w="349"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2025年</w:t>
            </w:r>
          </w:p>
        </w:tc>
        <w:tc>
          <w:tcPr>
            <w:tcW w:w="349"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2026年</w:t>
            </w:r>
          </w:p>
        </w:tc>
        <w:tc>
          <w:tcPr>
            <w:tcW w:w="349"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2027年</w:t>
            </w:r>
          </w:p>
        </w:tc>
        <w:tc>
          <w:tcPr>
            <w:tcW w:w="349"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2028年</w:t>
            </w:r>
          </w:p>
        </w:tc>
        <w:tc>
          <w:tcPr>
            <w:tcW w:w="350"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2029年</w:t>
            </w:r>
          </w:p>
        </w:tc>
        <w:tc>
          <w:tcPr>
            <w:tcW w:w="350"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2030年</w:t>
            </w:r>
          </w:p>
        </w:tc>
        <w:tc>
          <w:tcPr>
            <w:tcW w:w="384" w:type="pct"/>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2031年</w:t>
            </w:r>
          </w:p>
        </w:tc>
        <w:tc>
          <w:tcPr>
            <w:tcW w:w="384" w:type="pct"/>
            <w:tcBorders>
              <w:top w:val="single" w:color="auto" w:sz="8" w:space="0"/>
              <w:left w:val="nil"/>
              <w:bottom w:val="single" w:color="auto" w:sz="4" w:space="0"/>
              <w:right w:val="nil"/>
            </w:tcBorders>
            <w:shd w:val="clear" w:color="auto" w:fill="auto"/>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合计</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1</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资金流入</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2,560.00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5,997.89</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1,056.50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1,087.56</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1,118.61</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1,149.78</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1,157.56</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1,165.33</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1,173.22</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1,181.22</w:t>
            </w: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1,189.22</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18,836.89</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1.1</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项目资本金</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2,560.00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2,220.11</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41"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41"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142"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142"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4,780.11</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1.3</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债券资金</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3,000.00</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42"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42"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143"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3,000.00</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1.4</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收入流入</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777.78</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1,056.50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1,087.56</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1,118.61</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1,149.78</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1,157.56</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1,165.33</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1,173.22</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1,181.22</w:t>
            </w: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1,189.22</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11,056.78</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2</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资金流出</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2,560.00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5,729.11</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622.83</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646.33</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701.78</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696.61</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699.60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705.99</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709.02</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712.10</w:t>
            </w: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3,725.75</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17,509.12</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2.1</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建设期支出</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2,560.00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5,180.11</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b/>
                <w:bCs/>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b/>
                <w:bCs/>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b/>
                <w:bCs/>
                <w:color w:val="000000"/>
                <w:kern w:val="0"/>
                <w:sz w:val="20"/>
                <w:szCs w:val="20"/>
              </w:rPr>
            </w:pPr>
          </w:p>
        </w:tc>
        <w:tc>
          <w:tcPr>
            <w:tcW w:w="1042"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b/>
                <w:bCs/>
                <w:color w:val="000000"/>
                <w:kern w:val="0"/>
                <w:sz w:val="20"/>
                <w:szCs w:val="20"/>
              </w:rPr>
            </w:pPr>
          </w:p>
        </w:tc>
        <w:tc>
          <w:tcPr>
            <w:tcW w:w="1042"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b/>
                <w:bCs/>
                <w:color w:val="000000"/>
                <w:kern w:val="0"/>
                <w:sz w:val="20"/>
                <w:szCs w:val="20"/>
              </w:rPr>
            </w:pPr>
          </w:p>
        </w:tc>
        <w:tc>
          <w:tcPr>
            <w:tcW w:w="1143"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b/>
                <w:bCs/>
                <w:color w:val="000000"/>
                <w:kern w:val="0"/>
                <w:sz w:val="20"/>
                <w:szCs w:val="20"/>
              </w:rPr>
            </w:pP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7,740.11</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2.2</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运营成本</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b/>
                <w:bCs/>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418.30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476.62</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497.60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522.88</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543.90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545.29</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551.22</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552.64</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554.07</w:t>
            </w: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510.44</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5,172.96</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2.3</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所得税费用</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10.70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26.21</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28.73</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58.90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32.71</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34.31</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34.77</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36.38</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38.03</w:t>
            </w: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95.31</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396.05</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2.4</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本息支出</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3,120.00</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4,200.00</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2.4.2</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支付债券本金</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42"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42"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3,000.00</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3,000.00</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2.4.4</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债券利息</w:t>
            </w:r>
          </w:p>
        </w:tc>
        <w:tc>
          <w:tcPr>
            <w:tcW w:w="1037" w:type="dxa"/>
            <w:tcBorders>
              <w:top w:val="nil"/>
              <w:left w:val="nil"/>
              <w:bottom w:val="single" w:color="auto" w:sz="4" w:space="0"/>
              <w:right w:val="single" w:color="auto" w:sz="4" w:space="0"/>
            </w:tcBorders>
            <w:shd w:val="clear" w:color="auto" w:fill="auto"/>
            <w:noWrap/>
            <w:vAlign w:val="center"/>
          </w:tcPr>
          <w:p>
            <w:pPr>
              <w:rPr>
                <w:rFonts w:hint="eastAsia" w:ascii="仿宋" w:hAnsi="仿宋" w:eastAsia="仿宋" w:cs="仿宋"/>
                <w:color w:val="000000"/>
                <w:kern w:val="0"/>
                <w:sz w:val="20"/>
                <w:szCs w:val="20"/>
              </w:rPr>
            </w:pP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color w:val="000000"/>
                <w:kern w:val="0"/>
                <w:sz w:val="20"/>
                <w:szCs w:val="20"/>
              </w:rPr>
            </w:pPr>
            <w:r>
              <w:rPr>
                <w:rFonts w:hint="eastAsia" w:ascii="仿宋" w:hAnsi="仿宋" w:eastAsia="仿宋" w:cs="仿宋"/>
                <w:i w:val="0"/>
                <w:iCs w:val="0"/>
                <w:color w:val="000000"/>
                <w:kern w:val="0"/>
                <w:sz w:val="20"/>
                <w:szCs w:val="20"/>
                <w:u w:val="none"/>
                <w:lang w:val="en-US" w:eastAsia="zh-CN" w:bidi="ar"/>
              </w:rPr>
              <w:t>1,200.00</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3</w:t>
            </w:r>
          </w:p>
        </w:tc>
        <w:tc>
          <w:tcPr>
            <w:tcW w:w="485"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现金流净额</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FFFFFF"/>
                <w:kern w:val="0"/>
                <w:sz w:val="20"/>
                <w:szCs w:val="20"/>
              </w:rPr>
            </w:pPr>
            <w:r>
              <w:rPr>
                <w:rFonts w:hint="eastAsia" w:ascii="仿宋" w:hAnsi="仿宋" w:eastAsia="仿宋" w:cs="仿宋"/>
                <w:b/>
                <w:bCs/>
                <w:i w:val="0"/>
                <w:iCs w:val="0"/>
                <w:color w:val="FFFFFF"/>
                <w:kern w:val="0"/>
                <w:sz w:val="20"/>
                <w:szCs w:val="20"/>
                <w:u w:val="none"/>
                <w:lang w:val="en-US" w:eastAsia="zh-CN" w:bidi="ar"/>
              </w:rPr>
              <w:t>-</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268.78</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433.67</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441.23</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416.83</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453.17</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457.96</w:t>
            </w:r>
          </w:p>
        </w:tc>
        <w:tc>
          <w:tcPr>
            <w:tcW w:w="10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459.34</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464.20</w:t>
            </w:r>
          </w:p>
        </w:tc>
        <w:tc>
          <w:tcPr>
            <w:tcW w:w="104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469.12</w:t>
            </w:r>
          </w:p>
        </w:tc>
        <w:tc>
          <w:tcPr>
            <w:tcW w:w="114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-2,536.53</w:t>
            </w:r>
          </w:p>
        </w:tc>
        <w:tc>
          <w:tcPr>
            <w:tcW w:w="1143" w:type="dxa"/>
            <w:tcBorders>
              <w:top w:val="nil"/>
              <w:left w:val="nil"/>
              <w:bottom w:val="single" w:color="auto" w:sz="4" w:space="0"/>
              <w:right w:val="nil"/>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1,327.77</w:t>
            </w:r>
          </w:p>
        </w:tc>
      </w:tr>
      <w:tr>
        <w:tblPrEx>
          <w:tblCellMar>
            <w:top w:w="0" w:type="dxa"/>
            <w:left w:w="108" w:type="dxa"/>
            <w:bottom w:w="0" w:type="dxa"/>
            <w:right w:w="108" w:type="dxa"/>
          </w:tblCellMar>
        </w:tblPrEx>
        <w:trPr>
          <w:trHeight w:val="397" w:hRule="atLeast"/>
        </w:trPr>
        <w:tc>
          <w:tcPr>
            <w:tcW w:w="245" w:type="pct"/>
            <w:tcBorders>
              <w:top w:val="nil"/>
              <w:left w:val="nil"/>
              <w:bottom w:val="single" w:color="auto" w:sz="8" w:space="0"/>
              <w:right w:val="single" w:color="auto" w:sz="4" w:space="0"/>
            </w:tcBorders>
            <w:shd w:val="clear" w:color="auto" w:fill="auto"/>
            <w:noWrap/>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4</w:t>
            </w:r>
          </w:p>
        </w:tc>
        <w:tc>
          <w:tcPr>
            <w:tcW w:w="485" w:type="pct"/>
            <w:tcBorders>
              <w:top w:val="nil"/>
              <w:left w:val="nil"/>
              <w:bottom w:val="single" w:color="auto" w:sz="8" w:space="0"/>
              <w:right w:val="single" w:color="auto" w:sz="4" w:space="0"/>
            </w:tcBorders>
            <w:shd w:val="clear" w:color="auto" w:fill="auto"/>
            <w:noWrap/>
            <w:vAlign w:val="center"/>
          </w:tcPr>
          <w:p>
            <w:pPr>
              <w:widowControl/>
              <w:jc w:val="center"/>
              <w:rPr>
                <w:rFonts w:hint="eastAsia" w:ascii="仿宋" w:hAnsi="仿宋" w:eastAsia="仿宋" w:cs="仿宋"/>
                <w:b/>
                <w:bCs/>
                <w:color w:val="000000"/>
                <w:kern w:val="0"/>
                <w:sz w:val="20"/>
                <w:szCs w:val="20"/>
              </w:rPr>
            </w:pPr>
            <w:r>
              <w:rPr>
                <w:rFonts w:hint="eastAsia" w:ascii="仿宋" w:hAnsi="仿宋" w:eastAsia="仿宋" w:cs="仿宋"/>
                <w:b/>
                <w:bCs/>
                <w:color w:val="000000"/>
                <w:kern w:val="0"/>
                <w:sz w:val="20"/>
                <w:szCs w:val="20"/>
              </w:rPr>
              <w:t>累计净现金流</w:t>
            </w:r>
          </w:p>
        </w:tc>
        <w:tc>
          <w:tcPr>
            <w:tcW w:w="103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FFFFFF"/>
                <w:kern w:val="0"/>
                <w:sz w:val="20"/>
                <w:szCs w:val="20"/>
              </w:rPr>
            </w:pPr>
            <w:r>
              <w:rPr>
                <w:rFonts w:hint="eastAsia" w:ascii="仿宋" w:hAnsi="仿宋" w:eastAsia="仿宋" w:cs="仿宋"/>
                <w:b/>
                <w:bCs/>
                <w:i w:val="0"/>
                <w:iCs w:val="0"/>
                <w:color w:val="FFFFFF"/>
                <w:kern w:val="0"/>
                <w:sz w:val="20"/>
                <w:szCs w:val="20"/>
                <w:u w:val="none"/>
                <w:lang w:val="en-US" w:eastAsia="zh-CN" w:bidi="ar"/>
              </w:rPr>
              <w:t>-</w:t>
            </w:r>
          </w:p>
        </w:tc>
        <w:tc>
          <w:tcPr>
            <w:tcW w:w="103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268.78</w:t>
            </w:r>
          </w:p>
        </w:tc>
        <w:tc>
          <w:tcPr>
            <w:tcW w:w="103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702.45</w:t>
            </w:r>
          </w:p>
        </w:tc>
        <w:tc>
          <w:tcPr>
            <w:tcW w:w="103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1,143.68</w:t>
            </w:r>
          </w:p>
        </w:tc>
        <w:tc>
          <w:tcPr>
            <w:tcW w:w="103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1,560.51</w:t>
            </w:r>
          </w:p>
        </w:tc>
        <w:tc>
          <w:tcPr>
            <w:tcW w:w="103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2,013.68</w:t>
            </w:r>
          </w:p>
        </w:tc>
        <w:tc>
          <w:tcPr>
            <w:tcW w:w="103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2,471.64</w:t>
            </w:r>
          </w:p>
        </w:tc>
        <w:tc>
          <w:tcPr>
            <w:tcW w:w="1037"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2,930.98</w:t>
            </w:r>
          </w:p>
        </w:tc>
        <w:tc>
          <w:tcPr>
            <w:tcW w:w="1042"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3,395.18</w:t>
            </w:r>
          </w:p>
        </w:tc>
        <w:tc>
          <w:tcPr>
            <w:tcW w:w="1042"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3,864.30</w:t>
            </w:r>
          </w:p>
        </w:tc>
        <w:tc>
          <w:tcPr>
            <w:tcW w:w="1143" w:type="dxa"/>
            <w:tcBorders>
              <w:top w:val="nil"/>
              <w:left w:val="nil"/>
              <w:bottom w:val="single" w:color="auto" w:sz="8"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b/>
                <w:bCs/>
                <w:color w:val="000000"/>
                <w:kern w:val="0"/>
                <w:sz w:val="20"/>
                <w:szCs w:val="20"/>
              </w:rPr>
            </w:pPr>
            <w:r>
              <w:rPr>
                <w:rFonts w:hint="eastAsia" w:ascii="仿宋" w:hAnsi="仿宋" w:eastAsia="仿宋" w:cs="仿宋"/>
                <w:b/>
                <w:bCs/>
                <w:i w:val="0"/>
                <w:iCs w:val="0"/>
                <w:color w:val="000000"/>
                <w:kern w:val="0"/>
                <w:sz w:val="20"/>
                <w:szCs w:val="20"/>
                <w:u w:val="none"/>
                <w:lang w:val="en-US" w:eastAsia="zh-CN" w:bidi="ar"/>
              </w:rPr>
              <w:t>1,327.77</w:t>
            </w:r>
          </w:p>
        </w:tc>
        <w:tc>
          <w:tcPr>
            <w:tcW w:w="1143" w:type="dxa"/>
            <w:tcBorders>
              <w:top w:val="nil"/>
              <w:left w:val="nil"/>
              <w:bottom w:val="single" w:color="auto" w:sz="8" w:space="0"/>
              <w:right w:val="nil"/>
            </w:tcBorders>
            <w:shd w:val="clear" w:color="auto" w:fill="auto"/>
            <w:noWrap/>
            <w:vAlign w:val="center"/>
          </w:tcPr>
          <w:p>
            <w:pPr>
              <w:rPr>
                <w:rFonts w:hint="eastAsia" w:ascii="仿宋" w:hAnsi="仿宋" w:eastAsia="仿宋" w:cs="仿宋"/>
                <w:b/>
                <w:bCs/>
                <w:color w:val="000000"/>
                <w:kern w:val="0"/>
                <w:sz w:val="20"/>
                <w:szCs w:val="20"/>
              </w:rPr>
            </w:pPr>
          </w:p>
        </w:tc>
      </w:tr>
    </w:tbl>
    <w:p>
      <w:pPr>
        <w:pStyle w:val="5"/>
        <w:spacing w:before="156" w:beforeLines="50" w:after="0" w:line="360" w:lineRule="auto"/>
        <w:ind w:firstLine="560" w:firstLineChars="200"/>
        <w:rPr>
          <w:rFonts w:ascii="仿宋" w:hAnsi="仿宋" w:eastAsia="仿宋"/>
          <w:kern w:val="2"/>
          <w:sz w:val="28"/>
          <w:szCs w:val="28"/>
          <w:lang w:val="en-US"/>
        </w:rPr>
        <w:sectPr>
          <w:pgSz w:w="16838" w:h="11906" w:orient="landscape"/>
          <w:pgMar w:top="1800" w:right="1440" w:bottom="1800" w:left="1440" w:header="851" w:footer="992" w:gutter="0"/>
          <w:cols w:space="425" w:num="1"/>
          <w:docGrid w:type="lines" w:linePitch="312" w:charSpace="0"/>
        </w:sectPr>
      </w:pPr>
    </w:p>
    <w:p>
      <w:pPr>
        <w:pStyle w:val="3"/>
        <w:spacing w:before="156" w:beforeLines="50" w:after="156" w:line="360" w:lineRule="auto"/>
      </w:pPr>
      <w:bookmarkStart w:id="36" w:name="_Toc21351777"/>
      <w:r>
        <w:rPr>
          <w:rFonts w:hint="eastAsia"/>
        </w:rPr>
        <w:t>项目</w:t>
      </w:r>
      <w:bookmarkEnd w:id="36"/>
      <w:r>
        <w:rPr>
          <w:rFonts w:hint="eastAsia"/>
        </w:rPr>
        <w:t>绩效目标</w:t>
      </w:r>
    </w:p>
    <w:p>
      <w:pPr>
        <w:spacing w:line="520" w:lineRule="exact"/>
        <w:ind w:firstLine="560" w:firstLineChars="200"/>
        <w:rPr>
          <w:rFonts w:hint="eastAsia" w:ascii="仿宋" w:hAnsi="仿宋" w:eastAsia="仿宋" w:cs="仿宋"/>
          <w:kern w:val="2"/>
          <w:sz w:val="28"/>
          <w:szCs w:val="28"/>
          <w:lang w:val="en-US"/>
        </w:rPr>
      </w:pPr>
      <w:bookmarkStart w:id="37" w:name="_Toc517016700"/>
      <w:bookmarkStart w:id="38" w:name="_Toc517016131"/>
      <w:bookmarkStart w:id="39" w:name="_Hlk21351212"/>
      <w:bookmarkStart w:id="40" w:name="_Toc498385762"/>
      <w:bookmarkStart w:id="41" w:name="_Toc498385094"/>
      <w:r>
        <w:rPr>
          <w:rFonts w:ascii="仿宋" w:hAnsi="仿宋" w:eastAsia="仿宋"/>
          <w:color w:val="000000"/>
          <w:sz w:val="28"/>
          <w:szCs w:val="28"/>
        </w:rPr>
        <w:t>数量目标</w:t>
      </w:r>
      <w:bookmarkEnd w:id="37"/>
      <w:bookmarkEnd w:id="38"/>
      <w:r>
        <w:rPr>
          <w:rFonts w:hint="eastAsia" w:ascii="仿宋" w:hAnsi="仿宋" w:eastAsia="仿宋" w:cs="仿宋"/>
          <w:kern w:val="2"/>
          <w:sz w:val="28"/>
          <w:szCs w:val="28"/>
          <w:lang w:val="en-US"/>
        </w:rPr>
        <w:t>：完成项目建设施工，修复、重建堤防4026米；一大渠综合整治长度5491m；二大渠综合整治长度4370m；铁皮堰修复重建取水枢纽及整治渠道。</w:t>
      </w:r>
    </w:p>
    <w:p>
      <w:pPr>
        <w:pStyle w:val="5"/>
        <w:spacing w:before="0" w:after="0" w:line="360" w:lineRule="auto"/>
        <w:ind w:firstLine="560" w:firstLineChars="200"/>
        <w:rPr>
          <w:rFonts w:hint="eastAsia" w:ascii="仿宋" w:hAnsi="仿宋" w:eastAsia="仿宋" w:cs="仿宋"/>
          <w:kern w:val="2"/>
          <w:sz w:val="28"/>
          <w:szCs w:val="28"/>
          <w:lang w:val="en-US"/>
        </w:rPr>
      </w:pPr>
      <w:r>
        <w:rPr>
          <w:rFonts w:ascii="仿宋" w:hAnsi="仿宋" w:eastAsia="仿宋"/>
          <w:color w:val="000000"/>
          <w:sz w:val="28"/>
          <w:szCs w:val="28"/>
        </w:rPr>
        <w:t>时效目标</w:t>
      </w:r>
      <w:r>
        <w:rPr>
          <w:rFonts w:hint="eastAsia" w:ascii="仿宋" w:hAnsi="仿宋" w:eastAsia="仿宋" w:cs="仿宋"/>
          <w:kern w:val="2"/>
          <w:sz w:val="28"/>
          <w:szCs w:val="28"/>
          <w:lang w:val="en-US"/>
        </w:rPr>
        <w:t>：在2022年</w:t>
      </w:r>
      <w:r>
        <w:rPr>
          <w:rFonts w:hint="eastAsia" w:ascii="仿宋" w:hAnsi="仿宋" w:eastAsia="仿宋" w:cs="仿宋"/>
          <w:kern w:val="2"/>
          <w:sz w:val="28"/>
          <w:szCs w:val="28"/>
          <w:lang w:val="en-US" w:eastAsia="zh-CN"/>
        </w:rPr>
        <w:t>6</w:t>
      </w:r>
      <w:r>
        <w:rPr>
          <w:rFonts w:hint="eastAsia" w:ascii="仿宋" w:hAnsi="仿宋" w:eastAsia="仿宋" w:cs="仿宋"/>
          <w:kern w:val="2"/>
          <w:sz w:val="28"/>
          <w:szCs w:val="28"/>
          <w:lang w:val="en-US"/>
        </w:rPr>
        <w:t>月完成项目竣工验收。</w:t>
      </w:r>
    </w:p>
    <w:p>
      <w:pPr>
        <w:pStyle w:val="5"/>
        <w:spacing w:before="0" w:after="0" w:line="360" w:lineRule="auto"/>
        <w:ind w:firstLine="560" w:firstLineChars="200"/>
        <w:rPr>
          <w:rFonts w:hint="eastAsia" w:ascii="仿宋" w:hAnsi="仿宋" w:eastAsia="仿宋" w:cs="仿宋"/>
          <w:kern w:val="2"/>
          <w:sz w:val="28"/>
          <w:szCs w:val="28"/>
          <w:lang w:val="en-US"/>
        </w:rPr>
      </w:pPr>
      <w:bookmarkStart w:id="42" w:name="_Toc517016133"/>
      <w:bookmarkStart w:id="43" w:name="_Toc517016702"/>
      <w:r>
        <w:rPr>
          <w:rFonts w:ascii="仿宋" w:hAnsi="仿宋" w:eastAsia="仿宋"/>
          <w:color w:val="000000"/>
          <w:sz w:val="28"/>
          <w:szCs w:val="28"/>
        </w:rPr>
        <w:t>经济社会效益目标</w:t>
      </w:r>
      <w:bookmarkEnd w:id="42"/>
      <w:bookmarkEnd w:id="43"/>
      <w:r>
        <w:rPr>
          <w:rFonts w:hint="eastAsia" w:ascii="仿宋" w:hAnsi="仿宋" w:eastAsia="仿宋" w:cs="仿宋"/>
          <w:kern w:val="2"/>
          <w:sz w:val="28"/>
          <w:szCs w:val="28"/>
          <w:lang w:val="en-US"/>
        </w:rPr>
        <w:t>：债券存续期内实现年度收支平衡和总体收支平衡。本项目预计不含税销售收入11,056.78万元，运营成本为（不含折旧、利息）5,172.96万元，收入扣除运营成本后的项目收益为5,883.82万元，是运营期还本付息总额4,200.00万元的1.</w:t>
      </w:r>
      <w:r>
        <w:rPr>
          <w:rFonts w:hint="eastAsia" w:ascii="仿宋" w:hAnsi="仿宋" w:eastAsia="仿宋" w:cs="仿宋"/>
          <w:kern w:val="2"/>
          <w:sz w:val="28"/>
          <w:szCs w:val="28"/>
          <w:lang w:val="en-US" w:eastAsia="zh-CN"/>
        </w:rPr>
        <w:t>40</w:t>
      </w:r>
      <w:r>
        <w:rPr>
          <w:rFonts w:hint="eastAsia" w:ascii="仿宋" w:hAnsi="仿宋" w:eastAsia="仿宋" w:cs="仿宋"/>
          <w:kern w:val="2"/>
          <w:sz w:val="28"/>
          <w:szCs w:val="28"/>
          <w:lang w:val="en-US"/>
        </w:rPr>
        <w:t>倍，完全能够满足债券还本付息的要求。在还款期内，本金偿还保障率均超过100%，项目可以实现收益与融资自求平衡。</w:t>
      </w:r>
    </w:p>
    <w:p>
      <w:pPr>
        <w:spacing w:line="580" w:lineRule="exact"/>
        <w:ind w:firstLine="560" w:firstLineChars="200"/>
        <w:rPr>
          <w:rFonts w:eastAsia="仿宋_GB2312"/>
          <w:sz w:val="32"/>
          <w:szCs w:val="32"/>
          <w:highlight w:val="yellow"/>
        </w:rPr>
      </w:pPr>
      <w:r>
        <w:rPr>
          <w:rFonts w:ascii="仿宋" w:hAnsi="仿宋" w:eastAsia="仿宋"/>
          <w:color w:val="000000"/>
          <w:sz w:val="28"/>
          <w:szCs w:val="28"/>
        </w:rPr>
        <w:t>可持续影响目标</w:t>
      </w:r>
      <w:r>
        <w:rPr>
          <w:rFonts w:hint="eastAsia" w:ascii="仿宋" w:hAnsi="仿宋" w:eastAsia="仿宋" w:cs="仿宋"/>
          <w:kern w:val="2"/>
          <w:sz w:val="28"/>
          <w:szCs w:val="28"/>
          <w:lang w:val="en-US"/>
        </w:rPr>
        <w:t>：带动区域协同发展，保证项目区居民生命财产安全及生活生产用水需要。</w:t>
      </w:r>
      <w:bookmarkEnd w:id="39"/>
    </w:p>
    <w:bookmarkEnd w:id="40"/>
    <w:bookmarkEnd w:id="41"/>
    <w:p>
      <w:pPr>
        <w:pStyle w:val="3"/>
        <w:spacing w:before="156" w:beforeLines="50" w:after="156" w:line="360" w:lineRule="auto"/>
        <w:rPr>
          <w:rFonts w:hint="eastAsia"/>
        </w:rPr>
      </w:pPr>
      <w:bookmarkStart w:id="44" w:name="_Toc498385763"/>
      <w:bookmarkStart w:id="45" w:name="_Toc498385095"/>
      <w:r>
        <w:rPr>
          <w:rFonts w:hint="eastAsia"/>
        </w:rPr>
        <w:t>潜在影响项目的风险评估</w:t>
      </w:r>
    </w:p>
    <w:bookmarkEnd w:id="44"/>
    <w:bookmarkEnd w:id="45"/>
    <w:p>
      <w:pPr>
        <w:spacing w:line="520" w:lineRule="exact"/>
        <w:ind w:firstLine="560" w:firstLineChars="200"/>
        <w:rPr>
          <w:rFonts w:hint="eastAsia" w:ascii="仿宋" w:hAnsi="仿宋" w:eastAsia="仿宋"/>
          <w:color w:val="000000"/>
          <w:sz w:val="28"/>
          <w:szCs w:val="28"/>
        </w:rPr>
      </w:pPr>
      <w:bookmarkStart w:id="46" w:name="_Toc21351783"/>
      <w:bookmarkStart w:id="47" w:name="_Toc535223324"/>
      <w:bookmarkStart w:id="48" w:name="_Toc498385776"/>
      <w:bookmarkStart w:id="49" w:name="_Toc498385108"/>
      <w:bookmarkStart w:id="50" w:name="_Toc511340551"/>
      <w:r>
        <w:rPr>
          <w:rFonts w:hint="eastAsia" w:ascii="仿宋" w:hAnsi="仿宋" w:eastAsia="仿宋"/>
          <w:color w:val="000000"/>
          <w:sz w:val="28"/>
          <w:szCs w:val="28"/>
        </w:rPr>
        <w:t>项目潜在风险有：</w:t>
      </w:r>
    </w:p>
    <w:p>
      <w:pPr>
        <w:spacing w:line="52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影响项目施工的风险（投融资风险、政策环境风险、工程风险、社会风险、组织管理风险、外部协作风险、前期工作风险、投资估算风险、），主要采取抓施工、重施工等方面解决。</w:t>
      </w:r>
    </w:p>
    <w:p>
      <w:pPr>
        <w:spacing w:line="520" w:lineRule="exact"/>
        <w:ind w:firstLine="560" w:firstLineChars="200"/>
        <w:rPr>
          <w:rFonts w:hint="eastAsia" w:ascii="仿宋" w:hAnsi="仿宋" w:eastAsia="仿宋"/>
          <w:color w:val="000000"/>
          <w:sz w:val="28"/>
          <w:szCs w:val="28"/>
        </w:rPr>
      </w:pPr>
      <w:r>
        <w:rPr>
          <w:rFonts w:hint="eastAsia" w:ascii="仿宋" w:hAnsi="仿宋" w:eastAsia="仿宋"/>
          <w:color w:val="000000"/>
          <w:sz w:val="28"/>
          <w:szCs w:val="28"/>
        </w:rPr>
        <w:t>影响项目收益的风险（市场风险、财务风险），主要从项目内控等方面解决。</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影响项目融资平衡结果的风险（利率波动风险、存续债券置换不畅风险），主要从构建合理的地方政府债券利率区间、积极偿还存量债务等方面解决。</w:t>
      </w:r>
    </w:p>
    <w:p>
      <w:pPr>
        <w:pStyle w:val="3"/>
        <w:numPr>
          <w:ilvl w:val="0"/>
          <w:numId w:val="0"/>
        </w:numPr>
        <w:spacing w:before="156" w:beforeLines="50" w:after="156" w:afterLines="0" w:line="360" w:lineRule="auto"/>
      </w:pPr>
      <w:r>
        <w:rPr>
          <w:rFonts w:hint="eastAsia"/>
          <w:lang w:val="en-US" w:eastAsia="zh-CN"/>
        </w:rPr>
        <w:t>七、</w:t>
      </w:r>
      <w:r>
        <w:rPr>
          <w:rFonts w:hint="eastAsia"/>
        </w:rPr>
        <w:t>还款保障情况</w:t>
      </w:r>
      <w:bookmarkEnd w:id="46"/>
      <w:bookmarkEnd w:id="47"/>
    </w:p>
    <w:p>
      <w:pPr>
        <w:pStyle w:val="5"/>
        <w:spacing w:before="0" w:after="0" w:line="360" w:lineRule="auto"/>
        <w:rPr>
          <w:rFonts w:ascii="仿宋" w:hAnsi="仿宋" w:eastAsia="仿宋"/>
          <w:kern w:val="2"/>
          <w:sz w:val="28"/>
          <w:szCs w:val="28"/>
          <w:lang w:val="en-US"/>
        </w:rPr>
      </w:pPr>
      <w:r>
        <w:rPr>
          <w:rFonts w:hint="eastAsia" w:ascii="仿宋" w:hAnsi="仿宋" w:eastAsia="仿宋"/>
          <w:kern w:val="2"/>
          <w:sz w:val="28"/>
          <w:szCs w:val="28"/>
          <w:lang w:val="en-US"/>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重可变现资产、调整预算支出结构等方式筹集资金偿还债务。未按时足额向省财政缴纳专项债券还本付息资金的，省财政采取适当方式扣回。</w:t>
      </w:r>
    </w:p>
    <w:p>
      <w:pPr>
        <w:pStyle w:val="3"/>
        <w:numPr>
          <w:ilvl w:val="0"/>
          <w:numId w:val="0"/>
        </w:numPr>
        <w:spacing w:before="156" w:beforeLines="50" w:after="156" w:afterLines="0" w:line="360" w:lineRule="auto"/>
      </w:pPr>
      <w:bookmarkStart w:id="51" w:name="_Toc21351784"/>
      <w:r>
        <w:rPr>
          <w:rFonts w:hint="eastAsia"/>
          <w:lang w:val="en-US" w:eastAsia="zh-CN"/>
        </w:rPr>
        <w:t>八</w:t>
      </w:r>
      <w:bookmarkEnd w:id="48"/>
      <w:bookmarkEnd w:id="49"/>
      <w:bookmarkEnd w:id="50"/>
      <w:bookmarkEnd w:id="51"/>
      <w:r>
        <w:rPr>
          <w:rFonts w:hint="eastAsia"/>
          <w:lang w:val="en-US" w:eastAsia="zh-CN"/>
        </w:rPr>
        <w:t>、</w:t>
      </w:r>
      <w:r>
        <w:rPr>
          <w:rFonts w:hint="eastAsia"/>
          <w:color w:val="000000"/>
        </w:rPr>
        <w:t>主管部门和项目单位职责</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项目主管部门绵阳市安州区农业农村局职责</w:t>
      </w:r>
      <w:r>
        <w:rPr>
          <w:rFonts w:ascii="仿宋" w:hAnsi="仿宋" w:eastAsia="仿宋"/>
          <w:color w:val="000000"/>
          <w:sz w:val="28"/>
          <w:szCs w:val="28"/>
        </w:rPr>
        <w:t>：</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w:t>
      </w:r>
      <w:r>
        <w:rPr>
          <w:rFonts w:ascii="仿宋" w:hAnsi="仿宋" w:eastAsia="仿宋"/>
          <w:color w:val="000000"/>
          <w:sz w:val="28"/>
          <w:szCs w:val="28"/>
        </w:rPr>
        <w:t>1</w:t>
      </w:r>
      <w:r>
        <w:rPr>
          <w:rFonts w:hint="eastAsia" w:ascii="仿宋" w:hAnsi="仿宋" w:eastAsia="仿宋"/>
          <w:color w:val="000000"/>
          <w:sz w:val="28"/>
          <w:szCs w:val="28"/>
        </w:rPr>
        <w:t>）监督指导建设运营主体规范使用本专项债券资金，对发现的违法违规资金使用进行严肃处理和责任追究；</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w:t>
      </w:r>
      <w:r>
        <w:rPr>
          <w:rFonts w:ascii="仿宋" w:hAnsi="仿宋" w:eastAsia="仿宋"/>
          <w:color w:val="000000"/>
          <w:sz w:val="28"/>
          <w:szCs w:val="28"/>
        </w:rPr>
        <w:t>2</w:t>
      </w:r>
      <w:r>
        <w:rPr>
          <w:rFonts w:hint="eastAsia" w:ascii="仿宋" w:hAnsi="仿宋" w:eastAsia="仿宋"/>
          <w:color w:val="000000"/>
          <w:sz w:val="28"/>
          <w:szCs w:val="28"/>
        </w:rPr>
        <w:t>）配合做好债券对应项目形成资产的登记管理工作，做好日常统计和动态监控；确保项目资产独立性和确认资产权益归属，严禁专项债券对应资产和权益用于为融资平台公司等企业融资提供担保和抵押，不对项目资产进行转移和划拨注入企业；</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w:t>
      </w:r>
      <w:r>
        <w:rPr>
          <w:rFonts w:ascii="仿宋" w:hAnsi="仿宋" w:eastAsia="仿宋"/>
          <w:color w:val="000000"/>
          <w:sz w:val="28"/>
          <w:szCs w:val="28"/>
        </w:rPr>
        <w:t>3</w:t>
      </w:r>
      <w:r>
        <w:rPr>
          <w:rFonts w:hint="eastAsia" w:ascii="仿宋" w:hAnsi="仿宋" w:eastAsia="仿宋"/>
          <w:color w:val="000000"/>
          <w:sz w:val="28"/>
          <w:szCs w:val="28"/>
        </w:rPr>
        <w:t>）合理控制本项目资产权益取得节奏，并根据国家和四川省有关法律法规和政策规定做好对应的专项债券还本付息工作，加强对项目实施情况的监控。</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项目单位</w:t>
      </w:r>
      <w:r>
        <w:rPr>
          <w:rFonts w:hint="eastAsia" w:hAnsi="仿宋" w:eastAsia="仿宋"/>
          <w:sz w:val="28"/>
          <w:szCs w:val="28"/>
        </w:rPr>
        <w:t>绵阳市安州区建投矿业有限公司</w:t>
      </w:r>
      <w:r>
        <w:rPr>
          <w:rFonts w:hint="eastAsia" w:ascii="仿宋" w:hAnsi="仿宋" w:eastAsia="仿宋"/>
          <w:color w:val="000000"/>
          <w:sz w:val="28"/>
          <w:szCs w:val="28"/>
        </w:rPr>
        <w:t>职责：</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（1）考虑项目投资建设和运营成本等因素，做好本项目融资与收益平衡评估；</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（2）配合做好项目收益专项债券发行时的方案编制、专业报告出具、信息披露等各项准备工作，落实发行和管理项目收益专项债券的各项配套管理办法、标准和规定等文件；</w:t>
      </w:r>
    </w:p>
    <w:p>
      <w:pPr>
        <w:spacing w:line="520" w:lineRule="exact"/>
        <w:ind w:firstLine="560" w:firstLineChars="200"/>
        <w:rPr>
          <w:rFonts w:ascii="仿宋" w:hAnsi="仿宋" w:eastAsia="仿宋"/>
          <w:color w:val="000000"/>
          <w:sz w:val="28"/>
          <w:szCs w:val="28"/>
        </w:rPr>
      </w:pPr>
      <w:r>
        <w:rPr>
          <w:rFonts w:hint="eastAsia" w:ascii="仿宋" w:hAnsi="仿宋" w:eastAsia="仿宋"/>
          <w:color w:val="000000"/>
          <w:sz w:val="28"/>
          <w:szCs w:val="28"/>
        </w:rPr>
        <w:t>（3）根据项目《实施方案》，认真履行项目建设、运营和维护责任，确保项目如期建设、如期投入运营，早日实现持续稳定的收益；</w:t>
      </w:r>
    </w:p>
    <w:p>
      <w:pPr>
        <w:widowControl w:val="0"/>
        <w:spacing w:before="0" w:after="0" w:line="360" w:lineRule="auto"/>
        <w:ind w:firstLine="640" w:firstLineChars="200"/>
        <w:outlineLvl w:val="0"/>
        <w:rPr>
          <w:rFonts w:ascii="Times New Roman" w:hAnsi="Times New Roman" w:eastAsia="黑体"/>
          <w:kern w:val="2"/>
          <w:sz w:val="32"/>
          <w:szCs w:val="32"/>
          <w:lang w:val="en-US"/>
        </w:rPr>
      </w:pPr>
      <w:r>
        <w:rPr>
          <w:rFonts w:hint="eastAsia" w:eastAsia="黑体"/>
          <w:kern w:val="2"/>
          <w:sz w:val="32"/>
          <w:szCs w:val="32"/>
          <w:lang w:val="en-US" w:eastAsia="zh-CN"/>
        </w:rPr>
        <w:t>九</w:t>
      </w:r>
      <w:r>
        <w:rPr>
          <w:rFonts w:hint="eastAsia" w:ascii="Times New Roman" w:hAnsi="Times New Roman" w:eastAsia="黑体"/>
          <w:kern w:val="2"/>
          <w:sz w:val="32"/>
          <w:szCs w:val="32"/>
          <w:lang w:val="en-US"/>
        </w:rPr>
        <w:t>、补充说明</w:t>
      </w:r>
    </w:p>
    <w:p>
      <w:pPr>
        <w:numPr>
          <w:ilvl w:val="0"/>
          <w:numId w:val="0"/>
        </w:numPr>
        <w:tabs>
          <w:tab w:val="left" w:pos="476"/>
        </w:tabs>
        <w:spacing w:before="156" w:beforeLines="50" w:after="156" w:afterLines="0" w:line="360" w:lineRule="auto"/>
        <w:ind w:firstLine="560" w:firstLineChars="200"/>
        <w:jc w:val="both"/>
        <w:outlineLvl w:val="9"/>
        <w:rPr>
          <w:rFonts w:ascii="仿宋" w:hAnsi="仿宋" w:eastAsia="仿宋"/>
          <w:sz w:val="28"/>
          <w:szCs w:val="28"/>
        </w:rPr>
        <w:sectPr>
          <w:pgSz w:w="11906" w:h="16838"/>
          <w:pgMar w:top="1440" w:right="1800" w:bottom="1440" w:left="1800" w:header="851" w:footer="992" w:gutter="0"/>
          <w:cols w:space="425" w:num="1"/>
          <w:docGrid w:type="lines" w:linePitch="312" w:charSpace="0"/>
        </w:sectPr>
      </w:pPr>
      <w:r>
        <w:rPr>
          <w:rFonts w:hint="eastAsia" w:ascii="仿宋" w:hAnsi="仿宋" w:eastAsia="仿宋" w:cs="Times New Roman"/>
          <w:b w:val="0"/>
          <w:kern w:val="2"/>
          <w:sz w:val="28"/>
          <w:szCs w:val="28"/>
          <w:highlight w:val="none"/>
          <w:lang w:val="en-US" w:eastAsia="zh-CN" w:bidi="ar-SA"/>
        </w:rPr>
        <w:t>此项目债券资金总需求3,000.00万元，根据地方政府债务限额管理要求和项目实施进展情况，本次拟发行3,000.00万元，期限10年。该项目实施内容及收益来源未发生变动，在不超过项目债券总需求情况下，债券分批次跨年发行对项目整体融资平衡不构成实质影响。</w:t>
      </w:r>
      <w:bookmarkStart w:id="52" w:name="_GoBack"/>
      <w:bookmarkEnd w:id="52"/>
    </w:p>
    <w:p>
      <w:pPr>
        <w:numPr>
          <w:ilvl w:val="0"/>
          <w:numId w:val="0"/>
        </w:numPr>
        <w:tabs>
          <w:tab w:val="left" w:pos="476"/>
        </w:tabs>
        <w:spacing w:before="156" w:beforeLines="50" w:after="156" w:afterLines="0" w:line="360" w:lineRule="auto"/>
        <w:jc w:val="both"/>
        <w:outlineLvl w:val="9"/>
        <w:rPr>
          <w:rFonts w:hint="eastAsia" w:ascii="黑体" w:hAnsi="黑体" w:eastAsia="黑体"/>
          <w:sz w:val="32"/>
          <w:szCs w:val="32"/>
          <w:lang w:val="en-US" w:eastAsia="zh-CN"/>
        </w:rPr>
      </w:pPr>
    </w:p>
    <w:sectPr>
      <w:footerReference r:id="rId4" w:type="default"/>
      <w:pgSz w:w="11906" w:h="16838"/>
      <w:pgMar w:top="144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LF_Kai">
    <w:altName w:val="宋体"/>
    <w:panose1 w:val="00000000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Dutch801 Rm BT">
    <w:altName w:val="Cambria"/>
    <w:panose1 w:val="00000000000000000000"/>
    <w:charset w:val="00"/>
    <w:family w:val="roman"/>
    <w:pitch w:val="default"/>
    <w:sig w:usb0="00000000" w:usb1="00000000" w:usb2="00000000" w:usb3="00000000" w:csb0="0000001B"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6123"/>
        <w:tab w:val="center" w:pos="6979"/>
      </w:tabs>
    </w:pPr>
    <w:r>
      <w:pict>
        <v:shape id="_x0000_s3074" o:spid="_x0000_s307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8"/>
                </w:pPr>
                <w:r>
                  <w:rPr>
                    <w:rFonts w:hint="eastAsia"/>
                  </w:rPr>
                  <w:fldChar w:fldCharType="begin"/>
                </w:r>
                <w:r>
                  <w:rPr>
                    <w:rFonts w:hint="eastAsia"/>
                  </w:rPr>
                  <w:instrText xml:space="preserve"> PAGE  \* MERGEFORMAT </w:instrText>
                </w:r>
                <w:r>
                  <w:rPr>
                    <w:rFonts w:hint="eastAsia"/>
                  </w:rPr>
                  <w:fldChar w:fldCharType="separate"/>
                </w:r>
                <w:r>
                  <w:t>12</w:t>
                </w:r>
                <w:r>
                  <w:rPr>
                    <w:rFonts w:hint="eastAsia"/>
                  </w:rPr>
                  <w:fldChar w:fldCharType="end"/>
                </w:r>
              </w:p>
            </w:txbxContent>
          </v:textbox>
        </v:shape>
      </w:pict>
    </w:r>
    <w:r>
      <w:tab/>
    </w:r>
    <w:r>
      <w:tab/>
    </w:r>
    <w:r>
      <w:tab/>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left" w:pos="6123"/>
        <w:tab w:val="center" w:pos="6979"/>
      </w:tabs>
    </w:pPr>
    <w:r>
      <w:tab/>
    </w:r>
    <w:r>
      <w:tab/>
    </w:r>
    <w:r>
      <w:tab/>
    </w:r>
    <w:r>
      <w:rPr>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CE27D"/>
    <w:multiLevelType w:val="multilevel"/>
    <w:tmpl w:val="229CE27D"/>
    <w:lvl w:ilvl="0" w:tentative="0">
      <w:start w:val="1"/>
      <w:numFmt w:val="chineseCounting"/>
      <w:pStyle w:val="3"/>
      <w:suff w:val="nothing"/>
      <w:lvlText w:val="%1、"/>
      <w:lvlJc w:val="left"/>
      <w:rPr>
        <w:rFonts w:hint="eastAsia" w:cs="Times New Roman"/>
        <w:lang w:val="en-US"/>
      </w:rPr>
    </w:lvl>
    <w:lvl w:ilvl="1" w:tentative="0">
      <w:start w:val="1"/>
      <w:numFmt w:val="chineseCounting"/>
      <w:pStyle w:val="4"/>
      <w:suff w:val="nothing"/>
      <w:lvlText w:val="（%2）"/>
      <w:lvlJc w:val="left"/>
      <w:rPr>
        <w:rFonts w:hint="eastAsia" w:cs="Times New Roman"/>
        <w:lang w:val="en-US"/>
      </w:rPr>
    </w:lvl>
    <w:lvl w:ilvl="2" w:tentative="0">
      <w:start w:val="1"/>
      <w:numFmt w:val="decimal"/>
      <w:pStyle w:val="2"/>
      <w:suff w:val="nothing"/>
      <w:lvlText w:val="%3."/>
      <w:lvlJc w:val="left"/>
      <w:pPr>
        <w:tabs>
          <w:tab w:val="left" w:pos="476"/>
        </w:tabs>
        <w:ind w:firstLine="400"/>
      </w:pPr>
      <w:rPr>
        <w:rFonts w:ascii="华文楷体" w:hAnsi="华文楷体" w:eastAsia="仿宋_GB2312" w:cs="Times New Roman"/>
      </w:rPr>
    </w:lvl>
    <w:lvl w:ilvl="3" w:tentative="0">
      <w:start w:val="1"/>
      <w:numFmt w:val="decimal"/>
      <w:pStyle w:val="6"/>
      <w:suff w:val="nothing"/>
      <w:lvlText w:val="（%4）"/>
      <w:lvlJc w:val="left"/>
      <w:pPr>
        <w:ind w:firstLine="402"/>
      </w:pPr>
      <w:rPr>
        <w:rFonts w:hint="eastAsia" w:cs="Times New Roman"/>
      </w:rPr>
    </w:lvl>
    <w:lvl w:ilvl="4" w:tentative="0">
      <w:start w:val="1"/>
      <w:numFmt w:val="decimalEnclosedCircleChinese"/>
      <w:pStyle w:val="7"/>
      <w:suff w:val="nothing"/>
      <w:lvlText w:val="%5"/>
      <w:lvlJc w:val="left"/>
      <w:pPr>
        <w:ind w:firstLine="402"/>
      </w:pPr>
      <w:rPr>
        <w:rFonts w:hint="eastAsia" w:cs="Times New Roman"/>
      </w:rPr>
    </w:lvl>
    <w:lvl w:ilvl="5" w:tentative="0">
      <w:start w:val="1"/>
      <w:numFmt w:val="decimal"/>
      <w:pStyle w:val="8"/>
      <w:suff w:val="nothing"/>
      <w:lvlText w:val="%6）"/>
      <w:lvlJc w:val="left"/>
      <w:pPr>
        <w:ind w:firstLine="402"/>
      </w:pPr>
      <w:rPr>
        <w:rFonts w:hint="eastAsia" w:cs="Times New Roman"/>
      </w:rPr>
    </w:lvl>
    <w:lvl w:ilvl="6" w:tentative="0">
      <w:start w:val="1"/>
      <w:numFmt w:val="lowerLetter"/>
      <w:pStyle w:val="9"/>
      <w:suff w:val="nothing"/>
      <w:lvlText w:val="%7．"/>
      <w:lvlJc w:val="left"/>
      <w:pPr>
        <w:ind w:firstLine="402"/>
      </w:pPr>
      <w:rPr>
        <w:rFonts w:hint="eastAsia" w:cs="Times New Roman"/>
      </w:rPr>
    </w:lvl>
    <w:lvl w:ilvl="7" w:tentative="0">
      <w:start w:val="1"/>
      <w:numFmt w:val="lowerLetter"/>
      <w:pStyle w:val="10"/>
      <w:suff w:val="nothing"/>
      <w:lvlText w:val="%8）"/>
      <w:lvlJc w:val="left"/>
      <w:pPr>
        <w:ind w:firstLine="402"/>
      </w:pPr>
      <w:rPr>
        <w:rFonts w:hint="eastAsia" w:cs="Times New Roman"/>
      </w:rPr>
    </w:lvl>
    <w:lvl w:ilvl="8" w:tentative="0">
      <w:start w:val="1"/>
      <w:numFmt w:val="lowerRoman"/>
      <w:pStyle w:val="11"/>
      <w:suff w:val="nothing"/>
      <w:lvlText w:val="%9 "/>
      <w:lvlJc w:val="left"/>
      <w:pPr>
        <w:ind w:firstLine="402"/>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02CDD"/>
    <w:rsid w:val="00001B3B"/>
    <w:rsid w:val="00004017"/>
    <w:rsid w:val="000068D4"/>
    <w:rsid w:val="00010AAB"/>
    <w:rsid w:val="0001247F"/>
    <w:rsid w:val="000132B7"/>
    <w:rsid w:val="0001483E"/>
    <w:rsid w:val="00021FBA"/>
    <w:rsid w:val="0002229E"/>
    <w:rsid w:val="0002420B"/>
    <w:rsid w:val="00026F72"/>
    <w:rsid w:val="00032A2B"/>
    <w:rsid w:val="00041DFB"/>
    <w:rsid w:val="000449A1"/>
    <w:rsid w:val="000460E6"/>
    <w:rsid w:val="00047420"/>
    <w:rsid w:val="000561FE"/>
    <w:rsid w:val="00062375"/>
    <w:rsid w:val="00065433"/>
    <w:rsid w:val="0007363A"/>
    <w:rsid w:val="00074CC2"/>
    <w:rsid w:val="00082972"/>
    <w:rsid w:val="00087B3C"/>
    <w:rsid w:val="00091B5E"/>
    <w:rsid w:val="00094D7D"/>
    <w:rsid w:val="000960C3"/>
    <w:rsid w:val="000A1211"/>
    <w:rsid w:val="000A22DD"/>
    <w:rsid w:val="000A5A0A"/>
    <w:rsid w:val="000B06AA"/>
    <w:rsid w:val="000B1B7B"/>
    <w:rsid w:val="000B293D"/>
    <w:rsid w:val="000B5247"/>
    <w:rsid w:val="000C0EA5"/>
    <w:rsid w:val="000C2BBE"/>
    <w:rsid w:val="000C3F85"/>
    <w:rsid w:val="000C48C9"/>
    <w:rsid w:val="000C6C0D"/>
    <w:rsid w:val="000C7197"/>
    <w:rsid w:val="000D3F2E"/>
    <w:rsid w:val="000D52D0"/>
    <w:rsid w:val="000D7007"/>
    <w:rsid w:val="000E10FD"/>
    <w:rsid w:val="000E36CB"/>
    <w:rsid w:val="000E58EA"/>
    <w:rsid w:val="000E5EDF"/>
    <w:rsid w:val="000E6387"/>
    <w:rsid w:val="000E74A8"/>
    <w:rsid w:val="000E7AEB"/>
    <w:rsid w:val="000F18BE"/>
    <w:rsid w:val="000F455A"/>
    <w:rsid w:val="000F77CE"/>
    <w:rsid w:val="00110864"/>
    <w:rsid w:val="00122822"/>
    <w:rsid w:val="00125051"/>
    <w:rsid w:val="0012648D"/>
    <w:rsid w:val="00131B1C"/>
    <w:rsid w:val="00133402"/>
    <w:rsid w:val="00134004"/>
    <w:rsid w:val="001340E4"/>
    <w:rsid w:val="00140CAF"/>
    <w:rsid w:val="00142953"/>
    <w:rsid w:val="00143F66"/>
    <w:rsid w:val="001453AF"/>
    <w:rsid w:val="00147502"/>
    <w:rsid w:val="00154B9F"/>
    <w:rsid w:val="00155A7F"/>
    <w:rsid w:val="00164B46"/>
    <w:rsid w:val="00167D9B"/>
    <w:rsid w:val="00167EBF"/>
    <w:rsid w:val="001708F6"/>
    <w:rsid w:val="00170D92"/>
    <w:rsid w:val="00173548"/>
    <w:rsid w:val="001762B8"/>
    <w:rsid w:val="00186176"/>
    <w:rsid w:val="00192778"/>
    <w:rsid w:val="00192C9C"/>
    <w:rsid w:val="001A2943"/>
    <w:rsid w:val="001A7F92"/>
    <w:rsid w:val="001B35BF"/>
    <w:rsid w:val="001B5A9B"/>
    <w:rsid w:val="001C10D1"/>
    <w:rsid w:val="001C4A10"/>
    <w:rsid w:val="001C6432"/>
    <w:rsid w:val="001D3136"/>
    <w:rsid w:val="001D6446"/>
    <w:rsid w:val="001E20B9"/>
    <w:rsid w:val="001E423A"/>
    <w:rsid w:val="001E5E93"/>
    <w:rsid w:val="002023A4"/>
    <w:rsid w:val="002024C6"/>
    <w:rsid w:val="00213DFD"/>
    <w:rsid w:val="002238D2"/>
    <w:rsid w:val="00232CB9"/>
    <w:rsid w:val="0023309B"/>
    <w:rsid w:val="00234D99"/>
    <w:rsid w:val="00237301"/>
    <w:rsid w:val="002475B4"/>
    <w:rsid w:val="0025171C"/>
    <w:rsid w:val="00255805"/>
    <w:rsid w:val="002566D6"/>
    <w:rsid w:val="0027222B"/>
    <w:rsid w:val="00273355"/>
    <w:rsid w:val="0027387B"/>
    <w:rsid w:val="00275CD9"/>
    <w:rsid w:val="00277767"/>
    <w:rsid w:val="00277D48"/>
    <w:rsid w:val="00296683"/>
    <w:rsid w:val="00296C57"/>
    <w:rsid w:val="002A57C3"/>
    <w:rsid w:val="002A62DD"/>
    <w:rsid w:val="002B77B2"/>
    <w:rsid w:val="002B7EA9"/>
    <w:rsid w:val="002C07B4"/>
    <w:rsid w:val="002C1B7E"/>
    <w:rsid w:val="002C45CC"/>
    <w:rsid w:val="002C7E10"/>
    <w:rsid w:val="002D4991"/>
    <w:rsid w:val="002D6985"/>
    <w:rsid w:val="002E0EAA"/>
    <w:rsid w:val="002E11B4"/>
    <w:rsid w:val="002E17C2"/>
    <w:rsid w:val="002E53A4"/>
    <w:rsid w:val="00303018"/>
    <w:rsid w:val="00304AFF"/>
    <w:rsid w:val="00306F1E"/>
    <w:rsid w:val="0031127C"/>
    <w:rsid w:val="00312EF9"/>
    <w:rsid w:val="003167AE"/>
    <w:rsid w:val="00326A4D"/>
    <w:rsid w:val="003274D9"/>
    <w:rsid w:val="00330F66"/>
    <w:rsid w:val="003319FA"/>
    <w:rsid w:val="00333B58"/>
    <w:rsid w:val="00334375"/>
    <w:rsid w:val="003375B8"/>
    <w:rsid w:val="00343559"/>
    <w:rsid w:val="003465BF"/>
    <w:rsid w:val="00346B22"/>
    <w:rsid w:val="0034749B"/>
    <w:rsid w:val="00353C79"/>
    <w:rsid w:val="00355A12"/>
    <w:rsid w:val="00356779"/>
    <w:rsid w:val="00357410"/>
    <w:rsid w:val="003601AF"/>
    <w:rsid w:val="00360DB9"/>
    <w:rsid w:val="00362589"/>
    <w:rsid w:val="00363C2B"/>
    <w:rsid w:val="00372867"/>
    <w:rsid w:val="00373FF0"/>
    <w:rsid w:val="003747DF"/>
    <w:rsid w:val="003751F3"/>
    <w:rsid w:val="003832EE"/>
    <w:rsid w:val="00383BC1"/>
    <w:rsid w:val="003846C6"/>
    <w:rsid w:val="0038630A"/>
    <w:rsid w:val="00391A9C"/>
    <w:rsid w:val="00393160"/>
    <w:rsid w:val="00394A27"/>
    <w:rsid w:val="00394F7F"/>
    <w:rsid w:val="00396901"/>
    <w:rsid w:val="003971CC"/>
    <w:rsid w:val="003A121E"/>
    <w:rsid w:val="003A1306"/>
    <w:rsid w:val="003A2D97"/>
    <w:rsid w:val="003A50CC"/>
    <w:rsid w:val="003C06D2"/>
    <w:rsid w:val="003C122A"/>
    <w:rsid w:val="003C1D6F"/>
    <w:rsid w:val="003C3958"/>
    <w:rsid w:val="003D0DB7"/>
    <w:rsid w:val="003D5896"/>
    <w:rsid w:val="003D7006"/>
    <w:rsid w:val="003E13B2"/>
    <w:rsid w:val="003E1678"/>
    <w:rsid w:val="003E4E3C"/>
    <w:rsid w:val="003E52A6"/>
    <w:rsid w:val="003F06C5"/>
    <w:rsid w:val="00400F8C"/>
    <w:rsid w:val="0040578F"/>
    <w:rsid w:val="00406921"/>
    <w:rsid w:val="00416887"/>
    <w:rsid w:val="00422319"/>
    <w:rsid w:val="00423349"/>
    <w:rsid w:val="00424E7D"/>
    <w:rsid w:val="00425677"/>
    <w:rsid w:val="0042667A"/>
    <w:rsid w:val="004279EA"/>
    <w:rsid w:val="0043563A"/>
    <w:rsid w:val="00436342"/>
    <w:rsid w:val="00441919"/>
    <w:rsid w:val="00442701"/>
    <w:rsid w:val="004504B4"/>
    <w:rsid w:val="00461C2C"/>
    <w:rsid w:val="00466757"/>
    <w:rsid w:val="00467A79"/>
    <w:rsid w:val="004773FD"/>
    <w:rsid w:val="00481F2D"/>
    <w:rsid w:val="00484D3A"/>
    <w:rsid w:val="0048508B"/>
    <w:rsid w:val="00490495"/>
    <w:rsid w:val="004A0F26"/>
    <w:rsid w:val="004A4D24"/>
    <w:rsid w:val="004B187F"/>
    <w:rsid w:val="004B1A8D"/>
    <w:rsid w:val="004B2716"/>
    <w:rsid w:val="004B3F47"/>
    <w:rsid w:val="004B5FE6"/>
    <w:rsid w:val="004C5179"/>
    <w:rsid w:val="004D0FD6"/>
    <w:rsid w:val="004D2A83"/>
    <w:rsid w:val="004D5E8A"/>
    <w:rsid w:val="004D61AE"/>
    <w:rsid w:val="004D6229"/>
    <w:rsid w:val="004E22D3"/>
    <w:rsid w:val="004E7D87"/>
    <w:rsid w:val="004F26B2"/>
    <w:rsid w:val="004F6E23"/>
    <w:rsid w:val="004F72E4"/>
    <w:rsid w:val="005018E6"/>
    <w:rsid w:val="00502108"/>
    <w:rsid w:val="00502543"/>
    <w:rsid w:val="00505F0F"/>
    <w:rsid w:val="00506A9F"/>
    <w:rsid w:val="00507667"/>
    <w:rsid w:val="00507BEC"/>
    <w:rsid w:val="005113C5"/>
    <w:rsid w:val="005126AD"/>
    <w:rsid w:val="00520336"/>
    <w:rsid w:val="0052777D"/>
    <w:rsid w:val="00533F1C"/>
    <w:rsid w:val="00534424"/>
    <w:rsid w:val="005359D1"/>
    <w:rsid w:val="0053792A"/>
    <w:rsid w:val="0054023B"/>
    <w:rsid w:val="0054232A"/>
    <w:rsid w:val="00545D3A"/>
    <w:rsid w:val="0055104E"/>
    <w:rsid w:val="00551C9F"/>
    <w:rsid w:val="0056189B"/>
    <w:rsid w:val="00561DA5"/>
    <w:rsid w:val="00562099"/>
    <w:rsid w:val="00565338"/>
    <w:rsid w:val="005674CD"/>
    <w:rsid w:val="00575AD4"/>
    <w:rsid w:val="005857F4"/>
    <w:rsid w:val="005907BB"/>
    <w:rsid w:val="0059199E"/>
    <w:rsid w:val="005932EA"/>
    <w:rsid w:val="005966BF"/>
    <w:rsid w:val="005979B3"/>
    <w:rsid w:val="005A6B20"/>
    <w:rsid w:val="005A729B"/>
    <w:rsid w:val="005B0387"/>
    <w:rsid w:val="005B1F05"/>
    <w:rsid w:val="005C7C30"/>
    <w:rsid w:val="005D15DE"/>
    <w:rsid w:val="005D4DD8"/>
    <w:rsid w:val="005E1239"/>
    <w:rsid w:val="005E1D47"/>
    <w:rsid w:val="005E48B3"/>
    <w:rsid w:val="005E56FF"/>
    <w:rsid w:val="005F0D90"/>
    <w:rsid w:val="005F24AE"/>
    <w:rsid w:val="005F35A7"/>
    <w:rsid w:val="005F5945"/>
    <w:rsid w:val="006043AF"/>
    <w:rsid w:val="00605EB7"/>
    <w:rsid w:val="00610492"/>
    <w:rsid w:val="0061185D"/>
    <w:rsid w:val="0061310C"/>
    <w:rsid w:val="006137EC"/>
    <w:rsid w:val="00613929"/>
    <w:rsid w:val="0061668A"/>
    <w:rsid w:val="006178CE"/>
    <w:rsid w:val="00620BE8"/>
    <w:rsid w:val="00625F8D"/>
    <w:rsid w:val="00636E30"/>
    <w:rsid w:val="006371C0"/>
    <w:rsid w:val="00640B6A"/>
    <w:rsid w:val="00641CC4"/>
    <w:rsid w:val="006436DB"/>
    <w:rsid w:val="006441D1"/>
    <w:rsid w:val="00645448"/>
    <w:rsid w:val="00651784"/>
    <w:rsid w:val="00654F65"/>
    <w:rsid w:val="006707DF"/>
    <w:rsid w:val="0067415D"/>
    <w:rsid w:val="00676A0D"/>
    <w:rsid w:val="00680405"/>
    <w:rsid w:val="00680A5F"/>
    <w:rsid w:val="0068173E"/>
    <w:rsid w:val="00681F99"/>
    <w:rsid w:val="0068365E"/>
    <w:rsid w:val="00691AEF"/>
    <w:rsid w:val="006932B1"/>
    <w:rsid w:val="006A446F"/>
    <w:rsid w:val="006B3735"/>
    <w:rsid w:val="006B38BD"/>
    <w:rsid w:val="006B3A66"/>
    <w:rsid w:val="006C109E"/>
    <w:rsid w:val="006C286E"/>
    <w:rsid w:val="006C521D"/>
    <w:rsid w:val="006C6FAB"/>
    <w:rsid w:val="006D02A4"/>
    <w:rsid w:val="006D38AA"/>
    <w:rsid w:val="006D60B1"/>
    <w:rsid w:val="006D7FA2"/>
    <w:rsid w:val="006E34CB"/>
    <w:rsid w:val="006F1AB6"/>
    <w:rsid w:val="006F69D9"/>
    <w:rsid w:val="00702B91"/>
    <w:rsid w:val="00702CDD"/>
    <w:rsid w:val="00705DAB"/>
    <w:rsid w:val="007165DF"/>
    <w:rsid w:val="00721C9F"/>
    <w:rsid w:val="00723450"/>
    <w:rsid w:val="00733F44"/>
    <w:rsid w:val="007367DF"/>
    <w:rsid w:val="00742754"/>
    <w:rsid w:val="00745404"/>
    <w:rsid w:val="00746A4A"/>
    <w:rsid w:val="00750123"/>
    <w:rsid w:val="007502D8"/>
    <w:rsid w:val="00750AC2"/>
    <w:rsid w:val="00757999"/>
    <w:rsid w:val="007619C3"/>
    <w:rsid w:val="00761D41"/>
    <w:rsid w:val="00761E12"/>
    <w:rsid w:val="0077331C"/>
    <w:rsid w:val="00775563"/>
    <w:rsid w:val="00775768"/>
    <w:rsid w:val="00775D23"/>
    <w:rsid w:val="00776039"/>
    <w:rsid w:val="00777118"/>
    <w:rsid w:val="0078224D"/>
    <w:rsid w:val="00783759"/>
    <w:rsid w:val="00783DD6"/>
    <w:rsid w:val="00785D8B"/>
    <w:rsid w:val="007912A1"/>
    <w:rsid w:val="00796139"/>
    <w:rsid w:val="0079627C"/>
    <w:rsid w:val="007A0E9A"/>
    <w:rsid w:val="007B0708"/>
    <w:rsid w:val="007B2604"/>
    <w:rsid w:val="007B4446"/>
    <w:rsid w:val="007B760F"/>
    <w:rsid w:val="007C12C7"/>
    <w:rsid w:val="007D0D7F"/>
    <w:rsid w:val="007D35E7"/>
    <w:rsid w:val="007D5952"/>
    <w:rsid w:val="007F4C17"/>
    <w:rsid w:val="007F576F"/>
    <w:rsid w:val="007F7F50"/>
    <w:rsid w:val="0080026D"/>
    <w:rsid w:val="00804CBD"/>
    <w:rsid w:val="00805D06"/>
    <w:rsid w:val="00805F39"/>
    <w:rsid w:val="00812468"/>
    <w:rsid w:val="00812D2D"/>
    <w:rsid w:val="00813E8D"/>
    <w:rsid w:val="00815A0C"/>
    <w:rsid w:val="00823470"/>
    <w:rsid w:val="008248AC"/>
    <w:rsid w:val="00825E8D"/>
    <w:rsid w:val="008260B8"/>
    <w:rsid w:val="00832E22"/>
    <w:rsid w:val="00833B84"/>
    <w:rsid w:val="008371DB"/>
    <w:rsid w:val="00840A10"/>
    <w:rsid w:val="00841490"/>
    <w:rsid w:val="00842D30"/>
    <w:rsid w:val="00847AEB"/>
    <w:rsid w:val="0085086A"/>
    <w:rsid w:val="00855892"/>
    <w:rsid w:val="008608A1"/>
    <w:rsid w:val="0086272D"/>
    <w:rsid w:val="008711A5"/>
    <w:rsid w:val="00873304"/>
    <w:rsid w:val="00882995"/>
    <w:rsid w:val="00885E75"/>
    <w:rsid w:val="00886BF1"/>
    <w:rsid w:val="008873DC"/>
    <w:rsid w:val="008901E4"/>
    <w:rsid w:val="008928E1"/>
    <w:rsid w:val="00892F12"/>
    <w:rsid w:val="00895FF3"/>
    <w:rsid w:val="008A05D1"/>
    <w:rsid w:val="008A0B94"/>
    <w:rsid w:val="008A1EE5"/>
    <w:rsid w:val="008A2911"/>
    <w:rsid w:val="008A5A7B"/>
    <w:rsid w:val="008B0AD5"/>
    <w:rsid w:val="008B11C0"/>
    <w:rsid w:val="008B21FF"/>
    <w:rsid w:val="008B512B"/>
    <w:rsid w:val="008B623C"/>
    <w:rsid w:val="008B6E69"/>
    <w:rsid w:val="008C70BD"/>
    <w:rsid w:val="008D34AE"/>
    <w:rsid w:val="008D66A1"/>
    <w:rsid w:val="008D7C53"/>
    <w:rsid w:val="008E1C3D"/>
    <w:rsid w:val="008E636F"/>
    <w:rsid w:val="008E6B9C"/>
    <w:rsid w:val="008F2CA1"/>
    <w:rsid w:val="008F661F"/>
    <w:rsid w:val="00902094"/>
    <w:rsid w:val="009041E6"/>
    <w:rsid w:val="00911349"/>
    <w:rsid w:val="00913468"/>
    <w:rsid w:val="00914185"/>
    <w:rsid w:val="00914E68"/>
    <w:rsid w:val="00914FBA"/>
    <w:rsid w:val="009221F4"/>
    <w:rsid w:val="00922FFC"/>
    <w:rsid w:val="00925FE6"/>
    <w:rsid w:val="00931A5C"/>
    <w:rsid w:val="009407ED"/>
    <w:rsid w:val="00940D75"/>
    <w:rsid w:val="0094337D"/>
    <w:rsid w:val="00945CE1"/>
    <w:rsid w:val="00953D86"/>
    <w:rsid w:val="00956374"/>
    <w:rsid w:val="009565AC"/>
    <w:rsid w:val="009572D3"/>
    <w:rsid w:val="00957BC3"/>
    <w:rsid w:val="0096471F"/>
    <w:rsid w:val="0096579E"/>
    <w:rsid w:val="00966A84"/>
    <w:rsid w:val="0096794C"/>
    <w:rsid w:val="00971712"/>
    <w:rsid w:val="00973D98"/>
    <w:rsid w:val="009745FF"/>
    <w:rsid w:val="00980AB3"/>
    <w:rsid w:val="00981E02"/>
    <w:rsid w:val="0098230C"/>
    <w:rsid w:val="009B0E82"/>
    <w:rsid w:val="009B4824"/>
    <w:rsid w:val="009C00E1"/>
    <w:rsid w:val="009C573F"/>
    <w:rsid w:val="009D1DB7"/>
    <w:rsid w:val="009E069A"/>
    <w:rsid w:val="009E0AAB"/>
    <w:rsid w:val="009E0D3D"/>
    <w:rsid w:val="009E3B42"/>
    <w:rsid w:val="00A03C09"/>
    <w:rsid w:val="00A059AA"/>
    <w:rsid w:val="00A13C74"/>
    <w:rsid w:val="00A1734D"/>
    <w:rsid w:val="00A20671"/>
    <w:rsid w:val="00A20D22"/>
    <w:rsid w:val="00A34D1F"/>
    <w:rsid w:val="00A408AC"/>
    <w:rsid w:val="00A417F3"/>
    <w:rsid w:val="00A4334A"/>
    <w:rsid w:val="00A46B26"/>
    <w:rsid w:val="00A47391"/>
    <w:rsid w:val="00A479DA"/>
    <w:rsid w:val="00A5436F"/>
    <w:rsid w:val="00A55933"/>
    <w:rsid w:val="00A56FD7"/>
    <w:rsid w:val="00A608AF"/>
    <w:rsid w:val="00A62A85"/>
    <w:rsid w:val="00A66DA1"/>
    <w:rsid w:val="00A71108"/>
    <w:rsid w:val="00A7127E"/>
    <w:rsid w:val="00A73F9E"/>
    <w:rsid w:val="00A80B90"/>
    <w:rsid w:val="00A81291"/>
    <w:rsid w:val="00A82585"/>
    <w:rsid w:val="00A827E0"/>
    <w:rsid w:val="00A8476F"/>
    <w:rsid w:val="00A85ADD"/>
    <w:rsid w:val="00A86AE3"/>
    <w:rsid w:val="00A91BE8"/>
    <w:rsid w:val="00A9228A"/>
    <w:rsid w:val="00A94440"/>
    <w:rsid w:val="00A94589"/>
    <w:rsid w:val="00A9602B"/>
    <w:rsid w:val="00AA1093"/>
    <w:rsid w:val="00AA12E9"/>
    <w:rsid w:val="00AB5602"/>
    <w:rsid w:val="00AC2570"/>
    <w:rsid w:val="00AC26F7"/>
    <w:rsid w:val="00AC2EB1"/>
    <w:rsid w:val="00AC393D"/>
    <w:rsid w:val="00AC4828"/>
    <w:rsid w:val="00AD0B81"/>
    <w:rsid w:val="00AD54D6"/>
    <w:rsid w:val="00AE6068"/>
    <w:rsid w:val="00AE635A"/>
    <w:rsid w:val="00AF2024"/>
    <w:rsid w:val="00B06CD7"/>
    <w:rsid w:val="00B106F8"/>
    <w:rsid w:val="00B13FE9"/>
    <w:rsid w:val="00B14E19"/>
    <w:rsid w:val="00B2059B"/>
    <w:rsid w:val="00B22079"/>
    <w:rsid w:val="00B23C72"/>
    <w:rsid w:val="00B26AC1"/>
    <w:rsid w:val="00B27B7F"/>
    <w:rsid w:val="00B332D1"/>
    <w:rsid w:val="00B333F5"/>
    <w:rsid w:val="00B33B85"/>
    <w:rsid w:val="00B36B18"/>
    <w:rsid w:val="00B41AA9"/>
    <w:rsid w:val="00B42768"/>
    <w:rsid w:val="00B4520C"/>
    <w:rsid w:val="00B4683E"/>
    <w:rsid w:val="00B51254"/>
    <w:rsid w:val="00B61D85"/>
    <w:rsid w:val="00B81E7B"/>
    <w:rsid w:val="00B823A6"/>
    <w:rsid w:val="00B87A60"/>
    <w:rsid w:val="00B947DB"/>
    <w:rsid w:val="00B94DA5"/>
    <w:rsid w:val="00BA2D09"/>
    <w:rsid w:val="00BA554E"/>
    <w:rsid w:val="00BA56BC"/>
    <w:rsid w:val="00BA5B85"/>
    <w:rsid w:val="00BA65B3"/>
    <w:rsid w:val="00BB32CD"/>
    <w:rsid w:val="00BC6231"/>
    <w:rsid w:val="00BD1A20"/>
    <w:rsid w:val="00BD65A6"/>
    <w:rsid w:val="00BD7216"/>
    <w:rsid w:val="00BE4B0D"/>
    <w:rsid w:val="00BE4F3E"/>
    <w:rsid w:val="00BE52D0"/>
    <w:rsid w:val="00BE67B8"/>
    <w:rsid w:val="00BF1300"/>
    <w:rsid w:val="00BF24D5"/>
    <w:rsid w:val="00BF6F10"/>
    <w:rsid w:val="00C011CB"/>
    <w:rsid w:val="00C078EF"/>
    <w:rsid w:val="00C07980"/>
    <w:rsid w:val="00C07CEC"/>
    <w:rsid w:val="00C16F51"/>
    <w:rsid w:val="00C22B83"/>
    <w:rsid w:val="00C23BDF"/>
    <w:rsid w:val="00C37382"/>
    <w:rsid w:val="00C40DFC"/>
    <w:rsid w:val="00C44C4C"/>
    <w:rsid w:val="00C53F6F"/>
    <w:rsid w:val="00C53FBA"/>
    <w:rsid w:val="00C57E3B"/>
    <w:rsid w:val="00C6253B"/>
    <w:rsid w:val="00C627FB"/>
    <w:rsid w:val="00C66F1D"/>
    <w:rsid w:val="00C72231"/>
    <w:rsid w:val="00C7316B"/>
    <w:rsid w:val="00C774BB"/>
    <w:rsid w:val="00C83154"/>
    <w:rsid w:val="00C85247"/>
    <w:rsid w:val="00C85FAF"/>
    <w:rsid w:val="00CA49BA"/>
    <w:rsid w:val="00CB2D9E"/>
    <w:rsid w:val="00CB58CE"/>
    <w:rsid w:val="00CB5B69"/>
    <w:rsid w:val="00CB6C16"/>
    <w:rsid w:val="00CB6E63"/>
    <w:rsid w:val="00CC2FF1"/>
    <w:rsid w:val="00CC5B1A"/>
    <w:rsid w:val="00CC5CEE"/>
    <w:rsid w:val="00CC66BB"/>
    <w:rsid w:val="00CD57D7"/>
    <w:rsid w:val="00CE0FF3"/>
    <w:rsid w:val="00CE476B"/>
    <w:rsid w:val="00CE53EB"/>
    <w:rsid w:val="00CF3920"/>
    <w:rsid w:val="00CF4FBA"/>
    <w:rsid w:val="00CF5052"/>
    <w:rsid w:val="00CF64B5"/>
    <w:rsid w:val="00D069D1"/>
    <w:rsid w:val="00D10BD1"/>
    <w:rsid w:val="00D145FF"/>
    <w:rsid w:val="00D15065"/>
    <w:rsid w:val="00D15B63"/>
    <w:rsid w:val="00D15DBA"/>
    <w:rsid w:val="00D23521"/>
    <w:rsid w:val="00D238B9"/>
    <w:rsid w:val="00D2558F"/>
    <w:rsid w:val="00D2591A"/>
    <w:rsid w:val="00D2611A"/>
    <w:rsid w:val="00D27583"/>
    <w:rsid w:val="00D31D63"/>
    <w:rsid w:val="00D31E90"/>
    <w:rsid w:val="00D40DA9"/>
    <w:rsid w:val="00D42D2C"/>
    <w:rsid w:val="00D43444"/>
    <w:rsid w:val="00D5030A"/>
    <w:rsid w:val="00D545FD"/>
    <w:rsid w:val="00D6130A"/>
    <w:rsid w:val="00D70D9F"/>
    <w:rsid w:val="00D73EB9"/>
    <w:rsid w:val="00D77B7F"/>
    <w:rsid w:val="00D8122E"/>
    <w:rsid w:val="00D813DD"/>
    <w:rsid w:val="00D841E2"/>
    <w:rsid w:val="00D902FD"/>
    <w:rsid w:val="00DA0F44"/>
    <w:rsid w:val="00DA1BF8"/>
    <w:rsid w:val="00DA3CEA"/>
    <w:rsid w:val="00DA54D6"/>
    <w:rsid w:val="00DB15A4"/>
    <w:rsid w:val="00DB6519"/>
    <w:rsid w:val="00DC3019"/>
    <w:rsid w:val="00DC31ED"/>
    <w:rsid w:val="00DC6561"/>
    <w:rsid w:val="00DD6A59"/>
    <w:rsid w:val="00DD782A"/>
    <w:rsid w:val="00DE0888"/>
    <w:rsid w:val="00DE783D"/>
    <w:rsid w:val="00E00C91"/>
    <w:rsid w:val="00E02DDD"/>
    <w:rsid w:val="00E0675B"/>
    <w:rsid w:val="00E1171C"/>
    <w:rsid w:val="00E133AC"/>
    <w:rsid w:val="00E17C93"/>
    <w:rsid w:val="00E17E4D"/>
    <w:rsid w:val="00E2118E"/>
    <w:rsid w:val="00E21AF1"/>
    <w:rsid w:val="00E277C5"/>
    <w:rsid w:val="00E27F6D"/>
    <w:rsid w:val="00E32FE7"/>
    <w:rsid w:val="00E363F4"/>
    <w:rsid w:val="00E40152"/>
    <w:rsid w:val="00E44B53"/>
    <w:rsid w:val="00E45E39"/>
    <w:rsid w:val="00E47277"/>
    <w:rsid w:val="00E50651"/>
    <w:rsid w:val="00E50FD3"/>
    <w:rsid w:val="00E51974"/>
    <w:rsid w:val="00E5423A"/>
    <w:rsid w:val="00E5645B"/>
    <w:rsid w:val="00E603E9"/>
    <w:rsid w:val="00E64F25"/>
    <w:rsid w:val="00E74B6E"/>
    <w:rsid w:val="00E80EC7"/>
    <w:rsid w:val="00E8463C"/>
    <w:rsid w:val="00E85F32"/>
    <w:rsid w:val="00E86277"/>
    <w:rsid w:val="00E93468"/>
    <w:rsid w:val="00E960E9"/>
    <w:rsid w:val="00E96603"/>
    <w:rsid w:val="00E97B2A"/>
    <w:rsid w:val="00EA00BD"/>
    <w:rsid w:val="00EA0888"/>
    <w:rsid w:val="00EA2787"/>
    <w:rsid w:val="00EA6725"/>
    <w:rsid w:val="00EB26B3"/>
    <w:rsid w:val="00EB659E"/>
    <w:rsid w:val="00EB732E"/>
    <w:rsid w:val="00EC26C2"/>
    <w:rsid w:val="00EC2C6D"/>
    <w:rsid w:val="00EC6B27"/>
    <w:rsid w:val="00EC7846"/>
    <w:rsid w:val="00EC7ABF"/>
    <w:rsid w:val="00EC7C7D"/>
    <w:rsid w:val="00ED0AE3"/>
    <w:rsid w:val="00ED29A0"/>
    <w:rsid w:val="00ED36E4"/>
    <w:rsid w:val="00ED5476"/>
    <w:rsid w:val="00ED6758"/>
    <w:rsid w:val="00ED7BD6"/>
    <w:rsid w:val="00EE281B"/>
    <w:rsid w:val="00EE4F0E"/>
    <w:rsid w:val="00EF0DB6"/>
    <w:rsid w:val="00EF1E1D"/>
    <w:rsid w:val="00EF37D2"/>
    <w:rsid w:val="00EF7955"/>
    <w:rsid w:val="00F05755"/>
    <w:rsid w:val="00F06B5E"/>
    <w:rsid w:val="00F11367"/>
    <w:rsid w:val="00F123CD"/>
    <w:rsid w:val="00F1266D"/>
    <w:rsid w:val="00F151C2"/>
    <w:rsid w:val="00F22018"/>
    <w:rsid w:val="00F23B07"/>
    <w:rsid w:val="00F26110"/>
    <w:rsid w:val="00F3182F"/>
    <w:rsid w:val="00F36DC3"/>
    <w:rsid w:val="00F402CE"/>
    <w:rsid w:val="00F4169F"/>
    <w:rsid w:val="00F42C16"/>
    <w:rsid w:val="00F468F7"/>
    <w:rsid w:val="00F51888"/>
    <w:rsid w:val="00F53B92"/>
    <w:rsid w:val="00F5684B"/>
    <w:rsid w:val="00F65462"/>
    <w:rsid w:val="00F662CB"/>
    <w:rsid w:val="00F66764"/>
    <w:rsid w:val="00F6720D"/>
    <w:rsid w:val="00F71373"/>
    <w:rsid w:val="00F745D5"/>
    <w:rsid w:val="00F7731A"/>
    <w:rsid w:val="00F86844"/>
    <w:rsid w:val="00F87F1E"/>
    <w:rsid w:val="00F90EEC"/>
    <w:rsid w:val="00F91FDE"/>
    <w:rsid w:val="00F9390A"/>
    <w:rsid w:val="00F95948"/>
    <w:rsid w:val="00FA02C9"/>
    <w:rsid w:val="00FA3365"/>
    <w:rsid w:val="00FA3D1B"/>
    <w:rsid w:val="00FA5763"/>
    <w:rsid w:val="00FA5F2D"/>
    <w:rsid w:val="00FA6D8C"/>
    <w:rsid w:val="00FB5A69"/>
    <w:rsid w:val="00FB777D"/>
    <w:rsid w:val="00FB7EEB"/>
    <w:rsid w:val="00FC0D79"/>
    <w:rsid w:val="00FC5097"/>
    <w:rsid w:val="00FC5F74"/>
    <w:rsid w:val="00FD20CA"/>
    <w:rsid w:val="00FD2D61"/>
    <w:rsid w:val="00FD6A23"/>
    <w:rsid w:val="00FE43D3"/>
    <w:rsid w:val="00FE58FC"/>
    <w:rsid w:val="00FF29CA"/>
    <w:rsid w:val="00FF6025"/>
    <w:rsid w:val="00FF6DBB"/>
    <w:rsid w:val="02223344"/>
    <w:rsid w:val="02835A5D"/>
    <w:rsid w:val="04A712F8"/>
    <w:rsid w:val="04C31F97"/>
    <w:rsid w:val="08A25BD6"/>
    <w:rsid w:val="095A2269"/>
    <w:rsid w:val="09786EDD"/>
    <w:rsid w:val="0EEE11E8"/>
    <w:rsid w:val="0F961954"/>
    <w:rsid w:val="0F9D5B54"/>
    <w:rsid w:val="1007277D"/>
    <w:rsid w:val="137776F8"/>
    <w:rsid w:val="15CF3302"/>
    <w:rsid w:val="16A85C57"/>
    <w:rsid w:val="1A154864"/>
    <w:rsid w:val="1D576039"/>
    <w:rsid w:val="1ED068E3"/>
    <w:rsid w:val="20A4213E"/>
    <w:rsid w:val="21214DC6"/>
    <w:rsid w:val="214B07EA"/>
    <w:rsid w:val="21B55507"/>
    <w:rsid w:val="21EA3885"/>
    <w:rsid w:val="23471873"/>
    <w:rsid w:val="24CE42DC"/>
    <w:rsid w:val="253A056C"/>
    <w:rsid w:val="26520D90"/>
    <w:rsid w:val="268C1190"/>
    <w:rsid w:val="26B06A30"/>
    <w:rsid w:val="2C40645F"/>
    <w:rsid w:val="31151894"/>
    <w:rsid w:val="325A330D"/>
    <w:rsid w:val="339A6BE6"/>
    <w:rsid w:val="36A86EE0"/>
    <w:rsid w:val="371025A2"/>
    <w:rsid w:val="37D05A71"/>
    <w:rsid w:val="38BF6BF9"/>
    <w:rsid w:val="393C6CDF"/>
    <w:rsid w:val="3966288F"/>
    <w:rsid w:val="3A45598C"/>
    <w:rsid w:val="3ABF2042"/>
    <w:rsid w:val="3F644E45"/>
    <w:rsid w:val="3F7F61B0"/>
    <w:rsid w:val="40095632"/>
    <w:rsid w:val="41631E04"/>
    <w:rsid w:val="464B2B40"/>
    <w:rsid w:val="46F26CD6"/>
    <w:rsid w:val="482A72CC"/>
    <w:rsid w:val="484D7D6E"/>
    <w:rsid w:val="4990375B"/>
    <w:rsid w:val="4A715B23"/>
    <w:rsid w:val="4AA7170C"/>
    <w:rsid w:val="4AF6779B"/>
    <w:rsid w:val="4C382E0A"/>
    <w:rsid w:val="4CE337A8"/>
    <w:rsid w:val="4D2A4D77"/>
    <w:rsid w:val="4FEE1906"/>
    <w:rsid w:val="514040F2"/>
    <w:rsid w:val="52326FFE"/>
    <w:rsid w:val="52EF4C7D"/>
    <w:rsid w:val="547415BA"/>
    <w:rsid w:val="56CB6919"/>
    <w:rsid w:val="5C2D38CC"/>
    <w:rsid w:val="5D6E7285"/>
    <w:rsid w:val="6097527E"/>
    <w:rsid w:val="60AC039F"/>
    <w:rsid w:val="60B74E21"/>
    <w:rsid w:val="61104FB0"/>
    <w:rsid w:val="620E399B"/>
    <w:rsid w:val="63F516A6"/>
    <w:rsid w:val="65FF4776"/>
    <w:rsid w:val="66826802"/>
    <w:rsid w:val="668A5712"/>
    <w:rsid w:val="6AC167C2"/>
    <w:rsid w:val="6BE72029"/>
    <w:rsid w:val="6D1F5552"/>
    <w:rsid w:val="6DBC14AD"/>
    <w:rsid w:val="6E737F96"/>
    <w:rsid w:val="73275B21"/>
    <w:rsid w:val="74082FE0"/>
    <w:rsid w:val="7412761E"/>
    <w:rsid w:val="774B13C8"/>
    <w:rsid w:val="77D91EBD"/>
    <w:rsid w:val="77EC6902"/>
    <w:rsid w:val="786D4C17"/>
    <w:rsid w:val="7BA82A1C"/>
    <w:rsid w:val="7D152A0E"/>
    <w:rsid w:val="7EC505DD"/>
    <w:rsid w:val="7F163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iPriority="99" w:name="Date"/>
    <w:lsdException w:qFormat="1" w:uiPriority="99" w:name="Body Text First Indent"/>
    <w:lsdException w:qFormat="1" w:uiPriority="99" w:name="Body Text First Indent 2"/>
    <w:lsdException w:uiPriority="99" w:name="Note Heading"/>
    <w:lsdException w:qFormat="1"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next w:val="5"/>
    <w:link w:val="37"/>
    <w:qFormat/>
    <w:uiPriority w:val="99"/>
    <w:pPr>
      <w:numPr>
        <w:ilvl w:val="0"/>
      </w:numPr>
      <w:tabs>
        <w:tab w:val="left" w:pos="476"/>
      </w:tabs>
      <w:outlineLvl w:val="0"/>
    </w:pPr>
    <w:rPr>
      <w:rFonts w:eastAsia="黑体"/>
      <w:b w:val="0"/>
    </w:rPr>
  </w:style>
  <w:style w:type="paragraph" w:styleId="4">
    <w:name w:val="heading 2"/>
    <w:basedOn w:val="2"/>
    <w:next w:val="5"/>
    <w:link w:val="38"/>
    <w:qFormat/>
    <w:uiPriority w:val="99"/>
    <w:pPr>
      <w:numPr>
        <w:ilvl w:val="1"/>
      </w:numPr>
      <w:tabs>
        <w:tab w:val="left" w:pos="476"/>
      </w:tabs>
      <w:spacing w:before="100" w:after="50" w:line="600" w:lineRule="exact"/>
      <w:ind w:firstLine="0"/>
      <w:outlineLvl w:val="1"/>
    </w:pPr>
    <w:rPr>
      <w:rFonts w:eastAsia="楷体"/>
    </w:rPr>
  </w:style>
  <w:style w:type="paragraph" w:styleId="2">
    <w:name w:val="heading 3"/>
    <w:basedOn w:val="1"/>
    <w:next w:val="1"/>
    <w:link w:val="39"/>
    <w:qFormat/>
    <w:uiPriority w:val="99"/>
    <w:pPr>
      <w:keepNext/>
      <w:keepLines/>
      <w:numPr>
        <w:ilvl w:val="2"/>
        <w:numId w:val="1"/>
      </w:numPr>
      <w:spacing w:beforeLines="100" w:afterLines="50" w:line="360" w:lineRule="auto"/>
      <w:jc w:val="left"/>
      <w:outlineLvl w:val="2"/>
    </w:pPr>
    <w:rPr>
      <w:rFonts w:eastAsia="仿宋_GB2312"/>
      <w:b/>
      <w:sz w:val="32"/>
    </w:rPr>
  </w:style>
  <w:style w:type="paragraph" w:styleId="6">
    <w:name w:val="heading 4"/>
    <w:basedOn w:val="5"/>
    <w:next w:val="5"/>
    <w:link w:val="40"/>
    <w:qFormat/>
    <w:uiPriority w:val="99"/>
    <w:pPr>
      <w:numPr>
        <w:ilvl w:val="3"/>
        <w:numId w:val="1"/>
      </w:numPr>
      <w:outlineLvl w:val="3"/>
    </w:pPr>
  </w:style>
  <w:style w:type="paragraph" w:styleId="7">
    <w:name w:val="heading 5"/>
    <w:basedOn w:val="1"/>
    <w:next w:val="1"/>
    <w:link w:val="41"/>
    <w:qFormat/>
    <w:uiPriority w:val="99"/>
    <w:pPr>
      <w:widowControl/>
      <w:numPr>
        <w:ilvl w:val="4"/>
        <w:numId w:val="1"/>
      </w:numPr>
      <w:adjustRightInd w:val="0"/>
      <w:snapToGrid w:val="0"/>
      <w:spacing w:line="260" w:lineRule="atLeast"/>
      <w:jc w:val="left"/>
      <w:outlineLvl w:val="4"/>
    </w:pPr>
    <w:rPr>
      <w:rFonts w:ascii="华文楷体" w:hAnsi="华文楷体" w:eastAsia="LF_Kai"/>
      <w:kern w:val="0"/>
      <w:sz w:val="24"/>
      <w:szCs w:val="20"/>
      <w:lang w:val="en-GB" w:eastAsia="zh-HK"/>
    </w:rPr>
  </w:style>
  <w:style w:type="paragraph" w:styleId="8">
    <w:name w:val="heading 6"/>
    <w:basedOn w:val="1"/>
    <w:next w:val="1"/>
    <w:link w:val="42"/>
    <w:qFormat/>
    <w:uiPriority w:val="99"/>
    <w:pPr>
      <w:widowControl/>
      <w:numPr>
        <w:ilvl w:val="5"/>
        <w:numId w:val="1"/>
      </w:numPr>
      <w:adjustRightInd w:val="0"/>
      <w:snapToGrid w:val="0"/>
      <w:spacing w:line="260" w:lineRule="atLeast"/>
      <w:jc w:val="left"/>
      <w:outlineLvl w:val="5"/>
    </w:pPr>
    <w:rPr>
      <w:rFonts w:ascii="华文楷体" w:hAnsi="华文楷体" w:eastAsia="LF_Kai"/>
      <w:kern w:val="0"/>
      <w:sz w:val="24"/>
      <w:szCs w:val="20"/>
      <w:lang w:val="en-GB" w:eastAsia="zh-HK"/>
    </w:rPr>
  </w:style>
  <w:style w:type="paragraph" w:styleId="9">
    <w:name w:val="heading 7"/>
    <w:basedOn w:val="1"/>
    <w:next w:val="1"/>
    <w:link w:val="43"/>
    <w:qFormat/>
    <w:uiPriority w:val="99"/>
    <w:pPr>
      <w:widowControl/>
      <w:numPr>
        <w:ilvl w:val="6"/>
        <w:numId w:val="1"/>
      </w:numPr>
      <w:adjustRightInd w:val="0"/>
      <w:snapToGrid w:val="0"/>
      <w:spacing w:line="260" w:lineRule="atLeast"/>
      <w:jc w:val="left"/>
      <w:outlineLvl w:val="6"/>
    </w:pPr>
    <w:rPr>
      <w:rFonts w:ascii="华文楷体" w:hAnsi="华文楷体" w:eastAsia="LF_Kai"/>
      <w:kern w:val="0"/>
      <w:sz w:val="24"/>
      <w:szCs w:val="20"/>
      <w:lang w:val="en-GB" w:eastAsia="zh-HK"/>
    </w:rPr>
  </w:style>
  <w:style w:type="paragraph" w:styleId="10">
    <w:name w:val="heading 8"/>
    <w:basedOn w:val="1"/>
    <w:next w:val="1"/>
    <w:link w:val="44"/>
    <w:qFormat/>
    <w:uiPriority w:val="99"/>
    <w:pPr>
      <w:widowControl/>
      <w:numPr>
        <w:ilvl w:val="7"/>
        <w:numId w:val="1"/>
      </w:numPr>
      <w:adjustRightInd w:val="0"/>
      <w:snapToGrid w:val="0"/>
      <w:spacing w:line="260" w:lineRule="atLeast"/>
      <w:jc w:val="left"/>
      <w:outlineLvl w:val="7"/>
    </w:pPr>
    <w:rPr>
      <w:rFonts w:ascii="华文楷体" w:hAnsi="华文楷体" w:eastAsia="LF_Kai"/>
      <w:kern w:val="0"/>
      <w:sz w:val="24"/>
      <w:szCs w:val="20"/>
      <w:lang w:val="en-GB" w:eastAsia="zh-HK"/>
    </w:rPr>
  </w:style>
  <w:style w:type="paragraph" w:styleId="11">
    <w:name w:val="heading 9"/>
    <w:basedOn w:val="1"/>
    <w:next w:val="1"/>
    <w:link w:val="45"/>
    <w:qFormat/>
    <w:uiPriority w:val="99"/>
    <w:pPr>
      <w:widowControl/>
      <w:numPr>
        <w:ilvl w:val="8"/>
        <w:numId w:val="1"/>
      </w:numPr>
      <w:adjustRightInd w:val="0"/>
      <w:snapToGrid w:val="0"/>
      <w:spacing w:line="260" w:lineRule="atLeast"/>
      <w:jc w:val="left"/>
      <w:outlineLvl w:val="8"/>
    </w:pPr>
    <w:rPr>
      <w:rFonts w:ascii="华文楷体" w:hAnsi="华文楷体" w:eastAsia="LF_Kai"/>
      <w:kern w:val="0"/>
      <w:sz w:val="24"/>
      <w:szCs w:val="20"/>
      <w:lang w:val="en-GB" w:eastAsia="zh-HK"/>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46"/>
    <w:qFormat/>
    <w:uiPriority w:val="99"/>
    <w:pPr>
      <w:widowControl/>
      <w:adjustRightInd w:val="0"/>
      <w:snapToGrid w:val="0"/>
      <w:spacing w:before="150" w:after="150" w:line="264" w:lineRule="auto"/>
      <w:ind w:firstLine="567"/>
    </w:pPr>
    <w:rPr>
      <w:rFonts w:ascii="华文楷体" w:hAnsi="华文楷体" w:eastAsia="LF_Kai"/>
      <w:kern w:val="0"/>
      <w:sz w:val="24"/>
      <w:szCs w:val="20"/>
      <w:lang w:val="en-GB"/>
    </w:rPr>
  </w:style>
  <w:style w:type="paragraph" w:styleId="12">
    <w:name w:val="Document Map"/>
    <w:basedOn w:val="1"/>
    <w:link w:val="64"/>
    <w:semiHidden/>
    <w:unhideWhenUsed/>
    <w:qFormat/>
    <w:uiPriority w:val="99"/>
    <w:rPr>
      <w:rFonts w:ascii="宋体"/>
      <w:sz w:val="18"/>
      <w:szCs w:val="18"/>
    </w:rPr>
  </w:style>
  <w:style w:type="paragraph" w:styleId="13">
    <w:name w:val="annotation text"/>
    <w:basedOn w:val="1"/>
    <w:link w:val="55"/>
    <w:semiHidden/>
    <w:unhideWhenUsed/>
    <w:qFormat/>
    <w:uiPriority w:val="99"/>
    <w:pPr>
      <w:jc w:val="left"/>
    </w:pPr>
  </w:style>
  <w:style w:type="paragraph" w:styleId="14">
    <w:name w:val="Body Text Indent"/>
    <w:basedOn w:val="1"/>
    <w:link w:val="60"/>
    <w:semiHidden/>
    <w:unhideWhenUsed/>
    <w:qFormat/>
    <w:uiPriority w:val="99"/>
    <w:pPr>
      <w:spacing w:after="120"/>
      <w:ind w:left="420" w:leftChars="200"/>
    </w:pPr>
  </w:style>
  <w:style w:type="paragraph" w:styleId="15">
    <w:name w:val="toc 3"/>
    <w:basedOn w:val="1"/>
    <w:next w:val="1"/>
    <w:qFormat/>
    <w:uiPriority w:val="39"/>
    <w:pPr>
      <w:tabs>
        <w:tab w:val="right" w:leader="dot" w:pos="8296"/>
      </w:tabs>
      <w:adjustRightInd w:val="0"/>
      <w:snapToGrid w:val="0"/>
      <w:ind w:left="360"/>
      <w:jc w:val="left"/>
    </w:pPr>
    <w:rPr>
      <w:rFonts w:ascii="Calibri" w:hAnsi="Calibri" w:eastAsia="仿宋_GB2312" w:cs="Calibri"/>
      <w:i/>
      <w:iCs/>
      <w:sz w:val="20"/>
      <w:szCs w:val="20"/>
    </w:rPr>
  </w:style>
  <w:style w:type="paragraph" w:styleId="16">
    <w:name w:val="Date"/>
    <w:basedOn w:val="1"/>
    <w:next w:val="1"/>
    <w:link w:val="53"/>
    <w:semiHidden/>
    <w:unhideWhenUsed/>
    <w:qFormat/>
    <w:uiPriority w:val="99"/>
    <w:pPr>
      <w:ind w:left="100" w:leftChars="2500"/>
    </w:pPr>
  </w:style>
  <w:style w:type="paragraph" w:styleId="17">
    <w:name w:val="Balloon Text"/>
    <w:basedOn w:val="1"/>
    <w:link w:val="52"/>
    <w:semiHidden/>
    <w:unhideWhenUsed/>
    <w:qFormat/>
    <w:uiPriority w:val="99"/>
    <w:rPr>
      <w:sz w:val="18"/>
      <w:szCs w:val="18"/>
    </w:rPr>
  </w:style>
  <w:style w:type="paragraph" w:styleId="18">
    <w:name w:val="footer"/>
    <w:basedOn w:val="1"/>
    <w:link w:val="36"/>
    <w:unhideWhenUsed/>
    <w:qFormat/>
    <w:uiPriority w:val="99"/>
    <w:pPr>
      <w:tabs>
        <w:tab w:val="center" w:pos="4153"/>
        <w:tab w:val="right" w:pos="8306"/>
      </w:tabs>
      <w:snapToGrid w:val="0"/>
      <w:jc w:val="left"/>
    </w:pPr>
    <w:rPr>
      <w:sz w:val="18"/>
      <w:szCs w:val="18"/>
    </w:rPr>
  </w:style>
  <w:style w:type="paragraph" w:styleId="19">
    <w:name w:val="header"/>
    <w:basedOn w:val="1"/>
    <w:link w:val="35"/>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left" w:pos="540"/>
        <w:tab w:val="right" w:leader="dot" w:pos="8296"/>
      </w:tabs>
      <w:adjustRightInd w:val="0"/>
      <w:snapToGrid w:val="0"/>
      <w:spacing w:before="120" w:after="120"/>
      <w:jc w:val="left"/>
    </w:pPr>
    <w:rPr>
      <w:rFonts w:ascii="Calibri" w:hAnsi="Calibri" w:eastAsia="仿宋_GB2312" w:cs="Calibri"/>
      <w:b/>
      <w:bCs/>
      <w:caps/>
      <w:sz w:val="28"/>
      <w:szCs w:val="28"/>
    </w:rPr>
  </w:style>
  <w:style w:type="paragraph" w:styleId="21">
    <w:name w:val="Subtitle"/>
    <w:basedOn w:val="1"/>
    <w:next w:val="1"/>
    <w:link w:val="47"/>
    <w:qFormat/>
    <w:uiPriority w:val="99"/>
    <w:pPr>
      <w:adjustRightInd w:val="0"/>
      <w:snapToGrid w:val="0"/>
      <w:spacing w:before="240" w:after="60" w:line="312" w:lineRule="auto"/>
      <w:jc w:val="center"/>
    </w:pPr>
    <w:rPr>
      <w:rFonts w:ascii="Cambria" w:hAnsi="Cambria" w:eastAsia="黑体"/>
      <w:b/>
      <w:bCs/>
      <w:kern w:val="28"/>
      <w:sz w:val="24"/>
      <w:szCs w:val="32"/>
    </w:rPr>
  </w:style>
  <w:style w:type="paragraph" w:styleId="22">
    <w:name w:val="toc 2"/>
    <w:basedOn w:val="1"/>
    <w:next w:val="1"/>
    <w:qFormat/>
    <w:uiPriority w:val="39"/>
    <w:pPr>
      <w:tabs>
        <w:tab w:val="left" w:pos="1080"/>
        <w:tab w:val="right" w:leader="dot" w:pos="8296"/>
      </w:tabs>
      <w:adjustRightInd w:val="0"/>
      <w:snapToGrid w:val="0"/>
      <w:ind w:left="180"/>
      <w:jc w:val="left"/>
    </w:pPr>
    <w:rPr>
      <w:rFonts w:ascii="Calibri" w:hAnsi="Calibri" w:eastAsia="仿宋_GB2312" w:cs="Arial"/>
      <w:b/>
      <w:smallCaps/>
      <w:sz w:val="20"/>
      <w:szCs w:val="20"/>
    </w:rPr>
  </w:style>
  <w:style w:type="paragraph" w:styleId="23">
    <w:name w:val="Body Text 2"/>
    <w:basedOn w:val="1"/>
    <w:link w:val="59"/>
    <w:semiHidden/>
    <w:unhideWhenUsed/>
    <w:qFormat/>
    <w:uiPriority w:val="99"/>
    <w:pPr>
      <w:spacing w:after="120" w:line="480" w:lineRule="auto"/>
    </w:pPr>
  </w:style>
  <w:style w:type="paragraph" w:styleId="2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5">
    <w:name w:val="Title"/>
    <w:basedOn w:val="1"/>
    <w:next w:val="1"/>
    <w:link w:val="51"/>
    <w:qFormat/>
    <w:uiPriority w:val="10"/>
    <w:pPr>
      <w:spacing w:before="240" w:after="60"/>
      <w:jc w:val="center"/>
      <w:outlineLvl w:val="0"/>
    </w:pPr>
    <w:rPr>
      <w:rFonts w:asciiTheme="majorHAnsi" w:hAnsiTheme="majorHAnsi" w:cstheme="majorBidi"/>
      <w:b/>
      <w:bCs/>
      <w:sz w:val="32"/>
      <w:szCs w:val="32"/>
    </w:rPr>
  </w:style>
  <w:style w:type="paragraph" w:styleId="26">
    <w:name w:val="annotation subject"/>
    <w:basedOn w:val="13"/>
    <w:next w:val="13"/>
    <w:link w:val="56"/>
    <w:semiHidden/>
    <w:unhideWhenUsed/>
    <w:qFormat/>
    <w:uiPriority w:val="99"/>
    <w:rPr>
      <w:b/>
      <w:bCs/>
    </w:rPr>
  </w:style>
  <w:style w:type="paragraph" w:styleId="27">
    <w:name w:val="Body Text First Indent"/>
    <w:basedOn w:val="5"/>
    <w:link w:val="50"/>
    <w:semiHidden/>
    <w:unhideWhenUsed/>
    <w:qFormat/>
    <w:uiPriority w:val="99"/>
    <w:pPr>
      <w:widowControl w:val="0"/>
      <w:adjustRightInd/>
      <w:snapToGrid/>
      <w:spacing w:before="0" w:after="120" w:line="240" w:lineRule="auto"/>
      <w:ind w:firstLine="420" w:firstLineChars="100"/>
    </w:pPr>
    <w:rPr>
      <w:rFonts w:ascii="Times New Roman" w:hAnsi="Times New Roman" w:eastAsia="宋体"/>
      <w:kern w:val="2"/>
      <w:sz w:val="21"/>
      <w:szCs w:val="24"/>
      <w:lang w:val="en-US"/>
    </w:rPr>
  </w:style>
  <w:style w:type="paragraph" w:styleId="28">
    <w:name w:val="Body Text First Indent 2"/>
    <w:basedOn w:val="14"/>
    <w:link w:val="61"/>
    <w:semiHidden/>
    <w:unhideWhenUsed/>
    <w:qFormat/>
    <w:uiPriority w:val="99"/>
    <w:pPr>
      <w:ind w:firstLine="420" w:firstLineChars="200"/>
    </w:p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22"/>
    <w:rPr>
      <w:b/>
      <w:bCs/>
    </w:rPr>
  </w:style>
  <w:style w:type="character" w:styleId="33">
    <w:name w:val="Hyperlink"/>
    <w:basedOn w:val="31"/>
    <w:unhideWhenUsed/>
    <w:qFormat/>
    <w:uiPriority w:val="99"/>
    <w:rPr>
      <w:color w:val="0000FF" w:themeColor="hyperlink"/>
      <w:u w:val="single"/>
    </w:rPr>
  </w:style>
  <w:style w:type="character" w:styleId="34">
    <w:name w:val="annotation reference"/>
    <w:basedOn w:val="31"/>
    <w:semiHidden/>
    <w:unhideWhenUsed/>
    <w:qFormat/>
    <w:uiPriority w:val="99"/>
    <w:rPr>
      <w:sz w:val="21"/>
      <w:szCs w:val="21"/>
    </w:rPr>
  </w:style>
  <w:style w:type="character" w:customStyle="1" w:styleId="35">
    <w:name w:val="页眉 字符"/>
    <w:basedOn w:val="31"/>
    <w:link w:val="19"/>
    <w:qFormat/>
    <w:uiPriority w:val="99"/>
    <w:rPr>
      <w:sz w:val="18"/>
      <w:szCs w:val="18"/>
    </w:rPr>
  </w:style>
  <w:style w:type="character" w:customStyle="1" w:styleId="36">
    <w:name w:val="页脚 字符"/>
    <w:basedOn w:val="31"/>
    <w:link w:val="18"/>
    <w:qFormat/>
    <w:uiPriority w:val="99"/>
    <w:rPr>
      <w:sz w:val="18"/>
      <w:szCs w:val="18"/>
    </w:rPr>
  </w:style>
  <w:style w:type="character" w:customStyle="1" w:styleId="37">
    <w:name w:val="标题 1 字符"/>
    <w:basedOn w:val="31"/>
    <w:link w:val="3"/>
    <w:qFormat/>
    <w:uiPriority w:val="99"/>
    <w:rPr>
      <w:rFonts w:ascii="华文楷体" w:hAnsi="华文楷体" w:eastAsia="黑体" w:cs="Times New Roman"/>
      <w:sz w:val="32"/>
      <w:lang w:val="en-GB"/>
    </w:rPr>
  </w:style>
  <w:style w:type="character" w:customStyle="1" w:styleId="38">
    <w:name w:val="标题 2 字符"/>
    <w:basedOn w:val="31"/>
    <w:link w:val="4"/>
    <w:qFormat/>
    <w:uiPriority w:val="99"/>
    <w:rPr>
      <w:rFonts w:ascii="华文楷体" w:hAnsi="华文楷体" w:eastAsia="楷体" w:cs="Times New Roman"/>
      <w:b/>
      <w:sz w:val="32"/>
      <w:lang w:val="en-GB"/>
    </w:rPr>
  </w:style>
  <w:style w:type="character" w:customStyle="1" w:styleId="39">
    <w:name w:val="标题 3 字符"/>
    <w:basedOn w:val="31"/>
    <w:link w:val="2"/>
    <w:qFormat/>
    <w:uiPriority w:val="99"/>
    <w:rPr>
      <w:rFonts w:ascii="华文楷体" w:hAnsi="华文楷体" w:eastAsia="仿宋_GB2312" w:cs="Times New Roman"/>
      <w:b/>
      <w:sz w:val="32"/>
      <w:lang w:val="en-GB"/>
    </w:rPr>
  </w:style>
  <w:style w:type="character" w:customStyle="1" w:styleId="40">
    <w:name w:val="标题 4 字符"/>
    <w:basedOn w:val="31"/>
    <w:link w:val="6"/>
    <w:qFormat/>
    <w:uiPriority w:val="99"/>
    <w:rPr>
      <w:rFonts w:ascii="华文楷体" w:hAnsi="华文楷体" w:eastAsia="LF_Kai" w:cs="Times New Roman"/>
      <w:sz w:val="24"/>
      <w:lang w:val="en-GB"/>
    </w:rPr>
  </w:style>
  <w:style w:type="character" w:customStyle="1" w:styleId="41">
    <w:name w:val="标题 5 字符"/>
    <w:basedOn w:val="31"/>
    <w:link w:val="7"/>
    <w:qFormat/>
    <w:uiPriority w:val="99"/>
    <w:rPr>
      <w:rFonts w:ascii="华文楷体" w:hAnsi="华文楷体" w:eastAsia="LF_Kai" w:cs="Times New Roman"/>
      <w:sz w:val="24"/>
      <w:lang w:val="en-GB" w:eastAsia="zh-HK"/>
    </w:rPr>
  </w:style>
  <w:style w:type="character" w:customStyle="1" w:styleId="42">
    <w:name w:val="标题 6 字符"/>
    <w:basedOn w:val="31"/>
    <w:link w:val="8"/>
    <w:qFormat/>
    <w:uiPriority w:val="99"/>
    <w:rPr>
      <w:rFonts w:ascii="华文楷体" w:hAnsi="华文楷体" w:eastAsia="LF_Kai" w:cs="Times New Roman"/>
      <w:sz w:val="24"/>
      <w:lang w:val="en-GB" w:eastAsia="zh-HK"/>
    </w:rPr>
  </w:style>
  <w:style w:type="character" w:customStyle="1" w:styleId="43">
    <w:name w:val="标题 7 字符"/>
    <w:basedOn w:val="31"/>
    <w:link w:val="9"/>
    <w:qFormat/>
    <w:uiPriority w:val="99"/>
    <w:rPr>
      <w:rFonts w:ascii="华文楷体" w:hAnsi="华文楷体" w:eastAsia="LF_Kai" w:cs="Times New Roman"/>
      <w:sz w:val="24"/>
      <w:lang w:val="en-GB" w:eastAsia="zh-HK"/>
    </w:rPr>
  </w:style>
  <w:style w:type="character" w:customStyle="1" w:styleId="44">
    <w:name w:val="标题 8 字符"/>
    <w:basedOn w:val="31"/>
    <w:link w:val="10"/>
    <w:qFormat/>
    <w:uiPriority w:val="99"/>
    <w:rPr>
      <w:rFonts w:ascii="华文楷体" w:hAnsi="华文楷体" w:eastAsia="LF_Kai" w:cs="Times New Roman"/>
      <w:sz w:val="24"/>
      <w:lang w:val="en-GB" w:eastAsia="zh-HK"/>
    </w:rPr>
  </w:style>
  <w:style w:type="character" w:customStyle="1" w:styleId="45">
    <w:name w:val="标题 9 字符"/>
    <w:basedOn w:val="31"/>
    <w:link w:val="11"/>
    <w:qFormat/>
    <w:uiPriority w:val="99"/>
    <w:rPr>
      <w:rFonts w:ascii="华文楷体" w:hAnsi="华文楷体" w:eastAsia="LF_Kai" w:cs="Times New Roman"/>
      <w:sz w:val="24"/>
      <w:lang w:val="en-GB" w:eastAsia="zh-HK"/>
    </w:rPr>
  </w:style>
  <w:style w:type="character" w:customStyle="1" w:styleId="46">
    <w:name w:val="正文文本 字符"/>
    <w:basedOn w:val="31"/>
    <w:link w:val="5"/>
    <w:qFormat/>
    <w:uiPriority w:val="99"/>
    <w:rPr>
      <w:rFonts w:ascii="华文楷体" w:hAnsi="华文楷体" w:eastAsia="LF_Kai" w:cs="Times New Roman"/>
      <w:kern w:val="0"/>
      <w:sz w:val="24"/>
      <w:szCs w:val="20"/>
      <w:lang w:val="en-GB"/>
    </w:rPr>
  </w:style>
  <w:style w:type="character" w:customStyle="1" w:styleId="47">
    <w:name w:val="副标题 字符"/>
    <w:basedOn w:val="31"/>
    <w:link w:val="21"/>
    <w:qFormat/>
    <w:uiPriority w:val="99"/>
    <w:rPr>
      <w:rFonts w:ascii="Cambria" w:hAnsi="Cambria" w:eastAsia="黑体" w:cs="Times New Roman"/>
      <w:b/>
      <w:bCs/>
      <w:kern w:val="28"/>
      <w:sz w:val="24"/>
      <w:szCs w:val="32"/>
    </w:rPr>
  </w:style>
  <w:style w:type="paragraph" w:styleId="48">
    <w:name w:val="List Paragraph"/>
    <w:basedOn w:val="1"/>
    <w:qFormat/>
    <w:uiPriority w:val="34"/>
    <w:pPr>
      <w:ind w:firstLine="420" w:firstLineChars="200"/>
    </w:pPr>
  </w:style>
  <w:style w:type="paragraph" w:customStyle="1" w:styleId="49">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50">
    <w:name w:val="正文文本首行缩进 字符"/>
    <w:basedOn w:val="46"/>
    <w:link w:val="27"/>
    <w:semiHidden/>
    <w:qFormat/>
    <w:uiPriority w:val="99"/>
    <w:rPr>
      <w:rFonts w:ascii="Times New Roman" w:hAnsi="Times New Roman" w:eastAsia="宋体" w:cs="Times New Roman"/>
      <w:kern w:val="0"/>
      <w:sz w:val="24"/>
      <w:szCs w:val="24"/>
      <w:lang w:val="en-GB"/>
    </w:rPr>
  </w:style>
  <w:style w:type="character" w:customStyle="1" w:styleId="51">
    <w:name w:val="标题 字符"/>
    <w:basedOn w:val="31"/>
    <w:link w:val="25"/>
    <w:qFormat/>
    <w:uiPriority w:val="10"/>
    <w:rPr>
      <w:rFonts w:eastAsia="宋体" w:asciiTheme="majorHAnsi" w:hAnsiTheme="majorHAnsi" w:cstheme="majorBidi"/>
      <w:b/>
      <w:bCs/>
      <w:sz w:val="32"/>
      <w:szCs w:val="32"/>
    </w:rPr>
  </w:style>
  <w:style w:type="character" w:customStyle="1" w:styleId="52">
    <w:name w:val="批注框文本 字符"/>
    <w:basedOn w:val="31"/>
    <w:link w:val="17"/>
    <w:semiHidden/>
    <w:qFormat/>
    <w:uiPriority w:val="99"/>
    <w:rPr>
      <w:rFonts w:ascii="Times New Roman" w:hAnsi="Times New Roman" w:eastAsia="宋体" w:cs="Times New Roman"/>
      <w:kern w:val="2"/>
      <w:sz w:val="18"/>
      <w:szCs w:val="18"/>
    </w:rPr>
  </w:style>
  <w:style w:type="character" w:customStyle="1" w:styleId="53">
    <w:name w:val="日期 字符"/>
    <w:basedOn w:val="31"/>
    <w:link w:val="16"/>
    <w:semiHidden/>
    <w:qFormat/>
    <w:uiPriority w:val="99"/>
    <w:rPr>
      <w:rFonts w:ascii="Times New Roman" w:hAnsi="Times New Roman" w:eastAsia="宋体" w:cs="Times New Roman"/>
      <w:kern w:val="2"/>
      <w:sz w:val="21"/>
      <w:szCs w:val="24"/>
    </w:rPr>
  </w:style>
  <w:style w:type="paragraph" w:customStyle="1" w:styleId="54">
    <w:name w:val="WPSOffice手动目录 1"/>
    <w:qFormat/>
    <w:uiPriority w:val="0"/>
    <w:rPr>
      <w:rFonts w:ascii="Times New Roman" w:hAnsi="Times New Roman" w:eastAsia="宋体" w:cs="Times New Roman"/>
      <w:lang w:val="en-US" w:eastAsia="zh-CN" w:bidi="ar-SA"/>
    </w:rPr>
  </w:style>
  <w:style w:type="character" w:customStyle="1" w:styleId="55">
    <w:name w:val="批注文字 字符"/>
    <w:basedOn w:val="31"/>
    <w:link w:val="13"/>
    <w:semiHidden/>
    <w:qFormat/>
    <w:uiPriority w:val="99"/>
    <w:rPr>
      <w:rFonts w:ascii="Times New Roman" w:hAnsi="Times New Roman" w:eastAsia="宋体" w:cs="Times New Roman"/>
      <w:kern w:val="2"/>
      <w:sz w:val="21"/>
      <w:szCs w:val="24"/>
    </w:rPr>
  </w:style>
  <w:style w:type="character" w:customStyle="1" w:styleId="56">
    <w:name w:val="批注主题 字符"/>
    <w:basedOn w:val="55"/>
    <w:link w:val="26"/>
    <w:semiHidden/>
    <w:qFormat/>
    <w:uiPriority w:val="99"/>
    <w:rPr>
      <w:rFonts w:ascii="Times New Roman" w:hAnsi="Times New Roman" w:eastAsia="宋体" w:cs="Times New Roman"/>
      <w:b/>
      <w:bCs/>
      <w:kern w:val="2"/>
      <w:sz w:val="21"/>
      <w:szCs w:val="24"/>
    </w:rPr>
  </w:style>
  <w:style w:type="character" w:customStyle="1" w:styleId="57">
    <w:name w:val="15"/>
    <w:basedOn w:val="31"/>
    <w:qFormat/>
    <w:uiPriority w:val="0"/>
    <w:rPr>
      <w:rFonts w:hint="eastAsia" w:ascii="宋体" w:hAnsi="宋体" w:eastAsia="宋体"/>
      <w:color w:val="000000"/>
      <w:sz w:val="20"/>
      <w:szCs w:val="20"/>
    </w:rPr>
  </w:style>
  <w:style w:type="character" w:customStyle="1" w:styleId="58">
    <w:name w:val="16"/>
    <w:basedOn w:val="31"/>
    <w:qFormat/>
    <w:uiPriority w:val="0"/>
    <w:rPr>
      <w:rFonts w:hint="default" w:ascii="Times New Roman" w:hAnsi="Times New Roman" w:cs="Times New Roman"/>
      <w:color w:val="000000"/>
      <w:sz w:val="20"/>
      <w:szCs w:val="20"/>
    </w:rPr>
  </w:style>
  <w:style w:type="character" w:customStyle="1" w:styleId="59">
    <w:name w:val="正文文本 2 字符"/>
    <w:basedOn w:val="31"/>
    <w:link w:val="23"/>
    <w:semiHidden/>
    <w:qFormat/>
    <w:uiPriority w:val="99"/>
    <w:rPr>
      <w:kern w:val="2"/>
      <w:sz w:val="21"/>
      <w:szCs w:val="24"/>
    </w:rPr>
  </w:style>
  <w:style w:type="character" w:customStyle="1" w:styleId="60">
    <w:name w:val="正文文本缩进 字符"/>
    <w:basedOn w:val="31"/>
    <w:link w:val="14"/>
    <w:semiHidden/>
    <w:qFormat/>
    <w:uiPriority w:val="99"/>
    <w:rPr>
      <w:kern w:val="2"/>
      <w:sz w:val="21"/>
      <w:szCs w:val="24"/>
    </w:rPr>
  </w:style>
  <w:style w:type="character" w:customStyle="1" w:styleId="61">
    <w:name w:val="正文文本首行缩进 2 字符"/>
    <w:basedOn w:val="60"/>
    <w:link w:val="28"/>
    <w:semiHidden/>
    <w:qFormat/>
    <w:uiPriority w:val="99"/>
    <w:rPr>
      <w:kern w:val="2"/>
      <w:sz w:val="21"/>
      <w:szCs w:val="24"/>
    </w:rPr>
  </w:style>
  <w:style w:type="paragraph" w:customStyle="1" w:styleId="62">
    <w:name w:val="CM46"/>
    <w:basedOn w:val="49"/>
    <w:next w:val="49"/>
    <w:qFormat/>
    <w:uiPriority w:val="99"/>
    <w:pPr>
      <w:spacing w:line="626" w:lineRule="atLeast"/>
    </w:pPr>
    <w:rPr>
      <w:rFonts w:ascii="黑体" w:hAnsi="等线" w:eastAsia="黑体" w:cs="Times New Roman"/>
      <w:color w:val="auto"/>
    </w:rPr>
  </w:style>
  <w:style w:type="paragraph" w:customStyle="1" w:styleId="63">
    <w:name w:val="样式 楷体_GB2312 四号 红色 首行缩进:  1.01 厘米 行距: 固定值 22 磅"/>
    <w:basedOn w:val="1"/>
    <w:qFormat/>
    <w:uiPriority w:val="0"/>
    <w:pPr>
      <w:spacing w:line="440" w:lineRule="exact"/>
      <w:ind w:firstLine="200" w:firstLineChars="200"/>
    </w:pPr>
    <w:rPr>
      <w:rFonts w:ascii="Dutch801 Rm BT" w:hAnsi="仿宋_GB2312" w:eastAsia="Cambria Math" w:cstheme="minorBidi"/>
      <w:color w:val="FF0000"/>
      <w:sz w:val="28"/>
      <w:szCs w:val="20"/>
    </w:rPr>
  </w:style>
  <w:style w:type="character" w:customStyle="1" w:styleId="64">
    <w:name w:val="文档结构图 字符"/>
    <w:basedOn w:val="31"/>
    <w:link w:val="12"/>
    <w:semiHidden/>
    <w:qFormat/>
    <w:uiPriority w:val="99"/>
    <w:rPr>
      <w:rFonts w:ascii="宋体"/>
      <w:kern w:val="2"/>
      <w:sz w:val="18"/>
      <w:szCs w:val="18"/>
    </w:rPr>
  </w:style>
  <w:style w:type="character" w:customStyle="1" w:styleId="65">
    <w:name w:val="font01"/>
    <w:basedOn w:val="31"/>
    <w:qFormat/>
    <w:uiPriority w:val="0"/>
    <w:rPr>
      <w:rFonts w:hint="default" w:ascii="Times New Roman" w:hAnsi="Times New Roman" w:cs="Times New Roman"/>
      <w:color w:val="000000"/>
      <w:sz w:val="20"/>
      <w:szCs w:val="20"/>
      <w:u w:val="none"/>
    </w:rPr>
  </w:style>
  <w:style w:type="character" w:customStyle="1" w:styleId="66">
    <w:name w:val="font41"/>
    <w:basedOn w:val="3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307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F7F578-8B42-4C74-9D4B-B18ECFB4C537}">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35</Pages>
  <Words>3292</Words>
  <Characters>18770</Characters>
  <Lines>156</Lines>
  <Paragraphs>44</Paragraphs>
  <TotalTime>9</TotalTime>
  <ScaleCrop>false</ScaleCrop>
  <LinksUpToDate>false</LinksUpToDate>
  <CharactersWithSpaces>22018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2019-08-16T09:09:00Z</dcterms:created>
  <dc:creator>Cole Ning</dc:creator>
  <cp:lastModifiedBy>Administrator</cp:lastModifiedBy>
  <cp:lastPrinted>2022-01-29T02:48:00Z</cp:lastPrinted>
  <dcterms:modified xsi:type="dcterms:W3CDTF">2022-01-29T08:49:43Z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D96CF4C7ACB14B848B85D991C44F0647</vt:lpwstr>
  </property>
</Properties>
</file>