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b/>
          <w:bCs/>
          <w:sz w:val="44"/>
          <w:szCs w:val="44"/>
        </w:rPr>
      </w:pPr>
      <w:r>
        <w:rPr>
          <w:rFonts w:hint="eastAsia" w:ascii="Times New Roman" w:hAnsi="Times New Roman" w:eastAsia="宋体" w:cs="Times New Roman"/>
          <w:b/>
          <w:bCs/>
          <w:sz w:val="44"/>
          <w:szCs w:val="44"/>
        </w:rPr>
        <w:t>绵阳市绵州记忆旅游基础设施提质升级建设项目</w:t>
      </w:r>
      <w:r>
        <w:rPr>
          <w:rFonts w:ascii="Times New Roman" w:hAnsi="Times New Roman" w:eastAsia="宋体" w:cs="Times New Roman"/>
          <w:b/>
          <w:bCs/>
          <w:sz w:val="44"/>
          <w:szCs w:val="44"/>
        </w:rPr>
        <w:t>情况</w:t>
      </w:r>
    </w:p>
    <w:p>
      <w:pPr>
        <w:spacing w:line="360" w:lineRule="auto"/>
        <w:ind w:firstLine="560" w:firstLineChars="200"/>
        <w:rPr>
          <w:rFonts w:ascii="Times New Roman" w:hAnsi="Times New Roman" w:eastAsia="宋体" w:cs="Times New Roman"/>
          <w:sz w:val="28"/>
          <w:szCs w:val="28"/>
        </w:rPr>
      </w:pP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bookmarkStart w:id="0" w:name="_Toc81854908"/>
      <w:bookmarkStart w:id="1" w:name="_Toc81668181"/>
      <w:bookmarkStart w:id="2" w:name="_Toc77606112"/>
      <w:bookmarkStart w:id="3" w:name="_Toc72063801"/>
      <w:bookmarkStart w:id="4" w:name="_Toc71288833"/>
      <w:bookmarkStart w:id="5" w:name="_Toc58068479"/>
      <w:bookmarkStart w:id="6" w:name="_Toc39134539"/>
      <w:bookmarkStart w:id="7" w:name="_Toc35118982"/>
      <w:bookmarkStart w:id="8" w:name="_Toc35036678"/>
      <w:bookmarkStart w:id="9" w:name="_Toc34495683"/>
      <w:bookmarkStart w:id="10" w:name="_Toc34495253"/>
      <w:bookmarkStart w:id="11" w:name="_Toc21351559"/>
      <w:bookmarkStart w:id="12" w:name="_Toc21272663"/>
      <w:bookmarkStart w:id="13" w:name="_Toc34399763"/>
      <w:bookmarkStart w:id="14" w:name="_Toc21272280"/>
      <w:bookmarkStart w:id="15" w:name="_Toc21186054"/>
      <w:bookmarkStart w:id="16" w:name="_Toc20514714"/>
      <w:bookmarkStart w:id="17" w:name="_Toc18490"/>
      <w:bookmarkStart w:id="18" w:name="_Toc532471792"/>
      <w:r>
        <w:rPr>
          <w:rFonts w:ascii="Times New Roman" w:hAnsi="Times New Roman" w:eastAsia="宋体" w:cs="Times New Roman"/>
          <w:b/>
          <w:sz w:val="28"/>
          <w:szCs w:val="28"/>
        </w:rPr>
        <w:t>一、项目基本情况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pPr>
        <w:spacing w:line="360" w:lineRule="auto"/>
        <w:ind w:firstLine="562" w:firstLineChars="200"/>
        <w:outlineLvl w:val="0"/>
        <w:rPr>
          <w:rFonts w:ascii="Times New Roman" w:hAnsi="Times New Roman" w:eastAsia="宋体" w:cs="Times New Roman"/>
          <w:b/>
          <w:sz w:val="28"/>
          <w:szCs w:val="28"/>
        </w:rPr>
      </w:pPr>
      <w:bookmarkStart w:id="19" w:name="_Toc20514715"/>
      <w:bookmarkStart w:id="20" w:name="_Toc21272664"/>
      <w:bookmarkStart w:id="21" w:name="_Toc21272281"/>
      <w:bookmarkStart w:id="22" w:name="_Toc81668182"/>
      <w:bookmarkStart w:id="23" w:name="_Toc81854909"/>
      <w:bookmarkStart w:id="24" w:name="_Toc6139"/>
      <w:bookmarkStart w:id="25" w:name="_Toc34399764"/>
      <w:bookmarkStart w:id="26" w:name="_Toc34495254"/>
      <w:bookmarkStart w:id="27" w:name="_Toc34495684"/>
      <w:bookmarkStart w:id="28" w:name="_Toc35036679"/>
      <w:bookmarkStart w:id="29" w:name="_Toc35118983"/>
      <w:bookmarkStart w:id="30" w:name="_Toc39134540"/>
      <w:bookmarkStart w:id="31" w:name="_Toc532471793"/>
      <w:bookmarkStart w:id="32" w:name="_Toc21351560"/>
      <w:bookmarkStart w:id="33" w:name="_Toc92"/>
      <w:bookmarkStart w:id="34" w:name="_Toc72063802"/>
      <w:bookmarkStart w:id="35" w:name="_Toc77606113"/>
      <w:bookmarkStart w:id="36" w:name="_Toc58068480"/>
      <w:bookmarkStart w:id="37" w:name="_Toc71288834"/>
      <w:bookmarkStart w:id="38" w:name="_Toc21186055"/>
      <w:r>
        <w:rPr>
          <w:rFonts w:ascii="Times New Roman" w:hAnsi="Times New Roman" w:eastAsia="宋体" w:cs="Times New Roman"/>
          <w:b/>
          <w:sz w:val="28"/>
          <w:szCs w:val="28"/>
        </w:rPr>
        <w:t>（一）市县及行业专项规划概况</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autoSpaceDE w:val="0"/>
        <w:autoSpaceDN w:val="0"/>
        <w:adjustRightInd w:val="0"/>
        <w:ind w:firstLine="560" w:firstLineChars="200"/>
        <w:rPr>
          <w:rFonts w:ascii="Times New Roman" w:hAnsi="Times New Roman" w:eastAsia="宋体" w:cs="Times New Roman"/>
          <w:kern w:val="0"/>
          <w:sz w:val="28"/>
          <w:szCs w:val="28"/>
        </w:rPr>
      </w:pPr>
      <w:bookmarkStart w:id="39" w:name="_Toc12410"/>
      <w:bookmarkStart w:id="40" w:name="_Toc532471794"/>
      <w:bookmarkStart w:id="41" w:name="_Toc12278"/>
      <w:bookmarkStart w:id="42" w:name="_Toc20514716"/>
      <w:bookmarkStart w:id="43" w:name="_Toc21186056"/>
      <w:bookmarkStart w:id="44" w:name="_Toc21272282"/>
      <w:bookmarkStart w:id="45" w:name="_Toc21272665"/>
      <w:bookmarkStart w:id="46" w:name="_Toc21351561"/>
      <w:bookmarkStart w:id="47" w:name="_Toc34399765"/>
      <w:bookmarkStart w:id="48" w:name="_Toc34495255"/>
      <w:bookmarkStart w:id="49" w:name="_Toc34495685"/>
      <w:bookmarkStart w:id="50" w:name="_Toc35036680"/>
      <w:bookmarkStart w:id="51" w:name="_Toc35118984"/>
      <w:bookmarkStart w:id="52" w:name="_Toc39134541"/>
      <w:bookmarkStart w:id="53" w:name="_Toc58068481"/>
      <w:bookmarkStart w:id="54" w:name="_Toc71288835"/>
      <w:bookmarkStart w:id="55" w:name="_Toc72063803"/>
      <w:bookmarkStart w:id="56" w:name="_Toc77606114"/>
      <w:bookmarkStart w:id="57" w:name="_Toc81668183"/>
      <w:bookmarkStart w:id="58" w:name="_Toc81854910"/>
      <w:r>
        <w:rPr>
          <w:rFonts w:hint="eastAsia" w:ascii="Times New Roman" w:hAnsi="Times New Roman" w:eastAsia="宋体" w:cs="Times New Roman"/>
          <w:kern w:val="0"/>
          <w:sz w:val="28"/>
          <w:szCs w:val="28"/>
        </w:rPr>
        <w:t>《绵阳市旅游业“十三五”发展规划》要求将绵阳建设成为“中</w:t>
      </w:r>
      <w:r>
        <w:rPr>
          <w:rFonts w:ascii="Times New Roman" w:hAnsi="Times New Roman" w:eastAsia="宋体" w:cs="Times New Roman"/>
          <w:kern w:val="0"/>
          <w:sz w:val="28"/>
          <w:szCs w:val="28"/>
        </w:rPr>
        <w:t>国国际特色旅游目的地”，同时建设面向川陕甘渝的区域性旅游集散地和特色旅游目的地，以及四川省“旅游+”产业融合示范区；依托绵阳历史文化、军工科技文化等核心资源，打造城市旅游综合体，以建设精品文化旅游项目为抓手构建旅游核心吸引物，以建设历史文化商业街区为支撑烘托城市文化氛围，以举办文化娱乐演艺活动为手段延长游客逗留时间，以文化创意旅游商品为保障延伸文化产业链条，通过应用新技术、注入时尚元素等方式激活绵阳工业文明新发展，放大科技工业历史成就与丰富的科技旅游</w:t>
      </w:r>
      <w:r>
        <w:rPr>
          <w:rFonts w:hint="eastAsia" w:ascii="Times New Roman" w:hAnsi="Times New Roman" w:eastAsia="宋体" w:cs="Times New Roman"/>
          <w:kern w:val="0"/>
          <w:sz w:val="28"/>
          <w:szCs w:val="28"/>
        </w:rPr>
        <w:t>资源，促进工业文化融入现代旅游生活消费中，将绵阳打造成为国际影响力的科技与工业文化旅游目的地。</w:t>
      </w:r>
    </w:p>
    <w:p>
      <w:pPr>
        <w:autoSpaceDE w:val="0"/>
        <w:autoSpaceDN w:val="0"/>
        <w:adjustRightInd w:val="0"/>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涪城区主动融入省市文旅发展布局。根据《涪城区全域旅游规划》，涪城区努力构建“北城南乡”全域旅游布局，打造文旅精品旅游线路，塑造文旅营销品牌。该规划提出中心城区将以“一横一纵”两条城市漫游休闲带为纽带，以绵阳绿道、最具人文内涵的四组休闲商街为重点，整合城市休闲旅游资源，培育符合时代需求的休闲业态与休闲方式，突出城市的文化性格、人文特色，唤醒城市记忆和文化自信，营造优质的城市旅游形象、休闲生活氛围，打造文化特色突出、城市旅游服务功能完备的“开放式景区”，宜居、宜业、宜游的休闲城区，绵阳城市形象展示区。</w:t>
      </w:r>
    </w:p>
    <w:p>
      <w:pPr>
        <w:autoSpaceDE w:val="0"/>
        <w:autoSpaceDN w:val="0"/>
        <w:adjustRightInd w:val="0"/>
        <w:ind w:firstLine="562" w:firstLineChars="200"/>
        <w:outlineLvl w:val="0"/>
        <w:rPr>
          <w:rFonts w:ascii="Times New Roman" w:hAnsi="Times New Roman" w:eastAsia="宋体" w:cs="瀹嬩綋"/>
          <w:kern w:val="0"/>
          <w:sz w:val="28"/>
          <w:szCs w:val="28"/>
        </w:rPr>
      </w:pPr>
      <w:r>
        <w:rPr>
          <w:rFonts w:ascii="Times New Roman" w:hAnsi="Times New Roman" w:eastAsia="宋体" w:cs="Times New Roman"/>
          <w:b/>
          <w:sz w:val="28"/>
          <w:szCs w:val="28"/>
        </w:rPr>
        <w:t>（二）项目情况</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1.参与主体</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实施机构：绵阳市涪城区文化广播电视和旅游局</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项目业主：绵阳欣立鼎盛实业有限公司。</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2.项目概况</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（1）项目所属领域：</w:t>
      </w:r>
      <w:r>
        <w:rPr>
          <w:rFonts w:hint="eastAsia" w:ascii="Times New Roman" w:hAnsi="Times New Roman" w:eastAsia="宋体" w:cs="Times New Roman"/>
          <w:kern w:val="0"/>
          <w:sz w:val="28"/>
          <w:szCs w:val="28"/>
        </w:rPr>
        <w:t>文化旅游</w:t>
      </w:r>
      <w:r>
        <w:rPr>
          <w:rFonts w:ascii="Times New Roman" w:hAnsi="Times New Roman" w:eastAsia="宋体" w:cs="Times New Roman"/>
          <w:kern w:val="0"/>
          <w:sz w:val="28"/>
          <w:szCs w:val="28"/>
        </w:rPr>
        <w:t>。</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（2）产出说明：</w:t>
      </w:r>
      <w:bookmarkStart w:id="59" w:name="_Toc532471795"/>
      <w:bookmarkStart w:id="60" w:name="_Toc3797"/>
      <w:bookmarkStart w:id="61" w:name="_Toc20514717"/>
      <w:bookmarkStart w:id="62" w:name="_Toc21186057"/>
      <w:bookmarkStart w:id="63" w:name="_Toc21272283"/>
      <w:bookmarkStart w:id="64" w:name="_Toc21272666"/>
      <w:bookmarkStart w:id="65" w:name="_Toc21351562"/>
      <w:bookmarkStart w:id="66" w:name="_Toc34399766"/>
      <w:bookmarkStart w:id="67" w:name="_Toc34495256"/>
      <w:bookmarkStart w:id="68" w:name="_Toc34495686"/>
      <w:bookmarkStart w:id="69" w:name="_Toc35036681"/>
      <w:bookmarkStart w:id="70" w:name="_Toc35118985"/>
      <w:bookmarkStart w:id="71" w:name="_Toc39134542"/>
      <w:bookmarkStart w:id="72" w:name="_Toc58068482"/>
      <w:bookmarkStart w:id="73" w:name="_Toc71288836"/>
      <w:bookmarkStart w:id="74" w:name="_Toc72063804"/>
      <w:bookmarkStart w:id="75" w:name="_Toc77606115"/>
      <w:bookmarkStart w:id="76" w:name="_Toc81668184"/>
      <w:bookmarkStart w:id="77" w:name="_Toc81854911"/>
      <w:r>
        <w:rPr>
          <w:rFonts w:hint="eastAsia" w:ascii="Times New Roman" w:hAnsi="Times New Roman" w:eastAsia="宋体" w:cs="Times New Roman"/>
          <w:kern w:val="0"/>
          <w:sz w:val="28"/>
          <w:szCs w:val="28"/>
        </w:rPr>
        <w:t>本项目建设内容包括</w:t>
      </w:r>
      <w:r>
        <w:rPr>
          <w:rFonts w:ascii="Times New Roman" w:hAnsi="Times New Roman" w:eastAsia="宋体" w:cs="Times New Roman"/>
          <w:kern w:val="0"/>
          <w:sz w:val="28"/>
          <w:szCs w:val="28"/>
        </w:rPr>
        <w:t>4A级景区越王楼三江半岛景区旅游配套提质升级改造，包括“铁牛镇水”景点中铁牛广场约12,000㎡及滨江广场约20,000㎡旅游景观风貌提升改造；大观园、石板巷、马家巷及延线旅游景点外部风貌提升改造；公园路、铁匠巷、兴达街、北街、翠花街、三光街、步行后街（瀚威城市中心背后）、临园路东段（支路）、马家巷、孙家巷、顺城街、卫生巷、涪卫街旅游道路改造、微型综合地下管廊提升改造、旅游道路风貌小品打造与自动售货机安装、旅游临时占道停车位及充电桩建设与安装、配套商服设施与广告位建设及安装。</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r>
        <w:rPr>
          <w:rFonts w:ascii="Times New Roman" w:hAnsi="Times New Roman" w:eastAsia="宋体" w:cs="Times New Roman"/>
          <w:b/>
          <w:sz w:val="28"/>
          <w:szCs w:val="28"/>
        </w:rPr>
        <w:t>二、经济社会效益分析</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bookmarkStart w:id="78" w:name="_Toc2060"/>
      <w:bookmarkStart w:id="79" w:name="_Toc532471796"/>
      <w:bookmarkStart w:id="80" w:name="_Toc2085"/>
      <w:bookmarkStart w:id="81" w:name="_Toc20514718"/>
      <w:bookmarkStart w:id="82" w:name="_Toc21186058"/>
      <w:bookmarkStart w:id="83" w:name="_Toc21272284"/>
      <w:bookmarkStart w:id="84" w:name="_Toc21272667"/>
      <w:bookmarkStart w:id="85" w:name="_Toc21351563"/>
      <w:bookmarkStart w:id="86" w:name="_Toc34399767"/>
      <w:bookmarkStart w:id="87" w:name="_Toc34495257"/>
      <w:bookmarkStart w:id="88" w:name="_Toc34495687"/>
      <w:bookmarkStart w:id="89" w:name="_Toc35036682"/>
      <w:bookmarkStart w:id="90" w:name="_Toc35118986"/>
      <w:bookmarkStart w:id="91" w:name="_Toc39134543"/>
      <w:bookmarkStart w:id="92" w:name="_Toc58068483"/>
      <w:bookmarkStart w:id="93" w:name="_Toc71288837"/>
      <w:bookmarkStart w:id="94" w:name="_Toc72063805"/>
      <w:bookmarkStart w:id="95" w:name="_Toc77606116"/>
      <w:bookmarkStart w:id="96" w:name="_Toc81668185"/>
      <w:bookmarkStart w:id="97" w:name="_Toc81854912"/>
      <w:r>
        <w:rPr>
          <w:rFonts w:hint="eastAsia" w:ascii="Times New Roman" w:hAnsi="Times New Roman" w:eastAsia="宋体" w:cs="Times New Roman"/>
          <w:kern w:val="0"/>
          <w:sz w:val="28"/>
          <w:szCs w:val="28"/>
        </w:rPr>
        <w:t>本项目建设有利于加快补齐涪城区旅游设施建设短板，增加就业，改善民生福祉。本项目建设有利于促进成都平原经济区协同发展、打造世界旅游目的地、本项目建设有利于促进旅游业创新升级、培育新经济增长点的需要。</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r>
        <w:rPr>
          <w:rFonts w:ascii="Times New Roman" w:hAnsi="Times New Roman" w:eastAsia="宋体" w:cs="Times New Roman"/>
          <w:b/>
          <w:sz w:val="28"/>
          <w:szCs w:val="28"/>
        </w:rPr>
        <w:t>三、项目投资估算及资金筹措方案</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autoSpaceDE w:val="0"/>
        <w:autoSpaceDN w:val="0"/>
        <w:adjustRightInd w:val="0"/>
        <w:spacing w:line="360" w:lineRule="auto"/>
        <w:ind w:firstLine="562" w:firstLineChars="200"/>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（一）投资估算</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本项目总投资</w:t>
      </w:r>
      <w:r>
        <w:rPr>
          <w:rFonts w:ascii="Times New Roman" w:hAnsi="Times New Roman" w:eastAsia="宋体" w:cs="Times New Roman"/>
          <w:kern w:val="0"/>
          <w:sz w:val="28"/>
          <w:szCs w:val="28"/>
        </w:rPr>
        <w:t>19,640.00万元，其中：建筑安装工程费16,334.20</w:t>
      </w:r>
    </w:p>
    <w:p>
      <w:pPr>
        <w:autoSpaceDE w:val="0"/>
        <w:autoSpaceDN w:val="0"/>
        <w:adjustRightInd w:val="0"/>
        <w:spacing w:line="360" w:lineRule="auto"/>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万元，工程建设其他费用</w:t>
      </w:r>
      <w:r>
        <w:rPr>
          <w:rFonts w:ascii="Times New Roman" w:hAnsi="Times New Roman" w:eastAsia="宋体" w:cs="Times New Roman"/>
          <w:kern w:val="0"/>
          <w:sz w:val="28"/>
          <w:szCs w:val="28"/>
        </w:rPr>
        <w:t>1,763.01万元，预备费1,102.79万元（含</w:t>
      </w:r>
      <w:r>
        <w:rPr>
          <w:rFonts w:hint="eastAsia" w:ascii="Times New Roman" w:hAnsi="Times New Roman" w:eastAsia="宋体" w:cs="Times New Roman"/>
          <w:kern w:val="0"/>
          <w:sz w:val="28"/>
          <w:szCs w:val="28"/>
        </w:rPr>
        <w:t>债券发行费用</w:t>
      </w:r>
      <w:r>
        <w:rPr>
          <w:rFonts w:ascii="Times New Roman" w:hAnsi="Times New Roman" w:eastAsia="宋体" w:cs="Times New Roman"/>
          <w:kern w:val="0"/>
          <w:sz w:val="28"/>
          <w:szCs w:val="28"/>
        </w:rPr>
        <w:t>8.00万元），建设期利息440.00万元。</w:t>
      </w:r>
    </w:p>
    <w:p>
      <w:pPr>
        <w:autoSpaceDE w:val="0"/>
        <w:autoSpaceDN w:val="0"/>
        <w:adjustRightInd w:val="0"/>
        <w:spacing w:line="360" w:lineRule="auto"/>
        <w:ind w:firstLine="562" w:firstLineChars="200"/>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（二）资金筹措方案</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1.资金筹集情况</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项目总投资19</w:t>
      </w:r>
      <w:r>
        <w:rPr>
          <w:rFonts w:hint="eastAsia" w:ascii="Times New Roman" w:hAnsi="Times New Roman" w:eastAsia="宋体" w:cs="Times New Roman"/>
          <w:kern w:val="0"/>
          <w:sz w:val="28"/>
          <w:szCs w:val="28"/>
        </w:rPr>
        <w:t>,</w:t>
      </w:r>
      <w:r>
        <w:rPr>
          <w:rFonts w:ascii="Times New Roman" w:hAnsi="Times New Roman" w:eastAsia="宋体" w:cs="Times New Roman"/>
          <w:kern w:val="0"/>
          <w:sz w:val="28"/>
          <w:szCs w:val="28"/>
        </w:rPr>
        <w:t>640.00万元，</w:t>
      </w:r>
      <w:r>
        <w:rPr>
          <w:rFonts w:hint="eastAsia" w:ascii="Times New Roman" w:hAnsi="Times New Roman" w:eastAsia="宋体" w:cs="Times New Roman"/>
          <w:kern w:val="0"/>
          <w:sz w:val="28"/>
          <w:szCs w:val="28"/>
        </w:rPr>
        <w:t>资本金来源：本项目资本金</w:t>
      </w:r>
      <w:r>
        <w:rPr>
          <w:rFonts w:ascii="Times New Roman" w:hAnsi="Times New Roman" w:eastAsia="宋体" w:cs="Times New Roman"/>
          <w:kern w:val="0"/>
          <w:sz w:val="28"/>
          <w:szCs w:val="28"/>
        </w:rPr>
        <w:t>11,640.00万元，占总投资59.27%</w:t>
      </w:r>
      <w:r>
        <w:rPr>
          <w:rFonts w:hint="eastAsia" w:ascii="Times New Roman" w:hAnsi="Times New Roman" w:eastAsia="宋体" w:cs="Times New Roman"/>
          <w:kern w:val="0"/>
          <w:sz w:val="28"/>
          <w:szCs w:val="28"/>
        </w:rPr>
        <w:t>；</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融资来源：计划发行项目收益专项债券</w:t>
      </w:r>
      <w:r>
        <w:rPr>
          <w:rFonts w:ascii="Times New Roman" w:hAnsi="Times New Roman" w:eastAsia="宋体" w:cs="Times New Roman"/>
          <w:kern w:val="0"/>
          <w:sz w:val="28"/>
          <w:szCs w:val="28"/>
        </w:rPr>
        <w:t>8,000.00万元，占总投</w:t>
      </w:r>
      <w:r>
        <w:rPr>
          <w:rFonts w:hint="eastAsia" w:ascii="Times New Roman" w:hAnsi="Times New Roman" w:eastAsia="宋体" w:cs="Times New Roman"/>
          <w:kern w:val="0"/>
          <w:sz w:val="28"/>
          <w:szCs w:val="28"/>
        </w:rPr>
        <w:t>资的</w:t>
      </w:r>
      <w:r>
        <w:rPr>
          <w:rFonts w:ascii="Times New Roman" w:hAnsi="Times New Roman" w:eastAsia="宋体" w:cs="Times New Roman"/>
          <w:kern w:val="0"/>
          <w:sz w:val="28"/>
          <w:szCs w:val="28"/>
        </w:rPr>
        <w:t>40.73%。</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2</w:t>
      </w:r>
      <w:r>
        <w:rPr>
          <w:rFonts w:ascii="Times New Roman" w:hAnsi="Times New Roman" w:eastAsia="宋体" w:cs="Times New Roman"/>
          <w:kern w:val="0"/>
          <w:sz w:val="28"/>
          <w:szCs w:val="28"/>
        </w:rPr>
        <w:t>.资金使用计划</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项目总投资19</w:t>
      </w:r>
      <w:r>
        <w:rPr>
          <w:rFonts w:hint="eastAsia" w:ascii="Times New Roman" w:hAnsi="Times New Roman" w:eastAsia="宋体" w:cs="Times New Roman"/>
          <w:kern w:val="0"/>
          <w:sz w:val="28"/>
          <w:szCs w:val="28"/>
        </w:rPr>
        <w:t>,</w:t>
      </w:r>
      <w:r>
        <w:rPr>
          <w:rFonts w:ascii="Times New Roman" w:hAnsi="Times New Roman" w:eastAsia="宋体" w:cs="Times New Roman"/>
          <w:kern w:val="0"/>
          <w:sz w:val="28"/>
          <w:szCs w:val="28"/>
        </w:rPr>
        <w:t>640.00万元，在建设期2年内按项目建设进度分年投入，其中开发期第1年投资9,632.50万元，第2年投资10,007.50万元</w:t>
      </w:r>
      <w:r>
        <w:rPr>
          <w:rFonts w:hint="eastAsia" w:ascii="Times New Roman" w:hAnsi="Times New Roman" w:eastAsia="宋体" w:cs="Times New Roman"/>
          <w:kern w:val="0"/>
          <w:sz w:val="28"/>
          <w:szCs w:val="28"/>
        </w:rPr>
        <w:t>。</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bookmarkStart w:id="98" w:name="_Toc19493"/>
      <w:bookmarkStart w:id="99" w:name="_Toc532471801"/>
      <w:bookmarkStart w:id="100" w:name="_Toc21823"/>
      <w:bookmarkStart w:id="101" w:name="_Toc20514723"/>
      <w:bookmarkStart w:id="102" w:name="_Toc21186063"/>
      <w:bookmarkStart w:id="103" w:name="_Toc21272289"/>
      <w:bookmarkStart w:id="104" w:name="_Toc21272672"/>
      <w:bookmarkStart w:id="105" w:name="_Toc21351568"/>
      <w:bookmarkStart w:id="106" w:name="_Toc34399772"/>
      <w:bookmarkStart w:id="107" w:name="_Toc34495262"/>
      <w:bookmarkStart w:id="108" w:name="_Toc34495692"/>
      <w:bookmarkStart w:id="109" w:name="_Toc35036687"/>
      <w:bookmarkStart w:id="110" w:name="_Toc35118991"/>
      <w:bookmarkStart w:id="111" w:name="_Toc39134548"/>
      <w:bookmarkStart w:id="112" w:name="_Toc58068488"/>
      <w:bookmarkStart w:id="113" w:name="_Toc71288842"/>
      <w:bookmarkStart w:id="114" w:name="_Toc72063810"/>
      <w:bookmarkStart w:id="115" w:name="_Toc77606121"/>
      <w:bookmarkStart w:id="116" w:name="_Toc81668190"/>
      <w:bookmarkStart w:id="117" w:name="_Toc81854917"/>
      <w:r>
        <w:rPr>
          <w:rFonts w:ascii="Times New Roman" w:hAnsi="Times New Roman" w:eastAsia="宋体" w:cs="Times New Roman"/>
          <w:b/>
          <w:sz w:val="28"/>
          <w:szCs w:val="28"/>
        </w:rPr>
        <w:t>四、项目预期收益、成本及融资平衡情况</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autoSpaceDE w:val="0"/>
        <w:autoSpaceDN w:val="0"/>
        <w:adjustRightInd w:val="0"/>
        <w:spacing w:line="360" w:lineRule="auto"/>
        <w:ind w:firstLine="562" w:firstLineChars="200"/>
        <w:outlineLvl w:val="0"/>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1.项目收入</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本项目收入来源为充电桩经营收入、广告位出租收入、停车场收入、配套商业出租收入、摊位出租收入以及入廊服务费收入。</w:t>
      </w:r>
      <w:r>
        <w:rPr>
          <w:rFonts w:ascii="Times New Roman" w:hAnsi="Times New Roman" w:eastAsia="宋体" w:cs="Times New Roman"/>
          <w:kern w:val="0"/>
          <w:sz w:val="28"/>
          <w:szCs w:val="28"/>
        </w:rPr>
        <w:t>经营期内年收入合计17,890.60万元。</w:t>
      </w:r>
    </w:p>
    <w:p>
      <w:pPr>
        <w:autoSpaceDE w:val="0"/>
        <w:autoSpaceDN w:val="0"/>
        <w:adjustRightInd w:val="0"/>
        <w:spacing w:line="360" w:lineRule="auto"/>
        <w:ind w:firstLine="562" w:firstLineChars="200"/>
        <w:outlineLvl w:val="0"/>
        <w:rPr>
          <w:rFonts w:ascii="Times New Roman" w:hAnsi="Times New Roman" w:eastAsia="宋体" w:cs="Times New Roman"/>
          <w:b/>
          <w:bCs/>
          <w:kern w:val="0"/>
          <w:sz w:val="28"/>
          <w:szCs w:val="28"/>
        </w:rPr>
      </w:pPr>
      <w:r>
        <w:rPr>
          <w:rFonts w:hint="eastAsia" w:ascii="Times New Roman" w:hAnsi="Times New Roman" w:eastAsia="宋体" w:cs="Times New Roman"/>
          <w:b/>
          <w:bCs/>
          <w:kern w:val="0"/>
          <w:sz w:val="28"/>
          <w:szCs w:val="28"/>
        </w:rPr>
        <w:t>2</w:t>
      </w:r>
      <w:r>
        <w:rPr>
          <w:rFonts w:ascii="Times New Roman" w:hAnsi="Times New Roman" w:eastAsia="宋体" w:cs="Times New Roman"/>
          <w:b/>
          <w:bCs/>
          <w:kern w:val="0"/>
          <w:sz w:val="28"/>
          <w:szCs w:val="28"/>
        </w:rPr>
        <w:t>.项目成本</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本项目成本费用主要包括外购燃料及动力费、工资及福利费、固定资产维护费、其他费用、财务费用、折旧与摊销费</w:t>
      </w:r>
      <w:r>
        <w:rPr>
          <w:rFonts w:ascii="Times New Roman" w:hAnsi="Times New Roman" w:eastAsia="宋体" w:cs="Times New Roman"/>
          <w:kern w:val="0"/>
          <w:sz w:val="28"/>
          <w:szCs w:val="28"/>
        </w:rPr>
        <w:t>等，经营期内共计总成本费13,993.54万元，经营成本2,395.54万元。</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r>
        <w:rPr>
          <w:rFonts w:ascii="Times New Roman" w:hAnsi="Times New Roman" w:eastAsia="宋体" w:cs="Times New Roman"/>
          <w:b/>
          <w:sz w:val="28"/>
          <w:szCs w:val="28"/>
        </w:rPr>
        <w:t>3．资金测算平衡情况</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该项目未来预期收入主要为</w:t>
      </w:r>
      <w:r>
        <w:rPr>
          <w:rFonts w:hint="eastAsia" w:ascii="Times New Roman" w:hAnsi="Times New Roman" w:eastAsia="宋体" w:cs="Times New Roman"/>
          <w:kern w:val="0"/>
          <w:sz w:val="28"/>
          <w:szCs w:val="28"/>
        </w:rPr>
        <w:t>充电桩经营收入、广告位出租收入、停车场收入、配套商业出租收入、摊位出租收入以及入廊服务费收入</w:t>
      </w:r>
      <w:r>
        <w:rPr>
          <w:rFonts w:ascii="Times New Roman" w:hAnsi="Times New Roman" w:eastAsia="宋体" w:cs="Times New Roman"/>
          <w:kern w:val="0"/>
          <w:sz w:val="28"/>
          <w:szCs w:val="28"/>
        </w:rPr>
        <w:t>，债券存续期内，本项目可实现总收入17,890.60万元，可用于偿还融资本金和利息的经营现金流量为</w:t>
      </w:r>
      <w:r>
        <w:rPr>
          <w:rFonts w:hint="eastAsia" w:ascii="Times New Roman" w:hAnsi="Times New Roman" w:eastAsia="宋体" w:cs="Times New Roman"/>
          <w:kern w:val="0"/>
          <w:sz w:val="28"/>
          <w:szCs w:val="28"/>
        </w:rPr>
        <w:t>可用于还款资金</w:t>
      </w:r>
      <w:r>
        <w:rPr>
          <w:rFonts w:ascii="Times New Roman" w:hAnsi="Times New Roman" w:eastAsia="宋体" w:cs="Times New Roman"/>
          <w:kern w:val="0"/>
          <w:sz w:val="28"/>
          <w:szCs w:val="28"/>
        </w:rPr>
        <w:t>13,655.22万元，对项目债券本息（含整个债券存续期本息）11</w:t>
      </w:r>
      <w:r>
        <w:rPr>
          <w:rFonts w:hint="eastAsia" w:ascii="Times New Roman" w:hAnsi="Times New Roman" w:eastAsia="宋体" w:cs="Times New Roman"/>
          <w:kern w:val="0"/>
          <w:sz w:val="28"/>
          <w:szCs w:val="28"/>
        </w:rPr>
        <w:t>,</w:t>
      </w:r>
      <w:r>
        <w:rPr>
          <w:rFonts w:ascii="Times New Roman" w:hAnsi="Times New Roman" w:eastAsia="宋体" w:cs="Times New Roman"/>
          <w:kern w:val="0"/>
          <w:sz w:val="28"/>
          <w:szCs w:val="28"/>
        </w:rPr>
        <w:t>200.00万元的覆盖倍数为1.22。具有较强的资金平衡能力。项目分年度融资平衡情况（现金流量情况）详见下表：</w:t>
      </w:r>
    </w:p>
    <w:p>
      <w:pPr>
        <w:autoSpaceDE w:val="0"/>
        <w:autoSpaceDN w:val="0"/>
        <w:adjustRightInd w:val="0"/>
        <w:spacing w:line="360" w:lineRule="auto"/>
        <w:ind w:firstLine="562" w:firstLineChars="200"/>
        <w:jc w:val="center"/>
        <w:rPr>
          <w:rFonts w:ascii="Times New Roman" w:hAnsi="Times New Roman" w:eastAsia="宋体" w:cs="Times New Roman"/>
          <w:b/>
          <w:bCs/>
          <w:kern w:val="0"/>
          <w:sz w:val="28"/>
          <w:szCs w:val="28"/>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360" w:lineRule="auto"/>
        <w:ind w:firstLine="562" w:firstLineChars="200"/>
        <w:jc w:val="center"/>
        <w:rPr>
          <w:rFonts w:ascii="Times New Roman" w:hAnsi="Times New Roman" w:eastAsia="宋体" w:cs="Times New Roman"/>
          <w:b/>
          <w:bCs/>
          <w:kern w:val="0"/>
          <w:sz w:val="28"/>
          <w:szCs w:val="28"/>
        </w:rPr>
      </w:pPr>
      <w:r>
        <w:rPr>
          <w:rFonts w:hint="eastAsia" w:ascii="Times New Roman" w:hAnsi="Times New Roman" w:eastAsia="宋体" w:cs="Times New Roman"/>
          <w:b/>
          <w:bCs/>
          <w:kern w:val="0"/>
          <w:sz w:val="28"/>
          <w:szCs w:val="28"/>
        </w:rPr>
        <w:t>资金测算</w:t>
      </w:r>
      <w:r>
        <w:rPr>
          <w:rFonts w:ascii="Times New Roman" w:hAnsi="Times New Roman" w:eastAsia="宋体" w:cs="Times New Roman"/>
          <w:b/>
          <w:bCs/>
          <w:kern w:val="0"/>
          <w:sz w:val="28"/>
          <w:szCs w:val="28"/>
        </w:rPr>
        <w:t>平衡表（单位：万元）</w:t>
      </w:r>
    </w:p>
    <w:tbl>
      <w:tblPr>
        <w:tblStyle w:val="7"/>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98"/>
        <w:gridCol w:w="2565"/>
        <w:gridCol w:w="1142"/>
        <w:gridCol w:w="952"/>
        <w:gridCol w:w="952"/>
        <w:gridCol w:w="865"/>
        <w:gridCol w:w="865"/>
        <w:gridCol w:w="865"/>
        <w:gridCol w:w="865"/>
        <w:gridCol w:w="865"/>
        <w:gridCol w:w="865"/>
        <w:gridCol w:w="865"/>
        <w:gridCol w:w="952"/>
        <w:gridCol w:w="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jc w:val="center"/>
        </w:trPr>
        <w:tc>
          <w:tcPr>
            <w:tcW w:w="211" w:type="pct"/>
            <w:vMerge w:val="restar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序号</w:t>
            </w:r>
          </w:p>
        </w:tc>
        <w:tc>
          <w:tcPr>
            <w:tcW w:w="905" w:type="pct"/>
            <w:vMerge w:val="restar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项目</w:t>
            </w:r>
          </w:p>
        </w:tc>
        <w:tc>
          <w:tcPr>
            <w:tcW w:w="403" w:type="pct"/>
            <w:vMerge w:val="restar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合计</w:t>
            </w:r>
          </w:p>
        </w:tc>
        <w:tc>
          <w:tcPr>
            <w:tcW w:w="3481" w:type="pct"/>
            <w:gridSpan w:val="11"/>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项目计算期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blHeader/>
          <w:jc w:val="center"/>
        </w:trPr>
        <w:tc>
          <w:tcPr>
            <w:tcW w:w="211" w:type="pct"/>
            <w:vMerge w:val="continue"/>
            <w:shd w:val="clear" w:color="auto" w:fill="auto"/>
            <w:vAlign w:val="center"/>
          </w:tcPr>
          <w:p>
            <w:pPr>
              <w:jc w:val="center"/>
              <w:rPr>
                <w:rFonts w:ascii="Times New Roman" w:hAnsi="Times New Roman" w:eastAsia="宋体" w:cs="Times New Roman"/>
                <w:b/>
                <w:bCs/>
                <w:sz w:val="18"/>
                <w:szCs w:val="18"/>
              </w:rPr>
            </w:pPr>
          </w:p>
        </w:tc>
        <w:tc>
          <w:tcPr>
            <w:tcW w:w="905" w:type="pct"/>
            <w:vMerge w:val="continue"/>
            <w:shd w:val="clear" w:color="auto" w:fill="auto"/>
            <w:vAlign w:val="center"/>
          </w:tcPr>
          <w:p>
            <w:pPr>
              <w:jc w:val="center"/>
              <w:rPr>
                <w:rFonts w:ascii="Times New Roman" w:hAnsi="Times New Roman" w:eastAsia="宋体" w:cs="Times New Roman"/>
                <w:b/>
                <w:bCs/>
                <w:sz w:val="18"/>
                <w:szCs w:val="18"/>
              </w:rPr>
            </w:pPr>
          </w:p>
        </w:tc>
        <w:tc>
          <w:tcPr>
            <w:tcW w:w="403" w:type="pct"/>
            <w:vMerge w:val="continue"/>
            <w:shd w:val="clear" w:color="auto" w:fill="auto"/>
            <w:vAlign w:val="center"/>
          </w:tcPr>
          <w:p>
            <w:pPr>
              <w:jc w:val="center"/>
              <w:rPr>
                <w:rFonts w:ascii="Times New Roman" w:hAnsi="Times New Roman" w:eastAsia="宋体" w:cs="Times New Roman"/>
                <w:b/>
                <w:bCs/>
                <w:sz w:val="18"/>
                <w:szCs w:val="18"/>
              </w:rPr>
            </w:pPr>
          </w:p>
        </w:tc>
        <w:tc>
          <w:tcPr>
            <w:tcW w:w="336"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2021年</w:t>
            </w:r>
          </w:p>
        </w:tc>
        <w:tc>
          <w:tcPr>
            <w:tcW w:w="336"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2022年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2023年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2024年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2025年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2026年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2027年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2028年</w:t>
            </w:r>
          </w:p>
        </w:tc>
        <w:tc>
          <w:tcPr>
            <w:tcW w:w="305"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2029年</w:t>
            </w:r>
          </w:p>
        </w:tc>
        <w:tc>
          <w:tcPr>
            <w:tcW w:w="336"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2030年</w:t>
            </w:r>
          </w:p>
        </w:tc>
        <w:tc>
          <w:tcPr>
            <w:tcW w:w="336" w:type="pct"/>
            <w:shd w:val="clear" w:color="auto" w:fill="auto"/>
            <w:noWrap/>
            <w:vAlign w:val="center"/>
          </w:tcPr>
          <w:p>
            <w:pPr>
              <w:jc w:val="center"/>
              <w:rPr>
                <w:rFonts w:ascii="Times New Roman" w:hAnsi="Times New Roman" w:eastAsia="宋体" w:cs="Times New Roman"/>
                <w:b/>
                <w:bCs/>
                <w:sz w:val="18"/>
                <w:szCs w:val="18"/>
              </w:rPr>
            </w:pPr>
            <w:r>
              <w:rPr>
                <w:rFonts w:ascii="Times New Roman" w:hAnsi="Times New Roman" w:eastAsia="宋体" w:cs="Times New Roman"/>
                <w:b/>
                <w:bCs/>
                <w:sz w:val="18"/>
                <w:szCs w:val="18"/>
              </w:rPr>
              <w:t>2031年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经营活动净现金流量</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13,655.22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1,155.51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1,358.39</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1,524.64</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1,607.78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1,607.78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1,607.78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1,607.78</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1,607.78</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1,577.78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现金流入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19,238.78</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1,613.21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1,875.44</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2,137.63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2,268.75</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2,268.75</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2,268.75</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2,268.75</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2,268.75</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2,268.75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总收入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17,890.60</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1,500.30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1,744.08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1,987.84</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2,109.73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2,109.73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2,109.73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2,109.73</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2,109.73</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2,109.73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增值税销项税额</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1,348.18</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112.91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131.36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149.79</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1.1.3</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其他流入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现金流出</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5,583.56</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457.70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517.05</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612.99</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660.97</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660.97</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660.97</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660.97</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660.97</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690.97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经营成本</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2,395.54</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252.62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259.39</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266.17</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269.56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269.56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269.56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269.56</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269.56</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269.56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税金及附加</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1,105.24</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92.17</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107.50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122.81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130.46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130.46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130.46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130.46</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130.46</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130.46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1.2.3</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增值税</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1,348.18</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112.91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131.36</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149.79</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159.02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1.2.4</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所得税</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734.60</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18.80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74.22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101.93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101.93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101.93</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101.93</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101.93</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131.93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1.2.5</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其他流出</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投资活动净现金流量</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-19,192.00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-9,509.50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-9,682.50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现金流入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现金流出</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19,192.00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9,509.50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9,682.50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建设投资</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19,192.00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9,509.50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9,682.50</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维持运营投资</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2.2.3</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流动资金</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2.2.4</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其他流出</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筹资活动净现金流量</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8,432.00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9,509.50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9,682.50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-3,320.00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现金流入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19,640.00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9,632.50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10,007.50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项目资本金投入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11,640.00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6,632.50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5,007.50</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建设投资借款</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3.1.3</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流动资金借款</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3.1.4</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债券</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8,000.00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3,000.00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5,000.00</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3.1.5</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短期借款</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3.1.6</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其他流入</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现金流出</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11,208.00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123.00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325.00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3,320.00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3.2.1</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债券利息支付</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3.2.2</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债券发行费用</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5.00</w:t>
            </w: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3.2.3</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市场化配套融资利息支付</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3.2.4</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专项债券本金偿还</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8,000.00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3,000.00</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5,000.00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3.2.5</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市场化配套融资本金偿还</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3.2.6</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应付利润（股利分配）</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3.2.7</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其他流出</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05"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c>
          <w:tcPr>
            <w:tcW w:w="336" w:type="pct"/>
            <w:shd w:val="clear" w:color="auto" w:fill="auto"/>
            <w:noWrap/>
            <w:vAlign w:val="center"/>
          </w:tcPr>
          <w:p>
            <w:pPr>
              <w:jc w:val="center"/>
              <w:rPr>
                <w:rFonts w:ascii="Times New Roman" w:hAnsi="Times New Roman" w:eastAsia="宋体" w:cs="Times New Roman"/>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净现金流量</w:t>
            </w:r>
          </w:p>
        </w:tc>
        <w:tc>
          <w:tcPr>
            <w:tcW w:w="403"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2,895.22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835.51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1,038.39</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1,204.64</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1,287.78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1,287.78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1,287.78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1,287.78</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-1,712.22</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-3,622.22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211"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9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累计盈余资金</w:t>
            </w:r>
          </w:p>
        </w:tc>
        <w:tc>
          <w:tcPr>
            <w:tcW w:w="403" w:type="pct"/>
            <w:shd w:val="clear" w:color="auto" w:fill="auto"/>
            <w:vAlign w:val="center"/>
          </w:tcPr>
          <w:p>
            <w:pPr>
              <w:jc w:val="center"/>
              <w:rPr>
                <w:rFonts w:ascii="Times New Roman" w:hAnsi="Times New Roman" w:eastAsia="宋体" w:cs="Times New Roman"/>
                <w:sz w:val="18"/>
                <w:szCs w:val="18"/>
              </w:rPr>
            </w:pP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835.51</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1,873.90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3,078.54</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4,366.32</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5,654.10</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6,941.88</w:t>
            </w:r>
          </w:p>
        </w:tc>
        <w:tc>
          <w:tcPr>
            <w:tcW w:w="305"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8,229.66</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6,517.44</w:t>
            </w:r>
          </w:p>
        </w:tc>
        <w:tc>
          <w:tcPr>
            <w:tcW w:w="336" w:type="pct"/>
            <w:shd w:val="clear" w:color="auto" w:fill="auto"/>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2,895.22</w:t>
            </w:r>
          </w:p>
        </w:tc>
      </w:tr>
    </w:tbl>
    <w:p>
      <w:pPr>
        <w:autoSpaceDE w:val="0"/>
        <w:autoSpaceDN w:val="0"/>
        <w:adjustRightInd w:val="0"/>
        <w:spacing w:line="360" w:lineRule="auto"/>
        <w:jc w:val="left"/>
        <w:outlineLvl w:val="0"/>
        <w:rPr>
          <w:rFonts w:ascii="Times New Roman" w:hAnsi="Times New Roman" w:eastAsia="宋体" w:cs="Times New Roman"/>
          <w:b/>
          <w:bCs/>
          <w:kern w:val="0"/>
          <w:sz w:val="28"/>
          <w:szCs w:val="28"/>
        </w:rPr>
        <w:sectPr>
          <w:pgSz w:w="16838" w:h="11906" w:orient="landscape"/>
          <w:pgMar w:top="1797" w:right="1440" w:bottom="1797" w:left="1440" w:header="851" w:footer="992" w:gutter="0"/>
          <w:cols w:space="425" w:num="1"/>
          <w:docGrid w:type="lines" w:linePitch="312" w:charSpace="0"/>
        </w:sectPr>
      </w:pP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r>
        <w:rPr>
          <w:rFonts w:ascii="Times New Roman" w:hAnsi="Times New Roman" w:eastAsia="宋体" w:cs="Times New Roman"/>
          <w:b/>
          <w:sz w:val="28"/>
          <w:szCs w:val="28"/>
        </w:rPr>
        <w:t>五、项目绩效目标</w:t>
      </w:r>
    </w:p>
    <w:p>
      <w:pPr>
        <w:adjustRightInd w:val="0"/>
        <w:snapToGrid w:val="0"/>
        <w:spacing w:line="360" w:lineRule="auto"/>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（一）数量目标</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数量指标是指项目实施的实际产出数与计划产出数的比率，用以反映和考核项目产出数量目标的实现程度。本项目数量指标预计达到100%。</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项目产出说明为：</w:t>
      </w:r>
      <w:r>
        <w:rPr>
          <w:rFonts w:hint="eastAsia" w:ascii="Times New Roman" w:hAnsi="Times New Roman" w:eastAsia="宋体" w:cs="Times New Roman"/>
          <w:bCs/>
          <w:sz w:val="28"/>
          <w:szCs w:val="28"/>
        </w:rPr>
        <w:t>本项目建设内容包括</w:t>
      </w:r>
      <w:r>
        <w:rPr>
          <w:rFonts w:ascii="Times New Roman" w:hAnsi="Times New Roman" w:eastAsia="宋体" w:cs="Times New Roman"/>
          <w:bCs/>
          <w:sz w:val="28"/>
          <w:szCs w:val="28"/>
        </w:rPr>
        <w:t>4A级景区越王楼三江半岛景区旅游配套提质升级改造，包括“铁牛镇水”景点中铁牛广场约12,000㎡及滨江广场约20,000㎡旅游景观风貌提升改造；大观园、石板巷、马家巷及延线旅游景点外部风貌提升改造；公园路、铁匠巷、兴达街、北街、翠花街、三光街、步行后街（瀚威城市中心背后）、临园路东段（支路）、马家巷、孙家巷、顺城街、卫生巷、涪卫街旅游道路改造、微型综合地下管廊提升改造、旅游道路风貌小品打造与自动售货机安装、旅游临时占道停车位及充电桩建设与安装、配套商服设施与广告位建设及安装。</w:t>
      </w:r>
    </w:p>
    <w:p>
      <w:pPr>
        <w:adjustRightInd w:val="0"/>
        <w:snapToGrid w:val="0"/>
        <w:spacing w:line="360" w:lineRule="auto"/>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（二） 时效目标</w:t>
      </w:r>
    </w:p>
    <w:p>
      <w:pPr>
        <w:adjustRightInd w:val="0"/>
        <w:snapToGrid w:val="0"/>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本项目建设期为2年，项目每期债券发行期为</w:t>
      </w:r>
      <w:r>
        <w:rPr>
          <w:rFonts w:ascii="Times New Roman" w:hAnsi="Times New Roman" w:eastAsia="宋体" w:cs="Times New Roman"/>
          <w:bCs/>
          <w:sz w:val="28"/>
          <w:szCs w:val="28"/>
        </w:rPr>
        <w:t>10</w:t>
      </w:r>
      <w:r>
        <w:rPr>
          <w:rFonts w:hint="eastAsia" w:ascii="Times New Roman" w:hAnsi="Times New Roman" w:eastAsia="宋体" w:cs="Times New Roman"/>
          <w:bCs/>
          <w:sz w:val="28"/>
          <w:szCs w:val="28"/>
        </w:rPr>
        <w:t>年，债券存续期内按时还本付息。</w:t>
      </w:r>
    </w:p>
    <w:p>
      <w:pPr>
        <w:adjustRightInd w:val="0"/>
        <w:snapToGrid w:val="0"/>
        <w:spacing w:line="360" w:lineRule="auto"/>
        <w:ind w:firstLine="562" w:firstLineChars="200"/>
        <w:rPr>
          <w:rFonts w:ascii="Times New Roman" w:hAnsi="Times New Roman" w:eastAsia="宋体" w:cs="Times New Roman"/>
          <w:b/>
          <w:sz w:val="28"/>
          <w:szCs w:val="28"/>
        </w:rPr>
      </w:pPr>
      <w:r>
        <w:rPr>
          <w:rFonts w:hint="eastAsia" w:ascii="Times New Roman" w:hAnsi="Times New Roman" w:eastAsia="宋体" w:cs="Times New Roman"/>
          <w:b/>
          <w:sz w:val="28"/>
          <w:szCs w:val="28"/>
        </w:rPr>
        <w:t>（三） 经济效益目标</w:t>
      </w:r>
    </w:p>
    <w:p>
      <w:pPr>
        <w:adjustRightInd w:val="0"/>
        <w:snapToGrid w:val="0"/>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旅游业是现代服务业的重要组成部分，带动作用大。通过项目建设，项目区域基础设施不断加强，水、电、路更加畅通，服务设施更加完善，生态环境更加优化，人与自然更加和谐，接待能力大幅提高。本项目通过旅游基础设施建设，改善当地投资环境，进一步把资源优势转化为经济优势，加快特色新兴产业的培育和优化升级，同时结合当地丰富的文化旅游资源，延长旅游产业链，形成巨大的人流、物流、财流和信息流，拉动内需，刺激消费，有效促进一二三产业融合发展，从而促进当地的经济增长。旅游业属劳动密集型行业，本身能吸收大量劳动力，提供大量就业机会。</w:t>
      </w:r>
    </w:p>
    <w:p>
      <w:pPr>
        <w:adjustRightInd w:val="0"/>
        <w:snapToGrid w:val="0"/>
        <w:spacing w:line="360" w:lineRule="auto"/>
        <w:ind w:firstLine="562" w:firstLineChars="200"/>
        <w:rPr>
          <w:rFonts w:ascii="Times New Roman" w:hAnsi="Times New Roman" w:eastAsia="宋体" w:cs="Times New Roman"/>
          <w:b/>
          <w:sz w:val="28"/>
          <w:szCs w:val="28"/>
        </w:rPr>
      </w:pPr>
      <w:bookmarkStart w:id="118" w:name="_Toc536785384"/>
      <w:bookmarkStart w:id="119" w:name="_Toc1369"/>
      <w:bookmarkStart w:id="120" w:name="_Toc3662_WPSOffice_Level2"/>
      <w:bookmarkStart w:id="121" w:name="_Toc31530"/>
      <w:bookmarkStart w:id="122" w:name="_Toc6561"/>
      <w:bookmarkStart w:id="123" w:name="_Toc13623_WPSOffice_Level2"/>
      <w:r>
        <w:rPr>
          <w:rFonts w:hint="eastAsia" w:ascii="Times New Roman" w:hAnsi="Times New Roman" w:eastAsia="宋体" w:cs="Times New Roman"/>
          <w:b/>
          <w:sz w:val="28"/>
          <w:szCs w:val="28"/>
        </w:rPr>
        <w:t>（四）社会效益目标</w:t>
      </w:r>
      <w:bookmarkEnd w:id="118"/>
      <w:bookmarkEnd w:id="119"/>
      <w:bookmarkEnd w:id="120"/>
      <w:bookmarkEnd w:id="121"/>
      <w:bookmarkEnd w:id="122"/>
      <w:bookmarkEnd w:id="123"/>
    </w:p>
    <w:p>
      <w:pPr>
        <w:adjustRightInd w:val="0"/>
        <w:snapToGrid w:val="0"/>
        <w:spacing w:line="360" w:lineRule="auto"/>
        <w:ind w:firstLine="560" w:firstLineChars="200"/>
        <w:rPr>
          <w:rFonts w:hint="eastAsia" w:ascii="Times New Roman" w:hAnsi="Times New Roman" w:eastAsia="宋体" w:cs="Times New Roman"/>
          <w:bCs/>
          <w:sz w:val="28"/>
          <w:szCs w:val="28"/>
        </w:rPr>
      </w:pPr>
      <w:r>
        <w:rPr>
          <w:rFonts w:hint="eastAsia" w:ascii="Times New Roman" w:hAnsi="Times New Roman" w:eastAsia="宋体" w:cs="Times New Roman"/>
          <w:bCs/>
          <w:sz w:val="28"/>
          <w:szCs w:val="28"/>
        </w:rPr>
        <w:t>本项目的实施是强化区域旅游基础设施一体化和服务设施标准化建设的需要，实施后将有利于充分整合涪翁文化、三国文化、民俗文化、非遗文化等特色资源，提高优势旅游资源的利用效率。</w:t>
      </w:r>
    </w:p>
    <w:p>
      <w:pPr>
        <w:adjustRightInd w:val="0"/>
        <w:snapToGrid w:val="0"/>
        <w:spacing w:line="360" w:lineRule="auto"/>
        <w:ind w:firstLine="562" w:firstLineChars="200"/>
        <w:rPr>
          <w:rFonts w:ascii="Times New Roman" w:hAnsi="Times New Roman" w:eastAsia="宋体" w:cs="Times New Roman"/>
          <w:b/>
          <w:sz w:val="28"/>
          <w:szCs w:val="28"/>
        </w:rPr>
      </w:pPr>
      <w:bookmarkStart w:id="124" w:name="_Toc29749_WPSOffice_Level2"/>
      <w:bookmarkStart w:id="125" w:name="_Toc32244"/>
      <w:bookmarkStart w:id="126" w:name="_Toc4946_WPSOffice_Level2"/>
      <w:bookmarkStart w:id="127" w:name="_Toc8127"/>
      <w:bookmarkStart w:id="128" w:name="_Toc23490"/>
      <w:bookmarkStart w:id="129" w:name="_Toc536785385"/>
      <w:r>
        <w:rPr>
          <w:rFonts w:hint="eastAsia" w:ascii="Times New Roman" w:hAnsi="Times New Roman" w:eastAsia="宋体" w:cs="Times New Roman"/>
          <w:b/>
          <w:sz w:val="28"/>
          <w:szCs w:val="28"/>
        </w:rPr>
        <w:t>（五）可持续影响目标</w:t>
      </w:r>
      <w:bookmarkEnd w:id="124"/>
      <w:bookmarkEnd w:id="125"/>
      <w:bookmarkEnd w:id="126"/>
      <w:bookmarkEnd w:id="127"/>
      <w:bookmarkEnd w:id="128"/>
      <w:bookmarkEnd w:id="129"/>
    </w:p>
    <w:p>
      <w:pPr>
        <w:pStyle w:val="11"/>
        <w:widowControl w:val="0"/>
        <w:adjustRightInd w:val="0"/>
        <w:spacing w:before="0" w:beforeLines="0" w:after="0" w:afterLines="0" w:line="360" w:lineRule="auto"/>
        <w:ind w:firstLine="560"/>
        <w:jc w:val="both"/>
        <w:outlineLvl w:val="0"/>
        <w:rPr>
          <w:rFonts w:ascii="Times New Roman" w:hAnsi="Times New Roman" w:eastAsia="宋体" w:cs="Times New Roman"/>
          <w:bCs/>
          <w:sz w:val="28"/>
          <w:szCs w:val="28"/>
        </w:rPr>
      </w:pPr>
      <w:r>
        <w:rPr>
          <w:rFonts w:hint="eastAsia" w:ascii="Times New Roman" w:hAnsi="Times New Roman" w:eastAsia="宋体" w:cs="Times New Roman"/>
          <w:bCs/>
          <w:sz w:val="28"/>
          <w:szCs w:val="28"/>
        </w:rPr>
        <w:t>项目实施后将为人民群众创造高品质的生活空间和优美宜居的生态环境，提供全方位高水平的旅游服务，有利于将绵阳市涪城区打造为一个集旅游、休闲、娱乐等功能于一体的宜养、宜居、宜业现代化城市，从而实现各种资源要素的有效集聚，形成绵阳市涪城区社会经济持续健康发展的动力和活力。</w:t>
      </w:r>
    </w:p>
    <w:p>
      <w:pPr>
        <w:spacing w:before="80" w:after="80" w:line="560" w:lineRule="exact"/>
        <w:ind w:firstLine="640" w:firstLineChars="200"/>
        <w:rPr>
          <w:rFonts w:hint="eastAsia" w:ascii="仿宋_GB2312" w:hAnsi="仿宋" w:eastAsia="仿宋_GB2312"/>
          <w:sz w:val="32"/>
          <w:szCs w:val="32"/>
        </w:rPr>
      </w:pPr>
      <w:r>
        <w:rPr>
          <w:rFonts w:hint="eastAsia" w:ascii="黑体" w:hAnsi="黑体" w:eastAsia="黑体"/>
          <w:sz w:val="32"/>
          <w:szCs w:val="32"/>
        </w:rPr>
        <w:t>六、潜在影响项目的风险评估</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市场风险：业主与政府和各银行保持良好的合作关系，拓展各种融资渠道。准确把握国家宏观经济政策、国家及地方产业发展政策和银行信贷政策，充分利用有利条件，在其变化时及时调整策略。加强对项目的资金管理，落实建设资金，保证工程按期完工。加强招商引资工作步伐，促进现金回流。</w:t>
      </w:r>
    </w:p>
    <w:p>
      <w:pPr>
        <w:spacing w:line="5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2.财务风险：项目建设资金除自筹外，需要部分融资，因此项目建设资金的筹措显得尤为重要，资金供给的不足将导致项目进度延缓、收入实现滞后、成本费用开支得不到有效保障。</w:t>
      </w:r>
    </w:p>
    <w:p>
      <w:pPr>
        <w:spacing w:line="52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具体应对措施：加强项目资金的统一管理，单独建帐、核算，做到专款专用，以确保资金的合理使用。影响融资平衡结果的风险及控制措施。</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r>
        <w:rPr>
          <w:rFonts w:ascii="Times New Roman" w:hAnsi="Times New Roman" w:eastAsia="宋体" w:cs="Times New Roman"/>
          <w:b/>
          <w:sz w:val="28"/>
          <w:szCs w:val="28"/>
        </w:rPr>
        <w:t>七、还款保障情况</w:t>
      </w:r>
    </w:p>
    <w:p>
      <w:pPr>
        <w:autoSpaceDE w:val="0"/>
        <w:autoSpaceDN w:val="0"/>
        <w:adjustRightInd w:val="0"/>
        <w:spacing w:line="360" w:lineRule="auto"/>
        <w:ind w:firstLine="560" w:firstLineChars="200"/>
        <w:rPr>
          <w:rFonts w:ascii="Times New Roman" w:hAnsi="Times New Roman" w:eastAsia="宋体" w:cs="Times New Roman"/>
          <w:kern w:val="0"/>
          <w:sz w:val="28"/>
          <w:szCs w:val="28"/>
        </w:rPr>
      </w:pPr>
      <w:r>
        <w:rPr>
          <w:rFonts w:ascii="Times New Roman" w:hAnsi="Times New Roman" w:eastAsia="宋体" w:cs="Times New Roman"/>
          <w:kern w:val="0"/>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bookmarkStart w:id="130" w:name="_Toc77606127"/>
      <w:bookmarkStart w:id="131" w:name="_Toc81668196"/>
      <w:bookmarkStart w:id="132" w:name="_Toc81854923"/>
      <w:r>
        <w:rPr>
          <w:rFonts w:ascii="Times New Roman" w:hAnsi="Times New Roman" w:eastAsia="宋体" w:cs="Times New Roman"/>
          <w:b/>
          <w:sz w:val="28"/>
          <w:szCs w:val="28"/>
        </w:rPr>
        <w:t>八、主管部门及项目单位职责</w:t>
      </w:r>
      <w:bookmarkEnd w:id="130"/>
      <w:bookmarkEnd w:id="131"/>
      <w:bookmarkEnd w:id="132"/>
    </w:p>
    <w:p>
      <w:pPr>
        <w:spacing w:line="360" w:lineRule="auto"/>
        <w:ind w:firstLine="562" w:firstLineChars="200"/>
        <w:outlineLvl w:val="0"/>
        <w:rPr>
          <w:rFonts w:ascii="Times New Roman" w:hAnsi="Times New Roman" w:eastAsia="宋体" w:cs="Times New Roman"/>
          <w:b/>
          <w:sz w:val="28"/>
          <w:szCs w:val="28"/>
        </w:rPr>
      </w:pPr>
      <w:bookmarkStart w:id="133" w:name="_Toc77606128"/>
      <w:bookmarkStart w:id="134" w:name="_Toc81668197"/>
      <w:bookmarkStart w:id="135" w:name="_Toc81854924"/>
      <w:r>
        <w:rPr>
          <w:rFonts w:ascii="Times New Roman" w:hAnsi="Times New Roman" w:eastAsia="宋体" w:cs="Times New Roman"/>
          <w:b/>
          <w:sz w:val="28"/>
          <w:szCs w:val="28"/>
        </w:rPr>
        <w:t>（一）主管部门及职责</w:t>
      </w:r>
      <w:bookmarkEnd w:id="133"/>
      <w:bookmarkEnd w:id="134"/>
      <w:bookmarkEnd w:id="135"/>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本项目的主管部门是</w:t>
      </w:r>
      <w:r>
        <w:rPr>
          <w:rFonts w:hint="eastAsia" w:ascii="Times New Roman" w:hAnsi="Times New Roman" w:eastAsia="宋体" w:cs="Times New Roman"/>
          <w:bCs/>
          <w:sz w:val="28"/>
          <w:szCs w:val="28"/>
        </w:rPr>
        <w:t>绵阳市涪城区文化广播电视和旅游局</w:t>
      </w:r>
      <w:r>
        <w:rPr>
          <w:rFonts w:ascii="Times New Roman" w:hAnsi="Times New Roman" w:eastAsia="宋体" w:cs="Times New Roman"/>
          <w:bCs/>
          <w:sz w:val="28"/>
          <w:szCs w:val="28"/>
        </w:rPr>
        <w:t>，其职责为：</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1.项目主管部门负责对本部门专项债券项目审核把关。</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2.指导本行业项目规划与储备、梳理项目需求和编制项目实施方案。</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3.指导本行业及时规范使用债券资金，对建设运营情况进行监督。</w:t>
      </w:r>
      <w:bookmarkStart w:id="136" w:name="_Toc77606129"/>
      <w:bookmarkStart w:id="137" w:name="_Toc81668198"/>
      <w:bookmarkStart w:id="138" w:name="_Toc81854925"/>
    </w:p>
    <w:p>
      <w:pPr>
        <w:adjustRightInd w:val="0"/>
        <w:snapToGrid w:val="0"/>
        <w:spacing w:line="360" w:lineRule="auto"/>
        <w:ind w:firstLine="562" w:firstLineChars="200"/>
        <w:outlineLvl w:val="0"/>
        <w:rPr>
          <w:rFonts w:ascii="Times New Roman" w:hAnsi="Times New Roman" w:eastAsia="宋体" w:cs="Times New Roman"/>
          <w:b/>
          <w:sz w:val="28"/>
          <w:szCs w:val="28"/>
        </w:rPr>
      </w:pPr>
      <w:r>
        <w:rPr>
          <w:rFonts w:ascii="Times New Roman" w:hAnsi="Times New Roman" w:eastAsia="宋体" w:cs="Times New Roman"/>
          <w:b/>
          <w:sz w:val="28"/>
          <w:szCs w:val="28"/>
        </w:rPr>
        <w:t>（二）项目单位职责</w:t>
      </w:r>
      <w:bookmarkEnd w:id="136"/>
      <w:bookmarkEnd w:id="137"/>
      <w:bookmarkEnd w:id="138"/>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本项目的业主单位是</w:t>
      </w:r>
      <w:r>
        <w:rPr>
          <w:rFonts w:hint="eastAsia" w:ascii="Times New Roman" w:hAnsi="Times New Roman" w:eastAsia="宋体" w:cs="Times New Roman"/>
          <w:bCs/>
          <w:sz w:val="28"/>
          <w:szCs w:val="28"/>
        </w:rPr>
        <w:t>绵阳欣立鼎盛实业有限公司</w:t>
      </w:r>
      <w:r>
        <w:rPr>
          <w:rFonts w:ascii="Times New Roman" w:hAnsi="Times New Roman" w:eastAsia="宋体" w:cs="Times New Roman"/>
          <w:bCs/>
          <w:sz w:val="28"/>
          <w:szCs w:val="28"/>
        </w:rPr>
        <w:t>，其职责为：</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1.项目单位负责提出专项债券项目需求申请，编制报送项目实施方案及相关资料，配合做好债券发行准备。</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2.规范使用债券资金，及时形成支出，提高资金使用效益。</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3.定期评估项目成本、预期收益和对应资产价值等，发现风险或异常情况及时向主管部门报告。</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4.编制专项债券收支、偿还计划并纳入单位年度预算管理，将债券项目收入及时足额缴入国库。</w:t>
      </w:r>
    </w:p>
    <w:p>
      <w:pPr>
        <w:adjustRightInd w:val="0"/>
        <w:snapToGrid w:val="0"/>
        <w:spacing w:line="360" w:lineRule="auto"/>
        <w:ind w:firstLine="560" w:firstLineChars="200"/>
        <w:rPr>
          <w:rFonts w:ascii="Times New Roman" w:hAnsi="Times New Roman" w:eastAsia="宋体" w:cs="Times New Roman"/>
          <w:bCs/>
          <w:sz w:val="28"/>
          <w:szCs w:val="28"/>
        </w:rPr>
      </w:pPr>
      <w:r>
        <w:rPr>
          <w:rFonts w:ascii="Times New Roman" w:hAnsi="Times New Roman" w:eastAsia="宋体" w:cs="Times New Roman"/>
          <w:bCs/>
          <w:sz w:val="28"/>
          <w:szCs w:val="28"/>
        </w:rPr>
        <w:t>5.做好数据填报、信息公开等相关工作。</w:t>
      </w:r>
    </w:p>
    <w:p>
      <w:pPr>
        <w:pStyle w:val="11"/>
        <w:widowControl w:val="0"/>
        <w:adjustRightInd w:val="0"/>
        <w:spacing w:before="0" w:beforeLines="0" w:after="0" w:afterLines="0" w:line="360" w:lineRule="auto"/>
        <w:ind w:firstLine="562"/>
        <w:jc w:val="both"/>
        <w:outlineLvl w:val="0"/>
        <w:rPr>
          <w:rFonts w:ascii="Times New Roman" w:hAnsi="Times New Roman" w:eastAsia="宋体" w:cs="Times New Roman"/>
          <w:b/>
          <w:sz w:val="28"/>
          <w:szCs w:val="28"/>
        </w:rPr>
      </w:pPr>
      <w:r>
        <w:rPr>
          <w:rFonts w:ascii="Times New Roman" w:hAnsi="Times New Roman" w:eastAsia="宋体" w:cs="Times New Roman"/>
          <w:b/>
          <w:sz w:val="28"/>
          <w:szCs w:val="28"/>
        </w:rPr>
        <w:t>九、补充说明</w:t>
      </w:r>
    </w:p>
    <w:p>
      <w:pPr>
        <w:adjustRightInd w:val="0"/>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根据原发行计划及额度安排</w:t>
      </w:r>
      <w:r>
        <w:rPr>
          <w:rFonts w:ascii="Times New Roman" w:hAnsi="Times New Roman" w:eastAsia="宋体" w:cs="Times New Roman"/>
          <w:bCs/>
          <w:sz w:val="28"/>
          <w:szCs w:val="28"/>
        </w:rPr>
        <w:t>,此项目计划于2021年发行3</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000.00万元，因地方政府债务限额管理要求和项目实施进展情况等原因未发行。</w:t>
      </w:r>
      <w:bookmarkStart w:id="139" w:name="_GoBack"/>
      <w:bookmarkEnd w:id="139"/>
      <w:r>
        <w:rPr>
          <w:rFonts w:ascii="Times New Roman" w:hAnsi="Times New Roman" w:eastAsia="宋体" w:cs="Times New Roman"/>
          <w:bCs/>
          <w:sz w:val="28"/>
          <w:szCs w:val="28"/>
        </w:rPr>
        <w:t>调整后本次拟发行</w:t>
      </w:r>
      <w:r>
        <w:rPr>
          <w:rFonts w:hint="eastAsia" w:ascii="Times New Roman" w:hAnsi="Times New Roman" w:eastAsia="宋体" w:cs="Times New Roman"/>
          <w:bCs/>
          <w:sz w:val="28"/>
          <w:szCs w:val="28"/>
        </w:rPr>
        <w:t>8,</w:t>
      </w:r>
      <w:r>
        <w:rPr>
          <w:rFonts w:ascii="Times New Roman" w:hAnsi="Times New Roman" w:eastAsia="宋体" w:cs="Times New Roman"/>
          <w:bCs/>
          <w:sz w:val="28"/>
          <w:szCs w:val="28"/>
        </w:rPr>
        <w:t>000.00万元，期限10年，该项目实施内容及收益来源未发生变动，在不超过项目债券总需求情况下，债券跨年发行对项目整体融资平衡不构成实质影响。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瀹嬩綋">
    <w:altName w:val="微软雅黑"/>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CDE"/>
    <w:rsid w:val="0003484D"/>
    <w:rsid w:val="0006077C"/>
    <w:rsid w:val="00060AF2"/>
    <w:rsid w:val="000610C2"/>
    <w:rsid w:val="0006179F"/>
    <w:rsid w:val="00095EE6"/>
    <w:rsid w:val="000A23F1"/>
    <w:rsid w:val="00143A9E"/>
    <w:rsid w:val="001542D2"/>
    <w:rsid w:val="00154C9A"/>
    <w:rsid w:val="0015595B"/>
    <w:rsid w:val="001824B3"/>
    <w:rsid w:val="001A115B"/>
    <w:rsid w:val="001B56DD"/>
    <w:rsid w:val="00235921"/>
    <w:rsid w:val="00282C0B"/>
    <w:rsid w:val="00292320"/>
    <w:rsid w:val="00295CDC"/>
    <w:rsid w:val="00317469"/>
    <w:rsid w:val="0035047B"/>
    <w:rsid w:val="003B6319"/>
    <w:rsid w:val="004333F5"/>
    <w:rsid w:val="00455129"/>
    <w:rsid w:val="0046148C"/>
    <w:rsid w:val="00462F85"/>
    <w:rsid w:val="0047169D"/>
    <w:rsid w:val="0048464A"/>
    <w:rsid w:val="004A32D1"/>
    <w:rsid w:val="004B5215"/>
    <w:rsid w:val="004F0828"/>
    <w:rsid w:val="00502284"/>
    <w:rsid w:val="00513840"/>
    <w:rsid w:val="00536B02"/>
    <w:rsid w:val="005474D6"/>
    <w:rsid w:val="00571532"/>
    <w:rsid w:val="00571B8C"/>
    <w:rsid w:val="005824B8"/>
    <w:rsid w:val="005866CB"/>
    <w:rsid w:val="005A31CA"/>
    <w:rsid w:val="005A3C2C"/>
    <w:rsid w:val="005E1D73"/>
    <w:rsid w:val="005F6868"/>
    <w:rsid w:val="00662F55"/>
    <w:rsid w:val="006634CB"/>
    <w:rsid w:val="006A56E3"/>
    <w:rsid w:val="006C3E3A"/>
    <w:rsid w:val="006D6B42"/>
    <w:rsid w:val="006F30B4"/>
    <w:rsid w:val="006F7AA4"/>
    <w:rsid w:val="00711019"/>
    <w:rsid w:val="00726C47"/>
    <w:rsid w:val="00727898"/>
    <w:rsid w:val="00755DE3"/>
    <w:rsid w:val="007752F9"/>
    <w:rsid w:val="00792355"/>
    <w:rsid w:val="007A5B96"/>
    <w:rsid w:val="007D3185"/>
    <w:rsid w:val="007F6ED9"/>
    <w:rsid w:val="0081642C"/>
    <w:rsid w:val="00860070"/>
    <w:rsid w:val="00874A73"/>
    <w:rsid w:val="0089025C"/>
    <w:rsid w:val="008D05C6"/>
    <w:rsid w:val="008F0CDE"/>
    <w:rsid w:val="0097406F"/>
    <w:rsid w:val="00A566C7"/>
    <w:rsid w:val="00A71350"/>
    <w:rsid w:val="00A7579F"/>
    <w:rsid w:val="00A977EF"/>
    <w:rsid w:val="00B40BD9"/>
    <w:rsid w:val="00BA31A8"/>
    <w:rsid w:val="00BC4365"/>
    <w:rsid w:val="00C420D6"/>
    <w:rsid w:val="00C45573"/>
    <w:rsid w:val="00C87C9D"/>
    <w:rsid w:val="00C92D4D"/>
    <w:rsid w:val="00D12E3A"/>
    <w:rsid w:val="00D27C57"/>
    <w:rsid w:val="00D33951"/>
    <w:rsid w:val="00D37ACB"/>
    <w:rsid w:val="00D50271"/>
    <w:rsid w:val="00D70ABD"/>
    <w:rsid w:val="00D73DC0"/>
    <w:rsid w:val="00E755C1"/>
    <w:rsid w:val="00E82A6B"/>
    <w:rsid w:val="00EA74D6"/>
    <w:rsid w:val="00EC1C16"/>
    <w:rsid w:val="00EC2366"/>
    <w:rsid w:val="00ED18A3"/>
    <w:rsid w:val="00EE14A2"/>
    <w:rsid w:val="00EE185C"/>
    <w:rsid w:val="00EE2B75"/>
    <w:rsid w:val="00F26C7B"/>
    <w:rsid w:val="00F44D91"/>
    <w:rsid w:val="00F67E0E"/>
    <w:rsid w:val="58275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uiPriority w:val="0"/>
    <w:pPr>
      <w:widowControl/>
      <w:spacing w:after="120" w:afterLines="0"/>
      <w:jc w:val="left"/>
    </w:pPr>
    <w:rPr>
      <w:rFonts w:ascii="Times New Roman" w:hAnsi="Times New Roman"/>
      <w:szCs w:val="24"/>
    </w:rPr>
  </w:style>
  <w:style w:type="paragraph" w:styleId="3">
    <w:name w:val="annotation text"/>
    <w:basedOn w:val="1"/>
    <w:link w:val="14"/>
    <w:semiHidden/>
    <w:unhideWhenUsed/>
    <w:qFormat/>
    <w:uiPriority w:val="99"/>
    <w:pPr>
      <w:jc w:val="left"/>
    </w:p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3"/>
    <w:next w:val="3"/>
    <w:link w:val="15"/>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大纲正文 Char"/>
    <w:link w:val="11"/>
    <w:qFormat/>
    <w:uiPriority w:val="0"/>
    <w:rPr>
      <w:sz w:val="32"/>
    </w:rPr>
  </w:style>
  <w:style w:type="paragraph" w:customStyle="1" w:styleId="11">
    <w:name w:val="大纲正文"/>
    <w:basedOn w:val="1"/>
    <w:link w:val="10"/>
    <w:qFormat/>
    <w:uiPriority w:val="0"/>
    <w:pPr>
      <w:widowControl/>
      <w:spacing w:before="156" w:beforeLines="50" w:after="156" w:afterLines="50" w:line="520" w:lineRule="exact"/>
      <w:ind w:firstLine="640" w:firstLineChars="200"/>
      <w:jc w:val="left"/>
    </w:pPr>
    <w:rPr>
      <w:sz w:val="32"/>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批注文字 字符"/>
    <w:basedOn w:val="8"/>
    <w:link w:val="3"/>
    <w:semiHidden/>
    <w:qFormat/>
    <w:uiPriority w:val="99"/>
  </w:style>
  <w:style w:type="character" w:customStyle="1" w:styleId="15">
    <w:name w:val="批注主题 字符"/>
    <w:basedOn w:val="14"/>
    <w:link w:val="6"/>
    <w:semiHidden/>
    <w:qFormat/>
    <w:uiPriority w:val="99"/>
    <w:rPr>
      <w:b/>
      <w:bCs/>
    </w:rPr>
  </w:style>
  <w:style w:type="character" w:customStyle="1" w:styleId="16">
    <w:name w:val="页脚 Char"/>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864</Words>
  <Characters>4927</Characters>
  <Lines>41</Lines>
  <Paragraphs>11</Paragraphs>
  <TotalTime>1</TotalTime>
  <ScaleCrop>false</ScaleCrop>
  <LinksUpToDate>false</LinksUpToDate>
  <CharactersWithSpaces>5780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2022-01-07T03:10:00Z</dcterms:created>
  <dc:creator>p</dc:creator>
  <cp:lastModifiedBy>Administrator</cp:lastModifiedBy>
  <dcterms:modified xsi:type="dcterms:W3CDTF">2022-01-30T03:19:02Z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4D1432430E544F4091081A09485B4645</vt:lpwstr>
  </property>
</Properties>
</file>