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keepNext w:val="0"/>
        <w:keepLines w:val="0"/>
        <w:pageBreakBefore w:val="0"/>
        <w:kinsoku/>
        <w:wordWrap/>
        <w:overflowPunct/>
        <w:topLinePunct w:val="0"/>
        <w:autoSpaceDE/>
        <w:autoSpaceDN/>
        <w:bidi w:val="0"/>
        <w:spacing w:before="652" w:beforeLines="150" w:after="217" w:afterLines="50" w:line="560" w:lineRule="exact"/>
        <w:ind w:right="-105" w:rightChars="-50"/>
        <w:jc w:val="center"/>
        <w:textAlignment w:val="auto"/>
        <w:rPr>
          <w:rFonts w:ascii="宋体" w:hAnsi="宋体"/>
          <w:sz w:val="44"/>
          <w:szCs w:val="44"/>
        </w:rPr>
      </w:pPr>
      <w:r>
        <w:rPr>
          <w:rFonts w:hint="eastAsia" w:ascii="方正小标宋简体" w:hAnsi="方正小标宋简体" w:eastAsia="方正小标宋简体" w:cs="方正小标宋简体"/>
          <w:b/>
          <w:snapToGrid w:val="0"/>
          <w:sz w:val="44"/>
          <w:szCs w:val="44"/>
        </w:rPr>
        <w:t>大熊猫国家公园（宝兴）熊猫老家入口社区建设项目（二期）情况说明</w:t>
      </w:r>
    </w:p>
    <w:p>
      <w:pPr>
        <w:keepNext w:val="0"/>
        <w:keepLines w:val="0"/>
        <w:pageBreakBefore w:val="0"/>
        <w:kinsoku/>
        <w:wordWrap/>
        <w:overflowPunct/>
        <w:topLinePunct w:val="0"/>
        <w:autoSpaceDE/>
        <w:autoSpaceDN/>
        <w:bidi w:val="0"/>
        <w:spacing w:line="560" w:lineRule="exact"/>
        <w:jc w:val="center"/>
        <w:textAlignment w:val="auto"/>
        <w:rPr>
          <w:rFonts w:ascii="Times New Roman" w:hAnsi="Times New Roman" w:eastAsia="仿宋_GB2312"/>
          <w:sz w:val="32"/>
          <w:szCs w:val="32"/>
        </w:rPr>
      </w:pP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b w:val="0"/>
          <w:bCs w:val="0"/>
          <w:sz w:val="32"/>
          <w:szCs w:val="32"/>
        </w:rPr>
        <w:t>项目基本情况</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楷体_GB2312"/>
          <w:b/>
          <w:sz w:val="32"/>
          <w:szCs w:val="32"/>
        </w:rPr>
      </w:pPr>
      <w:r>
        <w:rPr>
          <w:rFonts w:ascii="Times New Roman" w:hAnsi="Times New Roman" w:eastAsia="楷体_GB2312"/>
          <w:b/>
          <w:sz w:val="32"/>
          <w:szCs w:val="32"/>
        </w:rPr>
        <w:t>（一）</w:t>
      </w:r>
      <w:r>
        <w:rPr>
          <w:rFonts w:hint="eastAsia" w:ascii="Times New Roman" w:hAnsi="Times New Roman" w:eastAsia="楷体_GB2312"/>
          <w:b/>
          <w:sz w:val="32"/>
          <w:szCs w:val="32"/>
        </w:rPr>
        <w:t>市县级</w:t>
      </w:r>
      <w:r>
        <w:rPr>
          <w:rFonts w:ascii="Times New Roman" w:hAnsi="Times New Roman" w:eastAsia="楷体_GB2312"/>
          <w:b/>
          <w:sz w:val="32"/>
          <w:szCs w:val="32"/>
        </w:rPr>
        <w:t>及行业专项规划概况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宝兴县国民经济和社会发展第十三个五年规划纲要》提出：“十三五”时期，充分考虑宝兴县发展的阶段性特征和未来发展的支撑条件，以建设“熊猫老家、多彩宝兴”为总揽，继续实施“追赶跨越”战略，加快建设大熊猫国家公园宝兴示范区，确保提前全面建成小康社会。</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依托宝兴丰富的生物多样性、富集的生态资源、独特的地热温泉资源，积极发展生态旅游。加快重点旅游景区打造。狠抓旅游项目投资，完成达瓦更扎、蜂桶寨.邓池沟、空石林等景区建设，全面提升熊猫古城、东拉山大峡谷、硗碛藏寨.神木垒三个国家4A级景区，切实做好蜂桶寨.邓池沟、空石林国家4A级旅游景区创建工作，确保以多个国家4A级景区为主体，整合夹金山、扑鸡沟、铁坪山等秀美自然景区将宝兴全域联创为国家5A级旅游景区，建成国家生态文化旅游融合发展试验区和国家级全域旅游示范区，争创全国森林旅游示范县，将熊猫老家打造为国际旅游目的地。</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楷体_GB2312"/>
          <w:b/>
          <w:sz w:val="32"/>
          <w:szCs w:val="32"/>
        </w:rPr>
      </w:pPr>
      <w:r>
        <w:rPr>
          <w:rFonts w:ascii="Times New Roman" w:hAnsi="Times New Roman" w:eastAsia="楷体_GB2312"/>
          <w:b/>
          <w:sz w:val="32"/>
          <w:szCs w:val="32"/>
        </w:rPr>
        <w:t>（二）项目情况</w:t>
      </w:r>
    </w:p>
    <w:p>
      <w:pPr>
        <w:keepNext w:val="0"/>
        <w:keepLines w:val="0"/>
        <w:pageBreakBefore w:val="0"/>
        <w:kinsoku/>
        <w:wordWrap/>
        <w:overflowPunct/>
        <w:topLinePunct w:val="0"/>
        <w:autoSpaceDE/>
        <w:autoSpaceDN/>
        <w:bidi w:val="0"/>
        <w:spacing w:line="560" w:lineRule="exact"/>
        <w:ind w:firstLine="562" w:firstLineChars="200"/>
        <w:textAlignment w:val="auto"/>
        <w:rPr>
          <w:rFonts w:ascii="Times New Roman" w:hAnsi="Times New Roman" w:eastAsia="仿宋_GB2312"/>
          <w:b/>
          <w:sz w:val="28"/>
          <w:szCs w:val="28"/>
        </w:rPr>
      </w:pPr>
      <w:r>
        <w:rPr>
          <w:rFonts w:ascii="Times New Roman" w:hAnsi="Times New Roman" w:eastAsia="仿宋_GB2312"/>
          <w:b/>
          <w:sz w:val="28"/>
          <w:szCs w:val="28"/>
        </w:rPr>
        <w:t>1</w:t>
      </w:r>
      <w:r>
        <w:rPr>
          <w:rFonts w:hint="eastAsia" w:ascii="Times New Roman" w:hAnsi="Times New Roman" w:eastAsia="仿宋_GB2312"/>
          <w:b/>
          <w:sz w:val="28"/>
          <w:szCs w:val="28"/>
        </w:rPr>
        <w:t>、</w:t>
      </w:r>
      <w:r>
        <w:rPr>
          <w:rFonts w:ascii="Times New Roman" w:hAnsi="Times New Roman" w:eastAsia="仿宋_GB2312"/>
          <w:b/>
          <w:sz w:val="28"/>
          <w:szCs w:val="28"/>
        </w:rPr>
        <w:t>参与主体</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本项目的实施机构为宝兴县住房和城乡建设局，业主为宝兴县夹金山建设投资有限公司。</w:t>
      </w:r>
    </w:p>
    <w:p>
      <w:pPr>
        <w:keepNext w:val="0"/>
        <w:keepLines w:val="0"/>
        <w:pageBreakBefore w:val="0"/>
        <w:kinsoku/>
        <w:wordWrap/>
        <w:overflowPunct/>
        <w:topLinePunct w:val="0"/>
        <w:autoSpaceDE/>
        <w:autoSpaceDN/>
        <w:bidi w:val="0"/>
        <w:spacing w:line="560" w:lineRule="exact"/>
        <w:ind w:firstLine="562" w:firstLineChars="200"/>
        <w:textAlignment w:val="auto"/>
        <w:rPr>
          <w:rFonts w:ascii="Times New Roman" w:hAnsi="Times New Roman" w:eastAsia="仿宋_GB2312"/>
          <w:b/>
          <w:sz w:val="28"/>
          <w:szCs w:val="28"/>
        </w:rPr>
      </w:pPr>
      <w:r>
        <w:rPr>
          <w:rFonts w:ascii="Times New Roman" w:hAnsi="Times New Roman" w:eastAsia="仿宋_GB2312"/>
          <w:b/>
          <w:sz w:val="28"/>
          <w:szCs w:val="28"/>
        </w:rPr>
        <w:t>2</w:t>
      </w:r>
      <w:r>
        <w:rPr>
          <w:rFonts w:hint="eastAsia" w:ascii="Times New Roman" w:hAnsi="Times New Roman" w:eastAsia="仿宋_GB2312"/>
          <w:b/>
          <w:sz w:val="28"/>
          <w:szCs w:val="28"/>
        </w:rPr>
        <w:t>、</w:t>
      </w:r>
      <w:r>
        <w:rPr>
          <w:rFonts w:ascii="Times New Roman" w:hAnsi="Times New Roman" w:eastAsia="仿宋_GB2312"/>
          <w:b/>
          <w:sz w:val="28"/>
          <w:szCs w:val="28"/>
        </w:rPr>
        <w:t>项目概况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为大熊猫国家公园（宝兴）熊猫老家入口社区建设项目（二期），建设内容主要为熊猫古城景区环境整治提升、古城亮化工程、古城商贸中心、古城科普教育及基地设施工程，属于具有一定收益的公益性事业领域。</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二、经济社会效益分析</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旅游业是集聚“行、游、住、食、购、娱”综合性消费的劳动密集型服务业，行业关联度大，就业成本低，能够提供大量直接和间接的就业机会。根据世界旅游组织测算，旅游部门每增加一个直接就业人员，社会就能增加5个以上的就业岗位。这样通过本项目的建设，既可以解决本地区贫困人口的就业问题，还能为当地部分剩余劳动力提供就业机会。</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必然推动群众素质、物质文明建设的不断改善，将为城市精神文明建设创造必要的物质基础与基本条件，随着社会风气，民俗风情、新闻传播等各种人文现象和文化活动的不断提高，从而有利于群众自身素质的提高和发展，有利于广大群众文明习惯的形成，有利于社会文明风气的巩固，有利于文明城市的建设，塑造美好的城市形象，以促进城市的可持续发展。因此，项目的建设将一定程度地改善当地的人文环境。</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三、项目投资估算及资金筹措方案</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楷体_GB2312"/>
          <w:b/>
          <w:sz w:val="32"/>
          <w:szCs w:val="32"/>
        </w:rPr>
      </w:pPr>
      <w:r>
        <w:rPr>
          <w:rFonts w:ascii="Times New Roman" w:hAnsi="Times New Roman" w:eastAsia="楷体_GB2312"/>
          <w:b/>
          <w:sz w:val="32"/>
          <w:szCs w:val="32"/>
        </w:rPr>
        <w:t>（一）</w:t>
      </w:r>
      <w:r>
        <w:rPr>
          <w:rFonts w:ascii="Times New Roman" w:hAnsi="Times New Roman" w:eastAsia="楷体_GB2312"/>
          <w:b/>
          <w:sz w:val="32"/>
          <w:szCs w:val="32"/>
        </w:rPr>
        <w:tab/>
      </w:r>
      <w:r>
        <w:rPr>
          <w:rFonts w:ascii="Times New Roman" w:hAnsi="Times New Roman" w:eastAsia="楷体_GB2312"/>
          <w:b/>
          <w:sz w:val="32"/>
          <w:szCs w:val="32"/>
        </w:rPr>
        <w:t>投资估算</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本项目计算期16年，建设期2年，经营期14年。项目总投资估算为50000.00万元，其中工程建设费用42305.00万元，工程建设其他费用2533.10万元，预备费2241.90万元，建设期利息2880.00万元，发行费用40.00万元。</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楷体_GB2312"/>
          <w:b/>
          <w:sz w:val="32"/>
          <w:szCs w:val="32"/>
        </w:rPr>
      </w:pPr>
      <w:r>
        <w:rPr>
          <w:rFonts w:ascii="Times New Roman" w:hAnsi="Times New Roman" w:eastAsia="楷体_GB2312"/>
          <w:b/>
          <w:sz w:val="32"/>
          <w:szCs w:val="32"/>
        </w:rPr>
        <w:t>（二）资金筹措方案</w:t>
      </w:r>
    </w:p>
    <w:p>
      <w:pPr>
        <w:keepNext w:val="0"/>
        <w:keepLines w:val="0"/>
        <w:pageBreakBefore w:val="0"/>
        <w:kinsoku/>
        <w:wordWrap/>
        <w:overflowPunct/>
        <w:topLinePunct w:val="0"/>
        <w:autoSpaceDE/>
        <w:autoSpaceDN/>
        <w:bidi w:val="0"/>
        <w:spacing w:line="560" w:lineRule="exact"/>
        <w:ind w:firstLine="562" w:firstLineChars="200"/>
        <w:textAlignment w:val="auto"/>
        <w:rPr>
          <w:rFonts w:ascii="Times New Roman" w:hAnsi="Times New Roman" w:eastAsia="仿宋_GB2312"/>
          <w:b/>
          <w:sz w:val="28"/>
          <w:szCs w:val="32"/>
        </w:rPr>
      </w:pPr>
      <w:r>
        <w:rPr>
          <w:rFonts w:ascii="Times New Roman" w:hAnsi="Times New Roman" w:eastAsia="仿宋_GB2312"/>
          <w:b/>
          <w:sz w:val="28"/>
          <w:szCs w:val="32"/>
        </w:rPr>
        <w:t>1</w:t>
      </w:r>
      <w:r>
        <w:rPr>
          <w:rFonts w:hint="eastAsia" w:ascii="Times New Roman" w:hAnsi="Times New Roman" w:eastAsia="仿宋_GB2312"/>
          <w:b/>
          <w:sz w:val="28"/>
          <w:szCs w:val="32"/>
        </w:rPr>
        <w:t>、</w:t>
      </w:r>
      <w:r>
        <w:rPr>
          <w:rFonts w:ascii="Times New Roman" w:hAnsi="Times New Roman" w:eastAsia="仿宋_GB2312"/>
          <w:b/>
          <w:sz w:val="28"/>
          <w:szCs w:val="32"/>
        </w:rPr>
        <w:t>资金筹集情况</w:t>
      </w:r>
    </w:p>
    <w:p>
      <w:pPr>
        <w:pStyle w:val="2"/>
        <w:keepNext w:val="0"/>
        <w:keepLines w:val="0"/>
        <w:pageBreakBefore w:val="0"/>
        <w:kinsoku/>
        <w:wordWrap/>
        <w:overflowPunct/>
        <w:topLinePunct w:val="0"/>
        <w:autoSpaceDE/>
        <w:autoSpaceDN/>
        <w:bidi w:val="0"/>
        <w:spacing w:before="120" w:after="0" w:line="560" w:lineRule="exact"/>
        <w:ind w:firstLine="640" w:firstLineChars="20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本项目总投资50000.00万元。其中，项目资本金为10000.00万元，占总投资的20%。项目资本金来源于宝兴县财政预算资金，宝兴县财政局已出具说明，为保障项目实施，同意将本项目资本金分年度纳入地方财政预算。拟申请发行15年期地方政府专项债券40000.00万元（预计2021年发行24000.00万元，2022年发行16000.00万元），占总投资的80%，计算期限16年（含2年建设期，建设期只还息不还本），利率为4.5%。</w:t>
      </w:r>
    </w:p>
    <w:p>
      <w:pPr>
        <w:keepNext w:val="0"/>
        <w:keepLines w:val="0"/>
        <w:pageBreakBefore w:val="0"/>
        <w:kinsoku/>
        <w:wordWrap/>
        <w:overflowPunct/>
        <w:topLinePunct w:val="0"/>
        <w:autoSpaceDE/>
        <w:autoSpaceDN/>
        <w:bidi w:val="0"/>
        <w:spacing w:line="560" w:lineRule="exact"/>
        <w:ind w:firstLine="562" w:firstLineChars="200"/>
        <w:textAlignment w:val="auto"/>
        <w:rPr>
          <w:rFonts w:ascii="Times New Roman" w:hAnsi="Times New Roman" w:eastAsia="仿宋_GB2312"/>
          <w:b/>
          <w:sz w:val="28"/>
          <w:szCs w:val="32"/>
        </w:rPr>
      </w:pPr>
      <w:r>
        <w:rPr>
          <w:rFonts w:ascii="Times New Roman" w:hAnsi="Times New Roman" w:eastAsia="仿宋_GB2312"/>
          <w:b/>
          <w:sz w:val="28"/>
          <w:szCs w:val="32"/>
        </w:rPr>
        <w:t>2</w:t>
      </w:r>
      <w:r>
        <w:rPr>
          <w:rFonts w:hint="eastAsia" w:ascii="Times New Roman" w:hAnsi="Times New Roman" w:eastAsia="仿宋_GB2312"/>
          <w:b/>
          <w:sz w:val="28"/>
          <w:szCs w:val="32"/>
        </w:rPr>
        <w:t>、</w:t>
      </w:r>
      <w:r>
        <w:rPr>
          <w:rFonts w:ascii="Times New Roman" w:hAnsi="Times New Roman" w:eastAsia="仿宋_GB2312"/>
          <w:b/>
          <w:sz w:val="28"/>
          <w:szCs w:val="32"/>
        </w:rPr>
        <w:t>资金使用计划</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项目建设期投资50000.00万元，其中建设期第一年计划投资30000.00万元，占项目总投资的60%；建设期第二年计划投资20000.00万元，占项目总投资的40%。</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黑体"/>
          <w:sz w:val="32"/>
          <w:szCs w:val="32"/>
        </w:rPr>
      </w:pPr>
      <w:r>
        <w:rPr>
          <w:rFonts w:ascii="Times New Roman" w:hAnsi="Times New Roman" w:eastAsia="仿宋_GB2312"/>
          <w:sz w:val="32"/>
          <w:szCs w:val="32"/>
        </w:rPr>
        <w:tab/>
      </w:r>
      <w:r>
        <w:rPr>
          <w:rFonts w:ascii="Times New Roman" w:hAnsi="Times New Roman" w:eastAsia="黑体"/>
          <w:sz w:val="32"/>
          <w:szCs w:val="32"/>
        </w:rPr>
        <w:t>四、项目预期收益、成本及融资平衡情况</w:t>
      </w:r>
    </w:p>
    <w:p>
      <w:pPr>
        <w:keepNext w:val="0"/>
        <w:keepLines w:val="0"/>
        <w:pageBreakBefore w:val="0"/>
        <w:kinsoku/>
        <w:wordWrap/>
        <w:overflowPunct/>
        <w:topLinePunct w:val="0"/>
        <w:autoSpaceDE/>
        <w:autoSpaceDN/>
        <w:bidi w:val="0"/>
        <w:spacing w:line="560" w:lineRule="exact"/>
        <w:ind w:firstLine="643" w:firstLineChars="200"/>
        <w:textAlignment w:val="auto"/>
        <w:rPr>
          <w:rFonts w:ascii="Times New Roman" w:hAnsi="Times New Roman" w:eastAsia="楷体_GB2312"/>
          <w:b/>
          <w:sz w:val="32"/>
          <w:szCs w:val="32"/>
        </w:rPr>
      </w:pPr>
      <w:r>
        <w:rPr>
          <w:rFonts w:ascii="Times New Roman" w:hAnsi="Times New Roman" w:eastAsia="楷体_GB2312"/>
          <w:b/>
          <w:sz w:val="32"/>
          <w:szCs w:val="32"/>
        </w:rPr>
        <w:t>（一）预期收益。</w:t>
      </w:r>
    </w:p>
    <w:p>
      <w:pPr>
        <w:keepNext w:val="0"/>
        <w:keepLines w:val="0"/>
        <w:pageBreakBefore w:val="0"/>
        <w:kinsoku/>
        <w:wordWrap/>
        <w:overflowPunct/>
        <w:topLinePunct w:val="0"/>
        <w:autoSpaceDE/>
        <w:autoSpaceDN/>
        <w:bidi w:val="0"/>
        <w:spacing w:line="560" w:lineRule="exact"/>
        <w:ind w:firstLine="562" w:firstLineChars="200"/>
        <w:textAlignment w:val="auto"/>
        <w:rPr>
          <w:rFonts w:ascii="Times New Roman" w:hAnsi="Times New Roman" w:eastAsia="仿宋_GB2312"/>
          <w:b/>
          <w:sz w:val="28"/>
          <w:szCs w:val="32"/>
        </w:rPr>
      </w:pPr>
      <w:r>
        <w:rPr>
          <w:rFonts w:ascii="Times New Roman" w:hAnsi="Times New Roman" w:eastAsia="仿宋_GB2312"/>
          <w:b/>
          <w:sz w:val="28"/>
          <w:szCs w:val="32"/>
        </w:rPr>
        <w:t>1</w:t>
      </w:r>
      <w:r>
        <w:rPr>
          <w:rFonts w:hint="eastAsia" w:ascii="Times New Roman" w:hAnsi="Times New Roman" w:eastAsia="仿宋_GB2312"/>
          <w:b/>
          <w:sz w:val="28"/>
          <w:szCs w:val="32"/>
        </w:rPr>
        <w:t>、</w:t>
      </w:r>
      <w:r>
        <w:rPr>
          <w:rFonts w:ascii="Times New Roman" w:hAnsi="Times New Roman" w:eastAsia="仿宋_GB2312"/>
          <w:b/>
          <w:sz w:val="28"/>
          <w:szCs w:val="32"/>
        </w:rPr>
        <w:t>项目收入</w:t>
      </w:r>
    </w:p>
    <w:p>
      <w:pPr>
        <w:pStyle w:val="2"/>
        <w:keepNext w:val="0"/>
        <w:keepLines w:val="0"/>
        <w:pageBreakBefore w:val="0"/>
        <w:kinsoku/>
        <w:wordWrap/>
        <w:overflowPunct/>
        <w:topLinePunct w:val="0"/>
        <w:autoSpaceDE/>
        <w:autoSpaceDN/>
        <w:bidi w:val="0"/>
        <w:spacing w:before="120" w:after="0" w:line="560" w:lineRule="exact"/>
        <w:ind w:firstLine="561"/>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本项目建成后可获得停车场收入、熊猫古城商贸中心铺面出租收入、熊猫古城科普教育培训收入。本项目经营期收入扣除增值税后合计105818.01万元。</w:t>
      </w:r>
    </w:p>
    <w:p>
      <w:pPr>
        <w:keepNext w:val="0"/>
        <w:keepLines w:val="0"/>
        <w:pageBreakBefore w:val="0"/>
        <w:kinsoku/>
        <w:wordWrap/>
        <w:overflowPunct/>
        <w:topLinePunct w:val="0"/>
        <w:autoSpaceDE/>
        <w:autoSpaceDN/>
        <w:bidi w:val="0"/>
        <w:spacing w:line="560" w:lineRule="exact"/>
        <w:ind w:firstLine="703" w:firstLineChars="250"/>
        <w:textAlignment w:val="auto"/>
        <w:rPr>
          <w:rFonts w:ascii="仿宋" w:hAnsi="仿宋" w:eastAsia="仿宋"/>
          <w:b/>
          <w:sz w:val="28"/>
          <w:szCs w:val="32"/>
        </w:rPr>
      </w:pPr>
      <w:r>
        <w:rPr>
          <w:rFonts w:ascii="仿宋" w:hAnsi="仿宋" w:eastAsia="仿宋"/>
          <w:b/>
          <w:sz w:val="28"/>
          <w:szCs w:val="32"/>
        </w:rPr>
        <w:t>2</w:t>
      </w:r>
      <w:r>
        <w:rPr>
          <w:rFonts w:hint="eastAsia" w:ascii="仿宋" w:hAnsi="仿宋" w:eastAsia="仿宋"/>
          <w:b/>
          <w:sz w:val="28"/>
          <w:szCs w:val="32"/>
        </w:rPr>
        <w:t>、</w:t>
      </w:r>
      <w:r>
        <w:rPr>
          <w:rFonts w:ascii="仿宋" w:hAnsi="仿宋" w:eastAsia="仿宋"/>
          <w:b/>
          <w:sz w:val="28"/>
          <w:szCs w:val="32"/>
        </w:rPr>
        <w:t>项目运营成本</w:t>
      </w:r>
    </w:p>
    <w:p>
      <w:pPr>
        <w:pStyle w:val="2"/>
        <w:keepNext w:val="0"/>
        <w:keepLines w:val="0"/>
        <w:pageBreakBefore w:val="0"/>
        <w:kinsoku/>
        <w:wordWrap/>
        <w:overflowPunct/>
        <w:topLinePunct w:val="0"/>
        <w:autoSpaceDE/>
        <w:autoSpaceDN/>
        <w:bidi w:val="0"/>
        <w:spacing w:before="120" w:after="120" w:line="560" w:lineRule="exact"/>
        <w:ind w:firstLine="56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bookmarkStart w:id="0" w:name="_Hlk41645715"/>
      <w:bookmarkStart w:id="1" w:name="_Hlk44449464"/>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本项目的生产成本主要包括人员工资及福利、管理费用、维护费、销售费用、水电费、水电费、折旧及摊销、财务费用等。</w:t>
      </w:r>
    </w:p>
    <w:p>
      <w:pPr>
        <w:pStyle w:val="2"/>
        <w:keepNext w:val="0"/>
        <w:keepLines w:val="0"/>
        <w:pageBreakBefore w:val="0"/>
        <w:kinsoku/>
        <w:wordWrap/>
        <w:overflowPunct/>
        <w:topLinePunct w:val="0"/>
        <w:autoSpaceDE/>
        <w:autoSpaceDN/>
        <w:bidi w:val="0"/>
        <w:spacing w:before="120" w:after="120" w:line="560" w:lineRule="exact"/>
        <w:ind w:firstLine="560"/>
        <w:textAlignment w:val="auto"/>
        <w:rPr>
          <w:rFonts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（1）经营成本</w:t>
      </w:r>
    </w:p>
    <w:p>
      <w:pPr>
        <w:pStyle w:val="2"/>
        <w:keepNext w:val="0"/>
        <w:keepLines w:val="0"/>
        <w:pageBreakBefore w:val="0"/>
        <w:kinsoku/>
        <w:wordWrap/>
        <w:overflowPunct/>
        <w:topLinePunct w:val="0"/>
        <w:autoSpaceDE/>
        <w:autoSpaceDN/>
        <w:bidi w:val="0"/>
        <w:spacing w:before="120" w:after="120" w:line="560" w:lineRule="exact"/>
        <w:ind w:firstLine="56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bookmarkStart w:id="2" w:name="_Hlk41658713"/>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项目经营成本主要包括人员工资及福利、管理费用、维护费、销售费用、水电费等，合计1348.62万元。</w:t>
      </w:r>
    </w:p>
    <w:bookmarkEnd w:id="2"/>
    <w:p>
      <w:pPr>
        <w:pStyle w:val="2"/>
        <w:keepNext w:val="0"/>
        <w:keepLines w:val="0"/>
        <w:pageBreakBefore w:val="0"/>
        <w:kinsoku/>
        <w:wordWrap/>
        <w:overflowPunct/>
        <w:topLinePunct w:val="0"/>
        <w:autoSpaceDE/>
        <w:autoSpaceDN/>
        <w:bidi w:val="0"/>
        <w:spacing w:before="120" w:after="120" w:line="560" w:lineRule="exact"/>
        <w:ind w:firstLine="560"/>
        <w:textAlignment w:val="auto"/>
        <w:rPr>
          <w:rFonts w:ascii="仿宋" w:hAnsi="仿宋" w:eastAsia="仿宋" w:cs="仿宋"/>
          <w:b/>
          <w:bCs/>
          <w:color w:val="000000" w:themeColor="text1"/>
          <w:sz w:val="28"/>
          <w:szCs w:val="28"/>
          <w14:textFill>
            <w14:solidFill>
              <w14:schemeClr w14:val="tx1"/>
            </w14:solidFill>
          </w14:textFill>
        </w:rPr>
      </w:pPr>
      <w:bookmarkStart w:id="3" w:name="_Hlk41658743"/>
      <w:r>
        <w:rPr>
          <w:rFonts w:hint="eastAsia" w:ascii="仿宋" w:hAnsi="仿宋" w:eastAsia="仿宋" w:cs="仿宋"/>
          <w:b/>
          <w:bCs/>
          <w:color w:val="000000" w:themeColor="text1"/>
          <w:sz w:val="28"/>
          <w:szCs w:val="28"/>
          <w14:textFill>
            <w14:solidFill>
              <w14:schemeClr w14:val="tx1"/>
            </w14:solidFill>
          </w14:textFill>
        </w:rPr>
        <w:t>（2）折旧及摊销</w:t>
      </w:r>
    </w:p>
    <w:p>
      <w:pPr>
        <w:pStyle w:val="2"/>
        <w:keepNext w:val="0"/>
        <w:keepLines w:val="0"/>
        <w:pageBreakBefore w:val="0"/>
        <w:kinsoku/>
        <w:wordWrap/>
        <w:overflowPunct/>
        <w:topLinePunct w:val="0"/>
        <w:autoSpaceDE/>
        <w:autoSpaceDN/>
        <w:bidi w:val="0"/>
        <w:spacing w:before="120" w:after="120" w:line="560" w:lineRule="exact"/>
        <w:ind w:firstLine="560"/>
        <w:textAlignment w:val="auto"/>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建（构）筑物按照20年计提折旧，残值率为5%，年均折旧费2202.46万元，本项目无摊销费。</w:t>
      </w:r>
    </w:p>
    <w:p>
      <w:pPr>
        <w:pStyle w:val="2"/>
        <w:keepNext w:val="0"/>
        <w:keepLines w:val="0"/>
        <w:pageBreakBefore w:val="0"/>
        <w:kinsoku/>
        <w:wordWrap/>
        <w:overflowPunct/>
        <w:topLinePunct w:val="0"/>
        <w:autoSpaceDE/>
        <w:autoSpaceDN/>
        <w:bidi w:val="0"/>
        <w:spacing w:before="0" w:after="0" w:line="560" w:lineRule="exact"/>
        <w:ind w:firstLine="561"/>
        <w:textAlignment w:val="auto"/>
        <w:rPr>
          <w:rFonts w:ascii="仿宋" w:hAnsi="仿宋" w:eastAsia="仿宋" w:cs="仿宋"/>
          <w:b/>
          <w:bCs/>
          <w:color w:val="000000" w:themeColor="text1"/>
          <w:sz w:val="28"/>
          <w:szCs w:val="28"/>
          <w:lang w:val="en-US"/>
          <w14:textFill>
            <w14:solidFill>
              <w14:schemeClr w14:val="tx1"/>
            </w14:solidFill>
          </w14:textFill>
        </w:rPr>
      </w:pPr>
      <w:r>
        <w:rPr>
          <w:rFonts w:hint="eastAsia" w:ascii="仿宋" w:hAnsi="仿宋" w:eastAsia="仿宋" w:cs="仿宋"/>
          <w:b/>
          <w:bCs/>
          <w:color w:val="000000" w:themeColor="text1"/>
          <w:sz w:val="28"/>
          <w:szCs w:val="28"/>
          <w:lang w:val="en-US"/>
          <w14:textFill>
            <w14:solidFill>
              <w14:schemeClr w14:val="tx1"/>
            </w14:solidFill>
          </w14:textFill>
        </w:rPr>
        <w:t>（3）财务费用</w:t>
      </w:r>
    </w:p>
    <w:bookmarkEnd w:id="0"/>
    <w:bookmarkEnd w:id="1"/>
    <w:bookmarkEnd w:id="3"/>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专项债券发行期限为15年，存续期间的利息费用按年利率4.5%估算，经营期发债利息合计3978.00万元。</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综上，项目运营成本共计24120.00万元。</w:t>
      </w:r>
    </w:p>
    <w:p>
      <w:pPr>
        <w:keepNext w:val="0"/>
        <w:keepLines w:val="0"/>
        <w:pageBreakBefore w:val="0"/>
        <w:kinsoku/>
        <w:wordWrap/>
        <w:overflowPunct/>
        <w:topLinePunct w:val="0"/>
        <w:autoSpaceDE/>
        <w:autoSpaceDN/>
        <w:bidi w:val="0"/>
        <w:spacing w:line="560" w:lineRule="exact"/>
        <w:ind w:firstLine="643" w:firstLineChars="200"/>
        <w:jc w:val="left"/>
        <w:textAlignment w:val="auto"/>
        <w:rPr>
          <w:rFonts w:ascii="Times New Roman" w:hAnsi="Times New Roman" w:eastAsia="楷体_GB2312"/>
          <w:b/>
          <w:sz w:val="32"/>
          <w:szCs w:val="32"/>
        </w:rPr>
      </w:pPr>
      <w:r>
        <w:rPr>
          <w:rFonts w:ascii="Times New Roman" w:hAnsi="Times New Roman" w:eastAsia="楷体_GB2312"/>
          <w:b/>
          <w:sz w:val="32"/>
          <w:szCs w:val="32"/>
        </w:rPr>
        <w:t>（二）资金测算平衡情况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bookmarkStart w:id="4" w:name="_Hlk41658894"/>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预计2023年开始进入运营期并能够取得稳定的收入。项目收入足以覆盖当年专项债券本金和利息支出。根据项目现金流量表，计算期内各年现金流入均大于现金流出，每年净现金流量均大于0，计算期内累计净现金流量为23699.40万元。</w:t>
      </w:r>
      <w:bookmarkEnd w:id="4"/>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项目具备财务生存能力，项目在财务上可以被接受。项目资金平衡测算表详见下表。</w:t>
      </w:r>
    </w:p>
    <w:p>
      <w:pPr>
        <w:keepNext w:val="0"/>
        <w:keepLines w:val="0"/>
        <w:pageBreakBefore w:val="0"/>
        <w:kinsoku/>
        <w:wordWrap/>
        <w:overflowPunct/>
        <w:topLinePunct w:val="0"/>
        <w:autoSpaceDE/>
        <w:autoSpaceDN/>
        <w:bidi w:val="0"/>
        <w:spacing w:line="560" w:lineRule="exact"/>
        <w:ind w:firstLine="560" w:firstLineChars="200"/>
        <w:textAlignment w:val="auto"/>
        <w:rPr>
          <w:rFonts w:ascii="仿宋" w:hAnsi="仿宋" w:eastAsia="仿宋"/>
          <w:color w:val="FF0000"/>
          <w:sz w:val="28"/>
          <w:szCs w:val="32"/>
        </w:rPr>
        <w:sectPr>
          <w:headerReference r:id="rId4" w:type="first"/>
          <w:footerReference r:id="rId5" w:type="default"/>
          <w:headerReference r:id="rId3" w:type="even"/>
          <w:footerReference r:id="rId6" w:type="even"/>
          <w:pgSz w:w="11906" w:h="16838"/>
          <w:pgMar w:top="1587" w:right="1418" w:bottom="1588" w:left="1644" w:header="851" w:footer="992" w:gutter="0"/>
          <w:pgNumType w:fmt="numberInDash"/>
          <w:cols w:space="720" w:num="1"/>
          <w:docGrid w:type="lines" w:linePitch="435" w:charSpace="0"/>
        </w:sectPr>
      </w:pPr>
    </w:p>
    <w:p>
      <w:pPr>
        <w:pStyle w:val="2"/>
        <w:keepNext w:val="0"/>
        <w:keepLines w:val="0"/>
        <w:pageBreakBefore w:val="0"/>
        <w:kinsoku/>
        <w:wordWrap/>
        <w:overflowPunct/>
        <w:topLinePunct w:val="0"/>
        <w:autoSpaceDE/>
        <w:autoSpaceDN/>
        <w:bidi w:val="0"/>
        <w:spacing w:before="0" w:after="0" w:line="560" w:lineRule="exact"/>
        <w:ind w:firstLine="0"/>
        <w:jc w:val="center"/>
        <w:textAlignment w:val="auto"/>
        <w:rPr>
          <w:rFonts w:ascii="仿宋" w:hAnsi="仿宋" w:eastAsia="仿宋" w:cs="仿宋"/>
          <w:b/>
          <w:color w:val="000000" w:themeColor="text1"/>
          <w:szCs w:val="24"/>
          <w14:textFill>
            <w14:solidFill>
              <w14:schemeClr w14:val="tx1"/>
            </w14:solidFill>
          </w14:textFill>
        </w:rPr>
      </w:pPr>
      <w:bookmarkStart w:id="5" w:name="_Hlk42109528"/>
      <w:bookmarkStart w:id="6" w:name="_Hlk41659008"/>
      <w:bookmarkStart w:id="7" w:name="_Hlk44449610"/>
      <w:r>
        <w:rPr>
          <w:rFonts w:hint="eastAsia" w:ascii="仿宋" w:hAnsi="仿宋" w:eastAsia="仿宋" w:cs="仿宋"/>
          <w:b/>
          <w:color w:val="000000" w:themeColor="text1"/>
          <w:szCs w:val="24"/>
          <w14:textFill>
            <w14:solidFill>
              <w14:schemeClr w14:val="tx1"/>
            </w14:solidFill>
          </w14:textFill>
        </w:rPr>
        <w:t>项目资金平衡情况表</w:t>
      </w:r>
    </w:p>
    <w:tbl>
      <w:tblPr>
        <w:tblStyle w:val="18"/>
        <w:tblW w:w="133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4"/>
        <w:gridCol w:w="686"/>
        <w:gridCol w:w="778"/>
        <w:gridCol w:w="752"/>
        <w:gridCol w:w="752"/>
        <w:gridCol w:w="686"/>
        <w:gridCol w:w="686"/>
        <w:gridCol w:w="712"/>
        <w:gridCol w:w="712"/>
        <w:gridCol w:w="712"/>
        <w:gridCol w:w="712"/>
        <w:gridCol w:w="712"/>
        <w:gridCol w:w="712"/>
        <w:gridCol w:w="712"/>
        <w:gridCol w:w="712"/>
        <w:gridCol w:w="712"/>
        <w:gridCol w:w="712"/>
        <w:gridCol w:w="752"/>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vAlign w:val="center"/>
          </w:tcPr>
          <w:p>
            <w:pPr>
              <w:keepNext w:val="0"/>
              <w:keepLines w:val="0"/>
              <w:pageBreakBefore w:val="0"/>
              <w:kinsoku/>
              <w:wordWrap/>
              <w:overflowPunct/>
              <w:topLinePunct w:val="0"/>
              <w:autoSpaceDE/>
              <w:autoSpaceDN/>
              <w:bidi w:val="0"/>
              <w:spacing w:line="560" w:lineRule="exact"/>
              <w:jc w:val="center"/>
              <w:textAlignment w:val="auto"/>
              <w:rPr>
                <w:b/>
                <w:bCs/>
                <w:sz w:val="13"/>
                <w:szCs w:val="13"/>
              </w:rPr>
            </w:pPr>
            <w:r>
              <w:rPr>
                <w:rFonts w:hint="eastAsia"/>
                <w:b/>
                <w:bCs/>
                <w:sz w:val="13"/>
                <w:szCs w:val="13"/>
              </w:rPr>
              <w:t>序号</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项目</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合计</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2021年</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2022年</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2023年</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2024年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2025年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2026年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2027年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2028年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2029年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2030年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2031年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2032年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2033年</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2034年</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2035年</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2036年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一</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经营活动</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87819.40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56.25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5429.50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5708.25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5987.02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6478.46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6477.38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6477.38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6461.39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6214.64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6214.64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6431.54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6431.54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6431.54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6587.50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6372.37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1</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现金流入</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110669.78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56.25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6313.75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6705.00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7096.25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7787.50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7787.50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7787.50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8105.88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8105.88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8105.88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8440.13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8440.13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8440.13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8719.00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8719.00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1.1</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停车场收入</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960.00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56.25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63.75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67.50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71.25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1.2</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熊猫古城商贸中心铺面出租</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84538.53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4687.50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5000.00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5312.50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5906.25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5906.25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5906.25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6202.13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6202.13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6202.13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6512.63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6512.63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6512.63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6837.75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6837.75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1.3</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熊猫古城科普教育培训收入</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18450.00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1125.00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1200.00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1275.00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1350.00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1.4</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物业管理费</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6721.25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437.50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437.50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437.50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460.00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460.00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460.00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482.50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482.50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482.50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506.25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506.25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506.25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531.25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531.25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现金流出</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22850.38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884.25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996.75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1109.23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1309.04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1310.12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1310.12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1644.49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1891.24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1891.24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2008.59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2008.59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2008.59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2131.50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2346.63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2.1</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营业成本</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6558.40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411.07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430.65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450.21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484.96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485.15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485.15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485.65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469.96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469.96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485.32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485.32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485.32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501.42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428.26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2.2</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应交增值税</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4851.77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308.35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621.71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621.71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648.70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648.70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648.70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676.95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676.95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2.3</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税金及附加</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485.19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30.84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62.17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62.17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64.87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64.87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64.87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67.70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67.70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2.4</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企业所得税</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10955.02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473.18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566.10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659.02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824.08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824.97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824.97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819.65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737.40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737.40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809.70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809.70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809.70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885.43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1173.72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二</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投资活动</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-47080.00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-28896.00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-18184.00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1</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现金流入</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现金流出</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47080.00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28896.00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18184.00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2.1</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工程建设费用</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42305.00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26031.00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16274.00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2.2</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工程建设其他费</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2533.10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1519.86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1013.24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2.3</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预备费</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2241.90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1345.14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896.76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三</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融资活动</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-17040.00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28896.00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18184.00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-25800.00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-16720.00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1</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现金流入</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50000.00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30000.00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20000.00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1.1</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项目资本金流入</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10000.00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6000.00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4000.00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1.2</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发行债券融资流入</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40000.00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24000.00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16000.00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2</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现金流出</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67040.00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1104.00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1816.00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1800.00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25800.00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16720.00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2.1</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偿还债券本金</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40000.00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24000.00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16000.00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2.2</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支付债券利息</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27000.00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1080.00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1800.00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720.00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sz w:val="13"/>
                <w:szCs w:val="13"/>
              </w:rPr>
            </w:pPr>
            <w:r>
              <w:rPr>
                <w:rFonts w:hint="eastAsia"/>
                <w:sz w:val="13"/>
                <w:szCs w:val="13"/>
              </w:rPr>
              <w:t>2.3</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sz w:val="13"/>
                <w:szCs w:val="13"/>
              </w:rPr>
            </w:pPr>
            <w:r>
              <w:rPr>
                <w:rFonts w:hint="eastAsia"/>
                <w:sz w:val="13"/>
                <w:szCs w:val="13"/>
              </w:rPr>
              <w:t>债券发行费</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40.00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24.00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sz w:val="13"/>
                <w:szCs w:val="13"/>
              </w:rPr>
            </w:pPr>
            <w:r>
              <w:rPr>
                <w:rFonts w:hint="eastAsia" w:ascii="仿宋_GB2312" w:hAnsi="仿宋_GB2312" w:eastAsia="仿宋_GB2312" w:cs="仿宋_GB2312"/>
                <w:sz w:val="13"/>
                <w:szCs w:val="13"/>
              </w:rPr>
              <w:t xml:space="preserve">16.00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五</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期末现金</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23699.40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56.25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60.00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3629.50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3908.25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4187.02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4678.46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4677.38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4677.38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4661.39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4414.64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4414.64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4631.54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4631.54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4631.54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-19212.50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-10347.63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404"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b/>
                <w:bCs/>
                <w:sz w:val="13"/>
                <w:szCs w:val="13"/>
              </w:rPr>
            </w:pPr>
            <w:r>
              <w:rPr>
                <w:rFonts w:hint="eastAsia"/>
                <w:b/>
                <w:bCs/>
                <w:sz w:val="13"/>
                <w:szCs w:val="13"/>
              </w:rPr>
              <w:t>六</w:t>
            </w:r>
          </w:p>
        </w:tc>
        <w:tc>
          <w:tcPr>
            <w:tcW w:w="686" w:type="dxa"/>
            <w:shd w:val="clear" w:color="auto" w:fill="auto"/>
            <w:vAlign w:val="center"/>
          </w:tcPr>
          <w:p>
            <w:pPr>
              <w:keepNext w:val="0"/>
              <w:keepLines w:val="0"/>
              <w:pageBreakBefore w:val="0"/>
              <w:kinsoku/>
              <w:wordWrap/>
              <w:overflowPunct/>
              <w:topLinePunct w:val="0"/>
              <w:autoSpaceDE/>
              <w:autoSpaceDN/>
              <w:bidi w:val="0"/>
              <w:spacing w:line="560" w:lineRule="exact"/>
              <w:textAlignment w:val="auto"/>
              <w:rPr>
                <w:rFonts w:hint="eastAsia"/>
                <w:b/>
                <w:bCs/>
                <w:sz w:val="13"/>
                <w:szCs w:val="13"/>
              </w:rPr>
            </w:pPr>
            <w:r>
              <w:rPr>
                <w:rFonts w:hint="eastAsia"/>
                <w:b/>
                <w:bCs/>
                <w:sz w:val="13"/>
                <w:szCs w:val="13"/>
              </w:rPr>
              <w:t>累计盈余资金</w:t>
            </w:r>
          </w:p>
        </w:tc>
        <w:tc>
          <w:tcPr>
            <w:tcW w:w="778"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23699.40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56.25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116.25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3745.75 </w:t>
            </w:r>
          </w:p>
        </w:tc>
        <w:tc>
          <w:tcPr>
            <w:tcW w:w="686"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7654.00 </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11841.02</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16519.48</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21196.86</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25874.24</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30535.63</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34950.27</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39364.91</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43996.45</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48627.99</w:t>
            </w:r>
          </w:p>
        </w:tc>
        <w:tc>
          <w:tcPr>
            <w:tcW w:w="71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53259.53</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34047.03 </w:t>
            </w:r>
          </w:p>
        </w:tc>
        <w:tc>
          <w:tcPr>
            <w:tcW w:w="752" w:type="dxa"/>
            <w:shd w:val="clear" w:color="auto" w:fill="auto"/>
            <w:noWrap/>
            <w:vAlign w:val="center"/>
          </w:tcPr>
          <w:p>
            <w:pPr>
              <w:keepNext w:val="0"/>
              <w:keepLines w:val="0"/>
              <w:pageBreakBefore w:val="0"/>
              <w:kinsoku/>
              <w:wordWrap/>
              <w:overflowPunct/>
              <w:topLinePunct w:val="0"/>
              <w:autoSpaceDE/>
              <w:autoSpaceDN/>
              <w:bidi w:val="0"/>
              <w:spacing w:line="560" w:lineRule="exact"/>
              <w:jc w:val="center"/>
              <w:textAlignment w:val="auto"/>
              <w:rPr>
                <w:rFonts w:hint="eastAsia" w:ascii="仿宋_GB2312" w:hAnsi="仿宋_GB2312" w:eastAsia="仿宋_GB2312" w:cs="仿宋_GB2312"/>
                <w:b/>
                <w:bCs/>
                <w:sz w:val="13"/>
                <w:szCs w:val="13"/>
              </w:rPr>
            </w:pPr>
            <w:r>
              <w:rPr>
                <w:rFonts w:hint="eastAsia" w:ascii="仿宋_GB2312" w:hAnsi="仿宋_GB2312" w:eastAsia="仿宋_GB2312" w:cs="仿宋_GB2312"/>
                <w:b/>
                <w:bCs/>
                <w:sz w:val="13"/>
                <w:szCs w:val="13"/>
              </w:rPr>
              <w:t xml:space="preserve">23699.40 </w:t>
            </w:r>
          </w:p>
        </w:tc>
      </w:tr>
    </w:tbl>
    <w:p>
      <w:pPr>
        <w:pStyle w:val="2"/>
        <w:keepNext w:val="0"/>
        <w:keepLines w:val="0"/>
        <w:pageBreakBefore w:val="0"/>
        <w:kinsoku/>
        <w:wordWrap/>
        <w:overflowPunct/>
        <w:topLinePunct w:val="0"/>
        <w:autoSpaceDE/>
        <w:autoSpaceDN/>
        <w:bidi w:val="0"/>
        <w:spacing w:before="0" w:after="0" w:line="560" w:lineRule="exact"/>
        <w:ind w:firstLine="0"/>
        <w:jc w:val="center"/>
        <w:textAlignment w:val="auto"/>
        <w:rPr>
          <w:rFonts w:ascii="仿宋" w:hAnsi="仿宋" w:eastAsia="仿宋" w:cs="仿宋"/>
          <w:b/>
          <w:color w:val="000000" w:themeColor="text1"/>
          <w:szCs w:val="24"/>
          <w14:textFill>
            <w14:solidFill>
              <w14:schemeClr w14:val="tx1"/>
            </w14:solidFill>
          </w14:textFill>
        </w:rPr>
      </w:pPr>
    </w:p>
    <w:bookmarkEnd w:id="5"/>
    <w:bookmarkEnd w:id="6"/>
    <w:bookmarkEnd w:id="7"/>
    <w:p>
      <w:pPr>
        <w:keepNext w:val="0"/>
        <w:keepLines w:val="0"/>
        <w:pageBreakBefore w:val="0"/>
        <w:kinsoku/>
        <w:wordWrap/>
        <w:overflowPunct/>
        <w:topLinePunct w:val="0"/>
        <w:autoSpaceDE/>
        <w:autoSpaceDN/>
        <w:bidi w:val="0"/>
        <w:spacing w:after="217" w:afterLines="50" w:line="560" w:lineRule="exact"/>
        <w:jc w:val="center"/>
        <w:textAlignment w:val="auto"/>
        <w:rPr>
          <w:rFonts w:ascii="仿宋" w:hAnsi="仿宋" w:eastAsia="仿宋"/>
          <w:b/>
          <w:color w:val="FF0000"/>
          <w:sz w:val="24"/>
        </w:rPr>
      </w:pP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_GB2312"/>
          <w:color w:val="FF0000"/>
          <w:sz w:val="32"/>
          <w:szCs w:val="32"/>
        </w:rPr>
        <w:sectPr>
          <w:pgSz w:w="16838" w:h="11906" w:orient="landscape"/>
          <w:pgMar w:top="1644" w:right="2098" w:bottom="1418" w:left="1588" w:header="851" w:footer="992" w:gutter="0"/>
          <w:pgNumType w:fmt="numberInDash"/>
          <w:cols w:space="720" w:num="1"/>
          <w:docGrid w:type="lines" w:linePitch="435" w:charSpace="0"/>
        </w:sectPr>
      </w:pP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五、项目绩效目标</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Times New Roman" w:hAnsi="Times New Roman" w:eastAsia="楷体_GB2312"/>
          <w:b/>
          <w:sz w:val="32"/>
          <w:szCs w:val="32"/>
          <w:lang w:val="en-US" w:eastAsia="zh-CN"/>
        </w:rPr>
      </w:pPr>
      <w:r>
        <w:rPr>
          <w:rFonts w:hint="eastAsia" w:ascii="Times New Roman" w:hAnsi="Times New Roman" w:eastAsia="楷体_GB2312"/>
          <w:b/>
          <w:sz w:val="32"/>
          <w:szCs w:val="32"/>
          <w:lang w:val="en-US"/>
        </w:rPr>
        <w:t>（一）</w:t>
      </w:r>
      <w:r>
        <w:rPr>
          <w:rFonts w:hint="eastAsia" w:ascii="Times New Roman" w:hAnsi="Times New Roman" w:eastAsia="楷体_GB2312"/>
          <w:b/>
          <w:sz w:val="32"/>
          <w:szCs w:val="32"/>
          <w:lang w:val="en-US" w:eastAsia="zh-CN"/>
        </w:rPr>
        <w:t>产出目标</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数量目标：</w:t>
      </w:r>
      <w:r>
        <w:rPr>
          <w:rFonts w:hint="eastAsia" w:ascii="仿宋_GB2312" w:hAnsi="仿宋_GB2312" w:eastAsia="仿宋_GB2312" w:cs="仿宋_GB2312"/>
          <w:color w:val="000000" w:themeColor="text1"/>
          <w:sz w:val="32"/>
          <w:szCs w:val="32"/>
          <w:lang w:val="en-US"/>
          <w14:textFill>
            <w14:solidFill>
              <w14:schemeClr w14:val="tx1"/>
            </w14:solidFill>
          </w14:textFill>
        </w:rPr>
        <w:t>新建古城商贸中心，红军广场改建，熊猫古城科普教育及配套设施建设，熊猫古城景区内亮化、环境整治提升，熊猫古城至蜂桶寨沿线环境整治。</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质量目标：符合验收标准，达到行业基本水平。</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时效目标：本项目建设期2年，严格执行工程建设程序，合理有序地安排项目建设进度。</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成本指标：本项目总投资50000万元。</w:t>
      </w:r>
    </w:p>
    <w:p>
      <w:pPr>
        <w:pStyle w:val="2"/>
        <w:keepNext w:val="0"/>
        <w:keepLines w:val="0"/>
        <w:pageBreakBefore w:val="0"/>
        <w:kinsoku/>
        <w:wordWrap/>
        <w:overflowPunct/>
        <w:topLinePunct w:val="0"/>
        <w:autoSpaceDE/>
        <w:autoSpaceDN/>
        <w:bidi w:val="0"/>
        <w:spacing w:line="560" w:lineRule="exact"/>
        <w:textAlignment w:val="auto"/>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（二）效益目标</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经济效益目标：项目建设后，可实现项目收入为停车场收入、熊猫古城商贸中心铺面出租收入、熊猫古城科普教育培训收入。</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社会效益目标：项目的建设将有利于吸引人们前来旅游消费，将推动饮食业、旅游业、商业、酒店等相关行业的发展，并将提高当地老百姓集聚力和承载力，有利于宝兴县精准扶贫工作开展。</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可持续影响目标：保障地方经济可持续发展。</w:t>
      </w:r>
    </w:p>
    <w:p>
      <w:pPr>
        <w:pStyle w:val="2"/>
        <w:keepNext w:val="0"/>
        <w:keepLines w:val="0"/>
        <w:pageBreakBefore w:val="0"/>
        <w:kinsoku/>
        <w:wordWrap/>
        <w:overflowPunct/>
        <w:topLinePunct w:val="0"/>
        <w:autoSpaceDE/>
        <w:autoSpaceDN/>
        <w:bidi w:val="0"/>
        <w:spacing w:line="560" w:lineRule="exact"/>
        <w:textAlignment w:val="auto"/>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（三）满意度目标</w:t>
      </w:r>
    </w:p>
    <w:p>
      <w:pPr>
        <w:pStyle w:val="2"/>
        <w:keepNext w:val="0"/>
        <w:keepLines w:val="0"/>
        <w:pageBreakBefore w:val="0"/>
        <w:kinsoku/>
        <w:wordWrap/>
        <w:overflowPunct/>
        <w:topLinePunct w:val="0"/>
        <w:autoSpaceDE/>
        <w:autoSpaceDN/>
        <w:bidi w:val="0"/>
        <w:spacing w:line="560" w:lineRule="exact"/>
        <w:textAlignment w:val="auto"/>
        <w:rPr>
          <w:rFonts w:hint="eastAsia"/>
          <w:lang w:val="en-US" w:eastAsia="zh-CN"/>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服务对象满意度目标：通过问卷调查等手段，获取满意度达到“良好/满意/80分”及以上。</w:t>
      </w:r>
    </w:p>
    <w:p>
      <w:pPr>
        <w:keepNext w:val="0"/>
        <w:keepLines w:val="0"/>
        <w:pageBreakBefore w:val="0"/>
        <w:kinsoku/>
        <w:wordWrap/>
        <w:overflowPunct/>
        <w:topLinePunct w:val="0"/>
        <w:autoSpaceDE/>
        <w:autoSpaceDN/>
        <w:bidi w:val="0"/>
        <w:spacing w:line="560" w:lineRule="exact"/>
        <w:ind w:firstLine="645"/>
        <w:textAlignment w:val="auto"/>
        <w:rPr>
          <w:rFonts w:ascii="Times New Roman" w:hAnsi="Times New Roman" w:eastAsia="仿宋_GB2312"/>
          <w:sz w:val="32"/>
          <w:szCs w:val="32"/>
        </w:rPr>
      </w:pPr>
      <w:r>
        <w:rPr>
          <w:rFonts w:ascii="Times New Roman" w:hAnsi="Times New Roman" w:eastAsia="黑体"/>
          <w:sz w:val="32"/>
          <w:szCs w:val="32"/>
        </w:rPr>
        <w:t>六、潜在影响项目的风险评估</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影响项目施工进度或正常运营的风险因素主要包括自然环境和施工技术、管理方案、设计单位设计内容、供应商的交付质量和时间以及资金落实不到位等。针对以上风险，一是加强风险因素预判，提前制定解决方案；二是加强过程管理，及时发现和解决问题；三是严格筛选项目参与主体；四是做好风险转移准备工作。</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影响项目收益的风险主要是市场风险和财务风险。要求项目管理单位密切关注游客数量变化情况，保证还本付息资金。因项目取得的政府性基金预算收入和专项收入暂时难以实现，不能偿还到期债券本金时，可在专项债务限额内发行相关专项债券周转偿还，项目收入实现后予以归还。</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仿宋_GB2312"/>
          <w:sz w:val="32"/>
          <w:szCs w:val="32"/>
        </w:rPr>
      </w:pPr>
      <w:r>
        <w:rPr>
          <w:rFonts w:ascii="Times New Roman" w:hAnsi="Times New Roman" w:eastAsia="黑体"/>
          <w:sz w:val="32"/>
          <w:szCs w:val="32"/>
        </w:rPr>
        <w:t>七、还款保障情况</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八、项目</w:t>
      </w:r>
      <w:r>
        <w:rPr>
          <w:rFonts w:hint="eastAsia" w:ascii="Times New Roman" w:hAnsi="Times New Roman" w:eastAsia="黑体"/>
          <w:sz w:val="32"/>
          <w:szCs w:val="32"/>
          <w:lang w:eastAsia="zh-CN"/>
        </w:rPr>
        <w:t>主管部门和项目单位职责</w:t>
      </w:r>
    </w:p>
    <w:p>
      <w:pPr>
        <w:keepNext w:val="0"/>
        <w:keepLines w:val="0"/>
        <w:pageBreakBefore w:val="0"/>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000000" w:themeColor="text1"/>
          <w:sz w:val="32"/>
          <w:szCs w:val="32"/>
          <w:lang w:val="en-US"/>
          <w14:textFill>
            <w14:solidFill>
              <w14:schemeClr w14:val="tx1"/>
            </w14:solidFill>
          </w14:textFill>
        </w:rPr>
      </w:pPr>
      <w:r>
        <w:rPr>
          <w:rFonts w:hint="eastAsia" w:ascii="仿宋_GB2312" w:hAnsi="仿宋_GB2312" w:eastAsia="仿宋_GB2312" w:cs="仿宋_GB2312"/>
          <w:color w:val="000000" w:themeColor="text1"/>
          <w:sz w:val="32"/>
          <w:szCs w:val="32"/>
          <w:lang w:val="en-US"/>
          <w14:textFill>
            <w14:solidFill>
              <w14:schemeClr w14:val="tx1"/>
            </w14:solidFill>
          </w14:textFill>
        </w:rPr>
        <w:t>本项目主管部门为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宝兴县住房和城乡建设局</w:t>
      </w:r>
      <w:r>
        <w:rPr>
          <w:rFonts w:hint="eastAsia" w:ascii="仿宋_GB2312" w:hAnsi="仿宋_GB2312" w:eastAsia="仿宋_GB2312" w:cs="仿宋_GB2312"/>
          <w:color w:val="000000" w:themeColor="text1"/>
          <w:sz w:val="32"/>
          <w:szCs w:val="32"/>
          <w:lang w:val="en-US"/>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具体职责是对</w:t>
      </w:r>
      <w:r>
        <w:rPr>
          <w:rFonts w:hint="eastAsia" w:ascii="仿宋_GB2312" w:hAnsi="仿宋_GB2312" w:eastAsia="仿宋_GB2312" w:cs="仿宋_GB2312"/>
          <w:color w:val="000000" w:themeColor="text1"/>
          <w:sz w:val="32"/>
          <w:szCs w:val="32"/>
          <w:lang w:val="en-US"/>
          <w14:textFill>
            <w14:solidFill>
              <w14:schemeClr w14:val="tx1"/>
            </w14:solidFill>
          </w14:textFill>
        </w:rPr>
        <w:t>项目已编制建设计划，协助实施机构筹集财政资金和专项债券资金，按照专项债券管理要求并根据该项</w:t>
      </w:r>
      <w:bookmarkStart w:id="8" w:name="_GoBack"/>
      <w:bookmarkEnd w:id="8"/>
      <w:r>
        <w:rPr>
          <w:rFonts w:hint="eastAsia" w:ascii="仿宋_GB2312" w:hAnsi="仿宋_GB2312" w:eastAsia="仿宋_GB2312" w:cs="仿宋_GB2312"/>
          <w:color w:val="000000" w:themeColor="text1"/>
          <w:sz w:val="32"/>
          <w:szCs w:val="32"/>
          <w:lang w:val="en-US"/>
          <w14:textFill>
            <w14:solidFill>
              <w14:schemeClr w14:val="tx1"/>
            </w14:solidFill>
          </w14:textFill>
        </w:rPr>
        <w:t>目实施进度，结合实际建立项目跟踪和资金审批机制，认真审核项目资金需求，配合财政做好该项目专项债券发行各项准备工作，全力支持和推进项目实施，确保专项债券到期后，项目收入或收益全部覆盖已发行债券本息。</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 w:hAnsi="仿宋" w:eastAsia="仿宋" w:cs="仿宋"/>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32"/>
          <w:szCs w:val="32"/>
          <w:lang w:val="en-US"/>
          <w14:textFill>
            <w14:solidFill>
              <w14:schemeClr w14:val="tx1"/>
            </w14:solidFill>
          </w14:textFill>
        </w:rPr>
        <w:t>本项目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单位为宝兴县夹金山建设投资有限公司，具体职责是负责项目具体实施计划编制，制定项目绩效目标，按计划推进项目实施进度，按建设标准、建设质量等要求完成项目建设的所有内容，按期完成工程建设任务。项目建成后，做好资产移交工作，积极协调或及时收取项目运营收入，用于债券项目还本付息。</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黑体"/>
          <w:sz w:val="32"/>
          <w:szCs w:val="32"/>
        </w:rPr>
      </w:pPr>
      <w:r>
        <w:rPr>
          <w:rFonts w:hint="eastAsia" w:ascii="Times New Roman" w:hAnsi="Times New Roman" w:eastAsia="黑体"/>
          <w:sz w:val="32"/>
          <w:szCs w:val="32"/>
        </w:rPr>
        <w:t>九、补充说明</w:t>
      </w:r>
    </w:p>
    <w:p>
      <w:pPr>
        <w:keepNext w:val="0"/>
        <w:keepLines w:val="0"/>
        <w:pageBreakBefore w:val="0"/>
        <w:kinsoku/>
        <w:wordWrap/>
        <w:overflowPunct/>
        <w:topLinePunct w:val="0"/>
        <w:autoSpaceDE/>
        <w:autoSpaceDN/>
        <w:bidi w:val="0"/>
        <w:spacing w:line="560" w:lineRule="exact"/>
        <w:ind w:firstLine="640" w:firstLineChars="200"/>
        <w:textAlignment w:val="auto"/>
        <w:rPr>
          <w:rFonts w:ascii="仿宋" w:hAnsi="仿宋" w:eastAsia="仿宋" w:cs="仿宋"/>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根据原发行计划及额度安排，此项目计划于2021年发行24000万元，因地方政府债务限额管理要求和项目实施进展情况等原因未发行。调整后本次拟发行6000万元，期限10年，该项目实施内容及收益来源未发生变动，在不超过债券总需求情况下，债券分批次跨年发行对项目整体融资平衡不构成实质影响。</w:t>
      </w:r>
    </w:p>
    <w:p>
      <w:pPr>
        <w:keepNext w:val="0"/>
        <w:keepLines w:val="0"/>
        <w:pageBreakBefore w:val="0"/>
        <w:kinsoku/>
        <w:wordWrap/>
        <w:overflowPunct/>
        <w:topLinePunct w:val="0"/>
        <w:autoSpaceDE/>
        <w:autoSpaceDN/>
        <w:bidi w:val="0"/>
        <w:spacing w:line="560" w:lineRule="exact"/>
        <w:ind w:firstLine="640" w:firstLineChars="200"/>
        <w:textAlignment w:val="auto"/>
        <w:rPr>
          <w:rFonts w:ascii="Times New Roman" w:hAnsi="Times New Roman" w:eastAsia="黑体"/>
          <w:color w:val="FF0000"/>
          <w:sz w:val="32"/>
          <w:szCs w:val="32"/>
        </w:rPr>
      </w:pPr>
    </w:p>
    <w:sectPr>
      <w:pgSz w:w="11906" w:h="16838"/>
      <w:pgMar w:top="2098" w:right="1418" w:bottom="1588" w:left="1644" w:header="851" w:footer="992"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0"/>
    <w:family w:val="auto"/>
    <w:pitch w:val="default"/>
    <w:sig w:usb0="00000000" w:usb1="00000000" w:usb2="00000000" w:usb3="00000000" w:csb0="80000000" w:csb1="00000000"/>
  </w:font>
  <w:font w:name="Bookshelf Symbol 7">
    <w:panose1 w:val="05010101010101010101"/>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8 -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488"/>
    <w:rsid w:val="000143DF"/>
    <w:rsid w:val="00041433"/>
    <w:rsid w:val="0009330D"/>
    <w:rsid w:val="000975D2"/>
    <w:rsid w:val="000B4C75"/>
    <w:rsid w:val="000B6A96"/>
    <w:rsid w:val="001B7E37"/>
    <w:rsid w:val="001C3528"/>
    <w:rsid w:val="001C5446"/>
    <w:rsid w:val="001E15B0"/>
    <w:rsid w:val="002240CF"/>
    <w:rsid w:val="002257FC"/>
    <w:rsid w:val="002851E1"/>
    <w:rsid w:val="00295864"/>
    <w:rsid w:val="0029678D"/>
    <w:rsid w:val="002E537B"/>
    <w:rsid w:val="003313FB"/>
    <w:rsid w:val="0033152C"/>
    <w:rsid w:val="00363144"/>
    <w:rsid w:val="0037405E"/>
    <w:rsid w:val="003A2C60"/>
    <w:rsid w:val="003B0F1F"/>
    <w:rsid w:val="003F36C5"/>
    <w:rsid w:val="00424991"/>
    <w:rsid w:val="00451610"/>
    <w:rsid w:val="004A3689"/>
    <w:rsid w:val="004C6516"/>
    <w:rsid w:val="00513B20"/>
    <w:rsid w:val="005214DF"/>
    <w:rsid w:val="00551DEE"/>
    <w:rsid w:val="005B3CD3"/>
    <w:rsid w:val="005B6DB9"/>
    <w:rsid w:val="005C4DA8"/>
    <w:rsid w:val="005D07FE"/>
    <w:rsid w:val="005D2D83"/>
    <w:rsid w:val="005D5AD6"/>
    <w:rsid w:val="0062650B"/>
    <w:rsid w:val="0067327B"/>
    <w:rsid w:val="00686FDF"/>
    <w:rsid w:val="006955A2"/>
    <w:rsid w:val="00696C87"/>
    <w:rsid w:val="00747BC4"/>
    <w:rsid w:val="00776904"/>
    <w:rsid w:val="0079416D"/>
    <w:rsid w:val="007E02F3"/>
    <w:rsid w:val="007E4DD5"/>
    <w:rsid w:val="00831C65"/>
    <w:rsid w:val="00842F4A"/>
    <w:rsid w:val="0087790B"/>
    <w:rsid w:val="00896D54"/>
    <w:rsid w:val="008B4F3B"/>
    <w:rsid w:val="008C3E90"/>
    <w:rsid w:val="008D3B1E"/>
    <w:rsid w:val="008F5E63"/>
    <w:rsid w:val="009579EE"/>
    <w:rsid w:val="009603FD"/>
    <w:rsid w:val="009911A7"/>
    <w:rsid w:val="009C6AAA"/>
    <w:rsid w:val="009D34A8"/>
    <w:rsid w:val="00A12BA5"/>
    <w:rsid w:val="00A30488"/>
    <w:rsid w:val="00A315CB"/>
    <w:rsid w:val="00A42410"/>
    <w:rsid w:val="00A8782D"/>
    <w:rsid w:val="00AB191F"/>
    <w:rsid w:val="00AE05F3"/>
    <w:rsid w:val="00AE3AF0"/>
    <w:rsid w:val="00B2478A"/>
    <w:rsid w:val="00B8176C"/>
    <w:rsid w:val="00B94930"/>
    <w:rsid w:val="00B9771B"/>
    <w:rsid w:val="00BB2DA1"/>
    <w:rsid w:val="00BB5681"/>
    <w:rsid w:val="00BE0D13"/>
    <w:rsid w:val="00C60C7F"/>
    <w:rsid w:val="00C72FB1"/>
    <w:rsid w:val="00CA4458"/>
    <w:rsid w:val="00CE77D0"/>
    <w:rsid w:val="00D51DD1"/>
    <w:rsid w:val="00D53FC1"/>
    <w:rsid w:val="00D76448"/>
    <w:rsid w:val="00D825E0"/>
    <w:rsid w:val="00D82702"/>
    <w:rsid w:val="00D91E91"/>
    <w:rsid w:val="00D96071"/>
    <w:rsid w:val="00DC7A93"/>
    <w:rsid w:val="00DD0E08"/>
    <w:rsid w:val="00E26FF5"/>
    <w:rsid w:val="00E458CB"/>
    <w:rsid w:val="00E8569C"/>
    <w:rsid w:val="00EF6BFA"/>
    <w:rsid w:val="00F00E5E"/>
    <w:rsid w:val="00F13090"/>
    <w:rsid w:val="00F21BBF"/>
    <w:rsid w:val="00F24669"/>
    <w:rsid w:val="00F30905"/>
    <w:rsid w:val="00F53DD2"/>
    <w:rsid w:val="00F60EFC"/>
    <w:rsid w:val="00F65BD6"/>
    <w:rsid w:val="00FB6F81"/>
    <w:rsid w:val="00FE6F6F"/>
    <w:rsid w:val="00FE7F3D"/>
    <w:rsid w:val="00FF2D73"/>
    <w:rsid w:val="00FF5B8D"/>
    <w:rsid w:val="00FF625A"/>
    <w:rsid w:val="1E725959"/>
    <w:rsid w:val="4537168D"/>
    <w:rsid w:val="476D106C"/>
    <w:rsid w:val="47C51028"/>
    <w:rsid w:val="5AD252C7"/>
    <w:rsid w:val="5EB81493"/>
    <w:rsid w:val="65490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1"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3"/>
    <w:qFormat/>
    <w:uiPriority w:val="1"/>
    <w:pPr>
      <w:widowControl/>
      <w:ind w:left="122"/>
      <w:jc w:val="left"/>
      <w:outlineLvl w:val="0"/>
    </w:pPr>
    <w:rPr>
      <w:rFonts w:ascii="楷体" w:hAnsi="楷体" w:eastAsia="楷体" w:cs="楷体"/>
      <w:b/>
      <w:bCs/>
      <w:kern w:val="0"/>
      <w:sz w:val="32"/>
      <w:szCs w:val="32"/>
      <w:lang w:val="zh-CN" w:bidi="zh-CN"/>
    </w:rPr>
  </w:style>
  <w:style w:type="paragraph" w:styleId="4">
    <w:name w:val="heading 2"/>
    <w:basedOn w:val="1"/>
    <w:next w:val="5"/>
    <w:link w:val="24"/>
    <w:unhideWhenUsed/>
    <w:qFormat/>
    <w:uiPriority w:val="0"/>
    <w:pPr>
      <w:keepNext/>
      <w:keepLines/>
      <w:widowControl/>
      <w:spacing w:before="260" w:after="260" w:line="413" w:lineRule="auto"/>
      <w:jc w:val="left"/>
      <w:outlineLvl w:val="1"/>
    </w:pPr>
    <w:rPr>
      <w:rFonts w:ascii="Arial" w:hAnsi="Arial" w:eastAsia="黑体"/>
      <w:b/>
      <w:kern w:val="0"/>
      <w:sz w:val="32"/>
      <w:szCs w:val="24"/>
    </w:rPr>
  </w:style>
  <w:style w:type="paragraph" w:styleId="6">
    <w:name w:val="heading 3"/>
    <w:basedOn w:val="4"/>
    <w:next w:val="1"/>
    <w:link w:val="25"/>
    <w:qFormat/>
    <w:uiPriority w:val="0"/>
    <w:pPr>
      <w:widowControl w:val="0"/>
      <w:spacing w:line="416" w:lineRule="auto"/>
      <w:jc w:val="both"/>
      <w:outlineLvl w:val="2"/>
    </w:pPr>
    <w:rPr>
      <w:szCs w:val="3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27"/>
    <w:qFormat/>
    <w:uiPriority w:val="1"/>
    <w:pPr>
      <w:widowControl/>
      <w:adjustRightInd w:val="0"/>
      <w:snapToGrid w:val="0"/>
      <w:spacing w:before="150" w:after="150" w:line="264" w:lineRule="auto"/>
      <w:ind w:firstLine="567"/>
    </w:pPr>
    <w:rPr>
      <w:rFonts w:ascii="华文楷体" w:hAnsi="华文楷体" w:eastAsia="LF_Kai" w:cstheme="minorBidi"/>
      <w:sz w:val="24"/>
      <w:lang w:val="en-GB"/>
    </w:rPr>
  </w:style>
  <w:style w:type="paragraph" w:styleId="5">
    <w:name w:val="Normal Indent"/>
    <w:basedOn w:val="1"/>
    <w:qFormat/>
    <w:uiPriority w:val="0"/>
    <w:pPr>
      <w:widowControl/>
      <w:ind w:firstLine="420"/>
      <w:jc w:val="left"/>
    </w:pPr>
    <w:rPr>
      <w:rFonts w:ascii="宋体" w:hAnsi="宋体" w:cs="宋体"/>
      <w:kern w:val="0"/>
      <w:sz w:val="24"/>
      <w:szCs w:val="20"/>
    </w:rPr>
  </w:style>
  <w:style w:type="paragraph" w:styleId="7">
    <w:name w:val="annotation text"/>
    <w:basedOn w:val="1"/>
    <w:link w:val="26"/>
    <w:unhideWhenUsed/>
    <w:qFormat/>
    <w:uiPriority w:val="0"/>
    <w:pPr>
      <w:jc w:val="left"/>
    </w:pPr>
    <w:rPr>
      <w:rFonts w:ascii="Times New Roman" w:hAnsi="Times New Roman"/>
      <w:sz w:val="28"/>
      <w:szCs w:val="21"/>
    </w:rPr>
  </w:style>
  <w:style w:type="paragraph" w:styleId="8">
    <w:name w:val="Body Text Indent"/>
    <w:basedOn w:val="1"/>
    <w:link w:val="35"/>
    <w:unhideWhenUsed/>
    <w:qFormat/>
    <w:uiPriority w:val="0"/>
    <w:pPr>
      <w:widowControl/>
      <w:spacing w:after="120"/>
      <w:ind w:left="420" w:leftChars="200"/>
      <w:jc w:val="left"/>
    </w:pPr>
    <w:rPr>
      <w:rFonts w:ascii="宋体" w:hAnsi="宋体" w:cs="宋体"/>
      <w:kern w:val="0"/>
      <w:sz w:val="24"/>
      <w:szCs w:val="24"/>
    </w:rPr>
  </w:style>
  <w:style w:type="paragraph" w:styleId="9">
    <w:name w:val="toc 3"/>
    <w:basedOn w:val="1"/>
    <w:next w:val="1"/>
    <w:qFormat/>
    <w:uiPriority w:val="1"/>
    <w:pPr>
      <w:widowControl/>
      <w:spacing w:before="6"/>
      <w:ind w:left="1978"/>
      <w:jc w:val="left"/>
    </w:pPr>
    <w:rPr>
      <w:rFonts w:ascii="仿宋" w:hAnsi="仿宋" w:eastAsia="仿宋" w:cs="仿宋"/>
      <w:kern w:val="0"/>
      <w:sz w:val="28"/>
      <w:szCs w:val="28"/>
      <w:lang w:val="zh-CN" w:bidi="zh-CN"/>
    </w:rPr>
  </w:style>
  <w:style w:type="paragraph" w:styleId="10">
    <w:name w:val="Balloon Text"/>
    <w:basedOn w:val="1"/>
    <w:link w:val="28"/>
    <w:unhideWhenUsed/>
    <w:qFormat/>
    <w:uiPriority w:val="0"/>
    <w:rPr>
      <w:sz w:val="18"/>
      <w:szCs w:val="18"/>
    </w:rPr>
  </w:style>
  <w:style w:type="paragraph" w:styleId="11">
    <w:name w:val="footer"/>
    <w:basedOn w:val="1"/>
    <w:link w:val="2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0"/>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1"/>
    <w:basedOn w:val="1"/>
    <w:next w:val="1"/>
    <w:qFormat/>
    <w:uiPriority w:val="39"/>
    <w:pPr>
      <w:widowControl/>
      <w:jc w:val="left"/>
    </w:pPr>
    <w:rPr>
      <w:rFonts w:ascii="宋体" w:hAnsi="宋体" w:cs="宋体"/>
      <w:kern w:val="0"/>
      <w:sz w:val="24"/>
      <w:szCs w:val="24"/>
    </w:rPr>
  </w:style>
  <w:style w:type="paragraph" w:styleId="14">
    <w:name w:val="footnote text"/>
    <w:basedOn w:val="1"/>
    <w:link w:val="36"/>
    <w:unhideWhenUsed/>
    <w:qFormat/>
    <w:uiPriority w:val="0"/>
    <w:pPr>
      <w:widowControl/>
      <w:snapToGrid w:val="0"/>
      <w:jc w:val="left"/>
    </w:pPr>
    <w:rPr>
      <w:rFonts w:ascii="宋体" w:hAnsi="宋体" w:cs="宋体"/>
      <w:kern w:val="0"/>
      <w:sz w:val="18"/>
      <w:szCs w:val="24"/>
    </w:rPr>
  </w:style>
  <w:style w:type="paragraph" w:styleId="15">
    <w:name w:val="toc 2"/>
    <w:basedOn w:val="1"/>
    <w:next w:val="1"/>
    <w:qFormat/>
    <w:uiPriority w:val="39"/>
    <w:pPr>
      <w:widowControl/>
      <w:ind w:left="420" w:leftChars="200"/>
      <w:jc w:val="left"/>
    </w:pPr>
    <w:rPr>
      <w:rFonts w:ascii="宋体" w:hAnsi="宋体" w:cs="宋体"/>
      <w:kern w:val="0"/>
      <w:sz w:val="24"/>
      <w:szCs w:val="24"/>
    </w:rPr>
  </w:style>
  <w:style w:type="paragraph" w:styleId="16">
    <w:name w:val="annotation subject"/>
    <w:basedOn w:val="7"/>
    <w:next w:val="7"/>
    <w:link w:val="33"/>
    <w:unhideWhenUsed/>
    <w:qFormat/>
    <w:uiPriority w:val="0"/>
    <w:rPr>
      <w:rFonts w:ascii="Calibri" w:hAnsi="Calibri"/>
      <w:b/>
      <w:bCs/>
      <w:sz w:val="21"/>
      <w:szCs w:val="22"/>
    </w:rPr>
  </w:style>
  <w:style w:type="paragraph" w:styleId="17">
    <w:name w:val="Body Text First Indent 2"/>
    <w:basedOn w:val="8"/>
    <w:link w:val="37"/>
    <w:unhideWhenUsed/>
    <w:qFormat/>
    <w:uiPriority w:val="99"/>
    <w:pPr>
      <w:ind w:firstLine="420" w:firstLineChars="200"/>
    </w:pPr>
  </w:style>
  <w:style w:type="character" w:styleId="20">
    <w:name w:val="Hyperlink"/>
    <w:basedOn w:val="19"/>
    <w:qFormat/>
    <w:uiPriority w:val="99"/>
    <w:rPr>
      <w:color w:val="0000FF"/>
      <w:u w:val="single"/>
    </w:rPr>
  </w:style>
  <w:style w:type="character" w:styleId="21">
    <w:name w:val="annotation reference"/>
    <w:basedOn w:val="19"/>
    <w:unhideWhenUsed/>
    <w:qFormat/>
    <w:uiPriority w:val="0"/>
    <w:rPr>
      <w:sz w:val="21"/>
      <w:szCs w:val="21"/>
    </w:rPr>
  </w:style>
  <w:style w:type="character" w:styleId="22">
    <w:name w:val="footnote reference"/>
    <w:basedOn w:val="19"/>
    <w:unhideWhenUsed/>
    <w:qFormat/>
    <w:uiPriority w:val="0"/>
    <w:rPr>
      <w:vertAlign w:val="superscript"/>
    </w:rPr>
  </w:style>
  <w:style w:type="character" w:customStyle="1" w:styleId="23">
    <w:name w:val="标题 1 字符"/>
    <w:basedOn w:val="19"/>
    <w:link w:val="3"/>
    <w:qFormat/>
    <w:uiPriority w:val="1"/>
    <w:rPr>
      <w:rFonts w:ascii="楷体" w:hAnsi="楷体" w:eastAsia="楷体" w:cs="楷体"/>
      <w:b/>
      <w:bCs/>
      <w:sz w:val="32"/>
      <w:szCs w:val="32"/>
      <w:lang w:val="zh-CN" w:bidi="zh-CN"/>
    </w:rPr>
  </w:style>
  <w:style w:type="character" w:customStyle="1" w:styleId="24">
    <w:name w:val="标题 2 字符"/>
    <w:basedOn w:val="19"/>
    <w:link w:val="4"/>
    <w:qFormat/>
    <w:uiPriority w:val="0"/>
    <w:rPr>
      <w:rFonts w:ascii="Arial" w:hAnsi="Arial" w:eastAsia="黑体"/>
      <w:b/>
      <w:sz w:val="32"/>
      <w:szCs w:val="24"/>
    </w:rPr>
  </w:style>
  <w:style w:type="character" w:customStyle="1" w:styleId="25">
    <w:name w:val="标题 3 字符"/>
    <w:basedOn w:val="19"/>
    <w:link w:val="6"/>
    <w:qFormat/>
    <w:uiPriority w:val="0"/>
    <w:rPr>
      <w:rFonts w:ascii="Arial" w:hAnsi="Arial" w:eastAsia="黑体"/>
      <w:b/>
      <w:sz w:val="32"/>
      <w:szCs w:val="32"/>
    </w:rPr>
  </w:style>
  <w:style w:type="character" w:customStyle="1" w:styleId="26">
    <w:name w:val="批注文字 字符"/>
    <w:basedOn w:val="19"/>
    <w:link w:val="7"/>
    <w:qFormat/>
    <w:uiPriority w:val="0"/>
    <w:rPr>
      <w:rFonts w:ascii="Times New Roman" w:hAnsi="Times New Roman" w:eastAsia="宋体" w:cs="Times New Roman"/>
      <w:sz w:val="28"/>
      <w:szCs w:val="21"/>
    </w:rPr>
  </w:style>
  <w:style w:type="character" w:customStyle="1" w:styleId="27">
    <w:name w:val="正文文本 字符"/>
    <w:link w:val="2"/>
    <w:qFormat/>
    <w:uiPriority w:val="1"/>
    <w:rPr>
      <w:rFonts w:ascii="华文楷体" w:hAnsi="华文楷体" w:eastAsia="LF_Kai"/>
      <w:sz w:val="24"/>
      <w:lang w:val="en-GB"/>
    </w:rPr>
  </w:style>
  <w:style w:type="character" w:customStyle="1" w:styleId="28">
    <w:name w:val="批注框文本 字符"/>
    <w:basedOn w:val="19"/>
    <w:link w:val="10"/>
    <w:qFormat/>
    <w:uiPriority w:val="0"/>
    <w:rPr>
      <w:rFonts w:ascii="Calibri" w:hAnsi="Calibri" w:eastAsia="宋体" w:cs="Times New Roman"/>
      <w:sz w:val="18"/>
      <w:szCs w:val="18"/>
    </w:rPr>
  </w:style>
  <w:style w:type="character" w:customStyle="1" w:styleId="29">
    <w:name w:val="页脚 字符"/>
    <w:basedOn w:val="19"/>
    <w:link w:val="11"/>
    <w:qFormat/>
    <w:uiPriority w:val="99"/>
    <w:rPr>
      <w:sz w:val="18"/>
      <w:szCs w:val="18"/>
    </w:rPr>
  </w:style>
  <w:style w:type="character" w:customStyle="1" w:styleId="30">
    <w:name w:val="页眉 字符"/>
    <w:basedOn w:val="19"/>
    <w:link w:val="12"/>
    <w:qFormat/>
    <w:uiPriority w:val="0"/>
    <w:rPr>
      <w:sz w:val="18"/>
      <w:szCs w:val="18"/>
    </w:rPr>
  </w:style>
  <w:style w:type="character" w:customStyle="1" w:styleId="31">
    <w:name w:val="正文文本 Char1"/>
    <w:basedOn w:val="19"/>
    <w:semiHidden/>
    <w:qFormat/>
    <w:uiPriority w:val="99"/>
    <w:rPr>
      <w:rFonts w:ascii="Calibri" w:hAnsi="Calibri" w:eastAsia="宋体" w:cs="Times New Roman"/>
    </w:rPr>
  </w:style>
  <w:style w:type="paragraph" w:customStyle="1" w:styleId="32">
    <w:name w:val="无间隔1"/>
    <w:qFormat/>
    <w:uiPriority w:val="1"/>
    <w:pPr>
      <w:widowControl w:val="0"/>
      <w:jc w:val="both"/>
    </w:pPr>
    <w:rPr>
      <w:rFonts w:ascii="Calibri" w:hAnsi="Calibri" w:eastAsia="宋体" w:cs="Times New Roman"/>
      <w:kern w:val="2"/>
      <w:sz w:val="21"/>
      <w:szCs w:val="22"/>
      <w:lang w:val="en-US" w:eastAsia="zh-CN" w:bidi="ar-SA"/>
    </w:rPr>
  </w:style>
  <w:style w:type="character" w:customStyle="1" w:styleId="33">
    <w:name w:val="批注主题 字符"/>
    <w:basedOn w:val="26"/>
    <w:link w:val="16"/>
    <w:qFormat/>
    <w:uiPriority w:val="0"/>
    <w:rPr>
      <w:rFonts w:ascii="Calibri" w:hAnsi="Calibri" w:eastAsia="宋体" w:cs="Times New Roman"/>
      <w:b/>
      <w:bCs/>
      <w:kern w:val="2"/>
      <w:sz w:val="21"/>
      <w:szCs w:val="22"/>
    </w:rPr>
  </w:style>
  <w:style w:type="paragraph" w:customStyle="1" w:styleId="34">
    <w:name w:val="常用样式（方正仿宋简）"/>
    <w:basedOn w:val="1"/>
    <w:qFormat/>
    <w:uiPriority w:val="99"/>
    <w:pPr>
      <w:widowControl/>
      <w:spacing w:line="560" w:lineRule="exact"/>
      <w:ind w:firstLine="640" w:firstLineChars="200"/>
      <w:jc w:val="left"/>
    </w:pPr>
    <w:rPr>
      <w:rFonts w:ascii="宋体" w:hAnsi="宋体" w:cs="宋体"/>
      <w:kern w:val="0"/>
      <w:sz w:val="32"/>
      <w:szCs w:val="24"/>
    </w:rPr>
  </w:style>
  <w:style w:type="character" w:customStyle="1" w:styleId="35">
    <w:name w:val="正文文本缩进 字符"/>
    <w:basedOn w:val="19"/>
    <w:link w:val="8"/>
    <w:qFormat/>
    <w:uiPriority w:val="0"/>
    <w:rPr>
      <w:rFonts w:ascii="宋体" w:hAnsi="宋体" w:eastAsia="宋体" w:cs="宋体"/>
      <w:sz w:val="24"/>
      <w:szCs w:val="24"/>
    </w:rPr>
  </w:style>
  <w:style w:type="character" w:customStyle="1" w:styleId="36">
    <w:name w:val="脚注文本 字符"/>
    <w:basedOn w:val="19"/>
    <w:link w:val="14"/>
    <w:qFormat/>
    <w:uiPriority w:val="0"/>
    <w:rPr>
      <w:rFonts w:ascii="宋体" w:hAnsi="宋体" w:eastAsia="宋体" w:cs="宋体"/>
      <w:sz w:val="18"/>
      <w:szCs w:val="24"/>
    </w:rPr>
  </w:style>
  <w:style w:type="character" w:customStyle="1" w:styleId="37">
    <w:name w:val="正文文本首行缩进 2 字符"/>
    <w:basedOn w:val="35"/>
    <w:link w:val="17"/>
    <w:qFormat/>
    <w:uiPriority w:val="99"/>
    <w:rPr>
      <w:rFonts w:ascii="宋体" w:hAnsi="宋体" w:eastAsia="宋体" w:cs="宋体"/>
      <w:sz w:val="24"/>
      <w:szCs w:val="24"/>
    </w:rPr>
  </w:style>
  <w:style w:type="paragraph" w:styleId="38">
    <w:name w:val="List Paragraph"/>
    <w:basedOn w:val="1"/>
    <w:qFormat/>
    <w:uiPriority w:val="1"/>
    <w:pPr>
      <w:widowControl/>
      <w:ind w:left="122" w:firstLine="641"/>
      <w:jc w:val="left"/>
    </w:pPr>
    <w:rPr>
      <w:rFonts w:ascii="仿宋" w:hAnsi="仿宋" w:eastAsia="仿宋" w:cs="仿宋"/>
      <w:kern w:val="0"/>
      <w:sz w:val="24"/>
      <w:szCs w:val="24"/>
      <w:lang w:val="zh-CN" w:bidi="zh-CN"/>
    </w:rPr>
  </w:style>
  <w:style w:type="paragraph" w:customStyle="1" w:styleId="39">
    <w:name w:val="WPSOffice手动目录 1"/>
    <w:qFormat/>
    <w:uiPriority w:val="0"/>
    <w:rPr>
      <w:rFonts w:ascii="等线" w:hAnsi="等线" w:eastAsia="等线" w:cs="Times New Roman"/>
      <w:lang w:val="en-US" w:eastAsia="zh-CN" w:bidi="ar-SA"/>
    </w:rPr>
  </w:style>
  <w:style w:type="paragraph" w:customStyle="1" w:styleId="40">
    <w:name w:val="WPSOffice手动目录 2"/>
    <w:qFormat/>
    <w:uiPriority w:val="0"/>
    <w:pPr>
      <w:ind w:left="200" w:leftChars="200"/>
    </w:pPr>
    <w:rPr>
      <w:rFonts w:ascii="等线" w:hAnsi="等线" w:eastAsia="等线" w:cs="Times New Roman"/>
      <w:lang w:val="en-US" w:eastAsia="zh-CN" w:bidi="ar-SA"/>
    </w:rPr>
  </w:style>
  <w:style w:type="paragraph" w:customStyle="1" w:styleId="41">
    <w:name w:val="WPSOffice手动目录 3"/>
    <w:qFormat/>
    <w:uiPriority w:val="0"/>
    <w:pPr>
      <w:ind w:left="400" w:leftChars="400"/>
    </w:pPr>
    <w:rPr>
      <w:rFonts w:ascii="等线" w:hAnsi="等线" w:eastAsia="等线" w:cs="Times New Roman"/>
      <w:lang w:val="en-US" w:eastAsia="zh-CN" w:bidi="ar-SA"/>
    </w:rPr>
  </w:style>
  <w:style w:type="paragraph" w:customStyle="1" w:styleId="42">
    <w:name w:val="报告正文"/>
    <w:basedOn w:val="1"/>
    <w:qFormat/>
    <w:uiPriority w:val="0"/>
    <w:pPr>
      <w:tabs>
        <w:tab w:val="left" w:pos="5271"/>
        <w:tab w:val="left" w:pos="5691"/>
      </w:tabs>
      <w:spacing w:line="560" w:lineRule="exact"/>
      <w:ind w:firstLine="200" w:firstLineChars="200"/>
    </w:pPr>
    <w:rPr>
      <w:rFonts w:eastAsia="仿宋_GB2312" w:cs="宋体" w:asciiTheme="minorHAnsi" w:hAnsiTheme="minorHAnsi"/>
      <w:bCs/>
      <w:color w:val="000000"/>
      <w:kern w:val="0"/>
      <w:sz w:val="32"/>
      <w:szCs w:val="32"/>
    </w:rPr>
  </w:style>
  <w:style w:type="paragraph" w:customStyle="1" w:styleId="43">
    <w:name w:val="Table Paragraph"/>
    <w:basedOn w:val="1"/>
    <w:qFormat/>
    <w:uiPriority w:val="1"/>
    <w:pPr>
      <w:widowControl/>
      <w:spacing w:before="43"/>
      <w:jc w:val="right"/>
    </w:pPr>
    <w:rPr>
      <w:rFonts w:ascii="Times New Roman" w:hAnsi="Times New Roman" w:eastAsia="Times New Roman"/>
      <w:kern w:val="0"/>
      <w:sz w:val="24"/>
      <w:szCs w:val="24"/>
      <w:lang w:val="zh-CN" w:bidi="zh-CN"/>
    </w:rPr>
  </w:style>
  <w:style w:type="character" w:customStyle="1" w:styleId="44">
    <w:name w:val="font41"/>
    <w:basedOn w:val="19"/>
    <w:qFormat/>
    <w:uiPriority w:val="0"/>
    <w:rPr>
      <w:rFonts w:hint="eastAsia" w:ascii="仿宋" w:hAnsi="仿宋" w:eastAsia="仿宋" w:cs="仿宋"/>
      <w:color w:val="000000"/>
      <w:sz w:val="21"/>
      <w:szCs w:val="21"/>
      <w:u w:val="none"/>
    </w:rPr>
  </w:style>
  <w:style w:type="character" w:customStyle="1" w:styleId="45">
    <w:name w:val="font31"/>
    <w:basedOn w:val="19"/>
    <w:qFormat/>
    <w:uiPriority w:val="0"/>
    <w:rPr>
      <w:rFonts w:hint="eastAsia" w:ascii="宋体" w:hAnsi="宋体" w:eastAsia="宋体" w:cs="宋体"/>
      <w:color w:val="000000"/>
      <w:sz w:val="24"/>
      <w:szCs w:val="24"/>
      <w:u w:val="none"/>
    </w:rPr>
  </w:style>
  <w:style w:type="character" w:customStyle="1" w:styleId="46">
    <w:name w:val="font21"/>
    <w:basedOn w:val="19"/>
    <w:qFormat/>
    <w:uiPriority w:val="0"/>
    <w:rPr>
      <w:rFonts w:hint="eastAsia" w:ascii="宋体" w:hAnsi="宋体" w:eastAsia="宋体" w:cs="宋体"/>
      <w:color w:val="000000"/>
      <w:sz w:val="24"/>
      <w:szCs w:val="24"/>
      <w:u w:val="none"/>
    </w:rPr>
  </w:style>
  <w:style w:type="character" w:customStyle="1" w:styleId="47">
    <w:name w:val="font01"/>
    <w:basedOn w:val="19"/>
    <w:qFormat/>
    <w:uiPriority w:val="0"/>
    <w:rPr>
      <w:rFonts w:hint="eastAsia" w:ascii="宋体" w:hAnsi="宋体" w:eastAsia="宋体" w:cs="宋体"/>
      <w:color w:val="000000"/>
      <w:sz w:val="21"/>
      <w:szCs w:val="21"/>
      <w:u w:val="none"/>
    </w:rPr>
  </w:style>
  <w:style w:type="paragraph" w:customStyle="1" w:styleId="48">
    <w:name w:val="文本"/>
    <w:basedOn w:val="1"/>
    <w:qFormat/>
    <w:uiPriority w:val="0"/>
    <w:pPr>
      <w:widowControl/>
      <w:spacing w:line="360" w:lineRule="auto"/>
      <w:ind w:firstLine="200" w:firstLineChars="200"/>
      <w:jc w:val="left"/>
    </w:pPr>
    <w:rPr>
      <w:rFonts w:ascii="宋体" w:hAnsi="宋体"/>
      <w:kern w:val="0"/>
      <w:sz w:val="24"/>
    </w:rPr>
  </w:style>
  <w:style w:type="character" w:customStyle="1" w:styleId="49">
    <w:name w:val="font11"/>
    <w:basedOn w:val="19"/>
    <w:qFormat/>
    <w:uiPriority w:val="0"/>
    <w:rPr>
      <w:rFonts w:hint="eastAsia" w:ascii="宋体" w:hAnsi="宋体" w:eastAsia="宋体" w:cs="宋体"/>
      <w:color w:val="000000"/>
      <w:sz w:val="20"/>
      <w:szCs w:val="20"/>
      <w:u w:val="none"/>
    </w:rPr>
  </w:style>
  <w:style w:type="paragraph" w:customStyle="1" w:styleId="50">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1">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3">
    <w:name w:val="xl7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5">
    <w:name w:val="xl72"/>
    <w:basedOn w:val="1"/>
    <w:qFormat/>
    <w:uiPriority w:val="0"/>
    <w:pPr>
      <w:widowControl/>
      <w:spacing w:before="100" w:beforeAutospacing="1" w:after="100" w:afterAutospacing="1"/>
      <w:jc w:val="center"/>
      <w:textAlignment w:val="center"/>
    </w:pPr>
    <w:rPr>
      <w:rFonts w:ascii="宋体" w:hAnsi="宋体" w:cs="宋体"/>
      <w:kern w:val="0"/>
      <w:sz w:val="24"/>
      <w:szCs w:val="24"/>
    </w:rPr>
  </w:style>
  <w:style w:type="paragraph" w:customStyle="1" w:styleId="5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2">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3">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4">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5">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6">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7">
    <w:name w:val="xl84"/>
    <w:basedOn w:val="1"/>
    <w:qFormat/>
    <w:uiPriority w:val="0"/>
    <w:pPr>
      <w:widowControl/>
      <w:spacing w:before="100" w:beforeAutospacing="1" w:after="100" w:afterAutospacing="1"/>
      <w:jc w:val="left"/>
    </w:pPr>
    <w:rPr>
      <w:rFonts w:ascii="宋体" w:hAnsi="宋体" w:cs="宋体"/>
      <w:b/>
      <w:bCs/>
      <w:kern w:val="0"/>
      <w:sz w:val="24"/>
      <w:szCs w:val="24"/>
    </w:rPr>
  </w:style>
  <w:style w:type="paragraph" w:customStyle="1" w:styleId="68">
    <w:name w:val="xl8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6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71">
    <w:name w:val="xl88"/>
    <w:basedOn w:val="1"/>
    <w:qFormat/>
    <w:uiPriority w:val="0"/>
    <w:pPr>
      <w:widowControl/>
      <w:pBdr>
        <w:top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2">
    <w:name w:val="xl89"/>
    <w:basedOn w:val="1"/>
    <w:qFormat/>
    <w:uiPriority w:val="0"/>
    <w:pPr>
      <w:widowControl/>
      <w:pBdr>
        <w:top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73">
    <w:name w:val="xl90"/>
    <w:basedOn w:val="1"/>
    <w:qFormat/>
    <w:uiPriority w:val="0"/>
    <w:pPr>
      <w:widowControl/>
      <w:pBdr>
        <w:top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7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75">
    <w:name w:val="xl92"/>
    <w:basedOn w:val="1"/>
    <w:qFormat/>
    <w:uiPriority w:val="0"/>
    <w:pPr>
      <w:widowControl/>
      <w:pBdr>
        <w:top w:val="single" w:color="auto" w:sz="4" w:space="0"/>
      </w:pBdr>
      <w:spacing w:before="100" w:beforeAutospacing="1" w:after="100" w:afterAutospacing="1"/>
      <w:jc w:val="center"/>
      <w:textAlignment w:val="center"/>
    </w:pPr>
    <w:rPr>
      <w:rFonts w:ascii="宋体" w:hAnsi="宋体" w:cs="宋体"/>
      <w:b/>
      <w:bCs/>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941</Words>
  <Characters>5370</Characters>
  <Lines>44</Lines>
  <Paragraphs>12</Paragraphs>
  <TotalTime>0</TotalTime>
  <ScaleCrop>false</ScaleCrop>
  <LinksUpToDate>false</LinksUpToDate>
  <CharactersWithSpaces>6299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2020-12-17T12:31:00Z</dcterms:created>
  <dc:creator>asus</dc:creator>
  <cp:lastModifiedBy>备注</cp:lastModifiedBy>
  <dcterms:modified xsi:type="dcterms:W3CDTF">2022-01-18T08:51:01Z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