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60" w:lineRule="exact"/>
        <w:rPr>
          <w:rFonts w:hint="default" w:ascii="Times New Roman" w:hAnsi="Times New Roman" w:eastAsia="方正小标宋简体" w:cs="Times New Roman"/>
          <w:sz w:val="28"/>
          <w:szCs w:val="28"/>
        </w:rPr>
      </w:pPr>
      <w:bookmarkStart w:id="0" w:name="_Hlk535245579"/>
      <w:bookmarkStart w:id="1" w:name="_Toc23527"/>
      <w:bookmarkStart w:id="2" w:name="_Toc520712142"/>
      <w:bookmarkStart w:id="3" w:name="_Toc4153_WPSOffice_Level2"/>
      <w:bookmarkStart w:id="4" w:name="_Toc16827_WPSOffice_Level2"/>
      <w:bookmarkStart w:id="5" w:name="_Toc13312_WPSOffice_Level2"/>
      <w:bookmarkStart w:id="6" w:name="_Toc29023_WPSOffice_Level2"/>
      <w:bookmarkStart w:id="7" w:name="_Toc12530_WPSOffice_Level2"/>
      <w:bookmarkStart w:id="8" w:name="_Toc3868"/>
      <w:r>
        <w:rPr>
          <w:rFonts w:hint="default" w:ascii="Times New Roman" w:hAnsi="Times New Roman" w:eastAsia="方正小标宋简体" w:cs="Times New Roman"/>
          <w:sz w:val="28"/>
          <w:szCs w:val="28"/>
        </w:rPr>
        <w:t>附件1</w:t>
      </w:r>
      <w:bookmarkEnd w:id="0"/>
    </w:p>
    <w:p>
      <w:pPr>
        <w:widowControl w:val="0"/>
        <w:wordWrap/>
        <w:adjustRightInd w:val="0"/>
        <w:snapToGrid w:val="0"/>
        <w:spacing w:line="360" w:lineRule="auto"/>
        <w:jc w:val="center"/>
        <w:textAlignment w:val="auto"/>
        <w:rPr>
          <w:rFonts w:hint="default" w:ascii="Times New Roman" w:hAnsi="Times New Roman" w:eastAsia="方正小标宋简体" w:cs="Times New Roman"/>
          <w:sz w:val="44"/>
          <w:szCs w:val="44"/>
        </w:rPr>
      </w:pPr>
      <w:r>
        <w:rPr>
          <w:rFonts w:hint="eastAsia" w:ascii="Times New Roman" w:hAnsi="Times New Roman" w:eastAsia="方正小标宋简体" w:cs="Times New Roman"/>
          <w:sz w:val="44"/>
          <w:szCs w:val="44"/>
          <w:lang w:eastAsia="zh-CN"/>
        </w:rPr>
        <w:t>汉源县农产品骨干冷链物流基地项目</w:t>
      </w:r>
      <w:r>
        <w:rPr>
          <w:rFonts w:hint="default" w:ascii="Times New Roman" w:hAnsi="Times New Roman" w:eastAsia="方正小标宋简体" w:cs="Times New Roman"/>
          <w:sz w:val="44"/>
          <w:szCs w:val="44"/>
        </w:rPr>
        <w:t>情况</w:t>
      </w:r>
    </w:p>
    <w:p>
      <w:pPr>
        <w:widowControl w:val="0"/>
        <w:wordWrap/>
        <w:adjustRightInd w:val="0"/>
        <w:snapToGrid w:val="0"/>
        <w:spacing w:beforeLines="50" w:line="360" w:lineRule="auto"/>
        <w:ind w:firstLine="640" w:firstLineChars="200"/>
        <w:textAlignment w:val="auto"/>
        <w:outlineLvl w:val="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一、项目基本情况</w:t>
      </w:r>
      <w:bookmarkEnd w:id="1"/>
      <w:bookmarkEnd w:id="2"/>
      <w:bookmarkEnd w:id="3"/>
      <w:bookmarkEnd w:id="4"/>
      <w:bookmarkEnd w:id="5"/>
      <w:bookmarkEnd w:id="6"/>
      <w:bookmarkEnd w:id="7"/>
      <w:bookmarkEnd w:id="8"/>
    </w:p>
    <w:p>
      <w:pPr>
        <w:pStyle w:val="3"/>
        <w:widowControl w:val="0"/>
        <w:pBdr>
          <w:top w:val="none" w:color="auto" w:sz="0" w:space="0"/>
          <w:left w:val="none" w:color="auto" w:sz="0" w:space="0"/>
          <w:bottom w:val="none" w:color="auto" w:sz="0" w:space="0"/>
          <w:right w:val="none" w:color="auto" w:sz="0" w:space="0"/>
          <w:between w:val="none" w:color="auto" w:sz="0" w:space="0"/>
        </w:pBdr>
        <w:shd w:val="clear" w:color="auto" w:fill="auto"/>
        <w:suppressAutoHyphens/>
        <w:wordWrap/>
        <w:adjustRightInd w:val="0"/>
        <w:snapToGrid w:val="0"/>
        <w:spacing w:before="0" w:beforeAutospacing="0" w:after="0" w:afterAutospacing="0" w:line="300" w:lineRule="auto"/>
        <w:ind w:left="0" w:leftChars="0" w:right="0" w:firstLine="562" w:firstLineChars="200"/>
        <w:jc w:val="both"/>
        <w:textAlignment w:val="auto"/>
        <w:rPr>
          <w:rFonts w:hint="default" w:ascii="Times New Roman" w:hAnsi="Times New Roman" w:eastAsia="仿宋_GB2312" w:cs="Times New Roman"/>
          <w:bCs w:val="0"/>
          <w:spacing w:val="0"/>
          <w:w w:val="100"/>
          <w:position w:val="0"/>
          <w:sz w:val="28"/>
          <w:szCs w:val="28"/>
          <w:u w:val="none"/>
          <w:lang w:val="en-US" w:eastAsia="zh-CN"/>
        </w:rPr>
      </w:pPr>
      <w:bookmarkStart w:id="9" w:name="_Toc5718_WPSOffice_Level3"/>
      <w:bookmarkStart w:id="10" w:name="_Toc5919"/>
      <w:bookmarkStart w:id="11" w:name="_Toc13816"/>
      <w:bookmarkStart w:id="12" w:name="_Toc13312_WPSOffice_Level3"/>
      <w:bookmarkStart w:id="13" w:name="_Toc4153_WPSOffice_Level3"/>
      <w:r>
        <w:rPr>
          <w:rFonts w:hint="default" w:ascii="Times New Roman" w:hAnsi="Times New Roman" w:eastAsia="仿宋_GB2312" w:cs="Times New Roman"/>
          <w:bCs w:val="0"/>
          <w:spacing w:val="0"/>
          <w:w w:val="100"/>
          <w:position w:val="0"/>
          <w:sz w:val="28"/>
          <w:szCs w:val="28"/>
          <w:u w:val="none"/>
          <w:lang w:val="en-US" w:eastAsia="zh-CN"/>
        </w:rPr>
        <w:t>（一）市县及行业专项规划概况</w:t>
      </w:r>
      <w:bookmarkEnd w:id="9"/>
      <w:bookmarkEnd w:id="10"/>
      <w:bookmarkEnd w:id="11"/>
      <w:bookmarkEnd w:id="12"/>
      <w:bookmarkEnd w:id="13"/>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bookmarkStart w:id="14" w:name="_Toc27950"/>
      <w:bookmarkStart w:id="15" w:name="_Toc5884"/>
      <w:bookmarkStart w:id="16" w:name="_Toc1421"/>
      <w:bookmarkStart w:id="17" w:name="_Toc10032"/>
      <w:r>
        <w:rPr>
          <w:rFonts w:hint="default" w:ascii="Times New Roman" w:hAnsi="Times New Roman" w:eastAsia="仿宋_GB2312" w:cs="Times New Roman"/>
          <w:kern w:val="2"/>
          <w:sz w:val="28"/>
          <w:szCs w:val="28"/>
          <w:lang w:val="en-US" w:eastAsia="zh-CN" w:bidi="ar-SA"/>
        </w:rPr>
        <w:t>1.</w:t>
      </w:r>
      <w:bookmarkEnd w:id="14"/>
      <w:bookmarkEnd w:id="15"/>
      <w:bookmarkEnd w:id="16"/>
      <w:bookmarkEnd w:id="17"/>
      <w:r>
        <w:rPr>
          <w:rFonts w:hint="default" w:ascii="Times New Roman" w:hAnsi="Times New Roman" w:eastAsia="仿宋_GB2312" w:cs="Times New Roman"/>
          <w:kern w:val="2"/>
          <w:sz w:val="28"/>
          <w:szCs w:val="28"/>
          <w:lang w:val="en-US" w:eastAsia="zh-CN" w:bidi="ar-SA"/>
        </w:rPr>
        <w:t>汉源县基本情况介绍</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汉源县位于四川省雅安市南部，地处攀西阳光之旅的门户地带，是瀑布沟水电站移民主库区县、享受少数民族地区待遇县、革命老区县、“5.12”汶川特大地震重灾县、“4.20”芦山强烈地震受灾县、全省扩权强县试点县，全域纳入攀西战略资源创新开发试验区和成都平原经济区。全县幅员面积2382平方公里，总人口33万，居住着汉、彝、藏、回等26个民族。</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汉源区位优势明显。历为通往雅、康、宁交通咽喉，国道108线、省道306线等主要交通干道穿境而过;京昆高速公路、成昆铁路穿越崇山峻岭将汉源与外界连通，汉源距成都双流机场230公里，距西昌市220公里;目前，峨汉高速已经开工建设，建成后汉源到乐山仅需两个小时，真正实现全方位融入成都、乐山、西昌两小时经济圈，成为融入成渝、链接攀西、辐射康藏的川西交通次枢纽。</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2019年，全县地区生产总值跻身百亿俱乐部，达104.03亿元、增长8.1%;固定资产投资56亿元、增长23%;地方一般公共预算收入5.8亿元、增长12.05%;规模以上工业增加值增长10.3%;社会消费品零售总额42.13亿元、增长10.5%;城乡居民人均可支配收入分别达3.42万元、1.35万元，增长8.7%、10.4%。完成国家第四次经济普查，产业结构比调整为21.6:28.5:49.9。</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bookmarkStart w:id="18" w:name="_Toc4609"/>
      <w:bookmarkStart w:id="19" w:name="_Toc18260"/>
      <w:r>
        <w:rPr>
          <w:rFonts w:hint="default" w:ascii="Times New Roman" w:hAnsi="Times New Roman" w:eastAsia="仿宋_GB2312" w:cs="Times New Roman"/>
          <w:kern w:val="2"/>
          <w:sz w:val="28"/>
          <w:szCs w:val="28"/>
          <w:lang w:val="en-US" w:eastAsia="zh-CN" w:bidi="ar-SA"/>
        </w:rPr>
        <w:t>2.</w:t>
      </w:r>
      <w:bookmarkEnd w:id="18"/>
      <w:bookmarkEnd w:id="19"/>
      <w:r>
        <w:rPr>
          <w:rFonts w:hint="default" w:ascii="Times New Roman" w:hAnsi="Times New Roman" w:eastAsia="仿宋_GB2312" w:cs="Times New Roman"/>
          <w:kern w:val="2"/>
          <w:sz w:val="28"/>
          <w:szCs w:val="28"/>
          <w:lang w:val="en-US" w:eastAsia="zh-CN" w:bidi="ar-SA"/>
        </w:rPr>
        <w:t>行业规划</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1）国务院关于印发《流业调整和振兴规划的通知》（物国发〔2009〕8号）指出：物流业是融合运输业、仓储业、货代业和信息业等的复合型服务产业，是国民经济的重要组成部分，涉及领域广，吸纳就业人数多，促进生产、拉动消费作用大，在促进产业结构调整、转变经济发展方式和增强国民经济竞争力等方面发挥着重要作用。</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以邓小平理论和“三个代表”重要思想为指导，深入贯彻落实科学发展观，按照保增长、扩内需、调结构的总体部署，以应对国际金融危机对我国经济的影响为切入点，以改革开放为动力，以先进技术为支撑，以物流一体化和信息化为主线，积极营造有利于物流业发展的政策环境，加快发展现代物流业，建立现代物流服务体系，以物流服务促进其他产业发展，为全面建设小康社会提供坚实的物流体系保障。</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进一步推广现代物流管理，努力扩大物流市场需求。运用供应链管理与现代物流理念、技术与方法，实施采购、生产、销售和物品回收物流的一体化运作。鼓励生产企业改造物流流程，提高对市场的响应速度，降低库存，加速周转。合理布局城乡商业设施，完善流通网络，积极发展连锁经营、物流配送和电子商务等现代流通方式，促进流通企业的现代化。在农村广泛应用现代物流管理技术，发展农产品从产地到销地的直销和配送，以及农资和农村日用消费品的统一配送。</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并制定出台了促进物流业健康发展的政策措施。有关部门和地方政府出台了一系列专项规划和配套措施。社会物流统计制度日趋完善，标准化工作有序推进，人才培养工作进一步加强，物流科技、学术理论研究及产学研合作不断深入。</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2）《物流业发展中长期规划（2014—2020年）》：物流业是融合运输、仓储、货代、信息等产业的复合型服务业，是支撑国民经济发展的基础性、战略性产业。加快发展现代物流业，对于促进产业结构调整、转变发展方式、提高国民经济竞争力和建设生态文明具有重要意义。国务院印发《物流业调整和振兴规划》以来，我国物流业保持较快增长，服务能力显著提升，基础设施条件和政策环境明显改善，现代产业体系初步形成，物流业已成为国民经济的重要组成部分。产业规模快速增长。全国社会物流总额2013年达到197.8万亿元，比2005年增长3.1倍，按可比价格计算，年均增长11.5%。物流业增加值2013年达到3.9万亿元，比2005年增长2.2倍，年均增长11.1%，物流业增加值占国内生产总值的比重由2005年的6.6%提高到2013年的6.8%，占服务业增加值的比重达到14.8%。物流业吸纳就业人数快速增加，从业人员从2005年的1780万人增长到2013年的2890万人，年均增长6.2%。</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服务能力显著提升。物流企业资产重组和资源整合步伐进一步加快，形成了一批所有制多元化、服务网络化和管理现代化的物流企业。传统运输业、仓储业加速向现代物流业转型，制造业物流、商贸物流、电子商务物流和国际物流等领域专业化、社会化服务能力显著增强，服务水平不断提升，现代物流服务体系初步建立。</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技术装备条件明显改善。信息技术广泛应用，大多数物流企业建立了管理信息系统，物流信息平台建设快速推进。物联网、云计算等现代信息技术开始应用，装卸搬运、分拣包装、加工配送等专用物流装备和智能标签、跟踪追溯、路径优化等技术迅速推广。</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基础设施网络日趋完善。截至2013年底，全国铁路营业里程10.3万公里，其中高速铁路1.1万公里；全国公路总里程达到435.6万公里，其中高速公路10.45万公里；内河航道通航里程12.59万公里，其中三级及以上高等级航道1.02万公里；全国港口拥有万吨级及以上泊位2001个，其中沿海港口1607个、内河港口394个；全国民用运输机场193个。2012年全国营业性库房面积约13亿平方米，各种类型的物流园区754个。</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3）按照《四川省主体功能区规划》相关规定，汉源县即是国家层面重点开发的城镇又农产品主产区。汉源县将立足生态环境优良、生态资源富集的最大特点，把发展生态经济、建设川西生态经济示范区作为全州经济发展的基本取向，在优先保护生态环境的前提下，把生态优势转化为经济优势、环境资源转化为生产资源，突出发展绿色循环工业、有机农业、文化生态旅游业、清洁能源和特色文化产业。</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汉源县农产品骨干冷链物流基地项目的建设有利于完善汉源县基础设施，是有机农业建设的一部分，可满足人民日益增长的消费需求。提高周边农产品产地冷链流通率和冷链仓储物流，降低农产品产后损失和流通配送成本，提高物流对零售业、餐饮业和电子商务等上下游产业链的组织化程度，优化储、运、销等各环节冷链设施空间布局，形成设施先进、管理规范、绿色安全和便捷高效的全域全程行业服务汉源区域性农产品仓储冷链物流中心。</w:t>
      </w:r>
    </w:p>
    <w:p>
      <w:pPr>
        <w:pStyle w:val="3"/>
        <w:widowControl w:val="0"/>
        <w:pBdr>
          <w:top w:val="none" w:color="auto" w:sz="0" w:space="0"/>
          <w:left w:val="none" w:color="auto" w:sz="0" w:space="0"/>
          <w:bottom w:val="none" w:color="auto" w:sz="0" w:space="0"/>
          <w:right w:val="none" w:color="auto" w:sz="0" w:space="0"/>
          <w:between w:val="none" w:color="auto" w:sz="0" w:space="0"/>
        </w:pBdr>
        <w:shd w:val="clear" w:color="auto" w:fill="auto"/>
        <w:suppressAutoHyphens/>
        <w:wordWrap/>
        <w:adjustRightInd w:val="0"/>
        <w:snapToGrid w:val="0"/>
        <w:spacing w:before="0" w:beforeAutospacing="0" w:after="0" w:afterAutospacing="0" w:line="300" w:lineRule="auto"/>
        <w:ind w:left="0" w:leftChars="0" w:right="0" w:firstLine="562" w:firstLineChars="200"/>
        <w:jc w:val="both"/>
        <w:textAlignment w:val="auto"/>
        <w:rPr>
          <w:rFonts w:hint="default" w:ascii="Times New Roman" w:hAnsi="Times New Roman" w:eastAsia="仿宋_GB2312" w:cs="Times New Roman"/>
          <w:bCs w:val="0"/>
          <w:spacing w:val="0"/>
          <w:w w:val="100"/>
          <w:position w:val="0"/>
          <w:sz w:val="28"/>
          <w:szCs w:val="28"/>
          <w:u w:val="none"/>
          <w:lang w:val="en-US" w:eastAsia="zh-CN"/>
        </w:rPr>
      </w:pPr>
      <w:r>
        <w:rPr>
          <w:rFonts w:hint="default" w:ascii="Times New Roman" w:hAnsi="Times New Roman" w:eastAsia="仿宋_GB2312" w:cs="Times New Roman"/>
          <w:bCs w:val="0"/>
          <w:spacing w:val="0"/>
          <w:w w:val="100"/>
          <w:position w:val="0"/>
          <w:sz w:val="28"/>
          <w:szCs w:val="28"/>
          <w:u w:val="none"/>
          <w:lang w:val="en-US" w:eastAsia="zh-CN"/>
        </w:rPr>
        <w:t>（二）项目概况</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bookmarkStart w:id="20" w:name="_Toc28596_WPSOffice_Level3"/>
      <w:bookmarkStart w:id="21" w:name="_Toc13573_WPSOffice_Level3"/>
      <w:bookmarkStart w:id="22" w:name="_Toc1603"/>
      <w:bookmarkStart w:id="23" w:name="_Toc18964"/>
      <w:bookmarkStart w:id="24" w:name="_Toc8234_WPSOffice_Level3"/>
      <w:r>
        <w:rPr>
          <w:rFonts w:hint="default" w:ascii="Times New Roman" w:hAnsi="Times New Roman" w:eastAsia="仿宋_GB2312" w:cs="Times New Roman"/>
          <w:kern w:val="2"/>
          <w:sz w:val="28"/>
          <w:szCs w:val="28"/>
          <w:lang w:val="en-US" w:eastAsia="zh-CN" w:bidi="ar-SA"/>
        </w:rPr>
        <w:t>1.参与主体</w:t>
      </w:r>
      <w:bookmarkEnd w:id="20"/>
      <w:bookmarkEnd w:id="21"/>
      <w:bookmarkEnd w:id="22"/>
      <w:bookmarkEnd w:id="23"/>
      <w:bookmarkEnd w:id="24"/>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bookmarkStart w:id="25" w:name="_Toc17053"/>
      <w:bookmarkStart w:id="26" w:name="_Toc31783_WPSOffice_Level3"/>
      <w:bookmarkStart w:id="27" w:name="_Toc9412_WPSOffice_Level3"/>
      <w:bookmarkStart w:id="28" w:name="_Toc19710"/>
      <w:bookmarkStart w:id="29" w:name="_Toc15704_WPSOffice_Level3"/>
      <w:bookmarkStart w:id="30" w:name="_Toc22413"/>
      <w:r>
        <w:rPr>
          <w:rFonts w:hint="default" w:ascii="Times New Roman" w:hAnsi="Times New Roman" w:eastAsia="仿宋_GB2312" w:cs="Times New Roman"/>
          <w:kern w:val="2"/>
          <w:sz w:val="28"/>
          <w:szCs w:val="28"/>
          <w:lang w:val="en-US" w:eastAsia="zh-CN" w:bidi="ar-SA"/>
        </w:rPr>
        <w:t>实施机构：</w:t>
      </w:r>
      <w:r>
        <w:rPr>
          <w:rFonts w:hint="eastAsia" w:ascii="Times New Roman" w:hAnsi="Times New Roman" w:eastAsia="仿宋_GB2312" w:cs="Times New Roman"/>
          <w:kern w:val="2"/>
          <w:sz w:val="28"/>
          <w:szCs w:val="28"/>
          <w:lang w:val="en-US" w:eastAsia="zh-CN" w:bidi="ar-SA"/>
        </w:rPr>
        <w:t>四川汉源工业园区管理委员会</w:t>
      </w:r>
      <w:r>
        <w:rPr>
          <w:rFonts w:hint="default" w:ascii="Times New Roman" w:hAnsi="Times New Roman" w:eastAsia="仿宋_GB2312" w:cs="Times New Roman"/>
          <w:kern w:val="2"/>
          <w:sz w:val="28"/>
          <w:szCs w:val="28"/>
          <w:lang w:val="en-US" w:eastAsia="zh-CN" w:bidi="ar-SA"/>
        </w:rPr>
        <w:t>。</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项目业主：</w:t>
      </w:r>
      <w:r>
        <w:rPr>
          <w:rFonts w:hint="eastAsia" w:ascii="Times New Roman" w:hAnsi="Times New Roman" w:eastAsia="仿宋_GB2312" w:cs="Times New Roman"/>
          <w:kern w:val="2"/>
          <w:sz w:val="28"/>
          <w:szCs w:val="28"/>
          <w:lang w:val="en-US" w:eastAsia="zh-CN" w:bidi="ar-SA"/>
        </w:rPr>
        <w:t>汉源县工业园区发展集团有限公司</w:t>
      </w:r>
      <w:r>
        <w:rPr>
          <w:rFonts w:hint="default" w:ascii="Times New Roman" w:hAnsi="Times New Roman" w:eastAsia="仿宋_GB2312" w:cs="Times New Roman"/>
          <w:kern w:val="2"/>
          <w:sz w:val="28"/>
          <w:szCs w:val="28"/>
          <w:lang w:val="en-US" w:eastAsia="zh-CN" w:bidi="ar-SA"/>
        </w:rPr>
        <w:t>。</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2.项目概况</w:t>
      </w:r>
      <w:bookmarkEnd w:id="25"/>
      <w:bookmarkEnd w:id="26"/>
      <w:bookmarkEnd w:id="27"/>
      <w:bookmarkEnd w:id="28"/>
      <w:bookmarkEnd w:id="29"/>
      <w:bookmarkEnd w:id="30"/>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1）项目名称：</w:t>
      </w:r>
      <w:r>
        <w:rPr>
          <w:rFonts w:hint="eastAsia" w:ascii="Times New Roman" w:hAnsi="Times New Roman" w:eastAsia="仿宋_GB2312" w:cs="Times New Roman"/>
          <w:kern w:val="2"/>
          <w:sz w:val="28"/>
          <w:szCs w:val="28"/>
          <w:lang w:val="en-US" w:eastAsia="zh-CN" w:bidi="ar-SA"/>
        </w:rPr>
        <w:t>汉源县农产品骨干冷链物流基地项目</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2）项目所属领域：冷链物流建设领域，属于有一定收益的公益性事业领域的项目。</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color w:val="auto"/>
          <w:kern w:val="2"/>
          <w:sz w:val="28"/>
          <w:szCs w:val="28"/>
          <w:lang w:val="en-US" w:eastAsia="zh-CN" w:bidi="ar-SA"/>
        </w:rPr>
      </w:pPr>
      <w:r>
        <w:rPr>
          <w:rFonts w:hint="eastAsia" w:ascii="Times New Roman" w:hAnsi="Times New Roman" w:eastAsia="仿宋_GB2312" w:cs="Times New Roman"/>
          <w:color w:val="auto"/>
          <w:kern w:val="2"/>
          <w:sz w:val="28"/>
          <w:szCs w:val="28"/>
          <w:lang w:val="en-US" w:eastAsia="zh-CN" w:bidi="ar-SA"/>
        </w:rPr>
        <w:t>3</w:t>
      </w:r>
      <w:r>
        <w:rPr>
          <w:rFonts w:hint="default" w:ascii="Times New Roman" w:hAnsi="Times New Roman" w:eastAsia="仿宋_GB2312" w:cs="Times New Roman"/>
          <w:color w:val="auto"/>
          <w:kern w:val="2"/>
          <w:sz w:val="28"/>
          <w:szCs w:val="28"/>
          <w:lang w:val="en-US" w:eastAsia="zh-CN" w:bidi="ar-SA"/>
        </w:rPr>
        <w:t>）产出说明：包括项目位置、项目建设内容等。</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color w:val="auto"/>
          <w:kern w:val="2"/>
          <w:sz w:val="28"/>
          <w:szCs w:val="28"/>
          <w:lang w:val="en-US" w:eastAsia="zh-CN" w:bidi="ar-SA"/>
        </w:rPr>
      </w:pPr>
      <w:r>
        <w:rPr>
          <w:rFonts w:hint="default" w:ascii="Times New Roman" w:hAnsi="Times New Roman" w:eastAsia="仿宋_GB2312" w:cs="Times New Roman"/>
          <w:color w:val="auto"/>
          <w:kern w:val="2"/>
          <w:sz w:val="28"/>
          <w:szCs w:val="28"/>
          <w:lang w:val="en-US" w:eastAsia="zh-CN" w:bidi="ar-SA"/>
        </w:rPr>
        <w:t>项目位置：甘溪坝工业园区。</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color w:val="auto"/>
          <w:kern w:val="2"/>
          <w:sz w:val="28"/>
          <w:szCs w:val="28"/>
          <w:lang w:val="en-US" w:eastAsia="zh-CN" w:bidi="ar-SA"/>
        </w:rPr>
      </w:pPr>
      <w:r>
        <w:rPr>
          <w:rFonts w:hint="default" w:ascii="Times New Roman" w:hAnsi="Times New Roman" w:eastAsia="仿宋_GB2312" w:cs="Times New Roman"/>
          <w:color w:val="auto"/>
          <w:kern w:val="2"/>
          <w:sz w:val="28"/>
          <w:szCs w:val="28"/>
          <w:lang w:val="en-US" w:eastAsia="zh-CN" w:bidi="ar-SA"/>
        </w:rPr>
        <w:t>建设内容：</w:t>
      </w:r>
      <w:bookmarkStart w:id="31" w:name="_Toc16633423"/>
      <w:r>
        <w:rPr>
          <w:rFonts w:hint="default" w:ascii="Times New Roman" w:hAnsi="Times New Roman" w:eastAsia="仿宋_GB2312" w:cs="Times New Roman"/>
          <w:color w:val="auto"/>
          <w:kern w:val="2"/>
          <w:sz w:val="28"/>
          <w:szCs w:val="28"/>
          <w:lang w:val="en-US" w:eastAsia="zh-CN" w:bidi="ar-SA"/>
        </w:rPr>
        <w:t>项目建设框架结构农产品交易市场约40000平方米，冻库储存规模约20000立方米；配套建设相应的地面货车、小轿车停车位约500个，设置充电桩、停车管理系统等。新建小沟口五显庙堤带路1709米，建坪、小沟口周边输电线路搬迁、改造等；新建海子河坝至小万坪段连接道路2000米及基础配套设施建设等。</w:t>
      </w:r>
      <w:bookmarkEnd w:id="31"/>
    </w:p>
    <w:p>
      <w:pPr>
        <w:widowControl w:val="0"/>
        <w:wordWrap/>
        <w:adjustRightInd w:val="0"/>
        <w:snapToGrid w:val="0"/>
        <w:spacing w:beforeLines="50" w:line="360" w:lineRule="auto"/>
        <w:ind w:firstLine="640" w:firstLineChars="200"/>
        <w:textAlignment w:val="auto"/>
        <w:outlineLvl w:val="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二、经济社会效益分析</w:t>
      </w:r>
    </w:p>
    <w:p>
      <w:pPr>
        <w:pStyle w:val="3"/>
        <w:pBdr>
          <w:top w:val="none" w:color="auto" w:sz="0" w:space="0"/>
          <w:left w:val="none" w:color="auto" w:sz="0" w:space="0"/>
          <w:bottom w:val="none" w:color="auto" w:sz="0" w:space="0"/>
          <w:right w:val="none" w:color="auto" w:sz="0" w:space="0"/>
          <w:between w:val="none" w:color="auto" w:sz="0" w:space="0"/>
        </w:pBdr>
        <w:shd w:val="clear" w:color="auto" w:fill="auto"/>
        <w:suppressAutoHyphens/>
        <w:spacing w:beforeLines="50" w:beforeAutospacing="0" w:afterLines="50" w:afterAutospacing="0" w:line="520" w:lineRule="exact"/>
        <w:ind w:left="0" w:right="0" w:firstLine="643"/>
        <w:jc w:val="both"/>
        <w:rPr>
          <w:rFonts w:hint="default" w:ascii="Times New Roman" w:hAnsi="Times New Roman" w:eastAsia="仿宋_GB2312" w:cs="Times New Roman"/>
          <w:bCs w:val="0"/>
          <w:spacing w:val="0"/>
          <w:w w:val="100"/>
          <w:position w:val="0"/>
          <w:sz w:val="28"/>
          <w:szCs w:val="28"/>
          <w:u w:val="none"/>
          <w:lang w:val="en-US" w:eastAsia="zh-CN"/>
        </w:rPr>
      </w:pPr>
      <w:bookmarkStart w:id="32" w:name="_Toc12770"/>
      <w:bookmarkStart w:id="33" w:name="_Toc5070"/>
      <w:r>
        <w:rPr>
          <w:rFonts w:hint="default" w:ascii="Times New Roman" w:hAnsi="Times New Roman" w:eastAsia="仿宋_GB2312" w:cs="Times New Roman"/>
          <w:bCs w:val="0"/>
          <w:spacing w:val="0"/>
          <w:w w:val="100"/>
          <w:position w:val="0"/>
          <w:sz w:val="28"/>
          <w:szCs w:val="28"/>
          <w:u w:val="none"/>
          <w:lang w:val="en-US" w:eastAsia="zh-CN"/>
        </w:rPr>
        <w:t>（一）经济效益分析</w:t>
      </w:r>
      <w:bookmarkEnd w:id="32"/>
      <w:bookmarkEnd w:id="33"/>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项目的实施，有利于汉源县的物流产业开发功能的发挥，将促进汉源县现代物流与物流产业的培育和发展，必将产生新的经济增长点，为汉源县经济的可持续发展提供新的产业成长支持。将创造汉源县区域内产业布局与发展环境，为通过招商引资提高经济发展水平创造了条件。</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本项目的建设，将大大改善汉源县经济区域的社会物流环境，并通过物流园区为物流管理技术的广泛应用创造依托条件的方式，提高社会物流运作的整体效率，从而促进社会经济结构调整和经济增长方式的转变，提高经济增长质量。项目的建设和发展将为社会物流服务与管理组织的专业化分工创造条件，专业化的物流企业将从中受益，从而提高物流企业的经济效益，为其持续发展提供支持。</w:t>
      </w:r>
      <w:bookmarkStart w:id="34" w:name="_Toc21897"/>
      <w:bookmarkStart w:id="35" w:name="_Toc19648"/>
    </w:p>
    <w:p>
      <w:pPr>
        <w:pStyle w:val="5"/>
        <w:widowControl w:val="0"/>
        <w:wordWrap/>
        <w:adjustRightInd/>
        <w:snapToGrid w:val="0"/>
        <w:spacing w:line="20" w:lineRule="atLeast"/>
        <w:ind w:firstLine="562" w:firstLineChars="200"/>
        <w:textAlignment w:val="auto"/>
        <w:rPr>
          <w:rFonts w:hint="default" w:ascii="Times New Roman" w:hAnsi="Times New Roman" w:eastAsia="仿宋_GB2312" w:cs="Times New Roman"/>
          <w:b/>
          <w:bCs w:val="0"/>
          <w:color w:val="000000"/>
          <w:spacing w:val="0"/>
          <w:w w:val="100"/>
          <w:kern w:val="2"/>
          <w:position w:val="0"/>
          <w:sz w:val="28"/>
          <w:szCs w:val="28"/>
          <w:u w:val="none" w:color="000000"/>
          <w:lang w:val="en-US" w:eastAsia="zh-CN" w:bidi="ar-SA"/>
        </w:rPr>
      </w:pPr>
      <w:r>
        <w:rPr>
          <w:rFonts w:hint="default" w:ascii="Times New Roman" w:hAnsi="Times New Roman" w:eastAsia="仿宋_GB2312" w:cs="Times New Roman"/>
          <w:b/>
          <w:bCs w:val="0"/>
          <w:color w:val="000000"/>
          <w:spacing w:val="0"/>
          <w:w w:val="100"/>
          <w:kern w:val="2"/>
          <w:position w:val="0"/>
          <w:sz w:val="28"/>
          <w:szCs w:val="28"/>
          <w:u w:val="none" w:color="000000"/>
          <w:lang w:val="en-US" w:eastAsia="zh-CN" w:bidi="ar-SA"/>
        </w:rPr>
        <w:t>（二）社会效益分析</w:t>
      </w:r>
      <w:bookmarkEnd w:id="34"/>
      <w:bookmarkEnd w:id="35"/>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TW" w:bidi="ar-SA"/>
        </w:rPr>
      </w:pPr>
      <w:r>
        <w:rPr>
          <w:rFonts w:hint="default" w:ascii="Times New Roman" w:hAnsi="Times New Roman" w:eastAsia="仿宋_GB2312" w:cs="Times New Roman"/>
          <w:kern w:val="2"/>
          <w:sz w:val="28"/>
          <w:szCs w:val="28"/>
          <w:lang w:val="en-US" w:eastAsia="zh-TW" w:bidi="ar-SA"/>
        </w:rPr>
        <w:t>项目的建设对汉源县居民的影响主要体现在就业、收入水平和生活质量的提高上面。</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TW" w:bidi="ar-SA"/>
        </w:rPr>
      </w:pPr>
      <w:r>
        <w:rPr>
          <w:rFonts w:hint="default" w:ascii="Times New Roman" w:hAnsi="Times New Roman" w:eastAsia="仿宋_GB2312" w:cs="Times New Roman"/>
          <w:kern w:val="2"/>
          <w:sz w:val="28"/>
          <w:szCs w:val="28"/>
          <w:lang w:val="en-US" w:eastAsia="zh-TW" w:bidi="ar-SA"/>
        </w:rPr>
        <w:t>（1）项目施工期提供施工就业岗位</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TW" w:bidi="ar-SA"/>
        </w:rPr>
      </w:pPr>
      <w:r>
        <w:rPr>
          <w:rFonts w:hint="default" w:ascii="Times New Roman" w:hAnsi="Times New Roman" w:eastAsia="仿宋_GB2312" w:cs="Times New Roman"/>
          <w:kern w:val="2"/>
          <w:sz w:val="28"/>
          <w:szCs w:val="28"/>
          <w:lang w:val="en-US" w:eastAsia="zh-TW" w:bidi="ar-SA"/>
        </w:rPr>
        <w:t>建筑业是农民工就业的主要行业，在当前就业形势严峻的条件下，本项目提供的施工岗位对解决农民工就业具有积极的作用。</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TW" w:bidi="ar-SA"/>
        </w:rPr>
      </w:pPr>
      <w:r>
        <w:rPr>
          <w:rFonts w:hint="default" w:ascii="Times New Roman" w:hAnsi="Times New Roman" w:eastAsia="仿宋_GB2312" w:cs="Times New Roman"/>
          <w:kern w:val="2"/>
          <w:sz w:val="28"/>
          <w:szCs w:val="28"/>
          <w:lang w:val="en-US" w:eastAsia="zh-TW" w:bidi="ar-SA"/>
        </w:rPr>
        <w:t>（2）项目建成运营期提供的就业岗位</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TW" w:bidi="ar-SA"/>
        </w:rPr>
      </w:pPr>
      <w:r>
        <w:rPr>
          <w:rFonts w:hint="default" w:ascii="Times New Roman" w:hAnsi="Times New Roman" w:eastAsia="仿宋_GB2312" w:cs="Times New Roman"/>
          <w:kern w:val="2"/>
          <w:sz w:val="28"/>
          <w:szCs w:val="28"/>
          <w:lang w:val="en-US" w:eastAsia="zh-TW" w:bidi="ar-SA"/>
        </w:rPr>
        <w:t>项目投入运行后将提供大量的服务岗位，特别是交易中心和仓储物流建成后将提供更多规范的就业岗位。</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TW" w:bidi="ar-SA"/>
        </w:rPr>
      </w:pPr>
      <w:r>
        <w:rPr>
          <w:rFonts w:hint="default" w:ascii="Times New Roman" w:hAnsi="Times New Roman" w:eastAsia="仿宋_GB2312" w:cs="Times New Roman"/>
          <w:kern w:val="2"/>
          <w:sz w:val="28"/>
          <w:szCs w:val="28"/>
          <w:lang w:val="en-US" w:eastAsia="zh-TW" w:bidi="ar-SA"/>
        </w:rPr>
        <w:t>（3）农民生活水平的提高</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TW" w:bidi="ar-SA"/>
        </w:rPr>
      </w:pPr>
      <w:r>
        <w:rPr>
          <w:rFonts w:hint="default" w:ascii="Times New Roman" w:hAnsi="Times New Roman" w:eastAsia="仿宋_GB2312" w:cs="Times New Roman"/>
          <w:kern w:val="2"/>
          <w:sz w:val="28"/>
          <w:szCs w:val="28"/>
          <w:lang w:val="en-US" w:eastAsia="zh-TW" w:bidi="ar-SA"/>
        </w:rPr>
        <w:t>本项目建成后，采用对流转土地给予土地租金、反租倒包等利益联结机制，雇用产业工人的就业形式，拓宽项目区所在地农民的就业渠道，改善农民收入不稳定的现状，提高其收入水平。农特产品交易中心、仓储冷链物流等的建设又促进农特产业的集聚和链条的形成，将为农民的持续增收提供牢固的保障，促进汉源县部分剩余劳动力转入第二、三产业，项目能带来一定的就业效益，能提高农民的收入及生活水平。</w:t>
      </w:r>
    </w:p>
    <w:p>
      <w:pPr>
        <w:widowControl w:val="0"/>
        <w:wordWrap/>
        <w:adjustRightInd w:val="0"/>
        <w:snapToGrid w:val="0"/>
        <w:spacing w:beforeLines="50" w:line="360" w:lineRule="auto"/>
        <w:ind w:firstLine="640" w:firstLineChars="200"/>
        <w:textAlignment w:val="auto"/>
        <w:outlineLvl w:val="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三、项目投资估算及资金筹措方案</w:t>
      </w:r>
    </w:p>
    <w:p>
      <w:pPr>
        <w:pStyle w:val="3"/>
        <w:pBdr>
          <w:top w:val="none" w:color="auto" w:sz="0" w:space="0"/>
          <w:left w:val="none" w:color="auto" w:sz="0" w:space="0"/>
          <w:bottom w:val="none" w:color="auto" w:sz="0" w:space="0"/>
          <w:right w:val="none" w:color="auto" w:sz="0" w:space="0"/>
          <w:between w:val="none" w:color="auto" w:sz="0" w:space="0"/>
        </w:pBdr>
        <w:shd w:val="clear" w:color="auto" w:fill="auto"/>
        <w:suppressAutoHyphens/>
        <w:wordWrap/>
        <w:adjustRightInd w:val="0"/>
        <w:snapToGrid w:val="0"/>
        <w:spacing w:before="0" w:beforeAutospacing="0" w:after="0" w:afterAutospacing="0" w:line="300" w:lineRule="auto"/>
        <w:ind w:left="0" w:leftChars="0" w:right="0" w:firstLine="562" w:firstLineChars="200"/>
        <w:jc w:val="both"/>
        <w:rPr>
          <w:rFonts w:hint="default" w:ascii="Times New Roman" w:hAnsi="Times New Roman" w:eastAsia="仿宋_GB2312" w:cs="Times New Roman"/>
          <w:bCs w:val="0"/>
          <w:spacing w:val="0"/>
          <w:w w:val="100"/>
          <w:position w:val="0"/>
          <w:sz w:val="28"/>
          <w:szCs w:val="28"/>
          <w:u w:val="none"/>
          <w:lang w:val="en-US" w:eastAsia="zh-CN"/>
        </w:rPr>
      </w:pPr>
      <w:r>
        <w:rPr>
          <w:rFonts w:hint="default" w:ascii="Times New Roman" w:hAnsi="Times New Roman" w:eastAsia="仿宋_GB2312" w:cs="Times New Roman"/>
          <w:bCs w:val="0"/>
          <w:spacing w:val="0"/>
          <w:w w:val="100"/>
          <w:position w:val="0"/>
          <w:sz w:val="28"/>
          <w:szCs w:val="28"/>
          <w:u w:val="none"/>
          <w:lang w:val="en-US" w:eastAsia="zh-CN"/>
        </w:rPr>
        <w:t>（一）投资估算</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30"/>
          <w:szCs w:val="30"/>
          <w:lang w:val="en-US" w:eastAsia="zh-CN" w:bidi="ar-SA"/>
        </w:rPr>
      </w:pPr>
      <w:bookmarkStart w:id="36" w:name="_Toc11440"/>
      <w:bookmarkStart w:id="37" w:name="_Toc26823_WPSOffice_Level2"/>
      <w:bookmarkStart w:id="38" w:name="_Toc109"/>
      <w:bookmarkStart w:id="39" w:name="_Toc8234_WPSOffice_Level2"/>
      <w:bookmarkStart w:id="40" w:name="_Toc29498_WPSOffice_Level2"/>
      <w:bookmarkStart w:id="41" w:name="_Toc28596_WPSOffice_Level2"/>
      <w:r>
        <w:rPr>
          <w:rFonts w:hint="default" w:ascii="Times New Roman" w:hAnsi="Times New Roman" w:eastAsia="仿宋_GB2312" w:cs="Times New Roman"/>
          <w:kern w:val="2"/>
          <w:sz w:val="28"/>
          <w:szCs w:val="28"/>
          <w:lang w:val="en-US" w:eastAsia="zh-CN" w:bidi="ar-SA"/>
        </w:rPr>
        <w:t>本项目总投资25000万元。其中第一部分建安工程费21007.25万元，第二部分其他费用1588.65万元，预备费1129.80万元，建设期利息1257.30万元，债券发行费17.00万元。</w:t>
      </w:r>
    </w:p>
    <w:p>
      <w:pPr>
        <w:pStyle w:val="3"/>
        <w:pBdr>
          <w:top w:val="none" w:color="auto" w:sz="0" w:space="0"/>
          <w:left w:val="none" w:color="auto" w:sz="0" w:space="0"/>
          <w:bottom w:val="none" w:color="auto" w:sz="0" w:space="0"/>
          <w:right w:val="none" w:color="auto" w:sz="0" w:space="0"/>
          <w:between w:val="none" w:color="auto" w:sz="0" w:space="0"/>
        </w:pBdr>
        <w:shd w:val="clear" w:color="auto" w:fill="auto"/>
        <w:suppressAutoHyphens/>
        <w:wordWrap/>
        <w:adjustRightInd w:val="0"/>
        <w:snapToGrid w:val="0"/>
        <w:spacing w:before="0" w:beforeAutospacing="0" w:after="0" w:afterAutospacing="0" w:line="300" w:lineRule="auto"/>
        <w:ind w:left="0" w:leftChars="0" w:right="0" w:firstLine="562" w:firstLineChars="200"/>
        <w:jc w:val="both"/>
        <w:rPr>
          <w:rFonts w:hint="default" w:ascii="Times New Roman" w:hAnsi="Times New Roman" w:eastAsia="仿宋_GB2312" w:cs="Times New Roman"/>
          <w:bCs w:val="0"/>
          <w:spacing w:val="0"/>
          <w:w w:val="100"/>
          <w:position w:val="0"/>
          <w:sz w:val="28"/>
          <w:szCs w:val="28"/>
          <w:u w:val="none"/>
          <w:lang w:val="en-US" w:eastAsia="zh-CN"/>
        </w:rPr>
      </w:pPr>
      <w:r>
        <w:rPr>
          <w:rFonts w:hint="default" w:ascii="Times New Roman" w:hAnsi="Times New Roman" w:eastAsia="仿宋_GB2312" w:cs="Times New Roman"/>
          <w:bCs w:val="0"/>
          <w:spacing w:val="0"/>
          <w:w w:val="100"/>
          <w:position w:val="0"/>
          <w:sz w:val="28"/>
          <w:szCs w:val="28"/>
          <w:u w:val="none"/>
          <w:lang w:val="en-US" w:eastAsia="zh-CN"/>
        </w:rPr>
        <w:t>（二）资金筹措方案</w:t>
      </w:r>
      <w:bookmarkEnd w:id="36"/>
      <w:bookmarkEnd w:id="37"/>
      <w:bookmarkEnd w:id="38"/>
      <w:bookmarkEnd w:id="39"/>
      <w:bookmarkEnd w:id="40"/>
      <w:bookmarkEnd w:id="41"/>
    </w:p>
    <w:p>
      <w:pPr>
        <w:pStyle w:val="5"/>
        <w:widowControl w:val="0"/>
        <w:wordWrap/>
        <w:adjustRightInd w:val="0"/>
        <w:snapToGrid w:val="0"/>
        <w:spacing w:after="0" w:line="300" w:lineRule="auto"/>
        <w:ind w:left="0" w:leftChars="0" w:firstLine="562" w:firstLineChars="200"/>
        <w:textAlignment w:val="auto"/>
        <w:rPr>
          <w:rFonts w:hint="default" w:ascii="Times New Roman" w:hAnsi="Times New Roman" w:eastAsia="仿宋_GB2312" w:cs="Times New Roman"/>
          <w:b/>
          <w:bCs/>
          <w:kern w:val="2"/>
          <w:sz w:val="28"/>
          <w:szCs w:val="28"/>
          <w:lang w:val="en-US" w:eastAsia="zh-CN" w:bidi="ar-SA"/>
        </w:rPr>
      </w:pPr>
      <w:r>
        <w:rPr>
          <w:rFonts w:hint="default" w:ascii="Times New Roman" w:hAnsi="Times New Roman" w:eastAsia="仿宋_GB2312" w:cs="Times New Roman"/>
          <w:b/>
          <w:bCs/>
          <w:kern w:val="2"/>
          <w:sz w:val="28"/>
          <w:szCs w:val="28"/>
          <w:lang w:val="en-US" w:eastAsia="zh-CN" w:bidi="ar-SA"/>
        </w:rPr>
        <w:t>1.资金来源</w:t>
      </w:r>
    </w:p>
    <w:p>
      <w:pPr>
        <w:pStyle w:val="5"/>
        <w:widowControl w:val="0"/>
        <w:wordWrap/>
        <w:adjustRightInd w:val="0"/>
        <w:snapToGrid w:val="0"/>
        <w:spacing w:after="0" w:line="300" w:lineRule="auto"/>
        <w:ind w:left="0" w:leftChars="0" w:firstLine="562"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b/>
          <w:bCs/>
          <w:kern w:val="2"/>
          <w:sz w:val="28"/>
          <w:szCs w:val="28"/>
          <w:lang w:val="en-US" w:eastAsia="zh-CN" w:bidi="ar-SA"/>
        </w:rPr>
        <w:t>资本金来源</w:t>
      </w:r>
      <w:r>
        <w:rPr>
          <w:rFonts w:hint="default" w:ascii="Times New Roman" w:hAnsi="Times New Roman" w:eastAsia="仿宋_GB2312" w:cs="Times New Roman"/>
          <w:kern w:val="2"/>
          <w:sz w:val="28"/>
          <w:szCs w:val="28"/>
          <w:lang w:val="en-US" w:eastAsia="zh-CN" w:bidi="ar-SA"/>
        </w:rPr>
        <w:t>：项目总投资为25000万元，包括项目资本金和专项债券、市场化融资。</w:t>
      </w:r>
    </w:p>
    <w:p>
      <w:pPr>
        <w:pStyle w:val="5"/>
        <w:widowControl w:val="0"/>
        <w:wordWrap/>
        <w:adjustRightInd w:val="0"/>
        <w:snapToGrid w:val="0"/>
        <w:spacing w:after="0" w:line="300" w:lineRule="auto"/>
        <w:ind w:left="0" w:leftChars="0" w:firstLine="562"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b/>
          <w:bCs/>
          <w:kern w:val="2"/>
          <w:sz w:val="28"/>
          <w:szCs w:val="28"/>
          <w:lang w:val="en-US" w:eastAsia="zh-CN" w:bidi="ar-SA"/>
        </w:rPr>
        <w:t>融资来源：</w:t>
      </w:r>
    </w:p>
    <w:p>
      <w:pPr>
        <w:pStyle w:val="5"/>
        <w:widowControl w:val="0"/>
        <w:wordWrap/>
        <w:adjustRightInd w:val="0"/>
        <w:snapToGrid w:val="0"/>
        <w:spacing w:after="0" w:line="300" w:lineRule="auto"/>
        <w:ind w:left="0" w:leftChars="0" w:firstLine="560" w:firstLineChars="200"/>
        <w:textAlignment w:val="auto"/>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项目资本金：为8000万元，占项目总投资的32%，其中由汉源县财政部门统筹安排资金6000万元，业主自有资金2000万元。项目资本金根据建设进度分年投入。</w:t>
      </w:r>
    </w:p>
    <w:p>
      <w:pPr>
        <w:pStyle w:val="5"/>
        <w:widowControl w:val="0"/>
        <w:wordWrap/>
        <w:adjustRightInd w:val="0"/>
        <w:snapToGrid w:val="0"/>
        <w:spacing w:after="0" w:line="300" w:lineRule="auto"/>
        <w:ind w:left="0" w:leftChars="0" w:firstLine="560" w:firstLineChars="200"/>
        <w:textAlignment w:val="auto"/>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申请专项债券资金：计划申请发行专项债券12000.00万元，占项目总投资的48%。2021年拟申请发行10000.00万元，2022年拟申请发行2000.00万元，债券期限15年。</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市场化融资：计划市场化融资5000万元，占项目总投资的20%。2021年拟申请发行2000.00万元，2022年拟申请发行3000.00万元，期限15年。</w:t>
      </w:r>
    </w:p>
    <w:p>
      <w:pPr>
        <w:pStyle w:val="5"/>
        <w:widowControl w:val="0"/>
        <w:wordWrap/>
        <w:adjustRightInd w:val="0"/>
        <w:snapToGrid w:val="0"/>
        <w:spacing w:after="0" w:line="300" w:lineRule="auto"/>
        <w:ind w:left="0" w:leftChars="0" w:firstLine="562" w:firstLineChars="200"/>
        <w:textAlignment w:val="auto"/>
        <w:rPr>
          <w:rFonts w:hint="default" w:ascii="Times New Roman" w:hAnsi="Times New Roman" w:eastAsia="仿宋_GB2312" w:cs="Times New Roman"/>
          <w:b/>
          <w:bCs/>
          <w:kern w:val="2"/>
          <w:sz w:val="28"/>
          <w:szCs w:val="28"/>
          <w:lang w:val="en-US" w:eastAsia="zh-CN" w:bidi="ar-SA"/>
        </w:rPr>
      </w:pPr>
      <w:r>
        <w:rPr>
          <w:rFonts w:hint="default" w:ascii="Times New Roman" w:hAnsi="Times New Roman" w:eastAsia="仿宋_GB2312" w:cs="Times New Roman"/>
          <w:b/>
          <w:bCs/>
          <w:kern w:val="2"/>
          <w:sz w:val="28"/>
          <w:szCs w:val="28"/>
          <w:lang w:val="en-US" w:eastAsia="zh-CN" w:bidi="ar-SA"/>
        </w:rPr>
        <w:t>2.资金使用计划</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本项目计划建设工期为24个月，项目所筹资金将根据项目实施计划和实时建设进度来进行合理分配，且将全部投资于本项目，具体数额应当根据进度支出。</w:t>
      </w:r>
    </w:p>
    <w:p>
      <w:pPr>
        <w:widowControl w:val="0"/>
        <w:wordWrap/>
        <w:adjustRightInd w:val="0"/>
        <w:snapToGrid w:val="0"/>
        <w:spacing w:beforeLines="50" w:line="360" w:lineRule="auto"/>
        <w:ind w:firstLine="640" w:firstLineChars="200"/>
        <w:textAlignment w:val="auto"/>
        <w:outlineLvl w:val="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四、项目预期收益、成本及融资平衡情况</w:t>
      </w:r>
    </w:p>
    <w:p>
      <w:pPr>
        <w:pStyle w:val="3"/>
        <w:pBdr>
          <w:top w:val="none" w:color="auto" w:sz="0" w:space="0"/>
          <w:left w:val="none" w:color="auto" w:sz="0" w:space="0"/>
          <w:bottom w:val="none" w:color="auto" w:sz="0" w:space="0"/>
          <w:right w:val="none" w:color="auto" w:sz="0" w:space="0"/>
          <w:between w:val="none" w:color="auto" w:sz="0" w:space="0"/>
        </w:pBdr>
        <w:shd w:val="clear" w:color="auto" w:fill="auto"/>
        <w:suppressAutoHyphens/>
        <w:wordWrap/>
        <w:adjustRightInd w:val="0"/>
        <w:snapToGrid w:val="0"/>
        <w:spacing w:before="0" w:beforeAutospacing="0" w:after="0" w:afterAutospacing="0" w:line="300" w:lineRule="auto"/>
        <w:ind w:left="0" w:leftChars="0" w:right="0" w:firstLine="562" w:firstLineChars="200"/>
        <w:jc w:val="both"/>
        <w:rPr>
          <w:rFonts w:hint="default" w:ascii="Times New Roman" w:hAnsi="Times New Roman" w:eastAsia="仿宋_GB2312" w:cs="Times New Roman"/>
          <w:bCs w:val="0"/>
          <w:spacing w:val="0"/>
          <w:w w:val="100"/>
          <w:position w:val="0"/>
          <w:sz w:val="28"/>
          <w:szCs w:val="28"/>
          <w:u w:val="none"/>
          <w:lang w:val="en-US" w:eastAsia="zh-CN"/>
        </w:rPr>
      </w:pPr>
      <w:r>
        <w:rPr>
          <w:rFonts w:hint="default" w:ascii="Times New Roman" w:hAnsi="Times New Roman" w:eastAsia="仿宋_GB2312" w:cs="Times New Roman"/>
          <w:bCs w:val="0"/>
          <w:spacing w:val="0"/>
          <w:w w:val="100"/>
          <w:position w:val="0"/>
          <w:sz w:val="28"/>
          <w:szCs w:val="28"/>
          <w:u w:val="none"/>
          <w:lang w:val="en-US" w:eastAsia="zh-CN"/>
        </w:rPr>
        <w:t>（一）预期收益</w:t>
      </w:r>
    </w:p>
    <w:p>
      <w:pPr>
        <w:pStyle w:val="6"/>
        <w:wordWrap/>
        <w:adjustRightInd w:val="0"/>
        <w:snapToGrid w:val="0"/>
        <w:spacing w:before="0" w:after="0" w:line="300" w:lineRule="auto"/>
        <w:ind w:left="0" w:leftChars="0" w:firstLine="562" w:firstLineChars="200"/>
        <w:rPr>
          <w:rFonts w:hint="default" w:ascii="Times New Roman" w:hAnsi="Times New Roman" w:cs="Times New Roman"/>
          <w:sz w:val="28"/>
          <w:szCs w:val="28"/>
          <w:lang w:val="en-US" w:eastAsia="zh-CN"/>
        </w:rPr>
      </w:pPr>
      <w:r>
        <w:rPr>
          <w:rFonts w:hint="default" w:ascii="Times New Roman" w:hAnsi="Times New Roman" w:eastAsia="仿宋_GB2312" w:cs="Times New Roman"/>
          <w:kern w:val="2"/>
          <w:sz w:val="28"/>
          <w:szCs w:val="28"/>
          <w:lang w:val="en-US" w:eastAsia="zh-CN" w:bidi="ar-SA"/>
        </w:rPr>
        <w:t>1.项目收入</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（1）项目收入可行性</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源县农产品骨干冷链物流基地项目实施后，能与汉源县现有市场形成配套互补及提档升级，提供农资产品的交易、分拣、存储、农产品粗加工生产线等功能。打造区域性农产品产地仓储冷链物流中心，建设冷链设备、保鲜工艺、智能信息和供应链集成标准体系，和冷产、冷储、冷运、冷销数据保障的安全和温控双追溯监控体系。项目的建设能有效提升周边农副产品交易基础设施保障能力，建立一个园区食品加工企业与广大汉源农户直接对接交易的大平台，能有效助农增收，刺激汉源经济增长。</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本项目收入来源主要包括农产品交易市场出租收入、冷藏冷冻库出租收入、停车场收入及充电桩收入，收费单价参考全国、四川省、汉源县以及汉源县同类项目的市场价格。</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（2）项目收入的分类</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本项目收入反映为专项收入，用于偿还专项债券本息的收入纳入政府性基金管理。用于偿还市场化融资的专项收入归集到监管账户管理。</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（3）项目收入预测</w:t>
      </w:r>
    </w:p>
    <w:p>
      <w:pPr>
        <w:pStyle w:val="5"/>
        <w:widowControl w:val="0"/>
        <w:wordWrap/>
        <w:adjustRightInd w:val="0"/>
        <w:snapToGrid w:val="0"/>
        <w:spacing w:after="0" w:line="300" w:lineRule="auto"/>
        <w:ind w:left="0" w:leftChars="0" w:firstLine="560" w:firstLineChars="200"/>
        <w:textAlignment w:val="auto"/>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kern w:val="2"/>
          <w:sz w:val="28"/>
          <w:szCs w:val="28"/>
          <w:lang w:val="en-US" w:eastAsia="zh-CN" w:bidi="ar-SA"/>
        </w:rPr>
        <w:t>项目建设框架结构农产品交易市场约40000平方米，冷库储存规模约20000立方米；配套建设相应的地面货车、小轿车停车位约500个（其中400个小车位，100个货车位），设置充电桩50个。</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本项目收入来源主要为交易市场出租（含物业）收入、冷藏冷冻库收入</w:t>
      </w:r>
      <w:r>
        <w:rPr>
          <w:rFonts w:hint="eastAsia" w:ascii="Times New Roman" w:hAnsi="Times New Roman" w:eastAsia="仿宋_GB2312" w:cs="Times New Roman"/>
          <w:kern w:val="2"/>
          <w:sz w:val="28"/>
          <w:szCs w:val="28"/>
          <w:lang w:val="en-US" w:eastAsia="zh-CN" w:bidi="ar-SA"/>
        </w:rPr>
        <w:t>、停车收入、充电服务费。</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cs="Times New Roman"/>
          <w:sz w:val="28"/>
          <w:szCs w:val="28"/>
          <w:lang w:val="en-US" w:eastAsia="zh-CN"/>
        </w:rPr>
      </w:pPr>
      <w:r>
        <w:rPr>
          <w:rFonts w:hint="default" w:ascii="Times New Roman" w:hAnsi="Times New Roman" w:eastAsia="仿宋_GB2312" w:cs="Times New Roman"/>
          <w:kern w:val="2"/>
          <w:sz w:val="28"/>
          <w:szCs w:val="28"/>
          <w:lang w:val="en-US" w:eastAsia="zh-CN" w:bidi="ar-SA"/>
        </w:rPr>
        <w:t>经测算，在债券存续期内，本项目经营收入合计</w:t>
      </w:r>
      <w:r>
        <w:rPr>
          <w:rFonts w:hint="eastAsia" w:ascii="Times New Roman" w:hAnsi="Times New Roman" w:eastAsia="仿宋_GB2312" w:cs="Times New Roman"/>
          <w:kern w:val="2"/>
          <w:sz w:val="28"/>
          <w:szCs w:val="28"/>
          <w:lang w:val="en-US" w:eastAsia="zh-CN" w:bidi="ar-SA"/>
        </w:rPr>
        <w:t>57,545.68</w:t>
      </w:r>
      <w:r>
        <w:rPr>
          <w:rFonts w:hint="default" w:ascii="Times New Roman" w:hAnsi="Times New Roman" w:eastAsia="仿宋_GB2312" w:cs="Times New Roman"/>
          <w:kern w:val="2"/>
          <w:sz w:val="28"/>
          <w:szCs w:val="28"/>
          <w:lang w:val="en-US" w:eastAsia="zh-CN" w:bidi="ar-SA"/>
        </w:rPr>
        <w:t>万元。</w:t>
      </w:r>
    </w:p>
    <w:p>
      <w:pPr>
        <w:pStyle w:val="5"/>
        <w:widowControl w:val="0"/>
        <w:wordWrap/>
        <w:adjustRightInd w:val="0"/>
        <w:snapToGrid w:val="0"/>
        <w:spacing w:after="0" w:line="300" w:lineRule="auto"/>
        <w:ind w:left="0" w:leftChars="0" w:firstLine="562"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b/>
          <w:bCs/>
          <w:kern w:val="2"/>
          <w:sz w:val="28"/>
          <w:szCs w:val="28"/>
          <w:lang w:val="en-US" w:eastAsia="zh-CN" w:bidi="ar-SA"/>
        </w:rPr>
        <w:t>2.项目成本</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项目总成本包括经营成本(原辅材料及动力费、工资及福利费、维护修理费、折旧费)、营业费用、管理费用、税金及附加、财务费用等。</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固定资产折旧</w:t>
      </w:r>
      <w:r>
        <w:rPr>
          <w:rFonts w:hint="eastAsia" w:ascii="Times New Roman" w:hAnsi="Times New Roman" w:eastAsia="仿宋_GB2312" w:cs="Times New Roman"/>
          <w:kern w:val="2"/>
          <w:sz w:val="28"/>
          <w:szCs w:val="28"/>
          <w:lang w:val="en-US" w:eastAsia="zh-CN" w:bidi="ar-SA"/>
        </w:rPr>
        <w:t>：项目假定以总投资为固定资产总额，固定资产折旧年限按20年计，残值率5%，采用平均年限法折旧</w:t>
      </w:r>
      <w:r>
        <w:rPr>
          <w:rFonts w:hint="default" w:ascii="Times New Roman" w:hAnsi="Times New Roman" w:eastAsia="仿宋_GB2312" w:cs="Times New Roman"/>
          <w:kern w:val="2"/>
          <w:sz w:val="28"/>
          <w:szCs w:val="28"/>
          <w:lang w:val="en-US" w:eastAsia="zh-CN" w:bidi="ar-SA"/>
        </w:rPr>
        <w:t>。</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财务费用</w:t>
      </w:r>
      <w:r>
        <w:rPr>
          <w:rFonts w:hint="eastAsia" w:ascii="Times New Roman" w:hAnsi="Times New Roman" w:eastAsia="仿宋_GB2312" w:cs="Times New Roman"/>
          <w:kern w:val="2"/>
          <w:sz w:val="28"/>
          <w:szCs w:val="28"/>
          <w:lang w:val="en-US" w:eastAsia="zh-CN" w:bidi="ar-SA"/>
        </w:rPr>
        <w:t>：</w:t>
      </w:r>
      <w:r>
        <w:rPr>
          <w:rFonts w:hint="default" w:ascii="Times New Roman" w:hAnsi="Times New Roman" w:eastAsia="仿宋_GB2312" w:cs="Times New Roman"/>
          <w:kern w:val="2"/>
          <w:sz w:val="28"/>
          <w:szCs w:val="28"/>
          <w:lang w:val="en-US" w:eastAsia="zh-CN" w:bidi="ar-SA"/>
        </w:rPr>
        <w:t>本项目发行债券需支付的利息，按照4%利率计算，市场融资利息按5.39%计算。</w:t>
      </w:r>
    </w:p>
    <w:p>
      <w:pPr>
        <w:pStyle w:val="5"/>
        <w:widowControl w:val="0"/>
        <w:wordWrap/>
        <w:adjustRightInd w:val="0"/>
        <w:snapToGrid w:val="0"/>
        <w:spacing w:after="0" w:line="300" w:lineRule="auto"/>
        <w:ind w:left="0" w:leftChars="0" w:firstLine="562" w:firstLineChars="200"/>
        <w:textAlignment w:val="auto"/>
        <w:rPr>
          <w:rFonts w:hint="default" w:ascii="Times New Roman" w:hAnsi="Times New Roman" w:eastAsia="仿宋_GB2312" w:cs="Times New Roman"/>
          <w:b/>
          <w:bCs/>
          <w:kern w:val="2"/>
          <w:sz w:val="28"/>
          <w:szCs w:val="28"/>
          <w:lang w:val="en-US" w:eastAsia="zh-CN" w:bidi="ar-SA"/>
        </w:rPr>
      </w:pPr>
      <w:r>
        <w:rPr>
          <w:rFonts w:hint="eastAsia" w:ascii="Times New Roman" w:hAnsi="Times New Roman" w:eastAsia="仿宋_GB2312" w:cs="Times New Roman"/>
          <w:b/>
          <w:bCs/>
          <w:kern w:val="2"/>
          <w:sz w:val="28"/>
          <w:szCs w:val="28"/>
          <w:lang w:val="en-US" w:eastAsia="zh-CN" w:bidi="ar-SA"/>
        </w:rPr>
        <w:t>3.</w:t>
      </w:r>
      <w:r>
        <w:rPr>
          <w:rFonts w:hint="default" w:ascii="Times New Roman" w:hAnsi="Times New Roman" w:eastAsia="仿宋_GB2312" w:cs="Times New Roman"/>
          <w:b/>
          <w:bCs/>
          <w:kern w:val="2"/>
          <w:sz w:val="28"/>
          <w:szCs w:val="28"/>
          <w:lang w:val="en-US" w:eastAsia="zh-CN" w:bidi="ar-SA"/>
        </w:rPr>
        <w:t>相关税费</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①税金及附加</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a1:增值税</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本项目充电桩服务费收入按税率6%测算，其他收入按税率9%进行测算。</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a2:其他税金及附加</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税金及附加主要包括城市建设维护税、教育费附加、地方教育费附加，征收比率分别为增值税额的5%，3%，2%。</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a3:房产税：房产税按12%计算。</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②  所得税</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企业所得税税率25%。</w:t>
      </w:r>
    </w:p>
    <w:p>
      <w:pPr>
        <w:pStyle w:val="3"/>
        <w:pBdr>
          <w:top w:val="none" w:color="auto" w:sz="0" w:space="0"/>
          <w:left w:val="none" w:color="auto" w:sz="0" w:space="0"/>
          <w:bottom w:val="none" w:color="auto" w:sz="0" w:space="0"/>
          <w:right w:val="none" w:color="auto" w:sz="0" w:space="0"/>
          <w:between w:val="none" w:color="auto" w:sz="0" w:space="0"/>
        </w:pBdr>
        <w:shd w:val="clear" w:color="auto" w:fill="auto"/>
        <w:suppressAutoHyphens/>
        <w:wordWrap/>
        <w:adjustRightInd w:val="0"/>
        <w:snapToGrid w:val="0"/>
        <w:spacing w:before="0" w:beforeAutospacing="0" w:after="0" w:afterAutospacing="0" w:line="300" w:lineRule="auto"/>
        <w:ind w:left="0" w:leftChars="0" w:right="0" w:firstLine="562" w:firstLineChars="200"/>
        <w:jc w:val="both"/>
        <w:rPr>
          <w:rFonts w:hint="default" w:ascii="Times New Roman" w:hAnsi="Times New Roman" w:eastAsia="仿宋_GB2312" w:cs="Times New Roman"/>
          <w:bCs w:val="0"/>
          <w:spacing w:val="0"/>
          <w:w w:val="100"/>
          <w:position w:val="0"/>
          <w:sz w:val="28"/>
          <w:szCs w:val="28"/>
          <w:u w:val="none"/>
          <w:lang w:val="en-US" w:eastAsia="zh-CN"/>
        </w:rPr>
      </w:pPr>
      <w:r>
        <w:rPr>
          <w:rFonts w:hint="default" w:ascii="Times New Roman" w:hAnsi="Times New Roman" w:eastAsia="仿宋_GB2312" w:cs="Times New Roman"/>
          <w:bCs w:val="0"/>
          <w:spacing w:val="0"/>
          <w:w w:val="100"/>
          <w:position w:val="0"/>
          <w:sz w:val="28"/>
          <w:szCs w:val="28"/>
          <w:u w:val="none"/>
          <w:lang w:val="en-US" w:eastAsia="zh-CN"/>
        </w:rPr>
        <w:t>（二）资金测算平衡情况</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本项目采用政府专项债和市场化融资组合的方式融资，运营期期间项目收入实行分账管理，对用于偿还政府专项债券和市场化融资的专项收入分别纳入政府性基金和银行专户管理。项目累计净现金流入34589.50万元，其中，将用于偿还政府专项债的专项收入</w:t>
      </w:r>
      <w:bookmarkStart w:id="42" w:name="_Hlk41790433"/>
      <w:r>
        <w:rPr>
          <w:rFonts w:hint="default" w:ascii="Times New Roman" w:hAnsi="Times New Roman" w:eastAsia="仿宋_GB2312" w:cs="Times New Roman"/>
          <w:kern w:val="2"/>
          <w:sz w:val="28"/>
          <w:szCs w:val="28"/>
          <w:lang w:val="en-US" w:eastAsia="zh-CN" w:bidi="ar-SA"/>
        </w:rPr>
        <w:t>23520.86万元（包含项目存续期净现金流入的68%）</w:t>
      </w:r>
      <w:bookmarkEnd w:id="42"/>
      <w:r>
        <w:rPr>
          <w:rFonts w:hint="default" w:ascii="Times New Roman" w:hAnsi="Times New Roman" w:eastAsia="仿宋_GB2312" w:cs="Times New Roman"/>
          <w:kern w:val="2"/>
          <w:sz w:val="28"/>
          <w:szCs w:val="28"/>
          <w:lang w:val="en-US" w:eastAsia="zh-CN" w:bidi="ar-SA"/>
        </w:rPr>
        <w:t>纳入政府性基金管理，政府专项债券本息合计19200.00万元，政府专项债券收益覆盖倍数为1.23倍；将用于偿还市场化融资的的专项收入11068.64万元（包含项目存续期净现金流入的32%）纳入银行专户进行管理，市场化融资本息合计7344.65万元，市场化融资收益覆盖倍数1.51倍。期间将不存在资金缺口，能够覆盖本息金额。故本项目施行市场化融资是可行的。</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相关测算如下：</w:t>
      </w:r>
    </w:p>
    <w:tbl>
      <w:tblPr>
        <w:tblW w:w="831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24"/>
        <w:gridCol w:w="5660"/>
        <w:gridCol w:w="1634"/>
      </w:tblGrid>
      <w:tr>
        <w:trPr>
          <w:trHeight w:val="380" w:hRule="atLeast"/>
          <w:jc w:val="center"/>
        </w:trPr>
        <w:tc>
          <w:tcPr>
            <w:tcW w:w="10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i w:val="0"/>
                <w:color w:val="000000"/>
                <w:sz w:val="24"/>
                <w:szCs w:val="24"/>
                <w:u w:val="none"/>
              </w:rPr>
            </w:pPr>
            <w:r>
              <w:rPr>
                <w:rFonts w:hint="default" w:ascii="Times New Roman" w:hAnsi="Times New Roman" w:eastAsia="仿宋_GB2312" w:cs="Times New Roman"/>
                <w:i w:val="0"/>
                <w:color w:val="000000"/>
                <w:kern w:val="0"/>
                <w:sz w:val="24"/>
                <w:szCs w:val="24"/>
                <w:u w:val="none"/>
                <w:lang w:val="en-US" w:eastAsia="zh-CN"/>
              </w:rPr>
              <w:t>序</w:t>
            </w:r>
          </w:p>
        </w:tc>
        <w:tc>
          <w:tcPr>
            <w:tcW w:w="56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i w:val="0"/>
                <w:color w:val="000000"/>
                <w:sz w:val="24"/>
                <w:szCs w:val="24"/>
                <w:u w:val="none"/>
              </w:rPr>
            </w:pPr>
            <w:r>
              <w:rPr>
                <w:rFonts w:hint="default" w:ascii="Times New Roman" w:hAnsi="Times New Roman" w:eastAsia="仿宋_GB2312" w:cs="Times New Roman"/>
                <w:i w:val="0"/>
                <w:color w:val="000000"/>
                <w:kern w:val="0"/>
                <w:sz w:val="24"/>
                <w:szCs w:val="24"/>
                <w:u w:val="none"/>
                <w:lang w:val="en-US" w:eastAsia="zh-CN"/>
              </w:rPr>
              <w:t>分账管理资金归集</w:t>
            </w:r>
          </w:p>
        </w:tc>
        <w:tc>
          <w:tcPr>
            <w:tcW w:w="16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i w:val="0"/>
                <w:color w:val="000000"/>
                <w:sz w:val="24"/>
                <w:szCs w:val="24"/>
                <w:u w:val="none"/>
              </w:rPr>
            </w:pPr>
            <w:r>
              <w:rPr>
                <w:rFonts w:hint="default" w:ascii="Times New Roman" w:hAnsi="Times New Roman" w:eastAsia="仿宋_GB2312" w:cs="Times New Roman"/>
                <w:i w:val="0"/>
                <w:color w:val="000000"/>
                <w:kern w:val="0"/>
                <w:sz w:val="24"/>
                <w:szCs w:val="24"/>
                <w:u w:val="none"/>
                <w:lang w:val="en-US" w:eastAsia="zh-CN"/>
              </w:rPr>
              <w:t>累计金额</w:t>
            </w:r>
          </w:p>
        </w:tc>
      </w:tr>
      <w:tr>
        <w:trPr>
          <w:trHeight w:val="380" w:hRule="atLeast"/>
          <w:jc w:val="center"/>
        </w:trPr>
        <w:tc>
          <w:tcPr>
            <w:tcW w:w="10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i w:val="0"/>
                <w:color w:val="000000"/>
                <w:sz w:val="24"/>
                <w:szCs w:val="24"/>
                <w:u w:val="none"/>
              </w:rPr>
            </w:pPr>
            <w:r>
              <w:rPr>
                <w:rFonts w:hint="default" w:ascii="Times New Roman" w:hAnsi="Times New Roman" w:eastAsia="仿宋_GB2312" w:cs="Times New Roman"/>
                <w:i w:val="0"/>
                <w:color w:val="000000"/>
                <w:kern w:val="0"/>
                <w:sz w:val="24"/>
                <w:szCs w:val="24"/>
                <w:u w:val="none"/>
                <w:lang w:val="en-US" w:eastAsia="zh-CN"/>
              </w:rPr>
              <w:t>一</w:t>
            </w:r>
          </w:p>
        </w:tc>
        <w:tc>
          <w:tcPr>
            <w:tcW w:w="56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i w:val="0"/>
                <w:color w:val="000000"/>
                <w:sz w:val="24"/>
                <w:szCs w:val="24"/>
                <w:u w:val="none"/>
              </w:rPr>
            </w:pPr>
            <w:r>
              <w:rPr>
                <w:rFonts w:hint="default" w:ascii="Times New Roman" w:hAnsi="Times New Roman" w:eastAsia="仿宋_GB2312" w:cs="Times New Roman"/>
                <w:i w:val="0"/>
                <w:color w:val="000000"/>
                <w:kern w:val="0"/>
                <w:sz w:val="24"/>
                <w:szCs w:val="24"/>
                <w:u w:val="none"/>
                <w:lang w:val="en-US" w:eastAsia="zh-CN"/>
              </w:rPr>
              <w:t>项目息前净现金流量</w:t>
            </w:r>
          </w:p>
        </w:tc>
        <w:tc>
          <w:tcPr>
            <w:tcW w:w="16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b w:val="0"/>
                <w:bCs/>
                <w:i w:val="0"/>
                <w:color w:val="000000"/>
                <w:kern w:val="0"/>
                <w:sz w:val="24"/>
                <w:szCs w:val="24"/>
                <w:u w:val="none"/>
                <w:lang w:val="en-US" w:eastAsia="zh-CN"/>
              </w:rPr>
            </w:pPr>
            <w:r>
              <w:rPr>
                <w:rFonts w:hint="default" w:ascii="Times New Roman" w:hAnsi="Times New Roman" w:eastAsia="仿宋_GB2312" w:cs="Times New Roman"/>
                <w:b w:val="0"/>
                <w:bCs/>
                <w:i w:val="0"/>
                <w:color w:val="000000"/>
                <w:kern w:val="0"/>
                <w:sz w:val="24"/>
                <w:szCs w:val="24"/>
                <w:u w:val="none"/>
                <w:lang w:val="en-US" w:eastAsia="zh-CN"/>
              </w:rPr>
              <w:t xml:space="preserve"> 34,589.50 </w:t>
            </w:r>
          </w:p>
        </w:tc>
      </w:tr>
      <w:tr>
        <w:trPr>
          <w:trHeight w:val="380" w:hRule="atLeast"/>
          <w:jc w:val="center"/>
        </w:trPr>
        <w:tc>
          <w:tcPr>
            <w:tcW w:w="10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i w:val="0"/>
                <w:color w:val="000000"/>
                <w:sz w:val="24"/>
                <w:szCs w:val="24"/>
                <w:u w:val="none"/>
              </w:rPr>
            </w:pPr>
            <w:r>
              <w:rPr>
                <w:rFonts w:hint="default" w:ascii="Times New Roman" w:hAnsi="Times New Roman" w:eastAsia="仿宋_GB2312" w:cs="Times New Roman"/>
                <w:i w:val="0"/>
                <w:color w:val="000000"/>
                <w:kern w:val="0"/>
                <w:sz w:val="24"/>
                <w:szCs w:val="24"/>
                <w:u w:val="none"/>
                <w:lang w:val="en-US" w:eastAsia="zh-CN"/>
              </w:rPr>
              <w:t>1</w:t>
            </w:r>
          </w:p>
        </w:tc>
        <w:tc>
          <w:tcPr>
            <w:tcW w:w="56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i w:val="0"/>
                <w:color w:val="000000"/>
                <w:sz w:val="24"/>
                <w:szCs w:val="24"/>
                <w:u w:val="none"/>
              </w:rPr>
            </w:pPr>
            <w:r>
              <w:rPr>
                <w:rFonts w:hint="default" w:ascii="Times New Roman" w:hAnsi="Times New Roman" w:eastAsia="仿宋_GB2312" w:cs="Times New Roman"/>
                <w:i w:val="0"/>
                <w:color w:val="000000"/>
                <w:kern w:val="0"/>
                <w:sz w:val="24"/>
                <w:szCs w:val="24"/>
                <w:u w:val="none"/>
                <w:lang w:val="en-US" w:eastAsia="zh-CN"/>
              </w:rPr>
              <w:t>缴存国库政府专项债专户部分(政府专项债专户)</w:t>
            </w:r>
          </w:p>
        </w:tc>
        <w:tc>
          <w:tcPr>
            <w:tcW w:w="16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b w:val="0"/>
                <w:bCs/>
                <w:i w:val="0"/>
                <w:color w:val="000000"/>
                <w:kern w:val="0"/>
                <w:sz w:val="24"/>
                <w:szCs w:val="24"/>
                <w:u w:val="none"/>
                <w:lang w:val="en-US" w:eastAsia="zh-CN"/>
              </w:rPr>
            </w:pPr>
            <w:r>
              <w:rPr>
                <w:rFonts w:hint="default" w:ascii="Times New Roman" w:hAnsi="Times New Roman" w:eastAsia="仿宋_GB2312" w:cs="Times New Roman"/>
                <w:b w:val="0"/>
                <w:bCs/>
                <w:i w:val="0"/>
                <w:color w:val="000000"/>
                <w:kern w:val="0"/>
                <w:sz w:val="24"/>
                <w:szCs w:val="24"/>
                <w:u w:val="none"/>
                <w:lang w:val="en-US" w:eastAsia="zh-CN"/>
              </w:rPr>
              <w:t xml:space="preserve"> 23,520.86 </w:t>
            </w:r>
          </w:p>
        </w:tc>
      </w:tr>
      <w:tr>
        <w:trPr>
          <w:trHeight w:val="380" w:hRule="atLeast"/>
          <w:jc w:val="center"/>
        </w:trPr>
        <w:tc>
          <w:tcPr>
            <w:tcW w:w="10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i w:val="0"/>
                <w:color w:val="000000"/>
                <w:sz w:val="24"/>
                <w:szCs w:val="24"/>
                <w:u w:val="none"/>
              </w:rPr>
            </w:pPr>
            <w:r>
              <w:rPr>
                <w:rFonts w:hint="default" w:ascii="Times New Roman" w:hAnsi="Times New Roman" w:eastAsia="仿宋_GB2312" w:cs="Times New Roman"/>
                <w:i w:val="0"/>
                <w:color w:val="000000"/>
                <w:kern w:val="0"/>
                <w:sz w:val="24"/>
                <w:szCs w:val="24"/>
                <w:u w:val="none"/>
                <w:lang w:val="en-US" w:eastAsia="zh-CN"/>
              </w:rPr>
              <w:t>2</w:t>
            </w:r>
          </w:p>
        </w:tc>
        <w:tc>
          <w:tcPr>
            <w:tcW w:w="56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i w:val="0"/>
                <w:color w:val="000000"/>
                <w:sz w:val="24"/>
                <w:szCs w:val="24"/>
                <w:u w:val="none"/>
              </w:rPr>
            </w:pPr>
            <w:r>
              <w:rPr>
                <w:rFonts w:hint="default" w:ascii="Times New Roman" w:hAnsi="Times New Roman" w:eastAsia="仿宋_GB2312" w:cs="Times New Roman"/>
                <w:i w:val="0"/>
                <w:color w:val="000000"/>
                <w:kern w:val="0"/>
                <w:sz w:val="24"/>
                <w:szCs w:val="24"/>
                <w:u w:val="none"/>
                <w:lang w:val="en-US" w:eastAsia="zh-CN"/>
              </w:rPr>
              <w:t>归集计入市场化融资银行监管账户专户部分</w:t>
            </w:r>
          </w:p>
        </w:tc>
        <w:tc>
          <w:tcPr>
            <w:tcW w:w="16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b w:val="0"/>
                <w:bCs/>
                <w:i w:val="0"/>
                <w:color w:val="000000"/>
                <w:kern w:val="0"/>
                <w:sz w:val="24"/>
                <w:szCs w:val="24"/>
                <w:u w:val="none"/>
                <w:lang w:val="en-US" w:eastAsia="zh-CN"/>
              </w:rPr>
            </w:pPr>
            <w:r>
              <w:rPr>
                <w:rFonts w:hint="default" w:ascii="Times New Roman" w:hAnsi="Times New Roman" w:eastAsia="仿宋_GB2312" w:cs="Times New Roman"/>
                <w:b w:val="0"/>
                <w:bCs/>
                <w:i w:val="0"/>
                <w:color w:val="000000"/>
                <w:kern w:val="0"/>
                <w:sz w:val="24"/>
                <w:szCs w:val="24"/>
                <w:u w:val="none"/>
                <w:lang w:val="en-US" w:eastAsia="zh-CN"/>
              </w:rPr>
              <w:t xml:space="preserve"> 11,068.64 </w:t>
            </w:r>
          </w:p>
        </w:tc>
      </w:tr>
      <w:tr>
        <w:trPr>
          <w:trHeight w:val="380" w:hRule="atLeast"/>
          <w:jc w:val="center"/>
        </w:trPr>
        <w:tc>
          <w:tcPr>
            <w:tcW w:w="10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i w:val="0"/>
                <w:color w:val="000000"/>
                <w:sz w:val="24"/>
                <w:szCs w:val="24"/>
                <w:u w:val="none"/>
              </w:rPr>
            </w:pPr>
            <w:r>
              <w:rPr>
                <w:rFonts w:hint="default" w:ascii="Times New Roman" w:hAnsi="Times New Roman" w:eastAsia="仿宋_GB2312" w:cs="Times New Roman"/>
                <w:i w:val="0"/>
                <w:color w:val="000000"/>
                <w:kern w:val="0"/>
                <w:sz w:val="24"/>
                <w:szCs w:val="24"/>
                <w:u w:val="none"/>
                <w:lang w:val="en-US" w:eastAsia="zh-CN"/>
              </w:rPr>
              <w:t>二</w:t>
            </w:r>
          </w:p>
        </w:tc>
        <w:tc>
          <w:tcPr>
            <w:tcW w:w="56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i w:val="0"/>
                <w:color w:val="000000"/>
                <w:sz w:val="24"/>
                <w:szCs w:val="24"/>
                <w:u w:val="none"/>
              </w:rPr>
            </w:pPr>
            <w:r>
              <w:rPr>
                <w:rFonts w:hint="default" w:ascii="Times New Roman" w:hAnsi="Times New Roman" w:eastAsia="仿宋_GB2312" w:cs="Times New Roman"/>
                <w:i w:val="0"/>
                <w:color w:val="000000"/>
                <w:kern w:val="0"/>
                <w:sz w:val="24"/>
                <w:szCs w:val="24"/>
                <w:u w:val="none"/>
                <w:lang w:val="en-US" w:eastAsia="zh-CN"/>
              </w:rPr>
              <w:t>需归还的融资本息</w:t>
            </w:r>
          </w:p>
        </w:tc>
        <w:tc>
          <w:tcPr>
            <w:tcW w:w="16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b w:val="0"/>
                <w:bCs/>
                <w:i w:val="0"/>
                <w:color w:val="000000"/>
                <w:kern w:val="0"/>
                <w:sz w:val="24"/>
                <w:szCs w:val="24"/>
                <w:u w:val="none"/>
                <w:lang w:val="en-US" w:eastAsia="zh-CN"/>
              </w:rPr>
            </w:pPr>
            <w:r>
              <w:rPr>
                <w:rFonts w:hint="default" w:ascii="Times New Roman" w:hAnsi="Times New Roman" w:eastAsia="仿宋_GB2312" w:cs="Times New Roman"/>
                <w:b w:val="0"/>
                <w:bCs/>
                <w:i w:val="0"/>
                <w:color w:val="000000"/>
                <w:kern w:val="0"/>
                <w:sz w:val="24"/>
                <w:szCs w:val="24"/>
                <w:u w:val="none"/>
                <w:lang w:val="en-US" w:eastAsia="zh-CN"/>
              </w:rPr>
              <w:t xml:space="preserve"> 26,544.65 </w:t>
            </w:r>
          </w:p>
        </w:tc>
      </w:tr>
      <w:tr>
        <w:trPr>
          <w:trHeight w:val="380" w:hRule="atLeast"/>
          <w:jc w:val="center"/>
        </w:trPr>
        <w:tc>
          <w:tcPr>
            <w:tcW w:w="10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i w:val="0"/>
                <w:color w:val="000000"/>
                <w:sz w:val="24"/>
                <w:szCs w:val="24"/>
                <w:u w:val="none"/>
              </w:rPr>
            </w:pPr>
            <w:r>
              <w:rPr>
                <w:rFonts w:hint="default" w:ascii="Times New Roman" w:hAnsi="Times New Roman" w:eastAsia="仿宋_GB2312" w:cs="Times New Roman"/>
                <w:i w:val="0"/>
                <w:color w:val="000000"/>
                <w:kern w:val="0"/>
                <w:sz w:val="24"/>
                <w:szCs w:val="24"/>
                <w:u w:val="none"/>
                <w:lang w:val="en-US" w:eastAsia="zh-CN"/>
              </w:rPr>
              <w:t>1</w:t>
            </w:r>
          </w:p>
        </w:tc>
        <w:tc>
          <w:tcPr>
            <w:tcW w:w="56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i w:val="0"/>
                <w:color w:val="000000"/>
                <w:sz w:val="24"/>
                <w:szCs w:val="24"/>
                <w:u w:val="none"/>
              </w:rPr>
            </w:pPr>
            <w:r>
              <w:rPr>
                <w:rFonts w:hint="default" w:ascii="Times New Roman" w:hAnsi="Times New Roman" w:eastAsia="仿宋_GB2312" w:cs="Times New Roman"/>
                <w:i w:val="0"/>
                <w:color w:val="000000"/>
                <w:kern w:val="0"/>
                <w:sz w:val="24"/>
                <w:szCs w:val="24"/>
                <w:u w:val="none"/>
                <w:lang w:val="en-US" w:eastAsia="zh-CN"/>
              </w:rPr>
              <w:t>专项债券本息合计</w:t>
            </w:r>
          </w:p>
        </w:tc>
        <w:tc>
          <w:tcPr>
            <w:tcW w:w="16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b w:val="0"/>
                <w:bCs/>
                <w:i w:val="0"/>
                <w:color w:val="000000"/>
                <w:kern w:val="0"/>
                <w:sz w:val="24"/>
                <w:szCs w:val="24"/>
                <w:u w:val="none"/>
                <w:lang w:val="en-US" w:eastAsia="zh-CN"/>
              </w:rPr>
            </w:pPr>
            <w:r>
              <w:rPr>
                <w:rFonts w:hint="default" w:ascii="Times New Roman" w:hAnsi="Times New Roman" w:eastAsia="仿宋_GB2312" w:cs="Times New Roman"/>
                <w:b w:val="0"/>
                <w:bCs/>
                <w:i w:val="0"/>
                <w:color w:val="000000"/>
                <w:kern w:val="0"/>
                <w:sz w:val="24"/>
                <w:szCs w:val="24"/>
                <w:u w:val="none"/>
                <w:lang w:val="en-US" w:eastAsia="zh-CN"/>
              </w:rPr>
              <w:t xml:space="preserve"> 19,200.00 </w:t>
            </w:r>
          </w:p>
        </w:tc>
      </w:tr>
      <w:tr>
        <w:trPr>
          <w:trHeight w:val="380" w:hRule="atLeast"/>
          <w:jc w:val="center"/>
        </w:trPr>
        <w:tc>
          <w:tcPr>
            <w:tcW w:w="10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i w:val="0"/>
                <w:color w:val="000000"/>
                <w:sz w:val="24"/>
                <w:szCs w:val="24"/>
                <w:u w:val="none"/>
              </w:rPr>
            </w:pPr>
            <w:r>
              <w:rPr>
                <w:rFonts w:hint="default" w:ascii="Times New Roman" w:hAnsi="Times New Roman" w:eastAsia="仿宋_GB2312" w:cs="Times New Roman"/>
                <w:i w:val="0"/>
                <w:color w:val="000000"/>
                <w:kern w:val="0"/>
                <w:sz w:val="24"/>
                <w:szCs w:val="24"/>
                <w:u w:val="none"/>
                <w:lang w:val="en-US" w:eastAsia="zh-CN"/>
              </w:rPr>
              <w:t>2</w:t>
            </w:r>
          </w:p>
        </w:tc>
        <w:tc>
          <w:tcPr>
            <w:tcW w:w="56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i w:val="0"/>
                <w:color w:val="000000"/>
                <w:sz w:val="24"/>
                <w:szCs w:val="24"/>
                <w:u w:val="none"/>
              </w:rPr>
            </w:pPr>
            <w:r>
              <w:rPr>
                <w:rFonts w:hint="default" w:ascii="Times New Roman" w:hAnsi="Times New Roman" w:eastAsia="仿宋_GB2312" w:cs="Times New Roman"/>
                <w:i w:val="0"/>
                <w:color w:val="000000"/>
                <w:kern w:val="0"/>
                <w:sz w:val="24"/>
                <w:szCs w:val="24"/>
                <w:u w:val="none"/>
                <w:lang w:val="en-US" w:eastAsia="zh-CN"/>
              </w:rPr>
              <w:t>市场化融资本息合计</w:t>
            </w:r>
          </w:p>
        </w:tc>
        <w:tc>
          <w:tcPr>
            <w:tcW w:w="16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b w:val="0"/>
                <w:bCs/>
                <w:i w:val="0"/>
                <w:color w:val="000000"/>
                <w:kern w:val="0"/>
                <w:sz w:val="24"/>
                <w:szCs w:val="24"/>
                <w:u w:val="none"/>
                <w:lang w:val="en-US" w:eastAsia="zh-CN"/>
              </w:rPr>
            </w:pPr>
            <w:r>
              <w:rPr>
                <w:rFonts w:hint="default" w:ascii="Times New Roman" w:hAnsi="Times New Roman" w:eastAsia="仿宋_GB2312" w:cs="Times New Roman"/>
                <w:b w:val="0"/>
                <w:bCs/>
                <w:i w:val="0"/>
                <w:color w:val="000000"/>
                <w:kern w:val="0"/>
                <w:sz w:val="24"/>
                <w:szCs w:val="24"/>
                <w:u w:val="none"/>
                <w:lang w:val="en-US" w:eastAsia="zh-CN"/>
              </w:rPr>
              <w:t xml:space="preserve"> 7,344.65 </w:t>
            </w:r>
          </w:p>
        </w:tc>
      </w:tr>
      <w:tr>
        <w:trPr>
          <w:trHeight w:val="380" w:hRule="atLeast"/>
          <w:jc w:val="center"/>
        </w:trPr>
        <w:tc>
          <w:tcPr>
            <w:tcW w:w="10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i w:val="0"/>
                <w:color w:val="000000"/>
                <w:sz w:val="24"/>
                <w:szCs w:val="24"/>
                <w:u w:val="none"/>
              </w:rPr>
            </w:pPr>
            <w:r>
              <w:rPr>
                <w:rFonts w:hint="default" w:ascii="Times New Roman" w:hAnsi="Times New Roman" w:eastAsia="仿宋_GB2312" w:cs="Times New Roman"/>
                <w:i w:val="0"/>
                <w:color w:val="000000"/>
                <w:kern w:val="0"/>
                <w:sz w:val="24"/>
                <w:szCs w:val="24"/>
                <w:u w:val="none"/>
                <w:lang w:val="en-US" w:eastAsia="zh-CN"/>
              </w:rPr>
              <w:t>三</w:t>
            </w:r>
          </w:p>
        </w:tc>
        <w:tc>
          <w:tcPr>
            <w:tcW w:w="56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i w:val="0"/>
                <w:color w:val="000000"/>
                <w:sz w:val="24"/>
                <w:szCs w:val="24"/>
                <w:u w:val="none"/>
              </w:rPr>
            </w:pPr>
            <w:r>
              <w:rPr>
                <w:rFonts w:hint="default" w:ascii="Times New Roman" w:hAnsi="Times New Roman" w:eastAsia="仿宋_GB2312" w:cs="Times New Roman"/>
                <w:i w:val="0"/>
                <w:color w:val="000000"/>
                <w:kern w:val="0"/>
                <w:sz w:val="24"/>
                <w:szCs w:val="24"/>
                <w:u w:val="none"/>
                <w:lang w:val="en-US" w:eastAsia="zh-CN"/>
              </w:rPr>
              <w:t>资金安全保障系数</w:t>
            </w:r>
          </w:p>
        </w:tc>
        <w:tc>
          <w:tcPr>
            <w:tcW w:w="16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b w:val="0"/>
                <w:bCs/>
                <w:i w:val="0"/>
                <w:color w:val="000000"/>
                <w:kern w:val="0"/>
                <w:sz w:val="24"/>
                <w:szCs w:val="24"/>
                <w:u w:val="none"/>
                <w:lang w:val="en-US" w:eastAsia="zh-CN"/>
              </w:rPr>
            </w:pPr>
          </w:p>
        </w:tc>
      </w:tr>
      <w:tr>
        <w:trPr>
          <w:trHeight w:val="380" w:hRule="atLeast"/>
          <w:jc w:val="center"/>
        </w:trPr>
        <w:tc>
          <w:tcPr>
            <w:tcW w:w="10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b w:val="0"/>
                <w:bCs/>
                <w:i w:val="0"/>
                <w:color w:val="000000"/>
                <w:sz w:val="24"/>
                <w:szCs w:val="24"/>
                <w:u w:val="none"/>
              </w:rPr>
            </w:pPr>
            <w:r>
              <w:rPr>
                <w:rFonts w:hint="default" w:ascii="Times New Roman" w:hAnsi="Times New Roman" w:eastAsia="仿宋_GB2312" w:cs="Times New Roman"/>
                <w:b w:val="0"/>
                <w:bCs/>
                <w:i w:val="0"/>
                <w:color w:val="000000"/>
                <w:kern w:val="0"/>
                <w:sz w:val="24"/>
                <w:szCs w:val="24"/>
                <w:u w:val="none"/>
                <w:lang w:val="en-US" w:eastAsia="zh-CN"/>
              </w:rPr>
              <w:t>1</w:t>
            </w:r>
          </w:p>
        </w:tc>
        <w:tc>
          <w:tcPr>
            <w:tcW w:w="56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b w:val="0"/>
                <w:bCs/>
                <w:i w:val="0"/>
                <w:color w:val="000000"/>
                <w:sz w:val="24"/>
                <w:szCs w:val="24"/>
                <w:u w:val="none"/>
              </w:rPr>
            </w:pPr>
            <w:r>
              <w:rPr>
                <w:rFonts w:hint="default" w:ascii="Times New Roman" w:hAnsi="Times New Roman" w:eastAsia="仿宋_GB2312" w:cs="Times New Roman"/>
                <w:b w:val="0"/>
                <w:bCs/>
                <w:i w:val="0"/>
                <w:color w:val="000000"/>
                <w:kern w:val="0"/>
                <w:sz w:val="24"/>
                <w:szCs w:val="24"/>
                <w:u w:val="none"/>
                <w:lang w:val="en-US" w:eastAsia="zh-CN"/>
              </w:rPr>
              <w:t>项目组合融资的总收益覆盖倍数</w:t>
            </w:r>
          </w:p>
        </w:tc>
        <w:tc>
          <w:tcPr>
            <w:tcW w:w="16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b w:val="0"/>
                <w:bCs/>
                <w:i w:val="0"/>
                <w:color w:val="000000"/>
                <w:kern w:val="0"/>
                <w:sz w:val="24"/>
                <w:szCs w:val="24"/>
                <w:u w:val="none"/>
                <w:lang w:val="en-US" w:eastAsia="zh-CN"/>
              </w:rPr>
            </w:pPr>
            <w:r>
              <w:rPr>
                <w:rFonts w:hint="default" w:ascii="Times New Roman" w:hAnsi="Times New Roman" w:eastAsia="仿宋_GB2312" w:cs="Times New Roman"/>
                <w:b w:val="0"/>
                <w:bCs/>
                <w:i w:val="0"/>
                <w:color w:val="000000"/>
                <w:kern w:val="0"/>
                <w:sz w:val="24"/>
                <w:szCs w:val="24"/>
                <w:u w:val="none"/>
                <w:lang w:val="en-US" w:eastAsia="zh-CN"/>
              </w:rPr>
              <w:t xml:space="preserve"> 1.30 </w:t>
            </w:r>
          </w:p>
        </w:tc>
      </w:tr>
      <w:tr>
        <w:trPr>
          <w:trHeight w:val="380" w:hRule="atLeast"/>
          <w:jc w:val="center"/>
        </w:trPr>
        <w:tc>
          <w:tcPr>
            <w:tcW w:w="10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b w:val="0"/>
                <w:bCs/>
                <w:i w:val="0"/>
                <w:color w:val="000000"/>
                <w:sz w:val="24"/>
                <w:szCs w:val="24"/>
                <w:u w:val="none"/>
              </w:rPr>
            </w:pPr>
            <w:r>
              <w:rPr>
                <w:rFonts w:hint="default" w:ascii="Times New Roman" w:hAnsi="Times New Roman" w:eastAsia="仿宋_GB2312" w:cs="Times New Roman"/>
                <w:b w:val="0"/>
                <w:bCs/>
                <w:i w:val="0"/>
                <w:color w:val="000000"/>
                <w:kern w:val="0"/>
                <w:sz w:val="24"/>
                <w:szCs w:val="24"/>
                <w:u w:val="none"/>
                <w:lang w:val="en-US" w:eastAsia="zh-CN"/>
              </w:rPr>
              <w:t>2</w:t>
            </w:r>
          </w:p>
        </w:tc>
        <w:tc>
          <w:tcPr>
            <w:tcW w:w="56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b w:val="0"/>
                <w:bCs/>
                <w:i w:val="0"/>
                <w:color w:val="000000"/>
                <w:sz w:val="24"/>
                <w:szCs w:val="24"/>
                <w:u w:val="none"/>
              </w:rPr>
            </w:pPr>
            <w:r>
              <w:rPr>
                <w:rFonts w:hint="default" w:ascii="Times New Roman" w:hAnsi="Times New Roman" w:eastAsia="仿宋_GB2312" w:cs="Times New Roman"/>
                <w:b w:val="0"/>
                <w:bCs/>
                <w:i w:val="0"/>
                <w:color w:val="000000"/>
                <w:kern w:val="0"/>
                <w:sz w:val="24"/>
                <w:szCs w:val="24"/>
                <w:u w:val="none"/>
                <w:lang w:val="en-US" w:eastAsia="zh-CN"/>
              </w:rPr>
              <w:t>分户资金安全保障系数</w:t>
            </w:r>
          </w:p>
        </w:tc>
        <w:tc>
          <w:tcPr>
            <w:tcW w:w="16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b w:val="0"/>
                <w:bCs/>
                <w:i w:val="0"/>
                <w:color w:val="000000"/>
                <w:kern w:val="0"/>
                <w:sz w:val="24"/>
                <w:szCs w:val="24"/>
                <w:u w:val="none"/>
                <w:lang w:val="en-US" w:eastAsia="zh-CN"/>
              </w:rPr>
            </w:pPr>
          </w:p>
        </w:tc>
      </w:tr>
      <w:tr>
        <w:trPr>
          <w:trHeight w:val="380" w:hRule="atLeast"/>
          <w:jc w:val="center"/>
        </w:trPr>
        <w:tc>
          <w:tcPr>
            <w:tcW w:w="10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b w:val="0"/>
                <w:bCs/>
                <w:i w:val="0"/>
                <w:color w:val="000000"/>
                <w:sz w:val="24"/>
                <w:szCs w:val="24"/>
                <w:u w:val="none"/>
              </w:rPr>
            </w:pPr>
            <w:r>
              <w:rPr>
                <w:rFonts w:hint="default" w:ascii="Times New Roman" w:hAnsi="Times New Roman" w:eastAsia="仿宋_GB2312" w:cs="Times New Roman"/>
                <w:b w:val="0"/>
                <w:bCs/>
                <w:i w:val="0"/>
                <w:color w:val="000000"/>
                <w:kern w:val="0"/>
                <w:sz w:val="24"/>
                <w:szCs w:val="24"/>
                <w:u w:val="none"/>
                <w:lang w:val="en-US" w:eastAsia="zh-CN"/>
              </w:rPr>
              <w:t>2.1</w:t>
            </w:r>
          </w:p>
        </w:tc>
        <w:tc>
          <w:tcPr>
            <w:tcW w:w="56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b w:val="0"/>
                <w:bCs/>
                <w:i w:val="0"/>
                <w:color w:val="000000"/>
                <w:sz w:val="24"/>
                <w:szCs w:val="24"/>
                <w:u w:val="none"/>
              </w:rPr>
            </w:pPr>
            <w:r>
              <w:rPr>
                <w:rFonts w:hint="default" w:ascii="Times New Roman" w:hAnsi="Times New Roman" w:eastAsia="仿宋_GB2312" w:cs="Times New Roman"/>
                <w:b w:val="0"/>
                <w:bCs/>
                <w:i w:val="0"/>
                <w:color w:val="000000"/>
                <w:kern w:val="0"/>
                <w:sz w:val="24"/>
                <w:szCs w:val="24"/>
                <w:u w:val="none"/>
                <w:lang w:val="en-US" w:eastAsia="zh-CN"/>
              </w:rPr>
              <w:t>专项债收益覆盖倍数</w:t>
            </w:r>
          </w:p>
        </w:tc>
        <w:tc>
          <w:tcPr>
            <w:tcW w:w="16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b w:val="0"/>
                <w:bCs/>
                <w:i w:val="0"/>
                <w:color w:val="000000"/>
                <w:kern w:val="0"/>
                <w:sz w:val="24"/>
                <w:szCs w:val="24"/>
                <w:u w:val="none"/>
                <w:lang w:val="en-US" w:eastAsia="zh-CN"/>
              </w:rPr>
            </w:pPr>
            <w:r>
              <w:rPr>
                <w:rFonts w:hint="default" w:ascii="Times New Roman" w:hAnsi="Times New Roman" w:eastAsia="仿宋_GB2312" w:cs="Times New Roman"/>
                <w:b w:val="0"/>
                <w:bCs/>
                <w:i w:val="0"/>
                <w:color w:val="000000"/>
                <w:kern w:val="0"/>
                <w:sz w:val="24"/>
                <w:szCs w:val="24"/>
                <w:u w:val="none"/>
                <w:lang w:val="en-US" w:eastAsia="zh-CN"/>
              </w:rPr>
              <w:t xml:space="preserve"> 1.23 </w:t>
            </w:r>
          </w:p>
        </w:tc>
      </w:tr>
      <w:tr>
        <w:trPr>
          <w:trHeight w:val="391" w:hRule="atLeast"/>
          <w:jc w:val="center"/>
        </w:trPr>
        <w:tc>
          <w:tcPr>
            <w:tcW w:w="10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b w:val="0"/>
                <w:bCs/>
                <w:i w:val="0"/>
                <w:color w:val="000000"/>
                <w:sz w:val="24"/>
                <w:szCs w:val="24"/>
                <w:u w:val="none"/>
              </w:rPr>
            </w:pPr>
            <w:r>
              <w:rPr>
                <w:rFonts w:hint="default" w:ascii="Times New Roman" w:hAnsi="Times New Roman" w:eastAsia="仿宋_GB2312" w:cs="Times New Roman"/>
                <w:b w:val="0"/>
                <w:bCs/>
                <w:i w:val="0"/>
                <w:color w:val="000000"/>
                <w:kern w:val="0"/>
                <w:sz w:val="24"/>
                <w:szCs w:val="24"/>
                <w:u w:val="none"/>
                <w:lang w:val="en-US" w:eastAsia="zh-CN"/>
              </w:rPr>
              <w:t>2.2</w:t>
            </w:r>
          </w:p>
        </w:tc>
        <w:tc>
          <w:tcPr>
            <w:tcW w:w="566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b w:val="0"/>
                <w:bCs/>
                <w:i w:val="0"/>
                <w:color w:val="000000"/>
                <w:sz w:val="24"/>
                <w:szCs w:val="24"/>
                <w:u w:val="none"/>
              </w:rPr>
            </w:pPr>
            <w:r>
              <w:rPr>
                <w:rFonts w:hint="default" w:ascii="Times New Roman" w:hAnsi="Times New Roman" w:eastAsia="仿宋_GB2312" w:cs="Times New Roman"/>
                <w:b w:val="0"/>
                <w:bCs/>
                <w:i w:val="0"/>
                <w:color w:val="000000"/>
                <w:kern w:val="0"/>
                <w:sz w:val="24"/>
                <w:szCs w:val="24"/>
                <w:u w:val="none"/>
                <w:lang w:val="en-US" w:eastAsia="zh-CN"/>
              </w:rPr>
              <w:t>市场化融资收益覆盖倍数</w:t>
            </w:r>
          </w:p>
        </w:tc>
        <w:tc>
          <w:tcPr>
            <w:tcW w:w="163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Times New Roman" w:hAnsi="Times New Roman" w:eastAsia="仿宋_GB2312" w:cs="Times New Roman"/>
                <w:b w:val="0"/>
                <w:bCs/>
                <w:i w:val="0"/>
                <w:color w:val="000000"/>
                <w:kern w:val="0"/>
                <w:sz w:val="24"/>
                <w:szCs w:val="24"/>
                <w:u w:val="none"/>
                <w:lang w:val="en-US" w:eastAsia="zh-CN"/>
              </w:rPr>
            </w:pPr>
            <w:r>
              <w:rPr>
                <w:rFonts w:hint="default" w:ascii="Times New Roman" w:hAnsi="Times New Roman" w:eastAsia="仿宋_GB2312" w:cs="Times New Roman"/>
                <w:b w:val="0"/>
                <w:bCs/>
                <w:i w:val="0"/>
                <w:color w:val="000000"/>
                <w:kern w:val="0"/>
                <w:sz w:val="24"/>
                <w:szCs w:val="24"/>
                <w:u w:val="none"/>
                <w:lang w:val="en-US" w:eastAsia="zh-CN"/>
              </w:rPr>
              <w:t xml:space="preserve"> 1.51 </w:t>
            </w:r>
          </w:p>
        </w:tc>
      </w:tr>
    </w:tbl>
    <w:p>
      <w:pPr>
        <w:pStyle w:val="5"/>
        <w:widowControl w:val="0"/>
        <w:wordWrap/>
        <w:adjustRightInd w:val="0"/>
        <w:snapToGrid w:val="0"/>
        <w:spacing w:after="0" w:line="300" w:lineRule="auto"/>
        <w:ind w:left="0" w:leftChars="0" w:firstLine="560" w:firstLineChars="200"/>
        <w:textAlignment w:val="auto"/>
        <w:sectPr>
          <w:headerReference r:id="rId4" w:type="default"/>
          <w:footerReference r:id="rId5" w:type="default"/>
          <w:pgSz w:w="11906" w:h="16838"/>
          <w:pgMar w:top="1440" w:right="1800" w:bottom="1440" w:left="1800" w:header="851" w:footer="992" w:gutter="0"/>
          <w:pgNumType w:fmt="decimal"/>
          <w:cols w:space="720" w:num="1"/>
          <w:docGrid w:type="lines" w:linePitch="312"/>
        </w:sectPr>
      </w:pPr>
      <w:r>
        <w:rPr>
          <w:rFonts w:hint="eastAsia" w:ascii="Times New Roman" w:hAnsi="Times New Roman" w:eastAsia="仿宋_GB2312" w:cs="Times New Roman"/>
          <w:kern w:val="2"/>
          <w:sz w:val="28"/>
          <w:szCs w:val="28"/>
          <w:lang w:val="en-US" w:eastAsia="zh-CN" w:bidi="ar-SA"/>
        </w:rPr>
        <w:t>项目</w:t>
      </w:r>
      <w:r>
        <w:rPr>
          <w:rFonts w:hint="default" w:ascii="Times New Roman" w:hAnsi="Times New Roman" w:eastAsia="仿宋_GB2312" w:cs="Times New Roman"/>
          <w:kern w:val="2"/>
          <w:sz w:val="28"/>
          <w:szCs w:val="28"/>
          <w:lang w:val="en-US" w:eastAsia="zh-CN" w:bidi="ar-SA"/>
        </w:rPr>
        <w:t>资金平衡表见下表：</w:t>
      </w:r>
    </w:p>
    <w:tbl>
      <w:tblPr>
        <w:tblW w:w="138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26"/>
        <w:gridCol w:w="1745"/>
        <w:gridCol w:w="894"/>
        <w:gridCol w:w="843"/>
        <w:gridCol w:w="791"/>
        <w:gridCol w:w="661"/>
        <w:gridCol w:w="652"/>
        <w:gridCol w:w="9"/>
        <w:gridCol w:w="566"/>
        <w:gridCol w:w="95"/>
        <w:gridCol w:w="481"/>
        <w:gridCol w:w="180"/>
        <w:gridCol w:w="396"/>
        <w:gridCol w:w="266"/>
        <w:gridCol w:w="310"/>
        <w:gridCol w:w="351"/>
        <w:gridCol w:w="225"/>
        <w:gridCol w:w="437"/>
        <w:gridCol w:w="139"/>
        <w:gridCol w:w="522"/>
        <w:gridCol w:w="123"/>
        <w:gridCol w:w="538"/>
        <w:gridCol w:w="108"/>
        <w:gridCol w:w="554"/>
        <w:gridCol w:w="92"/>
        <w:gridCol w:w="570"/>
        <w:gridCol w:w="76"/>
        <w:gridCol w:w="585"/>
        <w:gridCol w:w="60"/>
        <w:gridCol w:w="601"/>
        <w:gridCol w:w="663"/>
      </w:tblGrid>
      <w:tr>
        <w:trPr>
          <w:trHeight w:val="104" w:hRule="atLeast"/>
        </w:trPr>
        <w:tc>
          <w:tcPr>
            <w:tcW w:w="13859" w:type="dxa"/>
            <w:gridSpan w:val="31"/>
            <w:tcBorders>
              <w:top w:val="nil"/>
              <w:left w:val="nil"/>
              <w:bottom w:val="nil"/>
              <w:right w:val="nil"/>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项目资金平衡测算表（总表）</w:t>
            </w:r>
          </w:p>
        </w:tc>
      </w:tr>
      <w:tr>
        <w:trPr>
          <w:trHeight w:val="90" w:hRule="atLeast"/>
        </w:trPr>
        <w:tc>
          <w:tcPr>
            <w:tcW w:w="326" w:type="dxa"/>
            <w:tcBorders>
              <w:top w:val="nil"/>
              <w:left w:val="nil"/>
              <w:bottom w:val="nil"/>
              <w:right w:val="nil"/>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1745" w:type="dxa"/>
            <w:tcBorders>
              <w:top w:val="nil"/>
              <w:left w:val="nil"/>
              <w:bottom w:val="nil"/>
              <w:right w:val="nil"/>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894" w:type="dxa"/>
            <w:tcBorders>
              <w:top w:val="nil"/>
              <w:left w:val="nil"/>
              <w:bottom w:val="nil"/>
              <w:right w:val="nil"/>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843" w:type="dxa"/>
            <w:tcBorders>
              <w:top w:val="nil"/>
              <w:left w:val="nil"/>
              <w:bottom w:val="nil"/>
              <w:right w:val="nil"/>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791" w:type="dxa"/>
            <w:tcBorders>
              <w:top w:val="nil"/>
              <w:left w:val="nil"/>
              <w:bottom w:val="nil"/>
              <w:right w:val="nil"/>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1313" w:type="dxa"/>
            <w:gridSpan w:val="2"/>
            <w:tcBorders>
              <w:top w:val="nil"/>
              <w:left w:val="nil"/>
              <w:bottom w:val="nil"/>
              <w:right w:val="nil"/>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575" w:type="dxa"/>
            <w:gridSpan w:val="2"/>
            <w:tcBorders>
              <w:top w:val="nil"/>
              <w:left w:val="nil"/>
              <w:bottom w:val="nil"/>
              <w:right w:val="nil"/>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576" w:type="dxa"/>
            <w:gridSpan w:val="2"/>
            <w:tcBorders>
              <w:top w:val="nil"/>
              <w:left w:val="nil"/>
              <w:bottom w:val="nil"/>
              <w:right w:val="nil"/>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576" w:type="dxa"/>
            <w:gridSpan w:val="2"/>
            <w:tcBorders>
              <w:top w:val="nil"/>
              <w:left w:val="nil"/>
              <w:bottom w:val="nil"/>
              <w:right w:val="nil"/>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576" w:type="dxa"/>
            <w:gridSpan w:val="2"/>
            <w:tcBorders>
              <w:top w:val="nil"/>
              <w:left w:val="nil"/>
              <w:bottom w:val="nil"/>
              <w:right w:val="nil"/>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576" w:type="dxa"/>
            <w:gridSpan w:val="2"/>
            <w:tcBorders>
              <w:top w:val="nil"/>
              <w:left w:val="nil"/>
              <w:bottom w:val="nil"/>
              <w:right w:val="nil"/>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576" w:type="dxa"/>
            <w:gridSpan w:val="2"/>
            <w:tcBorders>
              <w:top w:val="nil"/>
              <w:left w:val="nil"/>
              <w:bottom w:val="nil"/>
              <w:right w:val="nil"/>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45" w:type="dxa"/>
            <w:gridSpan w:val="2"/>
            <w:tcBorders>
              <w:top w:val="nil"/>
              <w:left w:val="nil"/>
              <w:bottom w:val="nil"/>
              <w:right w:val="nil"/>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46" w:type="dxa"/>
            <w:gridSpan w:val="2"/>
            <w:tcBorders>
              <w:top w:val="nil"/>
              <w:left w:val="nil"/>
              <w:bottom w:val="nil"/>
              <w:right w:val="nil"/>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46" w:type="dxa"/>
            <w:gridSpan w:val="2"/>
            <w:tcBorders>
              <w:top w:val="nil"/>
              <w:left w:val="nil"/>
              <w:bottom w:val="nil"/>
              <w:right w:val="nil"/>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46" w:type="dxa"/>
            <w:gridSpan w:val="2"/>
            <w:tcBorders>
              <w:top w:val="nil"/>
              <w:left w:val="nil"/>
              <w:bottom w:val="nil"/>
              <w:right w:val="nil"/>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45" w:type="dxa"/>
            <w:gridSpan w:val="2"/>
            <w:tcBorders>
              <w:top w:val="nil"/>
              <w:left w:val="nil"/>
              <w:bottom w:val="nil"/>
              <w:right w:val="nil"/>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1264" w:type="dxa"/>
            <w:gridSpan w:val="2"/>
            <w:tcBorders>
              <w:top w:val="nil"/>
              <w:left w:val="nil"/>
              <w:bottom w:val="nil"/>
              <w:right w:val="nil"/>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单位：万元</w:t>
            </w:r>
          </w:p>
        </w:tc>
      </w:tr>
      <w:tr>
        <w:trPr>
          <w:trHeight w:val="90" w:hRule="atLeast"/>
        </w:trPr>
        <w:tc>
          <w:tcPr>
            <w:tcW w:w="32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序号</w:t>
            </w:r>
          </w:p>
        </w:tc>
        <w:tc>
          <w:tcPr>
            <w:tcW w:w="174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项目</w:t>
            </w:r>
          </w:p>
        </w:tc>
        <w:tc>
          <w:tcPr>
            <w:tcW w:w="89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合计</w:t>
            </w:r>
          </w:p>
        </w:tc>
        <w:tc>
          <w:tcPr>
            <w:tcW w:w="163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建设期</w:t>
            </w:r>
          </w:p>
        </w:tc>
        <w:tc>
          <w:tcPr>
            <w:tcW w:w="9260" w:type="dxa"/>
            <w:gridSpan w:val="2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运营期</w:t>
            </w:r>
          </w:p>
        </w:tc>
      </w:tr>
      <w:tr>
        <w:trPr>
          <w:trHeight w:val="103" w:hRule="atLeast"/>
        </w:trPr>
        <w:tc>
          <w:tcPr>
            <w:tcW w:w="3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174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89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第1年</w:t>
            </w: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第2年</w:t>
            </w: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第3年</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第4年</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第5年</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第6年</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第7年</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第8年</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第9年</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第10年</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第11年</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第12年</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第13年</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第14年</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第15年</w:t>
            </w: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第16年</w:t>
            </w:r>
          </w:p>
        </w:tc>
      </w:tr>
      <w:tr>
        <w:trPr>
          <w:trHeight w:val="90" w:hRule="atLeast"/>
        </w:trPr>
        <w:tc>
          <w:tcPr>
            <w:tcW w:w="32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174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89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2021</w:t>
            </w: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2022</w:t>
            </w: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2023</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2024</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2025</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2026</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2027</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2028</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2029</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2030</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2031</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2032</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2033</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2034</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2035</w:t>
            </w: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2036</w:t>
            </w:r>
          </w:p>
        </w:tc>
      </w:tr>
      <w:tr>
        <w:trPr>
          <w:trHeight w:val="110" w:hRule="atLeast"/>
        </w:trPr>
        <w:tc>
          <w:tcPr>
            <w:tcW w:w="207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资金来源</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r>
      <w:tr>
        <w:trPr>
          <w:trHeight w:val="110"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1</w:t>
            </w: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项目资本金</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8,000.00 </w:t>
            </w: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3,000.00 </w:t>
            </w: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5,000.00 </w:t>
            </w: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r>
      <w:tr>
        <w:trPr>
          <w:trHeight w:val="110"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1.1</w:t>
            </w: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财政性资金</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6,000.00 </w:t>
            </w: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2,000.00 </w:t>
            </w: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4,000.00 </w:t>
            </w: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r>
      <w:tr>
        <w:trPr>
          <w:trHeight w:val="110"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1.2</w:t>
            </w: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项目业主自有</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2,000.00 </w:t>
            </w: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1,000.00 </w:t>
            </w: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1,000.00 </w:t>
            </w: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r>
      <w:tr>
        <w:trPr>
          <w:trHeight w:val="110"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2</w:t>
            </w: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地方政府专项债</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12,000.00 </w:t>
            </w: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10,000.00 </w:t>
            </w: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2,000.00 </w:t>
            </w: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r>
      <w:tr>
        <w:trPr>
          <w:trHeight w:val="110"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3</w:t>
            </w: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市场化融资资金</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5,000.00 </w:t>
            </w: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2,000.00 </w:t>
            </w: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3,000.00 </w:t>
            </w: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r>
      <w:tr>
        <w:trPr>
          <w:trHeight w:val="135"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4</w:t>
            </w: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项目息前净现金流量</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34,589.50 </w:t>
            </w: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1,994.48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2,081.15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2,173.02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2,360.06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2,463.09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2,469.66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2,574.85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2,568.26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2,561.65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2,658.58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2,651.90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2,645.19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2,747.20 </w:t>
            </w: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2,640.41 </w:t>
            </w:r>
          </w:p>
        </w:tc>
      </w:tr>
      <w:tr>
        <w:trPr>
          <w:trHeight w:val="135"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4.1</w:t>
            </w: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缴存国库政府专项债专户部分(政府专项债专户)</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23,520.86 </w:t>
            </w: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1,356.24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1,415.18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1,477.65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1,604.84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1,674.90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1,679.37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1,750.90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1,746.42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1,741.92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1,807.84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1,803.29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1,798.73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1,868.09 </w:t>
            </w: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1,795.48 </w:t>
            </w:r>
          </w:p>
        </w:tc>
      </w:tr>
      <w:tr>
        <w:trPr>
          <w:trHeight w:val="103"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用于偿还政府专项债的收入占比</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68%</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68%</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68%</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68%</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68%</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68%</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68%</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68%</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68%</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68%</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68%</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68%</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68%</w:t>
            </w: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68%</w:t>
            </w:r>
          </w:p>
        </w:tc>
      </w:tr>
      <w:tr>
        <w:trPr>
          <w:trHeight w:val="110"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4.2</w:t>
            </w: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归集计入市场化融资银行监管账户专户部分</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11,068.64 </w:t>
            </w: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638.23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665.97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695.37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755.22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788.19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790.29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823.95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821.84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819.73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850.75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848.61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846.46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879.10 </w:t>
            </w: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844.93 </w:t>
            </w:r>
          </w:p>
        </w:tc>
      </w:tr>
      <w:tr>
        <w:trPr>
          <w:trHeight w:val="103"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用于市场化融资的专项收入占比</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32%</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32%</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32%</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32%</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32%</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32%</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32%</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32%</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32%</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32%</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32%</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32%</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32%</w:t>
            </w: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32%</w:t>
            </w:r>
          </w:p>
        </w:tc>
      </w:tr>
      <w:tr>
        <w:trPr>
          <w:trHeight w:val="135"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资金来源小计</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59,589.50 </w:t>
            </w: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15,000.00 </w:t>
            </w: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10,000.00 </w:t>
            </w: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1,994.48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2,081.15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2,173.02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2,360.06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2,463.09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2,469.66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2,574.85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2,568.26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2,561.65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2,658.58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2,651.90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2,645.19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2,747.20 </w:t>
            </w: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2,640.41 </w:t>
            </w:r>
          </w:p>
        </w:tc>
      </w:tr>
      <w:tr>
        <w:trPr>
          <w:trHeight w:val="110" w:hRule="atLeast"/>
        </w:trPr>
        <w:tc>
          <w:tcPr>
            <w:tcW w:w="207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资金占用</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r>
      <w:tr>
        <w:trPr>
          <w:trHeight w:val="110"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1</w:t>
            </w: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项目建设投资</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23,725.70 </w:t>
            </w: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14,480.20 </w:t>
            </w: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9,245.50 </w:t>
            </w: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r>
      <w:tr>
        <w:trPr>
          <w:trHeight w:val="110"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2</w:t>
            </w: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债券及市场化融资发行费用</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17.00 </w:t>
            </w: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12.00 </w:t>
            </w: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5.00 </w:t>
            </w: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r>
      <w:tr>
        <w:trPr>
          <w:trHeight w:val="135"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3</w:t>
            </w: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归还专项债券本金</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12,000.00 </w:t>
            </w: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10,000.00 </w:t>
            </w: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2,000.00 </w:t>
            </w:r>
          </w:p>
        </w:tc>
      </w:tr>
      <w:tr>
        <w:trPr>
          <w:trHeight w:val="110"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4</w:t>
            </w: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归还专项债券利息</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7,200.00 </w:t>
            </w: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400.00 </w:t>
            </w: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480.00 </w:t>
            </w: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480.00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480.00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480.00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480.00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480.00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480.00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480.00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480.00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480.00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480.00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480.00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480.00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480.00 </w:t>
            </w: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80.00 </w:t>
            </w:r>
          </w:p>
        </w:tc>
      </w:tr>
      <w:tr>
        <w:trPr>
          <w:trHeight w:val="110"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5</w:t>
            </w: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归还市场化融资本金</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5,000.00 </w:t>
            </w: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   </w:t>
            </w: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368.13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368.13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368.13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368.13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368.13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368.13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368.13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368.13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368.13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368.13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368.13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368.13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368.13 </w:t>
            </w: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214.29 </w:t>
            </w:r>
          </w:p>
        </w:tc>
      </w:tr>
      <w:tr>
        <w:trPr>
          <w:trHeight w:val="110"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6</w:t>
            </w: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归还市场化融资利息</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2,344.65 </w:t>
            </w: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107.80 </w:t>
            </w: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269.50 </w:t>
            </w: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269.50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249.66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229.82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209.97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190.13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170.29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150.45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130.60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110.76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90.92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71.08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51.23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31.39 </w:t>
            </w: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11.55 </w:t>
            </w:r>
          </w:p>
        </w:tc>
      </w:tr>
      <w:tr>
        <w:trPr>
          <w:trHeight w:val="135"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资金占用小计</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50,287.35 </w:t>
            </w: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15,000.00 </w:t>
            </w: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10,000.00 </w:t>
            </w: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1,117.63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1,097.79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1,077.95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1,058.10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1,038.26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1,018.42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998.58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978.74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958.89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939.05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919.21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899.37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10,879.52 </w:t>
            </w: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2,305.84 </w:t>
            </w:r>
          </w:p>
        </w:tc>
      </w:tr>
      <w:tr>
        <w:trPr>
          <w:trHeight w:val="135" w:hRule="atLeast"/>
        </w:trPr>
        <w:tc>
          <w:tcPr>
            <w:tcW w:w="207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当年资金结余</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   </w:t>
            </w: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876.84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983.36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1,095.07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1,301.95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1,424.83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1,451.24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1,576.27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1,589.53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1,602.76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1,719.53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1,732.69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1,745.82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-8,132.33 </w:t>
            </w: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334.58 </w:t>
            </w:r>
          </w:p>
        </w:tc>
      </w:tr>
      <w:tr>
        <w:trPr>
          <w:trHeight w:val="135" w:hRule="atLeast"/>
        </w:trPr>
        <w:tc>
          <w:tcPr>
            <w:tcW w:w="207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期末累计资金结余</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   </w:t>
            </w: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876.84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1,860.21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2,955.28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4,257.23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5,682.06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7,133.30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8,709.57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10,299.09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11,901.85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13,621.38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15,354.08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17,099.90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8,967.57 </w:t>
            </w: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 9,302.15 </w:t>
            </w:r>
          </w:p>
        </w:tc>
      </w:tr>
      <w:tr>
        <w:trPr>
          <w:trHeight w:val="110"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1</w:t>
            </w: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总收益覆盖倍数</w:t>
            </w:r>
          </w:p>
        </w:tc>
        <w:tc>
          <w:tcPr>
            <w:tcW w:w="11788" w:type="dxa"/>
            <w:gridSpan w:val="29"/>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1.30 </w:t>
            </w:r>
          </w:p>
        </w:tc>
      </w:tr>
      <w:tr>
        <w:trPr>
          <w:trHeight w:val="110"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2</w:t>
            </w: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用于偿还政府专项债的收入资金结余</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638.23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665.97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695.37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755.22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788.19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790.29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823.95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821.84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819.73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850.75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848.61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846.46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879.10 </w:t>
            </w: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844.93 </w:t>
            </w:r>
          </w:p>
        </w:tc>
      </w:tr>
      <w:tr>
        <w:trPr>
          <w:trHeight w:val="110"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3</w:t>
            </w: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用于偿还政府专项债的收入资金累计结余</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638.23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1,304.20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1,999.57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2,754.79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3,542.97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4,333.27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5,157.22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5,979.06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6,798.79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7,649.54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8,498.14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9,344.60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10,223.71 </w:t>
            </w: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11,068.64 </w:t>
            </w:r>
          </w:p>
        </w:tc>
      </w:tr>
      <w:tr>
        <w:trPr>
          <w:trHeight w:val="110"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4</w:t>
            </w: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政府专项债券收益覆盖倍数</w:t>
            </w:r>
          </w:p>
        </w:tc>
        <w:tc>
          <w:tcPr>
            <w:tcW w:w="11788" w:type="dxa"/>
            <w:gridSpan w:val="29"/>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1.23 </w:t>
            </w:r>
          </w:p>
        </w:tc>
      </w:tr>
      <w:tr>
        <w:trPr>
          <w:trHeight w:val="110"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5</w:t>
            </w: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用于偿还市场化融资的收入资金结余</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1,356.24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1,415.18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1,477.65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1,604.84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1,674.90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1,679.37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1,750.90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1,746.42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1,741.92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1,807.84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1,803.29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1,798.73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1,868.09 </w:t>
            </w: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1,795.48 </w:t>
            </w:r>
          </w:p>
        </w:tc>
      </w:tr>
      <w:tr>
        <w:trPr>
          <w:trHeight w:val="110"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6</w:t>
            </w: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用于偿还市场化融资的收入资金累计结余</w:t>
            </w:r>
          </w:p>
        </w:tc>
        <w:tc>
          <w:tcPr>
            <w:tcW w:w="8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p>
        </w:tc>
        <w:tc>
          <w:tcPr>
            <w:tcW w:w="66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1,356.24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2,771.43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4,249.08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5,853.92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7,528.82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9,208.19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10,959.08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12,705.50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14,447.42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16,255.26 </w:t>
            </w:r>
          </w:p>
        </w:tc>
        <w:tc>
          <w:tcPr>
            <w:tcW w:w="6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18,058.56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19,857.28 </w:t>
            </w:r>
          </w:p>
        </w:tc>
        <w:tc>
          <w:tcPr>
            <w:tcW w:w="661"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21,725.38 </w:t>
            </w: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23,520.86 </w:t>
            </w:r>
          </w:p>
        </w:tc>
      </w:tr>
      <w:tr>
        <w:trPr>
          <w:trHeight w:val="112" w:hRule="atLeast"/>
        </w:trPr>
        <w:tc>
          <w:tcPr>
            <w:tcW w:w="32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7</w:t>
            </w:r>
          </w:p>
        </w:tc>
        <w:tc>
          <w:tcPr>
            <w:tcW w:w="174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市场化融资收益覆盖倍数</w:t>
            </w:r>
          </w:p>
        </w:tc>
        <w:tc>
          <w:tcPr>
            <w:tcW w:w="11788" w:type="dxa"/>
            <w:gridSpan w:val="29"/>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val="0"/>
              <w:wordWrap/>
              <w:adjustRightInd w:val="0"/>
              <w:snapToGrid w:val="0"/>
              <w:jc w:val="center"/>
              <w:textAlignment w:val="center"/>
              <w:rPr>
                <w:rFonts w:hint="default" w:ascii="Arial Narrow" w:hAnsi="Arial Narrow" w:eastAsia="Arial Narrow" w:cs="Arial Narrow"/>
                <w:i w:val="0"/>
                <w:color w:val="000000"/>
                <w:kern w:val="0"/>
                <w:sz w:val="18"/>
                <w:szCs w:val="18"/>
                <w:u w:val="none"/>
                <w:lang w:val="en-US" w:eastAsia="zh-CN"/>
              </w:rPr>
            </w:pPr>
            <w:r>
              <w:rPr>
                <w:rFonts w:hint="default" w:ascii="Arial Narrow" w:hAnsi="Arial Narrow" w:eastAsia="Arial Narrow" w:cs="Arial Narrow"/>
                <w:i w:val="0"/>
                <w:color w:val="000000"/>
                <w:kern w:val="0"/>
                <w:sz w:val="18"/>
                <w:szCs w:val="18"/>
                <w:u w:val="none"/>
                <w:lang w:val="en-US" w:eastAsia="zh-CN"/>
              </w:rPr>
              <w:t xml:space="preserve">1.51 </w:t>
            </w:r>
          </w:p>
        </w:tc>
      </w:tr>
    </w:tbl>
    <w:p>
      <w:pPr>
        <w:pStyle w:val="5"/>
        <w:widowControl w:val="0"/>
        <w:wordWrap/>
        <w:adjustRightInd w:val="0"/>
        <w:snapToGrid w:val="0"/>
        <w:spacing w:after="0" w:line="300" w:lineRule="auto"/>
        <w:ind w:left="0" w:leftChars="0" w:firstLine="560" w:firstLineChars="200"/>
        <w:textAlignment w:val="auto"/>
        <w:sectPr>
          <w:pgSz w:w="16838" w:h="11906" w:orient="landscape"/>
          <w:pgMar w:top="1800" w:right="1440" w:bottom="1800" w:left="1440" w:header="851" w:footer="992" w:gutter="0"/>
          <w:pgNumType w:fmt="decimal"/>
          <w:cols w:space="720" w:num="1"/>
          <w:docGrid w:type="lines" w:linePitch="312"/>
        </w:sectPr>
      </w:pPr>
    </w:p>
    <w:p>
      <w:pPr>
        <w:widowControl w:val="0"/>
        <w:wordWrap/>
        <w:adjustRightInd w:val="0"/>
        <w:snapToGrid w:val="0"/>
        <w:spacing w:beforeLines="50" w:line="360" w:lineRule="auto"/>
        <w:ind w:firstLine="640" w:firstLineChars="200"/>
        <w:textAlignment w:val="auto"/>
        <w:outlineLvl w:val="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五、项目绩效目标</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bookmarkStart w:id="43" w:name="_Toc22004_WPSOffice_Level2"/>
      <w:r>
        <w:rPr>
          <w:rFonts w:hint="default" w:ascii="Times New Roman" w:hAnsi="Times New Roman" w:eastAsia="仿宋_GB2312" w:cs="Times New Roman"/>
          <w:kern w:val="2"/>
          <w:sz w:val="28"/>
          <w:szCs w:val="28"/>
          <w:lang w:val="en-US" w:eastAsia="zh-CN" w:bidi="ar-SA"/>
        </w:rPr>
        <w:t>（一）产出目标</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数量目标：</w:t>
      </w:r>
    </w:p>
    <w:tbl>
      <w:tblPr>
        <w:tblW w:w="76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5"/>
        <w:gridCol w:w="3220"/>
      </w:tblGrid>
      <w:tr>
        <w:trPr>
          <w:trHeight w:val="440" w:hRule="atLeast"/>
          <w:jc w:val="center"/>
        </w:trPr>
        <w:tc>
          <w:tcPr>
            <w:tcW w:w="44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rPr>
              <w:t>指标1：新建冷库面积</w:t>
            </w:r>
          </w:p>
        </w:tc>
        <w:tc>
          <w:tcPr>
            <w:tcW w:w="32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rPr>
              <w:t>20000立方米</w:t>
            </w:r>
          </w:p>
        </w:tc>
      </w:tr>
      <w:tr>
        <w:trPr>
          <w:trHeight w:val="440" w:hRule="atLeast"/>
          <w:jc w:val="center"/>
        </w:trPr>
        <w:tc>
          <w:tcPr>
            <w:tcW w:w="44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rPr>
              <w:t>指标2：新建道路长度</w:t>
            </w:r>
          </w:p>
        </w:tc>
        <w:tc>
          <w:tcPr>
            <w:tcW w:w="32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rPr>
              <w:t>3.709km</w:t>
            </w:r>
          </w:p>
        </w:tc>
      </w:tr>
      <w:tr>
        <w:trPr>
          <w:trHeight w:val="440" w:hRule="atLeast"/>
          <w:jc w:val="center"/>
        </w:trPr>
        <w:tc>
          <w:tcPr>
            <w:tcW w:w="44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rPr>
              <w:t>指标3：新建房屋面积</w:t>
            </w:r>
          </w:p>
        </w:tc>
        <w:tc>
          <w:tcPr>
            <w:tcW w:w="32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rPr>
              <w:t>40000</w:t>
            </w:r>
            <w:r>
              <w:rPr>
                <w:rStyle w:val="20"/>
                <w:rFonts w:hint="default" w:ascii="Times New Roman" w:hAnsi="Times New Roman" w:eastAsia="仿宋_GB2312" w:cs="Times New Roman"/>
                <w:sz w:val="24"/>
                <w:szCs w:val="24"/>
                <w:lang w:val="en-US" w:eastAsia="zh-CN"/>
              </w:rPr>
              <w:t>㎡</w:t>
            </w:r>
          </w:p>
        </w:tc>
      </w:tr>
      <w:tr>
        <w:trPr>
          <w:trHeight w:val="440" w:hRule="atLeast"/>
          <w:jc w:val="center"/>
        </w:trPr>
        <w:tc>
          <w:tcPr>
            <w:tcW w:w="441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rPr>
              <w:t>指标4：新增机动车停车位</w:t>
            </w:r>
          </w:p>
        </w:tc>
        <w:tc>
          <w:tcPr>
            <w:tcW w:w="32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rPr>
              <w:t>500个</w:t>
            </w:r>
          </w:p>
        </w:tc>
      </w:tr>
    </w:tbl>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质量目标：</w:t>
      </w:r>
    </w:p>
    <w:tbl>
      <w:tblPr>
        <w:tblW w:w="76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6"/>
        <w:gridCol w:w="3219"/>
      </w:tblGrid>
      <w:tr>
        <w:trPr>
          <w:trHeight w:val="440" w:hRule="atLeast"/>
          <w:jc w:val="center"/>
        </w:trPr>
        <w:tc>
          <w:tcPr>
            <w:tcW w:w="441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hAnsi="Times New Roman" w:eastAsia="仿宋_GB2312" w:cs="Times New Roman"/>
                <w:i w:val="0"/>
                <w:iCs w:val="0"/>
                <w:color w:val="000000"/>
                <w:kern w:val="0"/>
                <w:sz w:val="24"/>
                <w:szCs w:val="24"/>
                <w:u w:val="none"/>
                <w:lang w:val="en-US" w:eastAsia="zh-CN"/>
              </w:rPr>
            </w:pPr>
            <w:r>
              <w:rPr>
                <w:rFonts w:hint="eastAsia" w:ascii="Times New Roman" w:hAnsi="Times New Roman" w:eastAsia="仿宋_GB2312" w:cs="Times New Roman"/>
                <w:i w:val="0"/>
                <w:iCs w:val="0"/>
                <w:color w:val="000000"/>
                <w:kern w:val="0"/>
                <w:sz w:val="24"/>
                <w:szCs w:val="24"/>
                <w:u w:val="none"/>
                <w:lang w:val="en-US" w:eastAsia="zh-CN"/>
              </w:rPr>
              <w:t>指标1：项目竣工验收达标率</w:t>
            </w:r>
          </w:p>
        </w:tc>
        <w:tc>
          <w:tcPr>
            <w:tcW w:w="3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hAnsi="Times New Roman" w:eastAsia="仿宋_GB2312" w:cs="Times New Roman"/>
                <w:i w:val="0"/>
                <w:iCs w:val="0"/>
                <w:color w:val="000000"/>
                <w:kern w:val="0"/>
                <w:sz w:val="24"/>
                <w:szCs w:val="24"/>
                <w:u w:val="none"/>
                <w:lang w:val="en-US" w:eastAsia="zh-CN"/>
              </w:rPr>
            </w:pPr>
            <w:r>
              <w:rPr>
                <w:rFonts w:hint="eastAsia" w:ascii="Times New Roman" w:hAnsi="Times New Roman" w:eastAsia="仿宋_GB2312" w:cs="Times New Roman"/>
                <w:i w:val="0"/>
                <w:iCs w:val="0"/>
                <w:color w:val="000000"/>
                <w:kern w:val="0"/>
                <w:sz w:val="24"/>
                <w:szCs w:val="24"/>
                <w:u w:val="none"/>
                <w:lang w:val="en-US" w:eastAsia="zh-CN"/>
              </w:rPr>
              <w:t>≥95%</w:t>
            </w:r>
          </w:p>
        </w:tc>
      </w:tr>
      <w:tr>
        <w:trPr>
          <w:trHeight w:val="440" w:hRule="atLeast"/>
          <w:jc w:val="center"/>
        </w:trPr>
        <w:tc>
          <w:tcPr>
            <w:tcW w:w="441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hAnsi="Times New Roman" w:eastAsia="仿宋_GB2312" w:cs="Times New Roman"/>
                <w:i w:val="0"/>
                <w:iCs w:val="0"/>
                <w:color w:val="000000"/>
                <w:kern w:val="0"/>
                <w:sz w:val="24"/>
                <w:szCs w:val="24"/>
                <w:u w:val="none"/>
                <w:lang w:val="en-US" w:eastAsia="zh-CN"/>
              </w:rPr>
            </w:pPr>
            <w:r>
              <w:rPr>
                <w:rFonts w:hint="eastAsia" w:ascii="Times New Roman" w:hAnsi="Times New Roman" w:eastAsia="仿宋_GB2312" w:cs="Times New Roman"/>
                <w:i w:val="0"/>
                <w:iCs w:val="0"/>
                <w:color w:val="000000"/>
                <w:kern w:val="0"/>
                <w:sz w:val="24"/>
                <w:szCs w:val="24"/>
                <w:u w:val="none"/>
                <w:lang w:val="en-US" w:eastAsia="zh-CN"/>
              </w:rPr>
              <w:t>指标2：项目设计方案变更率</w:t>
            </w:r>
          </w:p>
        </w:tc>
        <w:tc>
          <w:tcPr>
            <w:tcW w:w="321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Times New Roman" w:hAnsi="Times New Roman" w:eastAsia="仿宋_GB2312" w:cs="Times New Roman"/>
                <w:i w:val="0"/>
                <w:iCs w:val="0"/>
                <w:color w:val="000000"/>
                <w:kern w:val="0"/>
                <w:sz w:val="24"/>
                <w:szCs w:val="24"/>
                <w:u w:val="none"/>
                <w:lang w:val="en-US" w:eastAsia="zh-CN"/>
              </w:rPr>
            </w:pPr>
            <w:r>
              <w:rPr>
                <w:rFonts w:hint="eastAsia" w:ascii="Times New Roman" w:hAnsi="Times New Roman" w:eastAsia="仿宋_GB2312" w:cs="Times New Roman"/>
                <w:i w:val="0"/>
                <w:iCs w:val="0"/>
                <w:color w:val="000000"/>
                <w:kern w:val="0"/>
                <w:sz w:val="24"/>
                <w:szCs w:val="24"/>
                <w:u w:val="none"/>
                <w:lang w:val="en-US" w:eastAsia="zh-CN"/>
              </w:rPr>
              <w:t>≤5%</w:t>
            </w:r>
          </w:p>
        </w:tc>
      </w:tr>
    </w:tbl>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时效</w:t>
      </w:r>
      <w:bookmarkEnd w:id="43"/>
      <w:r>
        <w:rPr>
          <w:rFonts w:hint="default" w:ascii="Times New Roman" w:hAnsi="Times New Roman" w:eastAsia="仿宋_GB2312" w:cs="Times New Roman"/>
          <w:kern w:val="2"/>
          <w:sz w:val="28"/>
          <w:szCs w:val="28"/>
          <w:lang w:val="en-US" w:eastAsia="zh-CN" w:bidi="ar-SA"/>
        </w:rPr>
        <w:t>目标：</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本项目建设期</w:t>
      </w:r>
      <w:r>
        <w:rPr>
          <w:rFonts w:hint="eastAsia" w:ascii="Times New Roman" w:hAnsi="Times New Roman" w:eastAsia="仿宋_GB2312" w:cs="Times New Roman"/>
          <w:kern w:val="2"/>
          <w:sz w:val="28"/>
          <w:szCs w:val="28"/>
          <w:lang w:val="en-US" w:eastAsia="zh-CN" w:bidi="ar-SA"/>
        </w:rPr>
        <w:t>24</w:t>
      </w:r>
      <w:r>
        <w:rPr>
          <w:rFonts w:hint="default" w:ascii="Times New Roman" w:hAnsi="Times New Roman" w:eastAsia="仿宋_GB2312" w:cs="Times New Roman"/>
          <w:kern w:val="2"/>
          <w:sz w:val="28"/>
          <w:szCs w:val="28"/>
          <w:lang w:val="en-US" w:eastAsia="zh-CN" w:bidi="ar-SA"/>
        </w:rPr>
        <w:t>个月，严格执行工程建设程序，合理有序地安排项目建设进度。</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成本目标：</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本项目总投资</w:t>
      </w:r>
      <w:r>
        <w:rPr>
          <w:rFonts w:hint="eastAsia" w:ascii="Times New Roman" w:hAnsi="Times New Roman" w:eastAsia="仿宋_GB2312" w:cs="Times New Roman"/>
          <w:kern w:val="2"/>
          <w:sz w:val="28"/>
          <w:szCs w:val="28"/>
          <w:lang w:val="en-US" w:eastAsia="zh-CN" w:bidi="ar-SA"/>
        </w:rPr>
        <w:t>成本≤25000.00</w:t>
      </w:r>
      <w:r>
        <w:rPr>
          <w:rFonts w:hint="default" w:ascii="Times New Roman" w:hAnsi="Times New Roman" w:eastAsia="仿宋_GB2312" w:cs="Times New Roman"/>
          <w:kern w:val="2"/>
          <w:sz w:val="28"/>
          <w:szCs w:val="28"/>
          <w:lang w:val="en-US" w:eastAsia="zh-CN" w:bidi="ar-SA"/>
        </w:rPr>
        <w:t>万元。</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（二）效益目标</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bookmarkStart w:id="44" w:name="_Toc6776_WPSOffice_Level2"/>
      <w:r>
        <w:rPr>
          <w:rFonts w:hint="default" w:ascii="Times New Roman" w:hAnsi="Times New Roman" w:eastAsia="仿宋_GB2312" w:cs="Times New Roman"/>
          <w:kern w:val="2"/>
          <w:sz w:val="28"/>
          <w:szCs w:val="28"/>
          <w:lang w:val="en-US" w:eastAsia="zh-CN" w:bidi="ar-SA"/>
        </w:rPr>
        <w:t>经济效益</w:t>
      </w:r>
      <w:bookmarkEnd w:id="44"/>
      <w:r>
        <w:rPr>
          <w:rFonts w:hint="default" w:ascii="Times New Roman" w:hAnsi="Times New Roman" w:eastAsia="仿宋_GB2312" w:cs="Times New Roman"/>
          <w:kern w:val="2"/>
          <w:sz w:val="28"/>
          <w:szCs w:val="28"/>
          <w:lang w:val="en-US" w:eastAsia="zh-CN" w:bidi="ar-SA"/>
        </w:rPr>
        <w:t>目标：通过获取项目收入，实现收益和融资自求平衡，增加地方财政收入，提升财政支出能力。</w:t>
      </w:r>
      <w:bookmarkStart w:id="45" w:name="_Toc14310_WPSOffice_Level2"/>
      <w:r>
        <w:rPr>
          <w:rFonts w:hint="default" w:ascii="Times New Roman" w:hAnsi="Times New Roman" w:eastAsia="仿宋_GB2312" w:cs="Times New Roman"/>
          <w:kern w:val="2"/>
          <w:sz w:val="28"/>
          <w:szCs w:val="28"/>
          <w:lang w:val="en-US" w:eastAsia="zh-CN" w:bidi="ar-SA"/>
        </w:rPr>
        <w:t>项目建设完成后的</w:t>
      </w:r>
      <w:r>
        <w:rPr>
          <w:rFonts w:hint="eastAsia" w:ascii="Times New Roman" w:hAnsi="Times New Roman" w:eastAsia="仿宋_GB2312" w:cs="Times New Roman"/>
          <w:kern w:val="2"/>
          <w:sz w:val="28"/>
          <w:szCs w:val="28"/>
          <w:lang w:val="en-US" w:eastAsia="zh-CN" w:bidi="ar-SA"/>
        </w:rPr>
        <w:t>15</w:t>
      </w:r>
      <w:r>
        <w:rPr>
          <w:rFonts w:hint="default" w:ascii="Times New Roman" w:hAnsi="Times New Roman" w:eastAsia="仿宋_GB2312" w:cs="Times New Roman"/>
          <w:kern w:val="2"/>
          <w:sz w:val="28"/>
          <w:szCs w:val="28"/>
          <w:lang w:val="en-US" w:eastAsia="zh-CN" w:bidi="ar-SA"/>
        </w:rPr>
        <w:t>年运营计算期内，累计现金结余</w:t>
      </w:r>
      <w:r>
        <w:rPr>
          <w:rFonts w:hint="eastAsia" w:ascii="Times New Roman" w:hAnsi="Times New Roman" w:eastAsia="仿宋_GB2312" w:cs="Times New Roman"/>
          <w:kern w:val="2"/>
          <w:sz w:val="28"/>
          <w:szCs w:val="28"/>
          <w:lang w:val="en-US" w:eastAsia="zh-CN" w:bidi="ar-SA"/>
        </w:rPr>
        <w:t>57,545.68</w:t>
      </w:r>
      <w:r>
        <w:rPr>
          <w:rFonts w:hint="default" w:ascii="Times New Roman" w:hAnsi="Times New Roman" w:eastAsia="仿宋_GB2312" w:cs="Times New Roman"/>
          <w:kern w:val="2"/>
          <w:sz w:val="28"/>
          <w:szCs w:val="28"/>
          <w:lang w:val="en-US" w:eastAsia="zh-CN" w:bidi="ar-SA"/>
        </w:rPr>
        <w:t>万元，可用于资金平衡的项目净收益（息前净现金流）为</w:t>
      </w:r>
      <w:r>
        <w:rPr>
          <w:rFonts w:hint="eastAsia" w:ascii="Times New Roman" w:hAnsi="Times New Roman" w:eastAsia="仿宋_GB2312" w:cs="Times New Roman"/>
          <w:kern w:val="2"/>
          <w:sz w:val="28"/>
          <w:szCs w:val="28"/>
          <w:lang w:val="en-US" w:eastAsia="zh-CN" w:bidi="ar-SA"/>
        </w:rPr>
        <w:t>34,589.50</w:t>
      </w:r>
      <w:r>
        <w:rPr>
          <w:rFonts w:hint="default" w:ascii="Times New Roman" w:hAnsi="Times New Roman" w:eastAsia="仿宋_GB2312" w:cs="Times New Roman"/>
          <w:kern w:val="2"/>
          <w:sz w:val="28"/>
          <w:szCs w:val="28"/>
          <w:lang w:val="en-US" w:eastAsia="zh-CN" w:bidi="ar-SA"/>
        </w:rPr>
        <w:t>万元，其中，将用于偿还政府专项债的专项收入</w:t>
      </w:r>
      <w:r>
        <w:rPr>
          <w:rFonts w:hint="eastAsia" w:ascii="Times New Roman" w:hAnsi="Times New Roman" w:eastAsia="仿宋_GB2312" w:cs="Times New Roman"/>
          <w:kern w:val="2"/>
          <w:sz w:val="28"/>
          <w:szCs w:val="28"/>
          <w:lang w:val="en-US" w:eastAsia="zh-CN" w:bidi="ar-SA"/>
        </w:rPr>
        <w:t>23,520.86</w:t>
      </w:r>
      <w:r>
        <w:rPr>
          <w:rFonts w:hint="default" w:ascii="Times New Roman" w:hAnsi="Times New Roman" w:eastAsia="仿宋_GB2312" w:cs="Times New Roman"/>
          <w:kern w:val="2"/>
          <w:sz w:val="28"/>
          <w:szCs w:val="28"/>
          <w:lang w:val="en-US" w:eastAsia="zh-CN" w:bidi="ar-SA"/>
        </w:rPr>
        <w:t>万元纳入政府性基金管理，政府专项债券收益覆盖倍数为</w:t>
      </w:r>
      <w:r>
        <w:rPr>
          <w:rFonts w:hint="eastAsia" w:ascii="Times New Roman" w:hAnsi="Times New Roman" w:eastAsia="仿宋_GB2312" w:cs="Times New Roman"/>
          <w:kern w:val="2"/>
          <w:sz w:val="28"/>
          <w:szCs w:val="28"/>
          <w:lang w:val="en-US" w:eastAsia="zh-CN" w:bidi="ar-SA"/>
        </w:rPr>
        <w:t>1.23倍</w:t>
      </w:r>
      <w:r>
        <w:rPr>
          <w:rFonts w:hint="default" w:ascii="Times New Roman" w:hAnsi="Times New Roman" w:eastAsia="仿宋_GB2312" w:cs="Times New Roman"/>
          <w:kern w:val="2"/>
          <w:sz w:val="28"/>
          <w:szCs w:val="28"/>
          <w:lang w:val="en-US" w:eastAsia="zh-CN" w:bidi="ar-SA"/>
        </w:rPr>
        <w:t>；将用于偿还市场化融资的的专项收入</w:t>
      </w:r>
      <w:r>
        <w:rPr>
          <w:rFonts w:hint="eastAsia" w:ascii="Times New Roman" w:hAnsi="Times New Roman" w:eastAsia="仿宋_GB2312" w:cs="Times New Roman"/>
          <w:kern w:val="2"/>
          <w:sz w:val="28"/>
          <w:szCs w:val="28"/>
          <w:lang w:val="en-US" w:eastAsia="zh-CN" w:bidi="ar-SA"/>
        </w:rPr>
        <w:t>11,068.64</w:t>
      </w:r>
      <w:r>
        <w:rPr>
          <w:rFonts w:hint="default" w:ascii="Times New Roman" w:hAnsi="Times New Roman" w:eastAsia="仿宋_GB2312" w:cs="Times New Roman"/>
          <w:kern w:val="2"/>
          <w:sz w:val="28"/>
          <w:szCs w:val="28"/>
          <w:lang w:val="en-US" w:eastAsia="zh-CN" w:bidi="ar-SA"/>
        </w:rPr>
        <w:t>万元纳入银行专户进行管理，市场化融资收益覆盖倍数</w:t>
      </w:r>
      <w:r>
        <w:rPr>
          <w:rFonts w:hint="eastAsia" w:ascii="Times New Roman" w:hAnsi="Times New Roman" w:eastAsia="仿宋_GB2312" w:cs="Times New Roman"/>
          <w:kern w:val="2"/>
          <w:sz w:val="28"/>
          <w:szCs w:val="28"/>
          <w:lang w:val="en-US" w:eastAsia="zh-CN" w:bidi="ar-SA"/>
        </w:rPr>
        <w:t>1.51倍。</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社会效益</w:t>
      </w:r>
      <w:bookmarkEnd w:id="45"/>
      <w:r>
        <w:rPr>
          <w:rFonts w:hint="default" w:ascii="Times New Roman" w:hAnsi="Times New Roman" w:eastAsia="仿宋_GB2312" w:cs="Times New Roman"/>
          <w:kern w:val="2"/>
          <w:sz w:val="28"/>
          <w:szCs w:val="28"/>
          <w:lang w:val="en-US" w:eastAsia="zh-CN" w:bidi="ar-SA"/>
        </w:rPr>
        <w:t>目标：本项目建成后，采用对流转土地给予土地租金、反租倒包等利益联结机制，雇用产业工人的就业形式，拓宽项目区所在地农民的就业渠道，改善农民收入不稳定的现状，提高其收入水平。农特产品交易中心、仓储冷链物流等的建设又促进农特产业的集聚和链条的形成，将为农民的持续增收提供牢固的保障，促进汉源县部分剩余劳动力转入第二、三产业，项目能带来一定的就业效益，能提高农民的收入及生活水平。</w:t>
      </w:r>
      <w:bookmarkStart w:id="46" w:name="_Toc5082_WPSOffice_Level2"/>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可持续影响</w:t>
      </w:r>
      <w:bookmarkEnd w:id="46"/>
      <w:r>
        <w:rPr>
          <w:rFonts w:hint="default" w:ascii="Times New Roman" w:hAnsi="Times New Roman" w:eastAsia="仿宋_GB2312" w:cs="Times New Roman"/>
          <w:kern w:val="2"/>
          <w:sz w:val="28"/>
          <w:szCs w:val="28"/>
          <w:lang w:val="en-US" w:eastAsia="zh-CN" w:bidi="ar-SA"/>
        </w:rPr>
        <w:t>目标：保障地方经济可持续发展，有利于汉源县的物流产业开发功能的发挥，将促进汉源县现代物流与物流产业的培育和发展，必将产生新的经济增长点，为汉源县经济的可持续发展提供新的产业成长支持。</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（三）满意度目标</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kern w:val="2"/>
          <w:sz w:val="28"/>
          <w:szCs w:val="28"/>
          <w:lang w:val="en-US" w:eastAsia="zh-CN" w:bidi="ar-SA"/>
        </w:rPr>
      </w:pPr>
      <w:r>
        <w:rPr>
          <w:rFonts w:hint="default" w:ascii="Times New Roman" w:hAnsi="Times New Roman" w:eastAsia="仿宋_GB2312" w:cs="Times New Roman"/>
          <w:kern w:val="2"/>
          <w:sz w:val="28"/>
          <w:szCs w:val="28"/>
          <w:lang w:val="en-US" w:eastAsia="zh-CN" w:bidi="ar-SA"/>
        </w:rPr>
        <w:t>1.服务对象满意度目标：通过问卷调查等手段，获取满意度达到“良好/满意/80分”及以上。</w:t>
      </w:r>
    </w:p>
    <w:p>
      <w:pPr>
        <w:widowControl w:val="0"/>
        <w:wordWrap/>
        <w:adjustRightInd w:val="0"/>
        <w:snapToGrid w:val="0"/>
        <w:spacing w:beforeLines="50" w:line="360" w:lineRule="auto"/>
        <w:ind w:firstLine="640" w:firstLineChars="200"/>
        <w:textAlignment w:val="auto"/>
        <w:outlineLvl w:val="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六、潜在影响项目的风险评估</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b w:val="0"/>
          <w:bCs w:val="0"/>
          <w:kern w:val="2"/>
          <w:sz w:val="28"/>
          <w:szCs w:val="28"/>
          <w:lang w:val="en-US" w:eastAsia="zh-CN" w:bidi="ar-SA"/>
        </w:rPr>
      </w:pPr>
      <w:r>
        <w:rPr>
          <w:rFonts w:hint="default" w:ascii="Times New Roman" w:hAnsi="Times New Roman" w:eastAsia="仿宋_GB2312" w:cs="Times New Roman"/>
          <w:b w:val="0"/>
          <w:bCs w:val="0"/>
          <w:kern w:val="2"/>
          <w:sz w:val="28"/>
          <w:szCs w:val="28"/>
          <w:lang w:val="en-US" w:eastAsia="zh-CN" w:bidi="ar-SA"/>
        </w:rPr>
        <w:t>（1）影响项目施工进度或正常运营的风险：主要是指自然环境和施工条件风险、施工方的风险、设计风险、供应商的风险、工程事故风险和资金落实风险等。</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b w:val="0"/>
          <w:bCs w:val="0"/>
          <w:kern w:val="2"/>
          <w:sz w:val="28"/>
          <w:szCs w:val="28"/>
          <w:lang w:val="en-US" w:eastAsia="zh-CN" w:bidi="ar-SA"/>
        </w:rPr>
      </w:pPr>
      <w:r>
        <w:rPr>
          <w:rFonts w:hint="default" w:ascii="Times New Roman" w:hAnsi="Times New Roman" w:eastAsia="仿宋_GB2312" w:cs="Times New Roman"/>
          <w:b w:val="0"/>
          <w:bCs w:val="0"/>
          <w:kern w:val="2"/>
          <w:sz w:val="28"/>
          <w:szCs w:val="28"/>
          <w:lang w:val="en-US" w:eastAsia="zh-CN" w:bidi="ar-SA"/>
        </w:rPr>
        <w:t>风险控制措施：本项目在建设期按照国家规定强制购买工程一切险，本项目保险费已按规定计入项目总投资其它建设费用类。选择专业的施工方和供应商，明确设计质量标准，严格把控施工安全和质量。加强对项目的资金管理，落实建设资金，保证工程按期完工。</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b w:val="0"/>
          <w:bCs w:val="0"/>
          <w:kern w:val="2"/>
          <w:sz w:val="28"/>
          <w:szCs w:val="28"/>
          <w:lang w:val="en-US" w:eastAsia="zh-CN" w:bidi="ar-SA"/>
        </w:rPr>
      </w:pPr>
      <w:r>
        <w:rPr>
          <w:rFonts w:hint="default" w:ascii="Times New Roman" w:hAnsi="Times New Roman" w:eastAsia="仿宋_GB2312" w:cs="Times New Roman"/>
          <w:b w:val="0"/>
          <w:bCs w:val="0"/>
          <w:kern w:val="2"/>
          <w:sz w:val="28"/>
          <w:szCs w:val="28"/>
          <w:lang w:val="en-US" w:eastAsia="zh-CN" w:bidi="ar-SA"/>
        </w:rPr>
        <w:t>（2）影响项目收益的风险：主要包括经营风险、市场风险、财务风险等。</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b w:val="0"/>
          <w:bCs w:val="0"/>
          <w:kern w:val="2"/>
          <w:sz w:val="28"/>
          <w:szCs w:val="28"/>
          <w:lang w:val="en-US" w:eastAsia="zh-CN" w:bidi="ar-SA"/>
        </w:rPr>
      </w:pPr>
      <w:r>
        <w:rPr>
          <w:rFonts w:hint="default" w:ascii="Times New Roman" w:hAnsi="Times New Roman" w:eastAsia="仿宋_GB2312" w:cs="Times New Roman"/>
          <w:b w:val="0"/>
          <w:bCs w:val="0"/>
          <w:kern w:val="2"/>
          <w:sz w:val="28"/>
          <w:szCs w:val="28"/>
          <w:lang w:val="en-US" w:eastAsia="zh-CN" w:bidi="ar-SA"/>
        </w:rPr>
        <w:t>风险控制措施：要求项目单位合理安排债券发行金额和债券期限，做好债券的期限配比、还款计划和资金准备。密切关注市场和项目收益情况，保证还本付息资金。</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b w:val="0"/>
          <w:bCs w:val="0"/>
          <w:kern w:val="2"/>
          <w:sz w:val="28"/>
          <w:szCs w:val="28"/>
          <w:lang w:val="en-US" w:eastAsia="zh-CN" w:bidi="ar-SA"/>
        </w:rPr>
      </w:pPr>
      <w:r>
        <w:rPr>
          <w:rFonts w:hint="default" w:ascii="Times New Roman" w:hAnsi="Times New Roman" w:eastAsia="仿宋_GB2312" w:cs="Times New Roman"/>
          <w:b w:val="0"/>
          <w:bCs w:val="0"/>
          <w:kern w:val="2"/>
          <w:sz w:val="28"/>
          <w:szCs w:val="28"/>
          <w:lang w:val="en-US" w:eastAsia="zh-CN" w:bidi="ar-SA"/>
        </w:rPr>
        <w:t>（3）影响融资平衡结果的风险：包括投资测算不准确风险和利率波动风险等。</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b w:val="0"/>
          <w:bCs w:val="0"/>
          <w:kern w:val="2"/>
          <w:sz w:val="28"/>
          <w:szCs w:val="28"/>
          <w:lang w:val="en-US" w:eastAsia="zh-CN" w:bidi="ar-SA"/>
        </w:rPr>
      </w:pPr>
      <w:r>
        <w:rPr>
          <w:rFonts w:hint="default" w:ascii="Times New Roman" w:hAnsi="Times New Roman" w:eastAsia="仿宋_GB2312" w:cs="Times New Roman"/>
          <w:b w:val="0"/>
          <w:bCs w:val="0"/>
          <w:kern w:val="2"/>
          <w:sz w:val="28"/>
          <w:szCs w:val="28"/>
          <w:lang w:val="en-US" w:eastAsia="zh-CN" w:bidi="ar-SA"/>
        </w:rPr>
        <w:t>风险控制措施：对测算中的基本假设进行合理性评估，应当符合当地经济社会发展的现实情况；对投资测算的部分由专业的会计师事务所进行复核，尽可能的减小人为误差到可控范围。</w:t>
      </w:r>
    </w:p>
    <w:p>
      <w:pPr>
        <w:widowControl w:val="0"/>
        <w:wordWrap/>
        <w:adjustRightInd w:val="0"/>
        <w:snapToGrid w:val="0"/>
        <w:spacing w:beforeLines="50" w:line="360" w:lineRule="auto"/>
        <w:ind w:firstLine="640" w:firstLineChars="200"/>
        <w:textAlignment w:val="auto"/>
        <w:outlineLvl w:val="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七、还款保障情况</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b w:val="0"/>
          <w:bCs w:val="0"/>
          <w:kern w:val="2"/>
          <w:sz w:val="28"/>
          <w:szCs w:val="28"/>
          <w:lang w:val="en-US" w:eastAsia="zh-CN" w:bidi="ar-SA"/>
        </w:rPr>
      </w:pPr>
      <w:r>
        <w:rPr>
          <w:rFonts w:hint="default" w:ascii="Times New Roman" w:hAnsi="Times New Roman" w:eastAsia="仿宋_GB2312" w:cs="Times New Roman"/>
          <w:b w:val="0"/>
          <w:bCs w:val="0"/>
          <w:kern w:val="2"/>
          <w:sz w:val="28"/>
          <w:szCs w:val="28"/>
          <w:lang w:val="en-US" w:eastAsia="zh-CN" w:bidi="ar-SA"/>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pPr>
        <w:pStyle w:val="5"/>
        <w:widowControl w:val="0"/>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b w:val="0"/>
          <w:bCs w:val="0"/>
          <w:kern w:val="2"/>
          <w:sz w:val="28"/>
          <w:szCs w:val="28"/>
          <w:lang w:eastAsia="zh-CN" w:bidi="ar-SA"/>
        </w:rPr>
      </w:pPr>
      <w:r>
        <w:rPr>
          <w:rFonts w:hint="default" w:ascii="Times New Roman" w:hAnsi="Times New Roman" w:eastAsia="仿宋_GB2312" w:cs="Times New Roman"/>
          <w:b w:val="0"/>
          <w:bCs w:val="0"/>
          <w:kern w:val="2"/>
          <w:sz w:val="28"/>
          <w:szCs w:val="28"/>
          <w:lang w:val="en-US" w:eastAsia="zh-CN" w:bidi="ar-SA"/>
        </w:rPr>
        <w:t>根据《中共中央办公厅、国务院办公厅关于做好地方政府专项债券发行及项目配套融资工作的通知》（厅字〔2019〕33号规定，项目单位对市场化融资依法承担全部偿还责任，在银行开立监管账户，将市场化融资资金以及项目对应可用于偿还市场化融资的专项收入，及时足额归集至监管账户，保障市场化融资到期偿付。项目业主应通过市场化融资承担全部偿还责任，如偿债出现困难时，项目业主通过公司经营收入、处置公司资产等方式筹集资金偿还债务。</w:t>
      </w:r>
    </w:p>
    <w:p>
      <w:pPr>
        <w:widowControl w:val="0"/>
        <w:wordWrap/>
        <w:adjustRightInd w:val="0"/>
        <w:snapToGrid w:val="0"/>
        <w:spacing w:beforeLines="50" w:line="360" w:lineRule="auto"/>
        <w:ind w:firstLine="640" w:firstLineChars="200"/>
        <w:textAlignment w:val="auto"/>
        <w:outlineLvl w:val="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八、主管部门和项目单位职责</w:t>
      </w:r>
    </w:p>
    <w:p>
      <w:pPr>
        <w:pStyle w:val="5"/>
        <w:widowControl w:val="0"/>
        <w:numPr>
          <w:numId w:val="0"/>
        </w:numPr>
        <w:wordWrap/>
        <w:adjustRightInd w:val="0"/>
        <w:snapToGrid w:val="0"/>
        <w:spacing w:after="0" w:line="300" w:lineRule="auto"/>
        <w:ind w:left="0" w:leftChars="0" w:firstLine="560" w:firstLineChars="200"/>
        <w:textAlignment w:val="auto"/>
        <w:rPr>
          <w:rFonts w:hint="eastAsia" w:ascii="Times New Roman" w:hAnsi="Times New Roman" w:eastAsia="仿宋_GB2312" w:cs="Times New Roman"/>
          <w:b w:val="0"/>
          <w:bCs w:val="0"/>
          <w:color w:val="auto"/>
          <w:kern w:val="2"/>
          <w:sz w:val="28"/>
          <w:szCs w:val="28"/>
          <w:lang w:val="en-US" w:eastAsia="zh-CN" w:bidi="ar-SA"/>
        </w:rPr>
      </w:pPr>
      <w:r>
        <w:rPr>
          <w:rFonts w:hint="eastAsia" w:ascii="Times New Roman" w:hAnsi="Times New Roman" w:eastAsia="仿宋_GB2312" w:cs="Times New Roman"/>
          <w:b w:val="0"/>
          <w:bCs w:val="0"/>
          <w:color w:val="auto"/>
          <w:kern w:val="2"/>
          <w:sz w:val="28"/>
          <w:szCs w:val="28"/>
          <w:lang w:val="en-US" w:eastAsia="zh-CN" w:bidi="ar-SA"/>
        </w:rPr>
        <w:t>1.主管部门职责</w:t>
      </w:r>
    </w:p>
    <w:p>
      <w:pPr>
        <w:pStyle w:val="5"/>
        <w:widowControl w:val="0"/>
        <w:numPr>
          <w:numId w:val="0"/>
        </w:numPr>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b w:val="0"/>
          <w:bCs w:val="0"/>
          <w:color w:val="auto"/>
          <w:kern w:val="2"/>
          <w:sz w:val="28"/>
          <w:szCs w:val="28"/>
          <w:lang w:val="en-US" w:eastAsia="zh-CN" w:bidi="ar-SA"/>
        </w:rPr>
      </w:pPr>
      <w:r>
        <w:rPr>
          <w:rFonts w:hint="eastAsia" w:ascii="Times New Roman" w:hAnsi="Times New Roman" w:eastAsia="仿宋_GB2312" w:cs="Times New Roman"/>
          <w:b w:val="0"/>
          <w:bCs w:val="0"/>
          <w:color w:val="auto"/>
          <w:kern w:val="2"/>
          <w:sz w:val="28"/>
          <w:szCs w:val="28"/>
          <w:lang w:val="en-US" w:eastAsia="zh-CN" w:bidi="ar-SA"/>
        </w:rPr>
        <w:t>项目</w:t>
      </w:r>
      <w:r>
        <w:rPr>
          <w:rFonts w:hint="default" w:ascii="Times New Roman" w:hAnsi="Times New Roman" w:eastAsia="仿宋_GB2312" w:cs="Times New Roman"/>
          <w:b w:val="0"/>
          <w:bCs w:val="0"/>
          <w:color w:val="auto"/>
          <w:kern w:val="2"/>
          <w:sz w:val="28"/>
          <w:szCs w:val="28"/>
          <w:lang w:val="en-US" w:eastAsia="zh-CN" w:bidi="ar-SA"/>
        </w:rPr>
        <w:t>主管部门</w:t>
      </w:r>
      <w:r>
        <w:rPr>
          <w:rFonts w:hint="eastAsia" w:ascii="Times New Roman" w:hAnsi="Times New Roman" w:eastAsia="仿宋_GB2312" w:cs="Times New Roman"/>
          <w:b w:val="0"/>
          <w:bCs w:val="0"/>
          <w:color w:val="auto"/>
          <w:kern w:val="2"/>
          <w:sz w:val="28"/>
          <w:szCs w:val="28"/>
          <w:lang w:val="en-US" w:eastAsia="zh-CN" w:bidi="ar-SA"/>
        </w:rPr>
        <w:t>为四川汉源工业园区管理委员会。</w:t>
      </w:r>
      <w:r>
        <w:rPr>
          <w:rFonts w:hint="default" w:ascii="Times New Roman" w:hAnsi="Times New Roman" w:eastAsia="仿宋_GB2312" w:cs="Times New Roman"/>
          <w:b w:val="0"/>
          <w:bCs w:val="0"/>
          <w:color w:val="auto"/>
          <w:kern w:val="2"/>
          <w:sz w:val="28"/>
          <w:szCs w:val="28"/>
          <w:lang w:val="en-US" w:eastAsia="zh-CN" w:bidi="ar-SA"/>
        </w:rPr>
        <w:t>主管部门将会配合做好本地区项目收益专项债券</w:t>
      </w:r>
      <w:r>
        <w:rPr>
          <w:rFonts w:hint="eastAsia" w:ascii="Times New Roman" w:hAnsi="Times New Roman" w:eastAsia="仿宋_GB2312" w:cs="Times New Roman"/>
          <w:b w:val="0"/>
          <w:bCs w:val="0"/>
          <w:color w:val="auto"/>
          <w:kern w:val="2"/>
          <w:sz w:val="28"/>
          <w:szCs w:val="28"/>
          <w:lang w:val="en-US" w:eastAsia="zh-CN" w:bidi="ar-SA"/>
        </w:rPr>
        <w:t>和市场化融资</w:t>
      </w:r>
      <w:r>
        <w:rPr>
          <w:rFonts w:hint="default" w:ascii="Times New Roman" w:hAnsi="Times New Roman" w:eastAsia="仿宋_GB2312" w:cs="Times New Roman"/>
          <w:b w:val="0"/>
          <w:bCs w:val="0"/>
          <w:color w:val="auto"/>
          <w:kern w:val="2"/>
          <w:sz w:val="28"/>
          <w:szCs w:val="28"/>
          <w:lang w:val="en-US" w:eastAsia="zh-CN" w:bidi="ar-SA"/>
        </w:rPr>
        <w:t>发行准备工作，及时准确提供相关资料，配合做好信息披露、信用评级、资产评估等工作。项目运行过程中，主管部门将主动披露项目施工期间的施工进度、项目收益资金使用情况、项目运营期间的收支情况等信息。在资金管理方面，行业主管部门将会履行项目建设运营管理责任，加强成本控制，确保项目形成的专项收入应收尽收，并按照规定及时足额上交。项目运营期间，严格执行政府性基金收入和专项收入分账管理，所有项目专项收入必须全部进入偿债资金账户，偿债资金账户专门用于项目专项收入的接收、存储和划转，以及项目运营支出费用的接收、存储及划转，不得用作其他用途。项目运营单位应提前将全部项目收益从偿债资金账户向财政有关专户划转，由财政部门专门用于债本金和利息偿付，且必须保证在偿付专项债券本息的基础上才能将多余收益用于偿还市场化融资。债券对应资产管理方面，主管部门将会协同财政部门将各类项目收益专项债券对应项目形成的资产纳入国有资产管理，建立相应的资产登记和统计报告制度，加强资产日常统计和动态监控。</w:t>
      </w:r>
    </w:p>
    <w:p>
      <w:pPr>
        <w:pStyle w:val="5"/>
        <w:widowControl w:val="0"/>
        <w:numPr>
          <w:numId w:val="0"/>
        </w:numPr>
        <w:wordWrap/>
        <w:adjustRightInd w:val="0"/>
        <w:snapToGrid w:val="0"/>
        <w:spacing w:after="0" w:line="300" w:lineRule="auto"/>
        <w:ind w:left="0" w:leftChars="0" w:firstLine="560" w:firstLineChars="200"/>
        <w:textAlignment w:val="auto"/>
        <w:rPr>
          <w:rFonts w:hint="eastAsia" w:ascii="Times New Roman" w:hAnsi="Times New Roman" w:eastAsia="仿宋_GB2312" w:cs="Times New Roman"/>
          <w:b w:val="0"/>
          <w:bCs w:val="0"/>
          <w:i w:val="0"/>
          <w:iCs w:val="0"/>
          <w:color w:val="auto"/>
          <w:kern w:val="2"/>
          <w:sz w:val="28"/>
          <w:szCs w:val="28"/>
          <w:lang w:val="en-US" w:eastAsia="zh-CN" w:bidi="ar-SA"/>
        </w:rPr>
      </w:pPr>
      <w:r>
        <w:rPr>
          <w:rFonts w:hint="eastAsia" w:ascii="Times New Roman" w:hAnsi="Times New Roman" w:eastAsia="仿宋_GB2312" w:cs="Times New Roman"/>
          <w:b w:val="0"/>
          <w:bCs w:val="0"/>
          <w:i w:val="0"/>
          <w:iCs w:val="0"/>
          <w:color w:val="auto"/>
          <w:kern w:val="2"/>
          <w:sz w:val="28"/>
          <w:szCs w:val="28"/>
          <w:lang w:val="en-US" w:eastAsia="zh-CN" w:bidi="ar-SA"/>
        </w:rPr>
        <w:t>2.项目单位职责</w:t>
      </w:r>
    </w:p>
    <w:p>
      <w:pPr>
        <w:pStyle w:val="5"/>
        <w:widowControl w:val="0"/>
        <w:numPr>
          <w:numId w:val="0"/>
        </w:numPr>
        <w:wordWrap/>
        <w:adjustRightInd w:val="0"/>
        <w:snapToGrid w:val="0"/>
        <w:spacing w:after="0" w:line="300" w:lineRule="auto"/>
        <w:ind w:left="0" w:leftChars="0" w:firstLine="560" w:firstLineChars="200"/>
        <w:textAlignment w:val="auto"/>
        <w:rPr>
          <w:rFonts w:hint="default" w:ascii="Times New Roman" w:hAnsi="Times New Roman" w:eastAsia="仿宋_GB2312" w:cs="Times New Roman"/>
          <w:b w:val="0"/>
          <w:bCs w:val="0"/>
          <w:color w:val="auto"/>
          <w:kern w:val="2"/>
          <w:sz w:val="28"/>
          <w:szCs w:val="28"/>
          <w:lang w:val="en-US" w:eastAsia="zh-CN" w:bidi="ar-SA"/>
        </w:rPr>
      </w:pPr>
      <w:r>
        <w:rPr>
          <w:rFonts w:hint="eastAsia" w:ascii="Times New Roman" w:hAnsi="Times New Roman" w:eastAsia="仿宋_GB2312" w:cs="Times New Roman"/>
          <w:b w:val="0"/>
          <w:bCs w:val="0"/>
          <w:color w:val="auto"/>
          <w:kern w:val="2"/>
          <w:sz w:val="28"/>
          <w:szCs w:val="28"/>
          <w:lang w:val="en-US" w:eastAsia="zh-CN" w:bidi="ar-SA"/>
        </w:rPr>
        <w:t>项目单位为</w:t>
      </w:r>
      <w:r>
        <w:rPr>
          <w:rFonts w:hint="eastAsia" w:ascii="Times New Roman" w:hAnsi="Times New Roman" w:eastAsia="仿宋_GB2312" w:cs="Times New Roman"/>
          <w:color w:val="auto"/>
          <w:kern w:val="2"/>
          <w:sz w:val="28"/>
          <w:szCs w:val="28"/>
          <w:lang w:val="en-US" w:eastAsia="zh-CN" w:bidi="ar-SA"/>
        </w:rPr>
        <w:t>汉源县工业园区发展集团有限公司</w:t>
      </w:r>
      <w:r>
        <w:rPr>
          <w:rFonts w:hint="eastAsia" w:ascii="Times New Roman" w:hAnsi="Times New Roman" w:eastAsia="仿宋_GB2312" w:cs="Times New Roman"/>
          <w:b w:val="0"/>
          <w:bCs w:val="0"/>
          <w:color w:val="auto"/>
          <w:kern w:val="2"/>
          <w:sz w:val="28"/>
          <w:szCs w:val="28"/>
          <w:lang w:val="en-US" w:eastAsia="zh-CN" w:bidi="ar-SA"/>
        </w:rPr>
        <w:t>。项目单位将会配合做好债券发行准备工作，规范使用债券资金，及时形成支出，提高资金使用效益。定期评估项目成本、预期收益和对应资产价值等，发现风险或异常情况及时向主管部门报告。编制专项债券收支、偿还计划并纳入单位年度预算管理，将债券项目收入及时足额缴入国库。将用于偿还市场化融资的专项收入足额归集至监管账户，保障市场化融资到期偿付。做好数据填报、信息公开等相关工作。</w:t>
      </w:r>
    </w:p>
    <w:p>
      <w:pPr>
        <w:widowControl w:val="0"/>
        <w:wordWrap/>
        <w:adjustRightInd w:val="0"/>
        <w:snapToGrid w:val="0"/>
        <w:spacing w:beforeLines="50" w:line="360" w:lineRule="auto"/>
        <w:ind w:firstLine="640" w:firstLineChars="200"/>
        <w:textAlignment w:val="auto"/>
        <w:outlineLvl w:val="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九、补充说明</w:t>
      </w:r>
    </w:p>
    <w:p>
      <w:pPr>
        <w:pStyle w:val="5"/>
        <w:widowControl w:val="0"/>
        <w:wordWrap/>
        <w:adjustRightInd w:val="0"/>
        <w:snapToGrid w:val="0"/>
        <w:spacing w:after="0" w:line="300" w:lineRule="auto"/>
        <w:ind w:left="0" w:leftChars="0" w:firstLine="560" w:firstLineChars="200"/>
        <w:textAlignment w:val="auto"/>
        <w:rPr>
          <w:rFonts w:hint="eastAsia" w:ascii="Times New Roman" w:hAnsi="Times New Roman" w:eastAsia="仿宋_GB2312" w:cs="Times New Roman"/>
          <w:b w:val="0"/>
          <w:bCs w:val="0"/>
          <w:kern w:val="2"/>
          <w:sz w:val="28"/>
          <w:szCs w:val="28"/>
          <w:lang w:val="en-US" w:eastAsia="zh-CN" w:bidi="ar-SA"/>
        </w:rPr>
      </w:pPr>
      <w:r>
        <w:rPr>
          <w:rFonts w:hint="default" w:ascii="Times New Roman" w:hAnsi="Times New Roman" w:eastAsia="仿宋_GB2312" w:cs="Times New Roman"/>
          <w:b w:val="0"/>
          <w:bCs w:val="0"/>
          <w:kern w:val="2"/>
          <w:sz w:val="28"/>
          <w:szCs w:val="28"/>
          <w:lang w:val="en-US" w:eastAsia="zh-CN" w:bidi="ar-SA"/>
        </w:rPr>
        <w:t>根据原发行计划及额度安排</w:t>
      </w:r>
      <w:r>
        <w:rPr>
          <w:rFonts w:hint="eastAsia" w:ascii="Times New Roman" w:hAnsi="Times New Roman" w:eastAsia="仿宋_GB2312" w:cs="Times New Roman"/>
          <w:b w:val="0"/>
          <w:bCs w:val="0"/>
          <w:kern w:val="2"/>
          <w:sz w:val="28"/>
          <w:szCs w:val="28"/>
          <w:lang w:val="en-US" w:eastAsia="zh-CN" w:bidi="ar-SA"/>
        </w:rPr>
        <w:t>，</w:t>
      </w:r>
      <w:r>
        <w:rPr>
          <w:rFonts w:hint="default" w:ascii="Times New Roman" w:hAnsi="Times New Roman" w:eastAsia="仿宋_GB2312" w:cs="Times New Roman"/>
          <w:b w:val="0"/>
          <w:bCs w:val="0"/>
          <w:kern w:val="2"/>
          <w:sz w:val="28"/>
          <w:szCs w:val="28"/>
          <w:lang w:val="en-US" w:eastAsia="zh-CN" w:bidi="ar-SA"/>
        </w:rPr>
        <w:t>此项目计划于202</w:t>
      </w:r>
      <w:r>
        <w:rPr>
          <w:rFonts w:hint="eastAsia" w:ascii="Times New Roman" w:hAnsi="Times New Roman" w:eastAsia="仿宋_GB2312" w:cs="Times New Roman"/>
          <w:b w:val="0"/>
          <w:bCs w:val="0"/>
          <w:kern w:val="2"/>
          <w:sz w:val="28"/>
          <w:szCs w:val="28"/>
          <w:lang w:val="en-US" w:eastAsia="zh-CN" w:bidi="ar-SA"/>
        </w:rPr>
        <w:t>1</w:t>
      </w:r>
      <w:r>
        <w:rPr>
          <w:rFonts w:hint="default" w:ascii="Times New Roman" w:hAnsi="Times New Roman" w:eastAsia="仿宋_GB2312" w:cs="Times New Roman"/>
          <w:b w:val="0"/>
          <w:bCs w:val="0"/>
          <w:kern w:val="2"/>
          <w:sz w:val="28"/>
          <w:szCs w:val="28"/>
          <w:lang w:val="en-US" w:eastAsia="zh-CN" w:bidi="ar-SA"/>
        </w:rPr>
        <w:t>年发行</w:t>
      </w:r>
      <w:r>
        <w:rPr>
          <w:rFonts w:hint="eastAsia" w:ascii="Times New Roman" w:hAnsi="Times New Roman" w:eastAsia="仿宋_GB2312" w:cs="Times New Roman"/>
          <w:b w:val="0"/>
          <w:bCs w:val="0"/>
          <w:kern w:val="2"/>
          <w:sz w:val="28"/>
          <w:szCs w:val="28"/>
          <w:lang w:val="en-US" w:eastAsia="zh-CN" w:bidi="ar-SA"/>
        </w:rPr>
        <w:t>10000</w:t>
      </w:r>
      <w:r>
        <w:rPr>
          <w:rFonts w:hint="default" w:ascii="Times New Roman" w:hAnsi="Times New Roman" w:eastAsia="仿宋_GB2312" w:cs="Times New Roman"/>
          <w:b w:val="0"/>
          <w:bCs w:val="0"/>
          <w:kern w:val="2"/>
          <w:sz w:val="28"/>
          <w:szCs w:val="28"/>
          <w:lang w:val="en-US" w:eastAsia="zh-CN" w:bidi="ar-SA"/>
        </w:rPr>
        <w:t>万元，因地方政府债务限额管理要求和项目实施进展情况等原因未发行。调整后本次拟发行</w:t>
      </w:r>
      <w:r>
        <w:rPr>
          <w:rFonts w:hint="eastAsia" w:ascii="Times New Roman" w:hAnsi="Times New Roman" w:eastAsia="仿宋_GB2312" w:cs="Times New Roman"/>
          <w:b w:val="0"/>
          <w:bCs w:val="0"/>
          <w:kern w:val="2"/>
          <w:sz w:val="28"/>
          <w:szCs w:val="28"/>
          <w:lang w:val="en-US" w:eastAsia="zh-CN" w:bidi="ar-SA"/>
        </w:rPr>
        <w:t>10000</w:t>
      </w:r>
      <w:r>
        <w:rPr>
          <w:rFonts w:hint="default" w:ascii="Times New Roman" w:hAnsi="Times New Roman" w:eastAsia="仿宋_GB2312" w:cs="Times New Roman"/>
          <w:b w:val="0"/>
          <w:bCs w:val="0"/>
          <w:kern w:val="2"/>
          <w:sz w:val="28"/>
          <w:szCs w:val="28"/>
          <w:lang w:val="en-US" w:eastAsia="zh-CN" w:bidi="ar-SA"/>
        </w:rPr>
        <w:t>万元，期限</w:t>
      </w:r>
      <w:r>
        <w:rPr>
          <w:rFonts w:hint="eastAsia" w:ascii="Times New Roman" w:hAnsi="Times New Roman" w:eastAsia="仿宋_GB2312" w:cs="Times New Roman"/>
          <w:b w:val="0"/>
          <w:bCs w:val="0"/>
          <w:kern w:val="2"/>
          <w:sz w:val="28"/>
          <w:szCs w:val="28"/>
          <w:lang w:val="en-US" w:eastAsia="zh-CN" w:bidi="ar-SA"/>
        </w:rPr>
        <w:t>15</w:t>
      </w:r>
      <w:r>
        <w:rPr>
          <w:rFonts w:hint="default" w:ascii="Times New Roman" w:hAnsi="Times New Roman" w:eastAsia="仿宋_GB2312" w:cs="Times New Roman"/>
          <w:b w:val="0"/>
          <w:bCs w:val="0"/>
          <w:kern w:val="2"/>
          <w:sz w:val="28"/>
          <w:szCs w:val="28"/>
          <w:lang w:val="en-US" w:eastAsia="zh-CN" w:bidi="ar-SA"/>
        </w:rPr>
        <w:t>年，该项目实施内容及收益来源未发生变动，在不超过项目债券总需求情况下，债券跨年发行对项目整体融资平衡不构成实质影响</w:t>
      </w:r>
      <w:r>
        <w:rPr>
          <w:rFonts w:hint="eastAsia" w:ascii="Times New Roman" w:hAnsi="Times New Roman" w:eastAsia="仿宋_GB2312" w:cs="Times New Roman"/>
          <w:b w:val="0"/>
          <w:bCs w:val="0"/>
          <w:kern w:val="2"/>
          <w:sz w:val="28"/>
          <w:szCs w:val="28"/>
          <w:lang w:val="en-US" w:eastAsia="zh-CN" w:bidi="ar-SA"/>
        </w:rPr>
        <w:t>。</w:t>
      </w:r>
      <w:bookmarkStart w:id="47" w:name="_GoBack"/>
      <w:bookmarkEnd w:id="47"/>
    </w:p>
    <w:p>
      <w:pPr>
        <w:wordWrap/>
        <w:adjustRightInd w:val="0"/>
        <w:snapToGrid w:val="0"/>
        <w:spacing w:line="300" w:lineRule="auto"/>
        <w:ind w:left="0" w:leftChars="0" w:firstLine="560" w:firstLineChars="200"/>
        <w:rPr>
          <w:rFonts w:hint="default" w:ascii="Times New Roman" w:hAnsi="Times New Roman" w:cs="Times New Roman"/>
          <w:sz w:val="28"/>
          <w:szCs w:val="28"/>
        </w:rPr>
      </w:pPr>
    </w:p>
    <w:sectPr>
      <w:pgSz w:w="11906" w:h="16838"/>
      <w:pgMar w:top="1440" w:right="1800" w:bottom="1440" w:left="1800" w:header="851" w:footer="992" w:gutter="0"/>
      <w:pgNumType w:fmt="decimal"/>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287" w:usb1="080F0000" w:usb2="00000000" w:usb3="00000000" w:csb0="0004009F" w:csb1="DFD70000"/>
  </w:font>
  <w:font w:name="Cambria">
    <w:panose1 w:val="02040503050406030204"/>
    <w:charset w:val="00"/>
    <w:family w:val="auto"/>
    <w:pitch w:val="default"/>
    <w:sig w:usb0="E00002FF" w:usb1="400004FF" w:usb2="00000000" w:usb3="00000000" w:csb0="2000019F" w:csb1="00000000"/>
  </w:font>
  <w:font w:name="方正小标宋简体">
    <w:altName w:val="微软雅黑"/>
    <w:panose1 w:val="03000509000000000000"/>
    <w:charset w:val="86"/>
    <w:family w:val="auto"/>
    <w:pitch w:val="default"/>
    <w:sig w:usb0="00000000" w:usb1="00000000" w:usb2="00000000" w:usb3="00000000" w:csb0="00040000" w:csb1="00000000"/>
  </w:font>
  <w:font w:name="Arial Narrow">
    <w:altName w:val="Arial"/>
    <w:panose1 w:val="020B0606020202030204"/>
    <w:charset w:val="00"/>
    <w:family w:val="auto"/>
    <w:pitch w:val="default"/>
    <w:sig w:usb0="00000287" w:usb1="00000800" w:usb2="00000000" w:usb3="00000000" w:csb0="2000009F" w:csb1="DFD70000"/>
  </w:font>
  <w:font w:name="Arial Unicode MS">
    <w:altName w:val="宋体"/>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Pr>
    <w:r>
      <w:rPr>
        <w:rFonts w:ascii="Calibri" w:hAnsi="Calibri" w:eastAsia="宋体" w:cs="黑体"/>
        <w:kern w:val="2"/>
        <w:sz w:val="18"/>
        <w:szCs w:val="24"/>
        <w:lang w:val="en-US" w:eastAsia="zh-CN" w:bidi="ar-SA"/>
      </w:rPr>
      <w:pict>
        <v:rect id="文本框 1" o:spid="_x0000_s1025" style="position:absolute;left:0;margin-top:0pt;height:144pt;width:144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rect>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pBdr>
        <w:bottom w:val="none" w:color="auto" w:sz="0" w:space="0"/>
      </w:pBdr>
      <w:tabs>
        <w:tab w:val="center" w:pos="4422"/>
        <w:tab w:val="right" w:pos="8844"/>
        <w:tab w:val="clear" w:pos="4153"/>
        <w:tab w:val="clear" w:pos="830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next w:val="2"/>
    <w:pPr>
      <w:widowControl w:val="0"/>
      <w:jc w:val="both"/>
    </w:pPr>
    <w:rPr>
      <w:rFonts w:ascii="Calibri" w:hAnsi="Calibri" w:eastAsia="宋体" w:cs="黑体"/>
      <w:kern w:val="2"/>
      <w:sz w:val="21"/>
      <w:szCs w:val="24"/>
      <w:lang w:val="en-US" w:eastAsia="zh-CN" w:bidi="ar-SA"/>
    </w:rPr>
  </w:style>
  <w:style w:type="paragraph" w:styleId="3">
    <w:name w:val="heading 3"/>
    <w:basedOn w:val="4"/>
    <w:next w:val="1"/>
    <w:pPr>
      <w:keepNext/>
      <w:keepLines/>
      <w:widowControl w:val="0"/>
      <w:pBdr>
        <w:top w:val="none" w:color="auto" w:sz="0" w:space="0"/>
        <w:left w:val="none" w:color="auto" w:sz="0" w:space="0"/>
        <w:bottom w:val="none" w:color="auto" w:sz="0" w:space="0"/>
        <w:right w:val="none" w:color="auto" w:sz="0" w:space="0"/>
        <w:between w:val="none" w:color="auto" w:sz="0" w:space="0"/>
      </w:pBdr>
      <w:shd w:val="clear" w:color="auto" w:fill="auto"/>
      <w:tabs>
        <w:tab w:val="left" w:pos="567"/>
      </w:tabs>
      <w:spacing w:before="240" w:beforeAutospacing="0" w:after="240" w:afterAutospacing="0" w:line="360" w:lineRule="auto"/>
      <w:ind w:left="0" w:right="0" w:firstLine="880" w:firstLineChars="200"/>
      <w:jc w:val="left"/>
      <w:outlineLvl w:val="2"/>
    </w:pPr>
    <w:rPr>
      <w:rFonts w:ascii="仿宋_GB2312" w:hAnsi="仿宋_GB2312" w:eastAsia="宋体" w:cs="仿宋_GB2312"/>
      <w:b/>
      <w:bCs/>
      <w:color w:val="000000"/>
      <w:spacing w:val="0"/>
      <w:w w:val="100"/>
      <w:kern w:val="2"/>
      <w:position w:val="0"/>
      <w:sz w:val="30"/>
      <w:szCs w:val="24"/>
      <w:u w:val="none" w:color="000000"/>
      <w:lang w:val="en-US"/>
    </w:rPr>
  </w:style>
  <w:style w:type="character" w:default="1" w:styleId="9">
    <w:name w:val="Default Paragraph Font"/>
  </w:style>
  <w:style w:type="paragraph" w:customStyle="1" w:styleId="2">
    <w:name w:val="Plain Text"/>
    <w:basedOn w:val="1"/>
    <w:next w:val="1"/>
    <w:pPr>
      <w:spacing w:line="360" w:lineRule="auto"/>
    </w:pPr>
    <w:rPr>
      <w:rFonts w:ascii="宋体" w:hAnsi="宋体"/>
    </w:rPr>
  </w:style>
  <w:style w:type="paragraph" w:customStyle="1" w:styleId="4">
    <w:name w:val="标题3"/>
    <w:basedOn w:val="1"/>
    <w:next w:val="1"/>
    <w:pPr>
      <w:keepNext/>
      <w:ind w:firstLine="560" w:firstLineChars="200"/>
      <w:jc w:val="left"/>
      <w:outlineLvl w:val="2"/>
    </w:pPr>
    <w:rPr>
      <w:color w:val="000000"/>
      <w:szCs w:val="28"/>
    </w:rPr>
  </w:style>
  <w:style w:type="paragraph" w:styleId="5">
    <w:name w:val="Body Text"/>
    <w:basedOn w:val="1"/>
    <w:next w:val="6"/>
    <w:pPr>
      <w:spacing w:after="120" w:afterAutospacing="0"/>
    </w:pPr>
  </w:style>
  <w:style w:type="paragraph" w:styleId="6">
    <w:name w:val="toc 1"/>
    <w:basedOn w:val="1"/>
    <w:next w:val="1"/>
    <w:pPr>
      <w:spacing w:before="120" w:after="120"/>
      <w:jc w:val="left"/>
    </w:pPr>
    <w:rPr>
      <w:rFonts w:ascii="Calibri" w:hAnsi="Calibri" w:cs="Calibri"/>
      <w:b/>
      <w:bCs/>
      <w:caps/>
      <w:sz w:val="20"/>
      <w:szCs w:val="20"/>
    </w:rPr>
  </w:style>
  <w:style w:type="paragraph" w:styleId="7">
    <w:name w:val="footer"/>
    <w:basedOn w:val="1"/>
    <w:pPr>
      <w:tabs>
        <w:tab w:val="center" w:pos="4153"/>
        <w:tab w:val="right" w:pos="8306"/>
      </w:tabs>
      <w:snapToGrid w:val="0"/>
      <w:jc w:val="left"/>
    </w:pPr>
    <w:rPr>
      <w:sz w:val="18"/>
    </w:rPr>
  </w:style>
  <w:style w:type="paragraph" w:styleId="8">
    <w:name w:val="header"/>
    <w:basedOn w:val="1"/>
    <w:pPr>
      <w:pBdr>
        <w:bottom w:val="single" w:color="auto" w:sz="6" w:space="1"/>
      </w:pBdr>
      <w:tabs>
        <w:tab w:val="center" w:pos="4153"/>
        <w:tab w:val="right" w:pos="8306"/>
      </w:tabs>
      <w:snapToGrid w:val="0"/>
      <w:jc w:val="center"/>
    </w:pPr>
    <w:rPr>
      <w:sz w:val="18"/>
      <w:szCs w:val="18"/>
    </w:rPr>
  </w:style>
  <w:style w:type="paragraph" w:customStyle="1" w:styleId="10">
    <w:name w:val="Body Text Indent"/>
    <w:basedOn w:val="1"/>
    <w:pPr>
      <w:spacing w:line="500" w:lineRule="atLeast"/>
      <w:ind w:firstLine="540" w:firstLineChars="225"/>
    </w:pPr>
    <w:rPr>
      <w:rFonts w:ascii="华文仿宋" w:hAnsi="华文仿宋" w:eastAsia="华文仿宋" w:cs="Times New Roman"/>
      <w:sz w:val="24"/>
      <w:szCs w:val="24"/>
    </w:rPr>
  </w:style>
  <w:style w:type="paragraph" w:customStyle="1" w:styleId="11">
    <w:name w:val="Normal (Web)"/>
    <w:basedOn w:val="1"/>
    <w:pPr>
      <w:spacing w:before="0" w:beforeAutospacing="1" w:after="0" w:afterAutospacing="1"/>
      <w:ind w:left="0" w:right="0"/>
      <w:jc w:val="left"/>
    </w:pPr>
    <w:rPr>
      <w:kern w:val="0"/>
      <w:sz w:val="24"/>
      <w:lang w:val="en-US" w:eastAsia="zh-CN"/>
    </w:rPr>
  </w:style>
  <w:style w:type="paragraph" w:customStyle="1" w:styleId="12">
    <w:name w:val="Body Text First Indent 2"/>
    <w:basedOn w:val="10"/>
    <w:pPr>
      <w:widowControl/>
      <w:spacing w:after="120" w:line="240" w:lineRule="auto"/>
      <w:ind w:left="420" w:leftChars="200" w:firstLine="420" w:firstLineChars="200"/>
      <w:jc w:val="left"/>
    </w:pPr>
    <w:rPr>
      <w:rFonts w:ascii="Calibri" w:hAnsi="Calibri" w:eastAsia="宋体" w:cs="Times New Roman"/>
      <w:kern w:val="0"/>
    </w:rPr>
  </w:style>
  <w:style w:type="paragraph" w:customStyle="1" w:styleId="13">
    <w:name w:val="Default"/>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14">
    <w:name w:val="正文1"/>
    <w:pPr>
      <w:spacing w:after="200" w:line="276" w:lineRule="auto"/>
    </w:pPr>
    <w:rPr>
      <w:rFonts w:ascii="Cambria" w:hAnsi="Cambria" w:eastAsia="宋体" w:cs="Times New Roman"/>
      <w:sz w:val="22"/>
      <w:lang w:val="en-US" w:eastAsia="en-US" w:bidi="ar-SA"/>
    </w:rPr>
  </w:style>
  <w:style w:type="paragraph" w:customStyle="1" w:styleId="15">
    <w:name w:val="l_text"/>
    <w:basedOn w:val="1"/>
    <w:pPr>
      <w:overflowPunct w:val="0"/>
      <w:autoSpaceDE w:val="0"/>
      <w:autoSpaceDN w:val="0"/>
      <w:adjustRightInd w:val="0"/>
      <w:spacing w:line="360" w:lineRule="auto"/>
      <w:ind w:firstLine="561"/>
      <w:textAlignment w:val="baseline"/>
    </w:pPr>
    <w:rPr>
      <w:kern w:val="28"/>
      <w:sz w:val="28"/>
    </w:rPr>
  </w:style>
  <w:style w:type="paragraph" w:customStyle="1" w:styleId="16">
    <w:name w:val="正文（绿盟科技）"/>
    <w:pPr>
      <w:spacing w:line="300" w:lineRule="auto"/>
    </w:pPr>
    <w:rPr>
      <w:rFonts w:ascii="Arial" w:hAnsi="Arial" w:eastAsia="宋体" w:cs="Times New Roman"/>
      <w:sz w:val="21"/>
      <w:szCs w:val="21"/>
      <w:lang w:val="en-US" w:eastAsia="zh-CN" w:bidi="ar-SA"/>
    </w:rPr>
  </w:style>
  <w:style w:type="paragraph" w:customStyle="1" w:styleId="17">
    <w:name w:val="正文 首行缩进:  2 字符"/>
    <w:basedOn w:val="1"/>
    <w:rPr>
      <w:rFonts w:cs="宋体"/>
      <w:szCs w:val="20"/>
    </w:rPr>
  </w:style>
  <w:style w:type="paragraph" w:customStyle="1" w:styleId="18">
    <w:name w:val="正文2"/>
    <w:basedOn w:val="1"/>
    <w:link w:val="19"/>
    <w:pPr>
      <w:spacing w:line="360" w:lineRule="auto"/>
    </w:pPr>
    <w:rPr>
      <w:rFonts w:eastAsia="宋体"/>
    </w:rPr>
  </w:style>
  <w:style w:type="character" w:customStyle="1" w:styleId="19">
    <w:name w:val="正文2 Char Char"/>
    <w:link w:val="18"/>
    <w:semiHidden/>
    <w:rPr>
      <w:rFonts w:eastAsia="宋体"/>
    </w:rPr>
  </w:style>
  <w:style w:type="character" w:customStyle="1" w:styleId="20">
    <w:name w:val="font31"/>
    <w:basedOn w:val="9"/>
    <w:rPr>
      <w:rFonts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 个人版_9.1.0.4249</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2019-04-20T04:57:00Z</dcterms:created>
  <dc:creator>h﹄凡尘一沙</dc:creator>
  <cp:lastModifiedBy>王婷</cp:lastModifiedBy>
  <dcterms:modified xsi:type="dcterms:W3CDTF">2022-01-25T03:36:45Z</dcterms:modified>
  <dc:title>附件1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2052-9.1.0.4249</vt:lpwstr>
  </property>
  <property fmtid="{D5CDD505-2E9C-101B-9397-08002B2CF9AE}" pid="3" name="ICV">
    <vt:lpwstr>4DDCE814F9A3471882FA9C8C47454102</vt:lpwstr>
  </property>
</Properties>
</file>