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小标宋简体" w:cs="Times New Roman"/>
          <w:sz w:val="28"/>
          <w:szCs w:val="28"/>
        </w:rPr>
      </w:pPr>
      <w:bookmarkStart w:id="0" w:name="_Hlk535245579"/>
      <w:bookmarkStart w:id="1" w:name="_Toc29023_WPSOffice_Level2"/>
      <w:bookmarkStart w:id="2" w:name="_Toc4153_WPSOffice_Level2"/>
      <w:bookmarkStart w:id="3" w:name="_Toc520712142"/>
      <w:bookmarkStart w:id="4" w:name="_Toc13312_WPSOffice_Level2"/>
      <w:bookmarkStart w:id="5" w:name="_Toc12530_WPSOffice_Level2"/>
      <w:bookmarkStart w:id="6" w:name="_Toc3868"/>
      <w:bookmarkStart w:id="7" w:name="_Toc23527"/>
      <w:bookmarkStart w:id="8" w:name="_Toc16827_WPSOffice_Level2"/>
      <w:r>
        <w:rPr>
          <w:rFonts w:ascii="Times New Roman" w:hAnsi="Times New Roman" w:eastAsia="方正小标宋简体" w:cs="Times New Roman"/>
          <w:sz w:val="28"/>
          <w:szCs w:val="28"/>
        </w:rPr>
        <w:t>附件1</w:t>
      </w:r>
    </w:p>
    <w:bookmarkEnd w:id="0"/>
    <w:p>
      <w:pPr>
        <w:adjustRightInd w:val="0"/>
        <w:snapToGrid w:val="0"/>
        <w:spacing w:line="360" w:lineRule="auto"/>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汉源工业园区基础设施灾后恢复建设项目</w:t>
      </w:r>
    </w:p>
    <w:p>
      <w:pPr>
        <w:adjustRightInd w:val="0"/>
        <w:snapToGrid w:val="0"/>
        <w:spacing w:line="360" w:lineRule="auto"/>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项目</w:t>
      </w:r>
      <w:r>
        <w:rPr>
          <w:rFonts w:ascii="Times New Roman" w:hAnsi="Times New Roman" w:eastAsia="方正小标宋简体" w:cs="Times New Roman"/>
          <w:sz w:val="44"/>
          <w:szCs w:val="44"/>
        </w:rPr>
        <w:t>情况</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一、项目基本情况</w:t>
      </w:r>
    </w:p>
    <w:bookmarkEnd w:id="1"/>
    <w:bookmarkEnd w:id="2"/>
    <w:bookmarkEnd w:id="3"/>
    <w:bookmarkEnd w:id="4"/>
    <w:bookmarkEnd w:id="5"/>
    <w:bookmarkEnd w:id="6"/>
    <w:bookmarkEnd w:id="7"/>
    <w:bookmarkEnd w:id="8"/>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bookmarkStart w:id="9" w:name="_Toc13312_WPSOffice_Level3"/>
      <w:bookmarkStart w:id="10" w:name="_Toc5718_WPSOffice_Level3"/>
      <w:bookmarkStart w:id="11" w:name="_Toc13816"/>
      <w:bookmarkStart w:id="12" w:name="_Toc4153_WPSOffice_Level3"/>
      <w:bookmarkStart w:id="13" w:name="_Toc5919"/>
      <w:r>
        <w:rPr>
          <w:rFonts w:ascii="Times New Roman" w:hAnsi="Times New Roman" w:eastAsia="仿宋_GB2312" w:cs="Times New Roman"/>
          <w:bCs w:val="0"/>
          <w:sz w:val="28"/>
          <w:szCs w:val="28"/>
        </w:rPr>
        <w:t>（一）市县及行业专项规划概况</w:t>
      </w:r>
    </w:p>
    <w:bookmarkEnd w:id="9"/>
    <w:bookmarkEnd w:id="10"/>
    <w:bookmarkEnd w:id="11"/>
    <w:bookmarkEnd w:id="12"/>
    <w:bookmarkEnd w:id="13"/>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14" w:name="_Toc1421"/>
      <w:bookmarkStart w:id="15" w:name="_Toc27950"/>
      <w:bookmarkStart w:id="16" w:name="_Toc10032"/>
      <w:bookmarkStart w:id="17" w:name="_Toc5884"/>
      <w:r>
        <w:rPr>
          <w:rFonts w:hint="eastAsia" w:ascii="Times New Roman" w:hAnsi="Times New Roman" w:eastAsia="仿宋_GB2312" w:cs="Times New Roman"/>
          <w:sz w:val="28"/>
          <w:szCs w:val="28"/>
        </w:rPr>
        <w:t>1.汉源县基本情况介绍</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汉源县位于四川省雅安市南部，地处攀西阳光之旅的门户地带，是瀑布沟水电站移民主库区县、享受少数民族地区待遇县、革命老区县、“5.12”汶川特大地震重灾县、“4.20”芦山强烈地震受灾县、全省扩权强县试点县，全域纳入攀西战略资源创新开发试验区和成都平原经济区。全县幅员面积2382平方公里，总人口33万，居住着汉、彝、藏、回等26个民族。</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汉源区位优势明显。历为通往雅、康、宁交通咽喉，国道108线、省道306线等主要交通干道穿境而过;京昆高速公路、成昆铁路穿越崇山峻岭将汉源与外界连通，汉源距成都双流机场230公里，距西昌市220公里;目前，峨汉高速已经开工建设，建成后汉源到乐山仅需两个小时，真正实现全方位融入成都、乐山、西昌两小时经济圈，成为融入成渝、链接攀西、辐射康藏的川西交通次枢纽。</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2019年，全县地区生产总值跻身百亿俱乐部，达104.03亿元、增长8.1%;固定资产投资56亿元、增长23%;地方一般公共预算收入5.8亿元、增长12.05%;规模以上工业增加值增长10.3%;社会消费品零售总额42.13亿元、增长10.5%;城乡居民人均可支配收入分别达3.42万元、1.35万元，增长8.7%、10.4%。完成国家第四次经济普查，产业结构比调整为21.6:28.5:49.9。</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本项目实施后，预计产生的收入将会增加专项收入，能够完全覆盖本息，融资规模没有超过财政承受能力。</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2.专项规划</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四川汉源工业园区位于雅安市汉源县，园区成立于2006年，于2012年获批省级开发区,规划面积14平方公里,建成区面积3.85平方公里。园区以有色金属冶炼、食品产业、化工为主导产业，着力打造优势特色产业的集中区、吸引投资的集聚区、创新发展的先导区、循环经济的示范区。园区2018年启动水气土协同预警系统试点建设；2019年成功创建四川省第一批工业资源综合利用基地、四川第一批绿色制造示范单位、省级小型微型企业创业创新示范基地,被授予“四川省循环经济典型案例”，被评为2019年雅安市工业强市突出贡献先进集体。</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（1）成都、雅安等8市纳入成都平原经济区，推动“一带一路”和长江经济带建设，为经济区发展提供了战略机遇</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2016年由四川省人民政府办公厅发布关于五大经济区“十三五”发展规划的通知，《成都平原经济区“十三五”发展规划》包含了成都、德阳、绵阳、乐山、眉山、资阳、遂宁、雅安8市，65个县（市、区），幅员面积8.7平方公里。在新的历史条件下，成都平原经济区发展正面临一系列重大机遇。国家实施“一带一路”、长江经济带战略，深入推进新一轮西部大开发，为经济区发展提供了战略机遇。国家加快供给侧结构性改革，支持产业创新和转型升级，军民融合发展上升为国家战略，将极大激发经济区高端产业发展潜力。国家扩大向西、向南开放，支持内陆地区提高开放水平，有利于经济区进一步培育开放合作新优势。汉源工业园区作为成都平原经济区重点开发区，借力经济区联动发展机遇，加快融入成都、链接攀西、辐射康藏的重大机遇。</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（2）汉源被列入攀西国家级战略资源创新开发试验区，为园区融入成都、链接攀西、辐射康藏提供重大机遇</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2013年3月，国家发改委正式批准设立攀西战略资源创新开发试验区，汉源县被列入试验区规划范围。攀西国家级战略资源创新开发试验区是我国目前唯一的国家级资源开发类试验区，也是四川省奋力实施多点多极支撑发展战略的重要平台之一。根据《攀西国家级战略资源创新开发试验区建设规划（2012－2015年）》，试验区总体目标是建设世界级钒钛产业基地、我国重要的稀土研发制造中心和有色金属深加工基地，打造国内资源富集地科学开发利用资源的示范区。规划提出将按照合作办园、共享办园的原则，打破行政区划限制，建立利益共享机制，调整优化园区布局，促进试验区内资源、要素合理流动和优化配置，推进产业布局调整，重点打造攀枝花钒钛铬钴产业基地、凉山钒钛稀土产业基地和雅安碲铋产业园。其中，雅安碲铋产业园重点加强汉源、石棉碲铋矿资源的保护性开发，整合区域内相关开发企业，推进两地合作共建雅安碲铋产业园，实现集中布局。加快采、选、冶产业化技术开发，大力发展深加工，到2020年，初步实现碲铋及伴生金属的规模化回收利用。试验区的发展，是园区利用区位优势，加快融入成都、链接攀西、辐射康藏的重大机遇。</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雅安市关于工业优化结构加快发展的指导意见》提出以水电电冶产业、机械制造产业等为重点产业。引进壮大化工、氯碱化工企业规模，重点发展精细化工和新型氯碱化工，形成系列化、专用化、多规格的精细磷酸盐、高纯磷酸产品和有机氯产品。</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《汉源县工业优化结构加快发展的实施意见》 提出，2013—2017年，初步构建与全县主体功能区相适应的布局合理、特色突出、集聚协同、错位发展的相对完善的工业布局，</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万里工业集中区重点发展以新材料、有色金属、化工、磷酸氢钙等主导产业。至2017 年，力争主营业务收入达80亿元以上。园区设施进一步完善，园区规模进一步壮大。</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以有色金属工业为重点产业，鼓励发展有色金属冶炼及压延加工、铁合金、石膏造纸、化工、金属及非金属矿物制品材料制造行业。提出依托汉源县县有丰富菱镁矿、石膏矿、磷钾矿、煤碳等矿产资源，重点发展菱镁矿、电熔镁砂、金属镁、强度石膏粉、石膏纸浆、黄磷、磷酸、乌蜡、肥料等产业。至 2017年，化工产业实现主营业务收入达 40亿元以上。</w:t>
      </w:r>
    </w:p>
    <w:bookmarkEnd w:id="14"/>
    <w:bookmarkEnd w:id="15"/>
    <w:bookmarkEnd w:id="16"/>
    <w:bookmarkEnd w:id="17"/>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（二）项目概况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18" w:name="_Toc28596_WPSOffice_Level3"/>
      <w:bookmarkStart w:id="19" w:name="_Toc13573_WPSOffice_Level3"/>
      <w:bookmarkStart w:id="20" w:name="_Toc18964"/>
      <w:bookmarkStart w:id="21" w:name="_Toc8234_WPSOffice_Level3"/>
      <w:bookmarkStart w:id="22" w:name="_Toc1603"/>
      <w:r>
        <w:rPr>
          <w:rFonts w:ascii="Times New Roman" w:hAnsi="Times New Roman" w:eastAsia="仿宋_GB2312" w:cs="Times New Roman"/>
          <w:sz w:val="28"/>
          <w:szCs w:val="28"/>
        </w:rPr>
        <w:t>1.参与主体</w:t>
      </w:r>
      <w:bookmarkEnd w:id="18"/>
      <w:bookmarkEnd w:id="19"/>
      <w:bookmarkEnd w:id="20"/>
      <w:bookmarkEnd w:id="21"/>
      <w:bookmarkEnd w:id="22"/>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23" w:name="_Toc17053"/>
      <w:bookmarkStart w:id="24" w:name="_Toc19710"/>
      <w:bookmarkStart w:id="25" w:name="_Toc9412_WPSOffice_Level3"/>
      <w:bookmarkStart w:id="26" w:name="_Toc31783_WPSOffice_Level3"/>
      <w:bookmarkStart w:id="27" w:name="_Toc22413"/>
      <w:bookmarkStart w:id="28" w:name="_Toc15704_WPSOffice_Level3"/>
      <w:r>
        <w:rPr>
          <w:rFonts w:hint="eastAsia" w:ascii="Times New Roman" w:hAnsi="Times New Roman" w:eastAsia="仿宋_GB2312" w:cs="Times New Roman"/>
          <w:sz w:val="28"/>
          <w:szCs w:val="28"/>
        </w:rPr>
        <w:t>实施机构：四川汉源工业园区管理委员会</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项目业主：汉源县工业园区发展集团有限公司。</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2.项目概况</w:t>
      </w:r>
      <w:bookmarkEnd w:id="23"/>
    </w:p>
    <w:bookmarkEnd w:id="24"/>
    <w:bookmarkEnd w:id="25"/>
    <w:bookmarkEnd w:id="26"/>
    <w:bookmarkEnd w:id="27"/>
    <w:bookmarkEnd w:id="28"/>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1）项目名称：</w:t>
      </w:r>
      <w:r>
        <w:rPr>
          <w:rFonts w:hint="eastAsia" w:ascii="Times New Roman" w:hAnsi="Times New Roman" w:eastAsia="仿宋_GB2312" w:cs="Times New Roman"/>
          <w:sz w:val="28"/>
          <w:szCs w:val="28"/>
        </w:rPr>
        <w:t>汉源工业园区基础设施灾后恢复建设项目</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2）项目所属领域：</w:t>
      </w:r>
      <w:r>
        <w:rPr>
          <w:rFonts w:hint="eastAsia" w:ascii="Times New Roman" w:hAnsi="Times New Roman" w:eastAsia="仿宋_GB2312" w:cs="Times New Roman"/>
          <w:sz w:val="28"/>
          <w:szCs w:val="28"/>
        </w:rPr>
        <w:t>园区配套基础设施恢复</w:t>
      </w:r>
      <w:r>
        <w:rPr>
          <w:rFonts w:ascii="Times New Roman" w:hAnsi="Times New Roman" w:eastAsia="仿宋_GB2312" w:cs="Times New Roman"/>
          <w:sz w:val="28"/>
          <w:szCs w:val="28"/>
        </w:rPr>
        <w:t>。</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r>
        <w:rPr>
          <w:rFonts w:ascii="Times New Roman" w:hAnsi="Times New Roman" w:eastAsia="仿宋_GB2312" w:cs="Times New Roman"/>
          <w:sz w:val="28"/>
          <w:szCs w:val="28"/>
        </w:rPr>
        <w:t>）产出说明：包括项目位置、项目建设内容等。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项目区位：汉源县工业园区。</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建设规模：项目园区受暴雨洪水影响，部分基础设施损坏，本项目主要建设内容为道路恢复工程、河道治理工程、供排水管网恢复重建工程、边坡治理工程、桥梁疏通工程、拦砂坝工程、改造花椒交易中心用房。</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主要建设规模如下：</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（1）修复被暴雨形成的泥石流冲毁的7.8公里供排水管网；</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（2）项目道路恢复重建约18km；</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（3）河道治理工程长约5.95km，其中4km为清淤，1.95km为河床治理及河道整治（其中200m位于甘溪坝工业园区）；</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（4)项目新建拦砂坝2座，并在沿线进行边坡治理面积约9200平方米；</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（5）项目掏通淤堵桥涵3座，对河道淤积物疏通； </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（6）花椒交易中心改造12000平方米。</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二、经济社会效益分析</w:t>
      </w:r>
    </w:p>
    <w:p>
      <w:pPr>
        <w:pStyle w:val="4"/>
        <w:keepNext w:val="0"/>
        <w:keepLines w:val="0"/>
        <w:framePr w:wrap="auto" w:vAnchor="margin" w:hAnchor="text" w:yAlign="inline"/>
        <w:suppressAutoHyphens/>
        <w:spacing w:beforeLines="50" w:afterLines="50" w:line="520" w:lineRule="exact"/>
        <w:ind w:firstLine="562"/>
        <w:jc w:val="both"/>
        <w:rPr>
          <w:rFonts w:ascii="Times New Roman" w:hAnsi="Times New Roman" w:eastAsia="仿宋_GB2312" w:cs="Times New Roman"/>
          <w:bCs w:val="0"/>
          <w:sz w:val="28"/>
          <w:szCs w:val="28"/>
        </w:rPr>
      </w:pPr>
      <w:bookmarkStart w:id="29" w:name="_Toc5070"/>
      <w:bookmarkStart w:id="30" w:name="_Toc12770"/>
      <w:r>
        <w:rPr>
          <w:rFonts w:ascii="Times New Roman" w:hAnsi="Times New Roman" w:eastAsia="仿宋_GB2312" w:cs="Times New Roman"/>
          <w:bCs w:val="0"/>
          <w:sz w:val="28"/>
          <w:szCs w:val="28"/>
        </w:rPr>
        <w:t>（一）经济效益分析</w:t>
      </w:r>
      <w:bookmarkEnd w:id="29"/>
      <w:bookmarkEnd w:id="30"/>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1、直接经济效益</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项目的建成，使得交通环境大大改善，区域交通环境得到优化。项目的建设使沿线污水管网落后现状得到根本改善，满足区域内发展对公用配套设施的需求。同时，项目的实施将更大范围、更深程度地带来直接经济效益，其对于整个园区范围的经济影响都是显著的。</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2、工程沿线土地增值效益</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建成后，大大增强了区域内的交通联系能力，行车速度、舒适度、安全度大为提高，地面区域交通环境随之大为改善。有了好的交通条件，必然带来好的经济发展机遇，从而带动沿线土地增值，有利于加速沿线工业的开发，扩大就业就会。不仅既有建成区土地增值，也对汉源县的临空经济带来好的前景，从而促进沿线社会经济和综合事业的发展与繁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3、无形资产效益</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建成后，将改善园区人居环境，完善园区道路网络，缓解中心区压力，提高道路承载量，形成完整的园区道路交通网络，有效促进全市“畅通工程”的实施，进一步增强雅安市的园区综合配套功能，提升园区形象，增强园区竞争力，为园区用地布局和产业节后调整奠定坚实的基础，为汉源县 “十四五”规划的实施奠定基础条件。</w:t>
      </w:r>
    </w:p>
    <w:p>
      <w:pPr>
        <w:pStyle w:val="4"/>
        <w:keepNext w:val="0"/>
        <w:keepLines w:val="0"/>
        <w:framePr w:wrap="auto" w:vAnchor="margin" w:hAnchor="text" w:yAlign="inline"/>
        <w:suppressAutoHyphens/>
        <w:spacing w:beforeLines="50" w:afterLines="50" w:line="520" w:lineRule="exact"/>
        <w:ind w:firstLine="562"/>
        <w:jc w:val="both"/>
        <w:rPr>
          <w:rFonts w:ascii="Times New Roman" w:hAnsi="Times New Roman" w:eastAsia="仿宋_GB2312" w:cs="Times New Roman"/>
          <w:bCs w:val="0"/>
          <w:sz w:val="28"/>
          <w:szCs w:val="28"/>
        </w:rPr>
      </w:pPr>
      <w:bookmarkStart w:id="31" w:name="_Toc19648"/>
      <w:bookmarkStart w:id="32" w:name="_Toc21897"/>
      <w:r>
        <w:rPr>
          <w:rFonts w:ascii="Times New Roman" w:hAnsi="Times New Roman" w:eastAsia="仿宋_GB2312" w:cs="Times New Roman"/>
          <w:bCs w:val="0"/>
          <w:sz w:val="28"/>
          <w:szCs w:val="28"/>
        </w:rPr>
        <w:t>（二）社会效益分析</w:t>
      </w:r>
      <w:bookmarkEnd w:id="31"/>
      <w:bookmarkEnd w:id="32"/>
    </w:p>
    <w:p>
      <w:pPr>
        <w:pStyle w:val="2"/>
        <w:adjustRightInd w:val="0"/>
        <w:snapToGrid w:val="0"/>
        <w:spacing w:line="300" w:lineRule="auto"/>
        <w:ind w:firstLine="560" w:firstLineChars="200"/>
        <w:rPr>
          <w:rFonts w:ascii="Times New Roman" w:hAnsi="Times New Roman" w:eastAsia="仿宋_GB2312" w:cs="Times New Roman"/>
          <w:sz w:val="28"/>
          <w:szCs w:val="28"/>
          <w:lang w:eastAsia="zh-TW"/>
        </w:rPr>
      </w:pPr>
      <w:bookmarkStart w:id="33" w:name="_Toc21118"/>
      <w:r>
        <w:rPr>
          <w:rFonts w:hint="eastAsia" w:ascii="Times New Roman" w:hAnsi="Times New Roman" w:eastAsia="仿宋_GB2312" w:cs="Times New Roman"/>
          <w:sz w:val="28"/>
          <w:szCs w:val="28"/>
          <w:lang w:eastAsia="zh-TW"/>
        </w:rPr>
        <w:t>项目的实施，有利于汉源县工业园区的产业开发功能的发挥，将促进汉源县工业园区企业的培育和发展，必将产生经济增长点，为汉源县经济的可持续发展提供新的产业成长支持。将创造汉源县区域内产业布局与发展环境，为通过招商引资提高经济发展水平创造了条件。</w:t>
      </w:r>
    </w:p>
    <w:p>
      <w:pPr>
        <w:pStyle w:val="2"/>
        <w:adjustRightInd w:val="0"/>
        <w:snapToGrid w:val="0"/>
        <w:spacing w:line="300" w:lineRule="auto"/>
        <w:ind w:firstLine="560" w:firstLineChars="200"/>
        <w:rPr>
          <w:rFonts w:ascii="Times New Roman" w:hAnsi="Times New Roman" w:eastAsia="仿宋_GB2312" w:cs="Times New Roman"/>
          <w:sz w:val="28"/>
          <w:szCs w:val="28"/>
          <w:lang w:eastAsia="zh-TW"/>
        </w:rPr>
      </w:pPr>
      <w:r>
        <w:rPr>
          <w:rFonts w:hint="eastAsia" w:ascii="Times New Roman" w:hAnsi="Times New Roman" w:eastAsia="仿宋_GB2312" w:cs="Times New Roman"/>
          <w:sz w:val="28"/>
          <w:szCs w:val="28"/>
          <w:lang w:eastAsia="zh-TW"/>
        </w:rPr>
        <w:t>项目的建设，对发展区域地方经济，优化城市结构，增强城市综合服务功能，提高城市的整体水平是非常重要的。同时，可以大大促使汉源县在发展过程中充分的利用多重资源发展经济，并带动相关产业的整体发展。</w:t>
      </w:r>
    </w:p>
    <w:p>
      <w:pPr>
        <w:pStyle w:val="2"/>
        <w:adjustRightInd w:val="0"/>
        <w:snapToGrid w:val="0"/>
        <w:spacing w:after="0" w:line="300" w:lineRule="auto"/>
        <w:ind w:firstLine="560" w:firstLineChars="200"/>
        <w:rPr>
          <w:rFonts w:ascii="Times New Roman" w:hAnsi="Times New Roman" w:eastAsia="PMingLiU" w:cs="Times New Roman"/>
          <w:sz w:val="28"/>
          <w:szCs w:val="28"/>
          <w:lang w:eastAsia="zh-TW"/>
        </w:rPr>
      </w:pPr>
      <w:r>
        <w:rPr>
          <w:rFonts w:hint="eastAsia" w:ascii="Times New Roman" w:hAnsi="Times New Roman" w:eastAsia="仿宋_GB2312" w:cs="Times New Roman"/>
          <w:sz w:val="28"/>
          <w:szCs w:val="28"/>
          <w:lang w:eastAsia="zh-TW"/>
        </w:rPr>
        <w:t>本项目实施后，将使汉源县的内部交通和对外通行的能力大大提高，由其带来的社会效益极其显著：有利于改善园区道路交通状况，促进园区社会经济的全面可持续发展与繁荣。</w:t>
      </w:r>
    </w:p>
    <w:bookmarkEnd w:id="33"/>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三、项目投资估算及资金筹措方案</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（一）投资估算</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34" w:name="_Toc11440"/>
      <w:bookmarkStart w:id="35" w:name="_Toc109"/>
      <w:bookmarkStart w:id="36" w:name="_Toc29498_WPSOffice_Level2"/>
      <w:bookmarkStart w:id="37" w:name="_Toc26823_WPSOffice_Level2"/>
      <w:bookmarkStart w:id="38" w:name="_Toc28596_WPSOffice_Level2"/>
      <w:bookmarkStart w:id="39" w:name="_Toc8234_WPSOffice_Level2"/>
      <w:r>
        <w:rPr>
          <w:rFonts w:hint="eastAsia" w:ascii="Times New Roman" w:hAnsi="Times New Roman" w:eastAsia="仿宋_GB2312" w:cs="Times New Roman"/>
          <w:sz w:val="28"/>
          <w:szCs w:val="28"/>
        </w:rPr>
        <w:t>本项目总投资24200万元。其中第一部分建安工程费20305.00万元，第二部分其他费用2126.01万元，预备费1040.99万元，建设期利息720.00万元，债券发行费8万元。</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（二）资金筹措方案</w:t>
      </w:r>
      <w:bookmarkEnd w:id="34"/>
      <w:bookmarkEnd w:id="35"/>
      <w:bookmarkEnd w:id="36"/>
      <w:bookmarkEnd w:id="37"/>
      <w:bookmarkEnd w:id="38"/>
      <w:bookmarkEnd w:id="39"/>
    </w:p>
    <w:p>
      <w:pPr>
        <w:pStyle w:val="2"/>
        <w:adjustRightInd w:val="0"/>
        <w:snapToGrid w:val="0"/>
        <w:spacing w:after="0" w:line="300" w:lineRule="auto"/>
        <w:ind w:firstLine="562" w:firstLineChars="20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1.资金来源</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资本金来源</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项目总投资为24200万元，项目其资金来源为融资资金及财政配套资金。</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融资来源：</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项目资本金为16200万元，占项目总投资的66.94%，项目资本金根据建设进度分年投入。</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申请专项债券资金：计划申请发行专项债券8000.00万元，债券期限均为20年。</w:t>
      </w:r>
    </w:p>
    <w:p>
      <w:pPr>
        <w:pStyle w:val="2"/>
        <w:adjustRightInd w:val="0"/>
        <w:snapToGrid w:val="0"/>
        <w:spacing w:after="0" w:line="300" w:lineRule="auto"/>
        <w:ind w:firstLine="562" w:firstLineChars="20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2.资金使用计划</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根据项目建设计划投入，具体的资金使用计划见下表：</w:t>
      </w:r>
    </w:p>
    <w:p>
      <w:pPr>
        <w:pStyle w:val="2"/>
        <w:adjustRightInd w:val="0"/>
        <w:snapToGrid w:val="0"/>
        <w:spacing w:line="30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资金使用计划   单位：万元</w:t>
      </w:r>
    </w:p>
    <w:tbl>
      <w:tblPr>
        <w:tblStyle w:val="14"/>
        <w:tblW w:w="8048" w:type="dxa"/>
        <w:jc w:val="center"/>
        <w:tblLayout w:type="autofit"/>
        <w:tblCellMar>
          <w:top w:w="0" w:type="dxa"/>
          <w:left w:w="108" w:type="dxa"/>
          <w:bottom w:w="0" w:type="dxa"/>
          <w:right w:w="108" w:type="dxa"/>
        </w:tblCellMar>
      </w:tblPr>
      <w:tblGrid>
        <w:gridCol w:w="1048"/>
        <w:gridCol w:w="1360"/>
        <w:gridCol w:w="1240"/>
        <w:gridCol w:w="1600"/>
        <w:gridCol w:w="1400"/>
        <w:gridCol w:w="1400"/>
      </w:tblGrid>
      <w:tr>
        <w:tblPrEx>
          <w:tblCellMar>
            <w:top w:w="0" w:type="dxa"/>
            <w:left w:w="108" w:type="dxa"/>
            <w:bottom w:w="0" w:type="dxa"/>
            <w:right w:w="108" w:type="dxa"/>
          </w:tblCellMar>
        </w:tblPrEx>
        <w:trPr>
          <w:trHeight w:val="330" w:hRule="atLeast"/>
          <w:jc w:val="center"/>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序号</w:t>
            </w:r>
          </w:p>
        </w:tc>
        <w:tc>
          <w:tcPr>
            <w:tcW w:w="13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项目</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总计</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2021</w:t>
            </w:r>
            <w:r>
              <w:rPr>
                <w:rFonts w:hint="eastAsia" w:ascii="仿宋" w:hAnsi="仿宋" w:eastAsia="仿宋" w:cs="宋体"/>
                <w:b/>
                <w:bCs/>
                <w:kern w:val="0"/>
                <w:sz w:val="20"/>
                <w:szCs w:val="20"/>
              </w:rPr>
              <w:t>年</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2022</w:t>
            </w:r>
            <w:r>
              <w:rPr>
                <w:rFonts w:hint="eastAsia" w:ascii="仿宋" w:hAnsi="仿宋" w:eastAsia="仿宋" w:cs="宋体"/>
                <w:b/>
                <w:bCs/>
                <w:kern w:val="0"/>
                <w:sz w:val="20"/>
                <w:szCs w:val="20"/>
              </w:rPr>
              <w:t>年</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202</w:t>
            </w:r>
            <w:r>
              <w:rPr>
                <w:rFonts w:hint="eastAsia" w:ascii="仿宋" w:hAnsi="仿宋" w:eastAsia="仿宋" w:cs="宋体"/>
                <w:b/>
                <w:bCs/>
                <w:kern w:val="0"/>
                <w:sz w:val="20"/>
                <w:szCs w:val="20"/>
              </w:rPr>
              <w:t>3年</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一</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总投资</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24,200.00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9,552.80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7,283.60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7,363.60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建设投资</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23,472.00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9,388.80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7,041.60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7,041.60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1.1</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工程费用</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20,305.00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8,122.00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6,091.50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6,091.50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1.2</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其它建设费用</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2,126.01</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850.41</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637.80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637.80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1.3</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预备费</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1,040.99</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416.40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312.30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312.30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建设期利息</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720.00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160.00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240.00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320.00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3</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发行费用</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8.00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4.00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2.00</w:t>
            </w:r>
          </w:p>
        </w:tc>
      </w:tr>
      <w:tr>
        <w:tblPrEx>
          <w:tblCellMar>
            <w:top w:w="0" w:type="dxa"/>
            <w:left w:w="108" w:type="dxa"/>
            <w:bottom w:w="0" w:type="dxa"/>
            <w:right w:w="108" w:type="dxa"/>
          </w:tblCellMar>
        </w:tblPrEx>
        <w:trPr>
          <w:trHeight w:val="33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二</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筹资</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24,200.00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9,552.80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7,283.60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ascii="仿宋" w:hAnsi="仿宋" w:eastAsia="仿宋" w:cs="宋体"/>
                <w:b/>
                <w:bCs/>
                <w:kern w:val="0"/>
                <w:sz w:val="20"/>
                <w:szCs w:val="20"/>
              </w:rPr>
              <w:t>7,363.60</w:t>
            </w:r>
          </w:p>
        </w:tc>
      </w:tr>
      <w:tr>
        <w:tblPrEx>
          <w:tblCellMar>
            <w:top w:w="0" w:type="dxa"/>
            <w:left w:w="108" w:type="dxa"/>
            <w:bottom w:w="0" w:type="dxa"/>
            <w:right w:w="108" w:type="dxa"/>
          </w:tblCellMar>
        </w:tblPrEx>
        <w:trPr>
          <w:trHeight w:val="450"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项目资本金</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16,200.00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5,552.80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5,283.60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5,363.60</w:t>
            </w:r>
          </w:p>
        </w:tc>
      </w:tr>
      <w:tr>
        <w:tblPrEx>
          <w:tblCellMar>
            <w:top w:w="0" w:type="dxa"/>
            <w:left w:w="108" w:type="dxa"/>
            <w:bottom w:w="0" w:type="dxa"/>
            <w:right w:w="108" w:type="dxa"/>
          </w:tblCellMar>
        </w:tblPrEx>
        <w:trPr>
          <w:trHeight w:val="435" w:hRule="atLeast"/>
          <w:jc w:val="center"/>
        </w:trPr>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专项债</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8,000.00</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4,000.00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2,000.00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ascii="仿宋" w:hAnsi="仿宋" w:eastAsia="仿宋" w:cs="宋体"/>
                <w:kern w:val="0"/>
                <w:sz w:val="20"/>
                <w:szCs w:val="20"/>
              </w:rPr>
              <w:t>2,000.00</w:t>
            </w:r>
          </w:p>
        </w:tc>
      </w:tr>
    </w:tbl>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四、项目预期收益、成本及融资平衡情况</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（一）预期收益</w:t>
      </w:r>
    </w:p>
    <w:p>
      <w:pPr>
        <w:pStyle w:val="3"/>
        <w:adjustRightInd w:val="0"/>
        <w:snapToGrid w:val="0"/>
        <w:spacing w:before="0" w:after="0" w:line="300" w:lineRule="auto"/>
        <w:ind w:firstLine="562" w:firstLineChars="200"/>
        <w:rPr>
          <w:rFonts w:ascii="Times New Roman" w:hAnsi="Times New Roman" w:cs="Times New Roman"/>
          <w:sz w:val="28"/>
          <w:szCs w:val="28"/>
        </w:rPr>
      </w:pPr>
      <w:r>
        <w:rPr>
          <w:rFonts w:ascii="Times New Roman" w:hAnsi="Times New Roman" w:eastAsia="仿宋_GB2312" w:cs="Times New Roman"/>
          <w:sz w:val="28"/>
          <w:szCs w:val="28"/>
        </w:rPr>
        <w:t>1.项目收入</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本项目的收入来源主要为花椒交易中心租赁及停车场等相关运营收入。</w:t>
      </w:r>
    </w:p>
    <w:p>
      <w:pPr>
        <w:pStyle w:val="2"/>
        <w:adjustRightInd w:val="0"/>
        <w:snapToGrid w:val="0"/>
        <w:spacing w:after="0" w:line="300" w:lineRule="auto"/>
        <w:ind w:firstLine="560" w:firstLineChars="200"/>
        <w:rPr>
          <w:rFonts w:ascii="Times New Roman" w:hAnsi="Times New Roman" w:cs="Times New Roman"/>
          <w:sz w:val="28"/>
          <w:szCs w:val="28"/>
        </w:rPr>
      </w:pPr>
      <w:r>
        <w:rPr>
          <w:rFonts w:ascii="Times New Roman" w:hAnsi="Times New Roman" w:eastAsia="仿宋_GB2312" w:cs="Times New Roman"/>
          <w:sz w:val="28"/>
          <w:szCs w:val="28"/>
        </w:rPr>
        <w:t>经测算，在债券存续期内，本项目经营收入合计</w:t>
      </w:r>
      <w:r>
        <w:rPr>
          <w:rFonts w:hint="eastAsia" w:ascii="Times New Roman" w:hAnsi="Times New Roman" w:eastAsia="仿宋_GB2312" w:cs="Times New Roman"/>
          <w:sz w:val="28"/>
          <w:szCs w:val="28"/>
        </w:rPr>
        <w:t>22078.75</w:t>
      </w:r>
      <w:r>
        <w:rPr>
          <w:rFonts w:ascii="Times New Roman" w:hAnsi="Times New Roman" w:eastAsia="仿宋_GB2312" w:cs="Times New Roman"/>
          <w:sz w:val="28"/>
          <w:szCs w:val="28"/>
        </w:rPr>
        <w:t>万元。</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2.项目成本</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该项目总成本费用包括员工工资及福利费、管理费用、折旧费用、财务费用等。</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（二）资金测算平衡情况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若项目在满足上述资金筹集计划、项目实施计划、资金使用计划及预期收益的的假设前提下，本项目债券期限内：可用于还本付息的资金总额16981.20万元，债券本息合计14400万元，偿债覆盖率为1.18。</w:t>
      </w:r>
    </w:p>
    <w:p>
      <w:pPr>
        <w:pStyle w:val="2"/>
        <w:adjustRightInd w:val="0"/>
        <w:snapToGrid w:val="0"/>
        <w:spacing w:after="0" w:line="300" w:lineRule="auto"/>
        <w:ind w:firstLine="560" w:firstLineChars="200"/>
        <w:rPr>
          <w:rFonts w:ascii="Times New Roman" w:hAnsi="Times New Roman" w:eastAsia="仿宋_GB2312" w:cs="Times New Roman"/>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仿宋_GB2312" w:cs="Times New Roman"/>
          <w:sz w:val="28"/>
          <w:szCs w:val="28"/>
        </w:rPr>
        <w:t>项目</w:t>
      </w:r>
      <w:r>
        <w:rPr>
          <w:rFonts w:ascii="Times New Roman" w:hAnsi="Times New Roman" w:eastAsia="仿宋_GB2312" w:cs="Times New Roman"/>
          <w:sz w:val="28"/>
          <w:szCs w:val="28"/>
        </w:rPr>
        <w:t>资金平衡表见下表：</w:t>
      </w:r>
    </w:p>
    <w:p>
      <w:pPr>
        <w:pStyle w:val="2"/>
        <w:adjustRightInd w:val="0"/>
        <w:snapToGrid w:val="0"/>
        <w:spacing w:after="0" w:line="300" w:lineRule="auto"/>
        <w:ind w:leftChars="-270" w:hanging="567" w:hangingChars="270"/>
        <w:rPr>
          <w:rFonts w:ascii="Times New Roman" w:hAnsi="Times New Roman" w:eastAsia="仿宋_GB2312" w:cs="Times New Roman"/>
          <w:sz w:val="28"/>
          <w:szCs w:val="28"/>
        </w:rPr>
        <w:sectPr>
          <w:pgSz w:w="16838" w:h="11906" w:orient="landscape"/>
          <w:pgMar w:top="1800" w:right="1440" w:bottom="1800" w:left="1440" w:header="851" w:footer="992" w:gutter="0"/>
          <w:cols w:space="425" w:num="1"/>
          <w:docGrid w:type="lines" w:linePitch="312" w:charSpace="0"/>
        </w:sectPr>
      </w:pPr>
      <w:bookmarkStart w:id="41" w:name="_GoBack"/>
      <w:r>
        <w:drawing>
          <wp:inline distT="0" distB="0" distL="0" distR="0">
            <wp:extent cx="9869805" cy="4714240"/>
            <wp:effectExtent l="0" t="0" r="1714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869805" cy="4714240"/>
                    </a:xfrm>
                    <a:prstGeom prst="rect">
                      <a:avLst/>
                    </a:prstGeom>
                    <a:noFill/>
                    <a:ln>
                      <a:noFill/>
                    </a:ln>
                  </pic:spPr>
                </pic:pic>
              </a:graphicData>
            </a:graphic>
          </wp:inline>
        </w:drawing>
      </w:r>
      <w:bookmarkEnd w:id="41"/>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五、项目绩效目标</w:t>
      </w:r>
    </w:p>
    <w:p>
      <w:pPr>
        <w:pStyle w:val="2"/>
        <w:adjustRightInd w:val="0"/>
        <w:snapToGrid w:val="0"/>
        <w:spacing w:line="300" w:lineRule="auto"/>
        <w:ind w:firstLine="560" w:firstLineChars="200"/>
        <w:rPr>
          <w:rFonts w:ascii="Times New Roman" w:hAnsi="Times New Roman" w:eastAsia="仿宋_GB2312" w:cs="Times New Roman"/>
          <w:sz w:val="28"/>
          <w:szCs w:val="28"/>
        </w:rPr>
      </w:pPr>
      <w:bookmarkStart w:id="40" w:name="_Toc22004_WPSOffice_Level2"/>
      <w:r>
        <w:rPr>
          <w:rFonts w:hint="eastAsia" w:ascii="Times New Roman" w:hAnsi="Times New Roman" w:eastAsia="仿宋_GB2312" w:cs="Times New Roman"/>
          <w:sz w:val="28"/>
          <w:szCs w:val="28"/>
        </w:rPr>
        <w:t>时效目标:债券发行期为20年。债券20年内还本付息，汉源县人民政府可根据项目实施及收益情况提前还本付息。</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经济效益目标:通过获取项目收入，实现收益和融资自求平衡，增加地方财政收入，提升财政支出能力。</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社会效益目标:为汉源县经济的可持续发展提供新的产业成长支持。将创造汉源县区域内产业布局与发展环境，为通过招商引资提高经济发展水平创造了条件。</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可持续影响目标:完善园区道路网络，缓解中心区压力，提高道路承载量，形成完整的园区道路交通网络，有效促进全市“畅通工程”的实施，进一步增强雅安市的园区综合配套功能，提升园区形象，增强园区竞争力，为园区用地布局和产业节后调整奠定坚实的基础，为汉源县 “十四五”规划的实施奠定基础条件。</w:t>
      </w:r>
    </w:p>
    <w:bookmarkEnd w:id="40"/>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六、潜在影响项目的风险评估</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（1）影响项目施工进度或正常运营的风险：主要是指自然环境和施工条件风险、施工方的风险、设计风险、供应商的风险、工程事故风险和资金落实风险等。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本项目在建设期按照国家规定强制购买工程一切险，本项目保险费已按规定计入项目总投资其它建设费用类。选择专业的施工方和供应商，明确设计质量标准，严格把控施工安全和质量。加强对项目的资金管理，落实建设资金，保证工程按期完工。</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（2）影响项目收益的风险：主要包括经营风险、市场风险、财务风险等。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风险控制措施：要求项目单位合理安排债券发行金额和债券期限，做好债券的期限配比、还款计划和资金准备。密切关注市场和项目收益情况，保证还本付息资金。</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（3）影响融资平衡结果的风险：包括投资测算不准确风险和利率波动风险等。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风险控制措施：对测算中的基本假设进行合理性评估，应当符合当地经济社会发展的现实情况；对投资测算的部分由专业的会计师事务所进行复核，尽可能的减小人为误差到可控范围。</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七、还款保障情况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八、主管部门和项目单位职责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1.主管部门职责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w:t>
      </w:r>
      <w:r>
        <w:rPr>
          <w:rFonts w:ascii="Times New Roman" w:hAnsi="Times New Roman" w:eastAsia="仿宋_GB2312" w:cs="Times New Roman"/>
          <w:sz w:val="28"/>
          <w:szCs w:val="28"/>
        </w:rPr>
        <w:t>主管部门</w:t>
      </w:r>
      <w:r>
        <w:rPr>
          <w:rFonts w:hint="eastAsia" w:ascii="Times New Roman" w:hAnsi="Times New Roman" w:eastAsia="仿宋_GB2312" w:cs="Times New Roman"/>
          <w:sz w:val="28"/>
          <w:szCs w:val="28"/>
        </w:rPr>
        <w:t>为四川汉源工业园区管理委员会。</w:t>
      </w:r>
      <w:r>
        <w:rPr>
          <w:rFonts w:ascii="Times New Roman" w:hAnsi="Times New Roman" w:eastAsia="仿宋_GB2312" w:cs="Times New Roman"/>
          <w:sz w:val="28"/>
          <w:szCs w:val="28"/>
        </w:rPr>
        <w:t>主管部门将会配合做好本地区项目收益专项债券发行准备工作，及时准确提供相关资料，配合做好信息披露、信用评级、资产评估等工作。项目运行过程中，主管部门将主动披露项目施工期间的施工进度、项目收益资金使用情况、项目运营期间的收支情况等信息。在资金管理方面，行业主管部门将会履行项目建设运营管理责任，加强成本控制，确保项目形成的专项收入应收尽收，并按照规定及时足额上交。项目运营期间，严格执行政府性基金收入和专项收入分账管理，所有项目专项收入必须全部进入偿债资金账户，偿债资金账户专门用于项目专项收入的接收、存储和划转，以及项目运营支出费用的接收、存储及划转，不得用作其他用途。项目运营单位应提前将全部项目收益从偿债资金账户向财政有关专户划转，由财政部门专门用于债本金和利息偿付，债券对应资产管理方面，主管部门将会协同财政部门将各类项目收益专项债券对应项目形成的资产纳入国有资产管理，建立相应的资产登记和统计报告制度，加强资产日常统计和动态监控。</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2.项目单位职责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单位为汉源县工业园区发展集团有限公司。项目单位将会配合做好债券发行准备工作，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九、补充说明</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根据原发行计划及额度安排, 此项目计划于2021年发行4000万元，因地方政府债务限额管理要求和项目实施进展情况等原因未发行。调整后本次拟发行</w:t>
      </w:r>
      <w:r>
        <w:rPr>
          <w:rFonts w:ascii="Times New Roman" w:hAnsi="Times New Roman" w:eastAsia="仿宋_GB2312" w:cs="Times New Roman"/>
          <w:sz w:val="28"/>
          <w:szCs w:val="28"/>
        </w:rPr>
        <w:t>1800</w:t>
      </w:r>
      <w:r>
        <w:rPr>
          <w:rFonts w:hint="eastAsia" w:ascii="Times New Roman" w:hAnsi="Times New Roman" w:eastAsia="仿宋_GB2312" w:cs="Times New Roman"/>
          <w:sz w:val="28"/>
          <w:szCs w:val="28"/>
        </w:rPr>
        <w:t>万元，期限20年，该项目实施内容及收益来源未发生变动，在不超过项目债券总需求情况下，债券跨年发行对项目整体融资平衡不构成实质影响。</w:t>
      </w:r>
    </w:p>
    <w:p>
      <w:pPr>
        <w:adjustRightInd w:val="0"/>
        <w:snapToGrid w:val="0"/>
        <w:spacing w:line="300" w:lineRule="auto"/>
        <w:ind w:firstLine="560" w:firstLineChars="200"/>
        <w:rPr>
          <w:rFonts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tabs>
        <w:tab w:val="center" w:pos="4422"/>
        <w:tab w:val="right" w:pos="8844"/>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66D55C2"/>
    <w:rsid w:val="00071DFE"/>
    <w:rsid w:val="0023268E"/>
    <w:rsid w:val="00685EF2"/>
    <w:rsid w:val="0079540B"/>
    <w:rsid w:val="009E0E1D"/>
    <w:rsid w:val="00A4089E"/>
    <w:rsid w:val="00AF5DDF"/>
    <w:rsid w:val="00B254D4"/>
    <w:rsid w:val="00E562ED"/>
    <w:rsid w:val="00F779D2"/>
    <w:rsid w:val="01EC721F"/>
    <w:rsid w:val="03E52161"/>
    <w:rsid w:val="03F13E58"/>
    <w:rsid w:val="0457586F"/>
    <w:rsid w:val="05234DF6"/>
    <w:rsid w:val="052E3A06"/>
    <w:rsid w:val="058015CA"/>
    <w:rsid w:val="067E01D3"/>
    <w:rsid w:val="06A11B42"/>
    <w:rsid w:val="071D487D"/>
    <w:rsid w:val="080A0F24"/>
    <w:rsid w:val="08432405"/>
    <w:rsid w:val="08C37453"/>
    <w:rsid w:val="0A956898"/>
    <w:rsid w:val="0B244D26"/>
    <w:rsid w:val="0C5012C2"/>
    <w:rsid w:val="0CC20E23"/>
    <w:rsid w:val="0CC53D3F"/>
    <w:rsid w:val="0D196DB3"/>
    <w:rsid w:val="0D223161"/>
    <w:rsid w:val="0D48670F"/>
    <w:rsid w:val="0D9902C8"/>
    <w:rsid w:val="0DBF179C"/>
    <w:rsid w:val="0E626D10"/>
    <w:rsid w:val="0E7D2AF1"/>
    <w:rsid w:val="0EDA4621"/>
    <w:rsid w:val="0FC57160"/>
    <w:rsid w:val="10753E29"/>
    <w:rsid w:val="10DD075D"/>
    <w:rsid w:val="11812FF7"/>
    <w:rsid w:val="11A049BB"/>
    <w:rsid w:val="11E2739A"/>
    <w:rsid w:val="124D62D8"/>
    <w:rsid w:val="13C30D43"/>
    <w:rsid w:val="140C1D9B"/>
    <w:rsid w:val="154D1966"/>
    <w:rsid w:val="15984936"/>
    <w:rsid w:val="159C7F43"/>
    <w:rsid w:val="174D5C7B"/>
    <w:rsid w:val="17A14012"/>
    <w:rsid w:val="18436015"/>
    <w:rsid w:val="187A5031"/>
    <w:rsid w:val="1885534A"/>
    <w:rsid w:val="18E44B3C"/>
    <w:rsid w:val="19947A5D"/>
    <w:rsid w:val="19D837FF"/>
    <w:rsid w:val="1B29244C"/>
    <w:rsid w:val="1B5F4F21"/>
    <w:rsid w:val="1BFB0E58"/>
    <w:rsid w:val="1C164591"/>
    <w:rsid w:val="1C273170"/>
    <w:rsid w:val="1C7874BF"/>
    <w:rsid w:val="1CBC210F"/>
    <w:rsid w:val="1E56289F"/>
    <w:rsid w:val="1F365A69"/>
    <w:rsid w:val="1FCA0111"/>
    <w:rsid w:val="20450E18"/>
    <w:rsid w:val="20725B8C"/>
    <w:rsid w:val="208805A2"/>
    <w:rsid w:val="22621343"/>
    <w:rsid w:val="229B53A5"/>
    <w:rsid w:val="22DC5794"/>
    <w:rsid w:val="2405084D"/>
    <w:rsid w:val="246244AB"/>
    <w:rsid w:val="248D652C"/>
    <w:rsid w:val="24A70C0E"/>
    <w:rsid w:val="24A72B31"/>
    <w:rsid w:val="26192FE3"/>
    <w:rsid w:val="261B178A"/>
    <w:rsid w:val="26513AE3"/>
    <w:rsid w:val="268C33E5"/>
    <w:rsid w:val="2698101F"/>
    <w:rsid w:val="271F7290"/>
    <w:rsid w:val="274C161F"/>
    <w:rsid w:val="276C199A"/>
    <w:rsid w:val="27746FB6"/>
    <w:rsid w:val="27AB5698"/>
    <w:rsid w:val="2817373F"/>
    <w:rsid w:val="28D239CA"/>
    <w:rsid w:val="29991CB0"/>
    <w:rsid w:val="29F01804"/>
    <w:rsid w:val="2A655134"/>
    <w:rsid w:val="2A6B348B"/>
    <w:rsid w:val="2A972345"/>
    <w:rsid w:val="2B3D1318"/>
    <w:rsid w:val="2B677896"/>
    <w:rsid w:val="2D025D43"/>
    <w:rsid w:val="2D140AA0"/>
    <w:rsid w:val="2D2E6308"/>
    <w:rsid w:val="2DAF3622"/>
    <w:rsid w:val="2E0E042C"/>
    <w:rsid w:val="2FB6113C"/>
    <w:rsid w:val="2FDC3F67"/>
    <w:rsid w:val="302152C0"/>
    <w:rsid w:val="3049123D"/>
    <w:rsid w:val="3056318A"/>
    <w:rsid w:val="307D321C"/>
    <w:rsid w:val="31077655"/>
    <w:rsid w:val="311F3FF1"/>
    <w:rsid w:val="313815F4"/>
    <w:rsid w:val="31457FDB"/>
    <w:rsid w:val="31BC46FE"/>
    <w:rsid w:val="31D6796B"/>
    <w:rsid w:val="31D7275F"/>
    <w:rsid w:val="31EC1EF2"/>
    <w:rsid w:val="32D21740"/>
    <w:rsid w:val="32F5050E"/>
    <w:rsid w:val="336C0AED"/>
    <w:rsid w:val="33807F47"/>
    <w:rsid w:val="33A21DE3"/>
    <w:rsid w:val="33D0302C"/>
    <w:rsid w:val="3405267E"/>
    <w:rsid w:val="340A4B89"/>
    <w:rsid w:val="3482693C"/>
    <w:rsid w:val="34D87B30"/>
    <w:rsid w:val="34F013C8"/>
    <w:rsid w:val="350A21E6"/>
    <w:rsid w:val="35102402"/>
    <w:rsid w:val="35B41784"/>
    <w:rsid w:val="361359D7"/>
    <w:rsid w:val="370A0660"/>
    <w:rsid w:val="37610B3E"/>
    <w:rsid w:val="37FA2185"/>
    <w:rsid w:val="393E2219"/>
    <w:rsid w:val="39E703BF"/>
    <w:rsid w:val="3A4E6E66"/>
    <w:rsid w:val="3A972812"/>
    <w:rsid w:val="3BB538CA"/>
    <w:rsid w:val="3C711B70"/>
    <w:rsid w:val="3CD04EE1"/>
    <w:rsid w:val="3D500575"/>
    <w:rsid w:val="3EA1405D"/>
    <w:rsid w:val="3ED930DD"/>
    <w:rsid w:val="3F1624BC"/>
    <w:rsid w:val="3F692585"/>
    <w:rsid w:val="3FAB76D9"/>
    <w:rsid w:val="40504449"/>
    <w:rsid w:val="43705A56"/>
    <w:rsid w:val="439D2A11"/>
    <w:rsid w:val="43B22FAD"/>
    <w:rsid w:val="43FF3E14"/>
    <w:rsid w:val="44D53509"/>
    <w:rsid w:val="451F6F62"/>
    <w:rsid w:val="45822B64"/>
    <w:rsid w:val="45D26B5B"/>
    <w:rsid w:val="464B0E69"/>
    <w:rsid w:val="466D55C2"/>
    <w:rsid w:val="467E1A4F"/>
    <w:rsid w:val="46D21AB1"/>
    <w:rsid w:val="474D64BE"/>
    <w:rsid w:val="475F6227"/>
    <w:rsid w:val="494B2EE4"/>
    <w:rsid w:val="49613C0B"/>
    <w:rsid w:val="497905E6"/>
    <w:rsid w:val="49A8570C"/>
    <w:rsid w:val="4A874459"/>
    <w:rsid w:val="4B2B3D61"/>
    <w:rsid w:val="4BE05658"/>
    <w:rsid w:val="4BFA1007"/>
    <w:rsid w:val="4CAF417F"/>
    <w:rsid w:val="4CCE195A"/>
    <w:rsid w:val="4CF3628F"/>
    <w:rsid w:val="4D29119F"/>
    <w:rsid w:val="4D4E1628"/>
    <w:rsid w:val="4D9F6824"/>
    <w:rsid w:val="4DA71F15"/>
    <w:rsid w:val="4DAD55CD"/>
    <w:rsid w:val="4E3F7B76"/>
    <w:rsid w:val="4E4E7D3F"/>
    <w:rsid w:val="4E6C1326"/>
    <w:rsid w:val="4E8961F1"/>
    <w:rsid w:val="4EDF1ACA"/>
    <w:rsid w:val="4FB84B3F"/>
    <w:rsid w:val="503D5203"/>
    <w:rsid w:val="50566E9B"/>
    <w:rsid w:val="50F22857"/>
    <w:rsid w:val="51721FB8"/>
    <w:rsid w:val="5184164B"/>
    <w:rsid w:val="527176C4"/>
    <w:rsid w:val="54814B1C"/>
    <w:rsid w:val="563F544A"/>
    <w:rsid w:val="56506D1E"/>
    <w:rsid w:val="56567854"/>
    <w:rsid w:val="56E356CC"/>
    <w:rsid w:val="58E20FC6"/>
    <w:rsid w:val="59096CAD"/>
    <w:rsid w:val="59507242"/>
    <w:rsid w:val="5A2B59EE"/>
    <w:rsid w:val="5A7768CD"/>
    <w:rsid w:val="5B6E1D80"/>
    <w:rsid w:val="5B94743B"/>
    <w:rsid w:val="5BEA6E90"/>
    <w:rsid w:val="5CC9379B"/>
    <w:rsid w:val="5D351122"/>
    <w:rsid w:val="5E4C5756"/>
    <w:rsid w:val="5F255439"/>
    <w:rsid w:val="5FF164A8"/>
    <w:rsid w:val="60840FD3"/>
    <w:rsid w:val="608F5B69"/>
    <w:rsid w:val="60EA45C4"/>
    <w:rsid w:val="61723987"/>
    <w:rsid w:val="626C5432"/>
    <w:rsid w:val="62B23C09"/>
    <w:rsid w:val="62CB0D12"/>
    <w:rsid w:val="62E94667"/>
    <w:rsid w:val="635355A5"/>
    <w:rsid w:val="65467890"/>
    <w:rsid w:val="65896E6E"/>
    <w:rsid w:val="65A82A7A"/>
    <w:rsid w:val="673F1EF1"/>
    <w:rsid w:val="67A37591"/>
    <w:rsid w:val="67D203C3"/>
    <w:rsid w:val="682A30A4"/>
    <w:rsid w:val="684D1A22"/>
    <w:rsid w:val="68F96767"/>
    <w:rsid w:val="68FA5A6E"/>
    <w:rsid w:val="6981585E"/>
    <w:rsid w:val="69E375FE"/>
    <w:rsid w:val="6A54059C"/>
    <w:rsid w:val="6A804142"/>
    <w:rsid w:val="6ACF76AC"/>
    <w:rsid w:val="6AFB3210"/>
    <w:rsid w:val="6B2965B5"/>
    <w:rsid w:val="6BA052A8"/>
    <w:rsid w:val="6BAA19E2"/>
    <w:rsid w:val="6C175BFE"/>
    <w:rsid w:val="6C7B62A6"/>
    <w:rsid w:val="6C9155D7"/>
    <w:rsid w:val="6CAB2468"/>
    <w:rsid w:val="6D3565E9"/>
    <w:rsid w:val="6D364565"/>
    <w:rsid w:val="6DA27B76"/>
    <w:rsid w:val="6E4F0201"/>
    <w:rsid w:val="6EAB25D8"/>
    <w:rsid w:val="6F2233B6"/>
    <w:rsid w:val="6F806EF5"/>
    <w:rsid w:val="6FE13BFA"/>
    <w:rsid w:val="701A6CD3"/>
    <w:rsid w:val="707D7901"/>
    <w:rsid w:val="709C1828"/>
    <w:rsid w:val="70CE366C"/>
    <w:rsid w:val="71B279B4"/>
    <w:rsid w:val="71D72EE9"/>
    <w:rsid w:val="71E01077"/>
    <w:rsid w:val="72527C25"/>
    <w:rsid w:val="730D3731"/>
    <w:rsid w:val="733E2455"/>
    <w:rsid w:val="737B2106"/>
    <w:rsid w:val="73B27BA5"/>
    <w:rsid w:val="74A43A46"/>
    <w:rsid w:val="74B35AA0"/>
    <w:rsid w:val="75801C78"/>
    <w:rsid w:val="75F42941"/>
    <w:rsid w:val="76014EBB"/>
    <w:rsid w:val="760755B2"/>
    <w:rsid w:val="76551009"/>
    <w:rsid w:val="765A5FC4"/>
    <w:rsid w:val="77C24D76"/>
    <w:rsid w:val="77D1621B"/>
    <w:rsid w:val="78006F33"/>
    <w:rsid w:val="78CA5F02"/>
    <w:rsid w:val="78D3529D"/>
    <w:rsid w:val="78FA5658"/>
    <w:rsid w:val="79035B8F"/>
    <w:rsid w:val="794F1AAF"/>
    <w:rsid w:val="7A4D7647"/>
    <w:rsid w:val="7AE541D2"/>
    <w:rsid w:val="7B5364A9"/>
    <w:rsid w:val="7BDD446D"/>
    <w:rsid w:val="7D187227"/>
    <w:rsid w:val="7D227241"/>
    <w:rsid w:val="7D686324"/>
    <w:rsid w:val="7D74447A"/>
    <w:rsid w:val="7DC72A58"/>
    <w:rsid w:val="7DE47817"/>
    <w:rsid w:val="7E592FFD"/>
    <w:rsid w:val="7F445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5"/>
    <w:next w:val="1"/>
    <w:semiHidden/>
    <w:unhideWhenUsed/>
    <w:qFormat/>
    <w:uiPriority w:val="0"/>
    <w:pPr>
      <w:keepLines/>
      <w:framePr w:wrap="around" w:vAnchor="margin" w:hAnchor="text" w:y="1"/>
      <w:tabs>
        <w:tab w:val="left" w:pos="567"/>
      </w:tabs>
      <w:spacing w:before="240" w:after="240" w:line="360" w:lineRule="auto"/>
      <w:ind w:firstLine="880"/>
    </w:pPr>
    <w:rPr>
      <w:rFonts w:ascii="仿宋_GB2312" w:hAnsi="仿宋_GB2312" w:eastAsia="宋体" w:cs="仿宋_GB2312"/>
      <w:b/>
      <w:bCs/>
      <w:sz w:val="30"/>
      <w:szCs w:val="24"/>
      <w:u w:color="000000"/>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1"/>
    <w:basedOn w:val="1"/>
    <w:next w:val="1"/>
    <w:qFormat/>
    <w:uiPriority w:val="39"/>
    <w:pPr>
      <w:spacing w:before="120" w:after="120"/>
      <w:jc w:val="left"/>
    </w:pPr>
    <w:rPr>
      <w:rFonts w:ascii="Calibri" w:hAnsi="Calibri" w:cs="Calibri"/>
      <w:b/>
      <w:bCs/>
      <w:caps/>
      <w:sz w:val="20"/>
      <w:szCs w:val="20"/>
    </w:rPr>
  </w:style>
  <w:style w:type="paragraph" w:customStyle="1" w:styleId="5">
    <w:name w:val="标题3"/>
    <w:basedOn w:val="1"/>
    <w:next w:val="1"/>
    <w:qFormat/>
    <w:uiPriority w:val="0"/>
    <w:pPr>
      <w:keepNext/>
      <w:ind w:firstLine="560" w:firstLineChars="200"/>
      <w:jc w:val="left"/>
      <w:outlineLvl w:val="2"/>
    </w:pPr>
    <w:rPr>
      <w:color w:val="000000"/>
      <w:szCs w:val="28"/>
    </w:rPr>
  </w:style>
  <w:style w:type="paragraph" w:styleId="6">
    <w:name w:val="Document Map"/>
    <w:basedOn w:val="1"/>
    <w:link w:val="21"/>
    <w:uiPriority w:val="0"/>
    <w:rPr>
      <w:rFonts w:ascii="宋体" w:eastAsia="宋体"/>
      <w:sz w:val="18"/>
      <w:szCs w:val="18"/>
    </w:rPr>
  </w:style>
  <w:style w:type="paragraph" w:styleId="7">
    <w:name w:val="Body Text Indent"/>
    <w:basedOn w:val="1"/>
    <w:qFormat/>
    <w:uiPriority w:val="0"/>
    <w:pPr>
      <w:spacing w:line="500" w:lineRule="atLeast"/>
      <w:ind w:firstLine="540" w:firstLineChars="225"/>
    </w:pPr>
    <w:rPr>
      <w:rFonts w:ascii="华文仿宋" w:hAnsi="华文仿宋" w:eastAsia="华文仿宋" w:cs="Times New Roman"/>
      <w:sz w:val="24"/>
    </w:rPr>
  </w:style>
  <w:style w:type="paragraph" w:styleId="8">
    <w:name w:val="Plain Text"/>
    <w:basedOn w:val="1"/>
    <w:next w:val="1"/>
    <w:qFormat/>
    <w:uiPriority w:val="0"/>
    <w:pPr>
      <w:spacing w:line="360" w:lineRule="auto"/>
    </w:pPr>
    <w:rPr>
      <w:rFonts w:ascii="宋体" w:hAnsi="宋体"/>
    </w:rPr>
  </w:style>
  <w:style w:type="paragraph" w:styleId="9">
    <w:name w:val="Balloon Text"/>
    <w:basedOn w:val="1"/>
    <w:link w:val="22"/>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paragraph" w:styleId="13">
    <w:name w:val="Body Text First Indent 2"/>
    <w:basedOn w:val="7"/>
    <w:qFormat/>
    <w:uiPriority w:val="0"/>
    <w:pPr>
      <w:widowControl/>
      <w:spacing w:after="120" w:line="240" w:lineRule="auto"/>
      <w:ind w:left="420" w:leftChars="200" w:firstLine="420" w:firstLineChars="200"/>
      <w:jc w:val="left"/>
    </w:pPr>
    <w:rPr>
      <w:rFonts w:ascii="Calibri" w:hAnsi="Calibri" w:eastAsia="宋体"/>
      <w:kern w:val="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7">
    <w:name w:val="正文1"/>
    <w:qFormat/>
    <w:uiPriority w:val="0"/>
    <w:pPr>
      <w:spacing w:after="200" w:line="276" w:lineRule="auto"/>
    </w:pPr>
    <w:rPr>
      <w:rFonts w:ascii="Cambria" w:hAnsi="Cambria" w:eastAsia="宋体" w:cs="Times New Roman"/>
      <w:sz w:val="22"/>
      <w:lang w:val="en-US" w:eastAsia="en-US" w:bidi="ar-SA"/>
    </w:rPr>
  </w:style>
  <w:style w:type="paragraph" w:customStyle="1" w:styleId="18">
    <w:name w:val="l_text"/>
    <w:basedOn w:val="1"/>
    <w:qFormat/>
    <w:uiPriority w:val="0"/>
    <w:pPr>
      <w:overflowPunct w:val="0"/>
      <w:autoSpaceDE w:val="0"/>
      <w:autoSpaceDN w:val="0"/>
      <w:adjustRightInd w:val="0"/>
      <w:spacing w:line="360" w:lineRule="auto"/>
      <w:ind w:firstLine="561"/>
      <w:textAlignment w:val="baseline"/>
    </w:pPr>
    <w:rPr>
      <w:kern w:val="28"/>
      <w:sz w:val="28"/>
    </w:rPr>
  </w:style>
  <w:style w:type="paragraph" w:customStyle="1" w:styleId="19">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0">
    <w:name w:val="正文 首行缩进:  2 字符"/>
    <w:basedOn w:val="1"/>
    <w:qFormat/>
    <w:uiPriority w:val="0"/>
    <w:rPr>
      <w:rFonts w:cs="宋体"/>
      <w:szCs w:val="20"/>
    </w:rPr>
  </w:style>
  <w:style w:type="character" w:customStyle="1" w:styleId="21">
    <w:name w:val="文档结构图 Char"/>
    <w:basedOn w:val="15"/>
    <w:link w:val="6"/>
    <w:uiPriority w:val="0"/>
    <w:rPr>
      <w:rFonts w:ascii="宋体" w:eastAsia="宋体" w:hAnsiTheme="minorHAnsi" w:cstheme="minorBidi"/>
      <w:kern w:val="2"/>
      <w:sz w:val="18"/>
      <w:szCs w:val="18"/>
    </w:rPr>
  </w:style>
  <w:style w:type="character" w:customStyle="1" w:styleId="22">
    <w:name w:val="批注框文本 Char"/>
    <w:basedOn w:val="15"/>
    <w:link w:val="9"/>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957</Words>
  <Characters>5455</Characters>
  <Lines>45</Lines>
  <Paragraphs>12</Paragraphs>
  <TotalTime>11</TotalTime>
  <ScaleCrop>false</ScaleCrop>
  <LinksUpToDate>false</LinksUpToDate>
  <CharactersWithSpaces>6400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2019-04-20T04:57:00Z</dcterms:created>
  <dc:creator>h﹄凡尘一沙</dc:creator>
  <cp:lastModifiedBy>王少兵</cp:lastModifiedBy>
  <dcterms:modified xsi:type="dcterms:W3CDTF">2022-01-14T02:00:57Z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4DDCE814F9A3471882FA9C8C47454102</vt:lpwstr>
  </property>
</Properties>
</file>