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left="0" w:right="0" w:firstLine="0"/>
        <w:jc w:val="both"/>
        <w:rPr>
          <w:rFonts w:ascii="Times New Roman" w:hAnsi="Times New Roman" w:eastAsia="Times New Roman" w:cs="Times New Roman"/>
          <w:b/>
          <w:color w:val="auto"/>
          <w:spacing w:val="0"/>
          <w:position w:val="0"/>
          <w:sz w:val="44"/>
          <w:shd w:val="clear" w:fill="auto"/>
        </w:rPr>
      </w:pPr>
    </w:p>
    <w:p>
      <w:pPr>
        <w:spacing w:before="0" w:after="0" w:line="480" w:lineRule="auto"/>
        <w:ind w:left="0" w:right="0" w:firstLine="0"/>
        <w:jc w:val="center"/>
        <w:rPr>
          <w:rFonts w:hint="eastAsia" w:asciiTheme="majorEastAsia" w:hAnsiTheme="majorEastAsia" w:eastAsiaTheme="majorEastAsia" w:cstheme="majorEastAsia"/>
          <w:b/>
          <w:color w:val="auto"/>
          <w:spacing w:val="0"/>
          <w:position w:val="0"/>
          <w:sz w:val="44"/>
          <w:szCs w:val="44"/>
          <w:shd w:val="clear" w:fill="auto"/>
        </w:rPr>
      </w:pPr>
      <w:r>
        <w:rPr>
          <w:rFonts w:hint="eastAsia" w:asciiTheme="majorEastAsia" w:hAnsiTheme="majorEastAsia" w:eastAsiaTheme="majorEastAsia" w:cstheme="majorEastAsia"/>
          <w:b/>
          <w:color w:val="auto"/>
          <w:spacing w:val="0"/>
          <w:position w:val="0"/>
          <w:sz w:val="44"/>
          <w:szCs w:val="44"/>
          <w:shd w:val="clear" w:fill="auto"/>
        </w:rPr>
        <w:t>关于芦山县老旧小区公共配套设施项目</w:t>
      </w:r>
    </w:p>
    <w:p>
      <w:pPr>
        <w:spacing w:before="0" w:after="0" w:line="480" w:lineRule="auto"/>
        <w:ind w:left="0" w:right="0" w:firstLine="0"/>
        <w:jc w:val="center"/>
        <w:rPr>
          <w:rFonts w:hint="eastAsia" w:asciiTheme="majorEastAsia" w:hAnsiTheme="majorEastAsia" w:eastAsiaTheme="majorEastAsia" w:cstheme="majorEastAsia"/>
          <w:b/>
          <w:color w:val="auto"/>
          <w:spacing w:val="0"/>
          <w:position w:val="0"/>
          <w:sz w:val="44"/>
          <w:szCs w:val="44"/>
          <w:shd w:val="clear" w:fill="auto"/>
        </w:rPr>
      </w:pPr>
      <w:r>
        <w:rPr>
          <w:rFonts w:hint="eastAsia" w:asciiTheme="majorEastAsia" w:hAnsiTheme="majorEastAsia" w:eastAsiaTheme="majorEastAsia" w:cstheme="majorEastAsia"/>
          <w:b/>
          <w:color w:val="auto"/>
          <w:spacing w:val="0"/>
          <w:position w:val="0"/>
          <w:sz w:val="44"/>
          <w:szCs w:val="44"/>
          <w:shd w:val="clear" w:fill="auto"/>
        </w:rPr>
        <w:t>的情况说明</w:t>
      </w: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2"/>
          <w:shd w:val="clear" w:fill="auto"/>
        </w:rPr>
      </w:pPr>
      <w:r>
        <w:rPr>
          <w:rFonts w:ascii="Times New Roman" w:hAnsi="Times New Roman" w:eastAsia="Times New Roman" w:cs="Times New Roman"/>
          <w:color w:val="auto"/>
          <w:spacing w:val="0"/>
          <w:position w:val="0"/>
          <w:sz w:val="32"/>
          <w:shd w:val="clear" w:fill="auto"/>
        </w:rPr>
        <w:t xml:space="preserve"> </w:t>
      </w:r>
    </w:p>
    <w:p>
      <w:pPr>
        <w:tabs>
          <w:tab w:val="left" w:pos="476"/>
        </w:tabs>
        <w:spacing w:before="156" w:after="156" w:line="360" w:lineRule="auto"/>
        <w:ind w:left="0" w:right="0" w:firstLine="640"/>
        <w:jc w:val="left"/>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一、项目基本情况</w:t>
      </w:r>
    </w:p>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（一）芦山县及行业专项规划概况</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1.芦山县社会经济概况</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芦山县，隶属于雅安市，位于四川盆地西缘，雅安市东北部，青衣江上游，是5·12汶川地震，4·20芦山地震重灾县。全县幅员面积1364.42平方公里，辖5镇4乡46个村（社区）256个村民小组，2019年末户常住人口11.01万，籍人口11.9万，其中农村居民5.49万人，城镇居民6.41万人。</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2019年,全县县域共实现GDP总量47.42亿元,同比增长7.9%。其中,第一产业增加值9.29亿元,增长3.0%;第三产业增加值21.34亿元,增长9.0%。民营经济增加值31.53亿元,增长8.0%;粮食总产量2.62万吨,增长0.04%;实现社会消费品零售总额15.42亿元,增长10.6%;城镇居民人均可支配收入31897元,增长8.8%;农村居民人均可支配收入13511元,增长10.2%。</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2.项目建设背景及政策</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老旧小区，又被人称作“老破小”。这也是老旧小区住户最急、最怨的烦心事。小区居民期盼住得更舒服、更体面。</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2019年6月19日国务院常务会议指出，按照中央经济工作会议和《政府工作报告》部署，积极做好“六稳”工作，稳投资是重要方面。要找准切入点，抓住既能满足群众期盼、有利于拓展内需促消费、又不会导致重复建设的重大项目，扩大有效投资，努力实现稳增长、调结构、惠民生的一举多得之效。会议认为，加快改造城镇老旧小区，群众愿望强烈，是重大民生工程和发展工程。据各地初步摸查，目前全国需改造的城镇老旧小区涉及居民上亿人，量大面广，情况各异，任务繁重。会议对四方面工作作出了安排:一要抓紧明确改造标准和对象范围，今年开展试点探索，为进一步全面推进积累经验；二要加强政府引导，压实地方责任，加强统筹协调，发挥社区主体作用，尊重居民意愿，动员群众参与。重点改造建设小区水电气路及光纤等配套设施，有条件的可加装电梯，配建停车设施。促进住户户内改造并带动消费；三要创新投融资机制。今年将对城镇老旧小区改造安排中央补助资金。鼓励金融机构和地方积极探索，以可持续方式加大金融对老旧小区改造的支持。运用市场化方式吸引社会力量参与。四要在小区改造基础上，引导发展社区|养老、托幼、医疗、助餐、保洁等服务，推动建立小区后续长效管理机制。</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2019年以来，住房和城乡建设部会同发展改革委、财政部认真研究城镇老旧小区改造支持政策，印发了《关于做好2019年老旧小区改造工作的通知》，全面推进城镇老旧小区改造。主要开展的工作:一是摸排全国城镇老旧小区基本情况;二是指导地方因地制宜提出当地城镇老旧小区改造的内容和标准;三是部署各地自下而上，既尽力而为、又量力而行，合理确定2019年改造计划;四是推动地方创新改造方式和资金筹措机制等。按照“业主主体、社区主导、政府引领、各方支持”的方式统筹推进，采取“居民出一点、社会支持一点、财政补助一点”等多渠道筹集改造资金。从试点及各地反馈的情况看，城镇老旧小区改造涉及面广，是一项系统工程，做好这项工作，需要破解三个难题:一是建立多元化融资机制，加大改造资金筹集力度;二是地方加强统筹协调，强化基层组织建设，发动小区居民通过协商形成装谋积极参与老旧小区改造。三是在改造中因势利导，同步确定小区管理模式、管理规约及居民议事规则，同步建立小区后续管理机制。</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2019年7月11日，四川省城镇老旧小区改造工作座谈会在成都市召开。会议传达了国家关于城镇老旧小区改造工作有关会议精神，讲解了全国城镇老旧小区改造调研等工作要求，听取了21个市（州）老旧小区改造推进工作汇报及建议。会议指出，推进老旧小区改造是践行“不忘初心、牢记使命”的实际行动，是贯彻落实中央和省委、省政府决策部署的重要举措，是解决城市发展不平衡不充分问题、实现人民群众对美好生活向往的重要举措，是实现城市有机更新、提升民生保障水平的重要举措。今年是老旧小区改造全面实施的第一年，既要解决遇到的突出问题、完成计划的改造任务，还要为今后几年工作打好基础。会议对各地老旧小区改造工作予以肯定，并从老旧小区改造背景、政策把握、资金保障、长效管理等，对老旧小区改造工作提出要求：一要进一步提高政治站位，充分认识老旧小区改造的必要性，统一思想，提高认识，摸清底数，抓住机遇，积极推进老旧小区改造各项工作，推动“住有所居”向“住有宜居”高质量迈进；二要坚持以人民为中心，充分运用“共同缔造”理念，尊重群众改造意愿，顺应群众改造期盼，严格把握政策，充分掌握改造内容，因地制宜，科学制订改造方案；三要完善长效管理机制，研究确定小区物业管理模式，探索构建社区党组织、居委会、业主委员会、物业服务企业等协调联动的社区治理体系，凝聚共同推进老旧小区改造的工作合力。四要强化舆论氛围。各地应整合宣传资源，拓宽宣传领域，广泛引导社会各界支持参与，营造老旧小区改造浓厚氛围。</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3.项目建设必要性</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近年来，芦山县城市进程加快，人民群众生活条件逐渐提升，城市的老旧小区配套设施不齐，影响居民生活质量与城市建设发展，已经落后于时代的需求。老旧小区存在的主要问题:</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（1）环境设施状态落后</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在刚开始设计老旧小区的时候，设计人员并没有考虑车辆保有量正在逐步提升的状况，道路比较窄，停车位不够，造成私家车不断增长的状况下，车主只能够将车停到公共场所当中，这导致占据了大量的娱乐场所的活动空间，严重影响了人们的娱乐活动。道路由于太窄，再加上聚有车辆，私家车之间难免会发生碰撞，使得住户间经常发生冲突，影响了小区的和谐发展;水电基础设备过于老化，管线长时间没有更换，造成小区会由于水电管线问题而发生路面坍塌、停水停电的情况，严重影响了居民的生活质量，另外供电线路老化还很有可能发生火灾、雷击等情况，这给住户造成了非常大的安全隐患;建筑外墙粉刷面受到了风化，建筑内墙面受到了大面积的腐蚀，缺少足够的照明设备。</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（2）老旧小区人员组成复杂</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老旧小区住户以老年人、工薪阶层为主，经济条件比较有限，在小区实行物业管理的过程中，无法顺利的对卫生、环境等方面进行收费，这不但影响了物业公司的管理，同时在政府参与行城区改造的过程中，通常会由于居民的经济实力和消费观念问题而不能够顺利进行。</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（3）绿地所存在的问题</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老旧小区建造的时间普遍在上世纪末，无论是在设计水平还是配套设施方面，都无法和当代的小区规划设计相比。特别是在绿化工作上，尽管许多的小区都进行了绿化，不过普遍都是自然生长，而且因为缺少必要的养护，所以无法从整体上展现出美感。同时，还有的小区尽管进行了绿化设计，不过却存在缺株的情况，许多地表都暴露在外。此外，老旧小区并不重视对于绿化的管理工作，也很少对绿植进行保养，很多的老旧小区还把小区的绿地开垦改造成了小菜园，乱搭乱建，严重破坏了小区的环境。</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作为重大民生工程和发展工程，是推动城市转型发展、实现“住有所居”住房高质量发展的迫切需要，可补齐功能短板、完善公共服务设施、提升住房供给质量，能够吸引小区外流人口回流，阻止城市空心化，重塑社区文化，助推城市转型高质量发展。</w:t>
      </w:r>
    </w:p>
    <w:p>
      <w:pPr>
        <w:tabs>
          <w:tab w:val="left" w:pos="476"/>
        </w:tabs>
        <w:spacing w:before="156" w:after="156" w:line="360" w:lineRule="auto"/>
        <w:ind w:left="0" w:right="0" w:firstLine="0"/>
        <w:jc w:val="both"/>
        <w:rPr>
          <w:rFonts w:ascii="仿宋" w:hAnsi="仿宋" w:eastAsia="仿宋" w:cs="仿宋"/>
          <w:b/>
          <w:color w:val="auto"/>
          <w:spacing w:val="0"/>
          <w:position w:val="0"/>
          <w:sz w:val="30"/>
          <w:shd w:val="clear" w:fill="auto"/>
        </w:rPr>
      </w:pPr>
      <w:r>
        <w:rPr>
          <w:rFonts w:ascii="仿宋" w:hAnsi="仿宋" w:eastAsia="仿宋" w:cs="仿宋"/>
          <w:b/>
          <w:color w:val="auto"/>
          <w:spacing w:val="0"/>
          <w:position w:val="0"/>
          <w:sz w:val="30"/>
          <w:shd w:val="clear" w:fill="auto"/>
        </w:rPr>
        <w:t>（二）项目情况</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1.参与主体</w:t>
      </w:r>
    </w:p>
    <w:p>
      <w:pPr>
        <w:widowControl w:val="0"/>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实施机构：</w:t>
      </w:r>
      <w:r>
        <w:rPr>
          <w:rFonts w:ascii="仿宋" w:hAnsi="仿宋" w:eastAsia="仿宋" w:cs="仿宋"/>
          <w:color w:val="auto"/>
          <w:spacing w:val="0"/>
          <w:position w:val="0"/>
          <w:sz w:val="28"/>
          <w:shd w:val="clear" w:fill="auto"/>
        </w:rPr>
        <w:t>芦山县住房和城乡建设局</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项目业主：芦山县住房和城乡建设局</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芦山县住房和城乡建设局的基本信息如下：</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统一社会信用代码：115116260088989198</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负责人：何劲</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住所：芦山县芦阳镇迎宾大道9号</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颁发日期：2019年11月1日</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2.项目概况</w:t>
      </w:r>
    </w:p>
    <w:p>
      <w:pPr>
        <w:widowControl w:val="0"/>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（1）项目所属领域</w:t>
      </w:r>
    </w:p>
    <w:p>
      <w:pPr>
        <w:widowControl w:val="0"/>
        <w:spacing w:before="0" w:after="0" w:line="360" w:lineRule="auto"/>
        <w:ind w:left="0" w:right="0" w:firstLine="560"/>
        <w:jc w:val="both"/>
        <w:rPr>
          <w:rFonts w:ascii="仿宋" w:hAnsi="仿宋" w:eastAsia="仿宋" w:cs="仿宋"/>
          <w:b/>
          <w:color w:val="auto"/>
          <w:spacing w:val="0"/>
          <w:position w:val="0"/>
          <w:sz w:val="28"/>
          <w:shd w:val="clear" w:fill="FFFF00"/>
        </w:rPr>
      </w:pPr>
      <w:r>
        <w:rPr>
          <w:rFonts w:ascii="仿宋" w:hAnsi="仿宋" w:eastAsia="仿宋" w:cs="仿宋"/>
          <w:color w:val="000000"/>
          <w:spacing w:val="0"/>
          <w:position w:val="0"/>
          <w:sz w:val="28"/>
          <w:shd w:val="clear" w:fill="auto"/>
        </w:rPr>
        <w:t>本项目属于市政民生和发展建设领域，具有一定的公益性。</w:t>
      </w:r>
    </w:p>
    <w:p>
      <w:pPr>
        <w:widowControl w:val="0"/>
        <w:spacing w:before="0" w:after="0" w:line="360" w:lineRule="auto"/>
        <w:ind w:left="0" w:right="0" w:firstLine="562"/>
        <w:jc w:val="both"/>
        <w:rPr>
          <w:rFonts w:ascii="仿宋" w:hAnsi="仿宋" w:eastAsia="仿宋" w:cs="仿宋"/>
          <w:b/>
          <w:color w:val="auto"/>
          <w:spacing w:val="0"/>
          <w:position w:val="0"/>
          <w:sz w:val="28"/>
          <w:shd w:val="clear" w:fill="FFFF00"/>
        </w:rPr>
      </w:pP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w:t>
      </w:r>
      <w:r>
        <w:rPr>
          <w:rFonts w:hint="eastAsia" w:ascii="仿宋" w:hAnsi="仿宋" w:eastAsia="仿宋" w:cs="仿宋"/>
          <w:color w:val="auto"/>
          <w:spacing w:val="0"/>
          <w:position w:val="0"/>
          <w:sz w:val="28"/>
          <w:shd w:val="clear" w:fill="auto"/>
          <w:lang w:val="en-US" w:eastAsia="zh-CN"/>
        </w:rPr>
        <w:t>2</w:t>
      </w:r>
      <w:r>
        <w:rPr>
          <w:rFonts w:ascii="仿宋" w:hAnsi="仿宋" w:eastAsia="仿宋" w:cs="仿宋"/>
          <w:color w:val="auto"/>
          <w:spacing w:val="0"/>
          <w:position w:val="0"/>
          <w:sz w:val="28"/>
          <w:shd w:val="clear" w:fill="auto"/>
        </w:rPr>
        <w:t>）项目建设内容</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本项目涉及辖区内13个小区30栋楼，改造面积为9.9345万平方米。建设内容主要包括：房屋维修、雨污水管道改造、道路翻修、改善小区景观环境、海绵工程、生态草砖、完善公共服务设施等。</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w:t>
      </w:r>
      <w:r>
        <w:rPr>
          <w:rFonts w:hint="eastAsia" w:ascii="仿宋" w:hAnsi="仿宋" w:eastAsia="仿宋" w:cs="仿宋"/>
          <w:color w:val="auto"/>
          <w:spacing w:val="0"/>
          <w:position w:val="0"/>
          <w:sz w:val="28"/>
          <w:shd w:val="clear" w:fill="auto"/>
          <w:lang w:val="en-US" w:eastAsia="zh-CN"/>
        </w:rPr>
        <w:t>3</w:t>
      </w:r>
      <w:r>
        <w:rPr>
          <w:rFonts w:ascii="仿宋" w:hAnsi="仿宋" w:eastAsia="仿宋" w:cs="仿宋"/>
          <w:color w:val="auto"/>
          <w:spacing w:val="0"/>
          <w:position w:val="0"/>
          <w:sz w:val="28"/>
          <w:shd w:val="clear" w:fill="auto"/>
        </w:rPr>
        <w:t>）项目建设管理方案</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本项目在建设过程中涉及以下五个方面的建设管理工作。</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①</w:t>
      </w:r>
      <w:r>
        <w:rPr>
          <w:rFonts w:ascii="仿宋" w:hAnsi="仿宋" w:eastAsia="仿宋" w:cs="仿宋"/>
          <w:color w:val="auto"/>
          <w:spacing w:val="0"/>
          <w:position w:val="0"/>
          <w:sz w:val="28"/>
          <w:shd w:val="clear" w:fill="auto"/>
        </w:rPr>
        <w:t>项目建设前期准备工作(包括但不限于临建搭设、图纸会审、施工组织设计编制等);</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②</w:t>
      </w:r>
      <w:r>
        <w:rPr>
          <w:rFonts w:ascii="仿宋" w:hAnsi="仿宋" w:eastAsia="仿宋" w:cs="仿宋"/>
          <w:color w:val="auto"/>
          <w:spacing w:val="0"/>
          <w:position w:val="0"/>
          <w:sz w:val="28"/>
          <w:shd w:val="clear" w:fill="auto"/>
        </w:rPr>
        <w:t>项目建设的施工方案与技术措施(包括但不限于各项主要内容的措施、流水段的划分、各项交叉作业、施工期间的保通措施、扬尘治理措施等);</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③</w:t>
      </w:r>
      <w:r>
        <w:rPr>
          <w:rFonts w:ascii="仿宋" w:hAnsi="仿宋" w:eastAsia="仿宋" w:cs="仿宋"/>
          <w:color w:val="auto"/>
          <w:spacing w:val="0"/>
          <w:position w:val="0"/>
          <w:sz w:val="28"/>
          <w:shd w:val="clear" w:fill="auto"/>
        </w:rPr>
        <w:t>项目建设实施阶段的工程进度控制、工程质量控制、工程投资控制措施;</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④</w:t>
      </w:r>
      <w:r>
        <w:rPr>
          <w:rFonts w:ascii="仿宋" w:hAnsi="仿宋" w:eastAsia="仿宋" w:cs="仿宋"/>
          <w:color w:val="auto"/>
          <w:spacing w:val="0"/>
          <w:position w:val="0"/>
          <w:sz w:val="28"/>
          <w:shd w:val="clear" w:fill="auto"/>
        </w:rPr>
        <w:t>项目建设过程中的安全管理体系与措施、文明及环境保护管理体系与措施;</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⑤</w:t>
      </w:r>
      <w:r>
        <w:rPr>
          <w:rFonts w:ascii="仿宋" w:hAnsi="仿宋" w:eastAsia="仿宋" w:cs="仿宋"/>
          <w:color w:val="auto"/>
          <w:spacing w:val="0"/>
          <w:position w:val="0"/>
          <w:sz w:val="28"/>
          <w:shd w:val="clear" w:fill="auto"/>
        </w:rPr>
        <w:t>项目建设过程中的合同管理、信息管理。</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w:t>
      </w:r>
      <w:r>
        <w:rPr>
          <w:rFonts w:hint="eastAsia" w:ascii="仿宋" w:hAnsi="仿宋" w:eastAsia="仿宋" w:cs="仿宋"/>
          <w:color w:val="auto"/>
          <w:spacing w:val="0"/>
          <w:position w:val="0"/>
          <w:sz w:val="28"/>
          <w:shd w:val="clear" w:fill="auto"/>
          <w:lang w:val="en-US" w:eastAsia="zh-CN"/>
        </w:rPr>
        <w:t>4</w:t>
      </w:r>
      <w:r>
        <w:rPr>
          <w:rFonts w:ascii="仿宋" w:hAnsi="仿宋" w:eastAsia="仿宋" w:cs="仿宋"/>
          <w:color w:val="auto"/>
          <w:spacing w:val="0"/>
          <w:position w:val="0"/>
          <w:sz w:val="28"/>
          <w:shd w:val="clear" w:fill="auto"/>
        </w:rPr>
        <w:t>）运营维护方案</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①</w:t>
      </w:r>
      <w:r>
        <w:rPr>
          <w:rFonts w:ascii="仿宋" w:hAnsi="仿宋" w:eastAsia="仿宋" w:cs="仿宋"/>
          <w:color w:val="auto"/>
          <w:spacing w:val="0"/>
          <w:position w:val="0"/>
          <w:sz w:val="28"/>
          <w:shd w:val="clear" w:fill="auto"/>
        </w:rPr>
        <w:t>针对运营维护范围，制定运营质量目标，制定项目设施的养护、维修及更新执行方案及保障措施;</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②</w:t>
      </w:r>
      <w:r>
        <w:rPr>
          <w:rFonts w:ascii="仿宋" w:hAnsi="仿宋" w:eastAsia="仿宋" w:cs="仿宋"/>
          <w:color w:val="auto"/>
          <w:spacing w:val="0"/>
          <w:position w:val="0"/>
          <w:sz w:val="28"/>
          <w:shd w:val="clear" w:fill="auto"/>
        </w:rPr>
        <w:t>项目公司运营管理组织机构、岗位要求及职责、拟配备的各专业负责人的编配方案,经营期内人力资源管理、激励机制设计方案。</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3.项目公益性论证</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《财政部 发展改革委 人民银行 银监会关于贯彻国务院关于加强地方政府融资平台公司管理有关问题的通知相关事项的通知》（财预[2010]412号）规定，“公益性项目”是指为社会公共利益服务、不以盈利为目的，且不能或不宜通过市场化方式运作的政府投资项目，如市政道路、公共交通等基础设施项目，以及公共卫生、基础科研、义务教育、保障性安居工程等基本建设项目。</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本项目为芦山县老旧小区公共配套设施改建，项目属于市政民生和基础设施建设领域、为社会公共利益服务、不以盈利为目的且不宜通过市场化方式运作；故本项目符合上述文件对“公益性项目”的定义。</w:t>
      </w:r>
    </w:p>
    <w:p>
      <w:pPr>
        <w:tabs>
          <w:tab w:val="left" w:pos="476"/>
        </w:tabs>
        <w:spacing w:before="156" w:after="156" w:line="360" w:lineRule="auto"/>
        <w:ind w:left="0" w:right="0" w:firstLine="640"/>
        <w:jc w:val="left"/>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二、经济社会效益分析</w:t>
      </w:r>
    </w:p>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（一）经济效益分析</w:t>
      </w:r>
    </w:p>
    <w:p>
      <w:pPr>
        <w:widowControl w:val="0"/>
        <w:spacing w:before="150" w:after="15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000000"/>
          <w:spacing w:val="0"/>
          <w:position w:val="0"/>
          <w:sz w:val="28"/>
          <w:shd w:val="clear" w:fill="auto"/>
        </w:rPr>
        <w:t>本项目为芦山县住房和城乡建设局受县委、县政府的委托进行老旧小区公共配套设施改建。本项目的开发建设，不仅带动建筑业、建材业、服务业，而且刺激其它相关产业的发展，促进各项消费。随着居住条件的有效改善，将推动饮食业、旅游业、商业、建筑业等相关行业的发展，这将进一步地提高芦山县的人口集聚力和承载力。</w:t>
      </w:r>
    </w:p>
    <w:p>
      <w:pPr>
        <w:tabs>
          <w:tab w:val="left" w:pos="476"/>
        </w:tabs>
        <w:spacing w:before="156" w:after="156" w:line="360" w:lineRule="auto"/>
        <w:ind w:left="0" w:right="0" w:firstLine="0"/>
        <w:jc w:val="both"/>
        <w:rPr>
          <w:rFonts w:ascii="仿宋" w:hAnsi="仿宋" w:eastAsia="仿宋" w:cs="仿宋"/>
          <w:b/>
          <w:color w:val="auto"/>
          <w:spacing w:val="0"/>
          <w:position w:val="0"/>
          <w:sz w:val="30"/>
          <w:shd w:val="clear" w:fill="auto"/>
        </w:rPr>
      </w:pPr>
      <w:r>
        <w:rPr>
          <w:rFonts w:ascii="仿宋" w:hAnsi="仿宋" w:eastAsia="仿宋" w:cs="仿宋"/>
          <w:b/>
          <w:color w:val="auto"/>
          <w:spacing w:val="0"/>
          <w:position w:val="0"/>
          <w:sz w:val="30"/>
          <w:shd w:val="clear" w:fill="auto"/>
        </w:rPr>
        <w:t>（二）社会效益分析</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1.促进就业、消化剩余劳动力</w:t>
      </w:r>
    </w:p>
    <w:p>
      <w:pPr>
        <w:widowControl w:val="0"/>
        <w:spacing w:before="150" w:after="15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本项目一进入启动阶段，将拉动投资和消费，将有利于进一步吸引投资，推动芦山县经济增长，新增众多的就业机会，从而解决部分市民的就业问题。</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000000"/>
          <w:spacing w:val="0"/>
          <w:position w:val="0"/>
          <w:sz w:val="28"/>
          <w:shd w:val="clear" w:fill="auto"/>
        </w:rPr>
        <w:t>同时，在施工过程中，将投入较大的施工力量，项目建设所需的上下游建筑材料的需求，又给相关行业增加了就业机会，由此项目带动了间接的就业岗位。</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2.促进民生发展，推动城镇化进程</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必然推动居民素质、物质文明建设的不断改善，将为精神文明建设创造必要的物质基础与基本条件，随着社会风气、民俗风情、新闻传播等各种人文现象和文化活动的不断提高，从而有利于居民自身素质的提高和发展，有利于广大市民文明习惯的形成，有利于社会文明风气，有利于文明城市建设，塑造美好的城市形象。因此，项目的建设将一定程度地改善当地的人文环境。</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同时，本项目的实施将对芦山县城乡建设总体规划起到推动作用，通过项目的实施，完善了基础设施的建设，不仅扩展了城镇的发展空间，改善了居住环境和接待条件，同时对提高芦山县的综合功能，推动芦山县的城镇化进程产生积极的作用。</w:t>
      </w:r>
    </w:p>
    <w:p>
      <w:pPr>
        <w:tabs>
          <w:tab w:val="left" w:pos="476"/>
        </w:tabs>
        <w:spacing w:before="156" w:after="156" w:line="360" w:lineRule="auto"/>
        <w:ind w:left="0" w:right="0" w:firstLine="640"/>
        <w:jc w:val="left"/>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三、项目投资估算及资金筹措方案</w:t>
      </w:r>
    </w:p>
    <w:p>
      <w:pPr>
        <w:tabs>
          <w:tab w:val="left" w:pos="476"/>
        </w:tabs>
        <w:spacing w:before="156" w:after="156" w:line="360" w:lineRule="auto"/>
        <w:ind w:left="0" w:right="0" w:firstLine="0"/>
        <w:jc w:val="both"/>
        <w:rPr>
          <w:rFonts w:ascii="仿宋" w:hAnsi="仿宋" w:eastAsia="仿宋" w:cs="仿宋"/>
          <w:b/>
          <w:color w:val="auto"/>
          <w:spacing w:val="0"/>
          <w:position w:val="0"/>
          <w:sz w:val="30"/>
          <w:shd w:val="clear" w:fill="auto"/>
        </w:rPr>
      </w:pPr>
      <w:r>
        <w:rPr>
          <w:rFonts w:ascii="仿宋" w:hAnsi="仿宋" w:eastAsia="仿宋" w:cs="仿宋"/>
          <w:b/>
          <w:color w:val="auto"/>
          <w:spacing w:val="0"/>
          <w:position w:val="0"/>
          <w:sz w:val="30"/>
          <w:shd w:val="clear" w:fill="auto"/>
        </w:rPr>
        <w:t>（一）投资估算</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1.编制依据及原则</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《工程量清单计价规范》(GB50500-2013) ;</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《四川省建设工程设计概算编制管理办法》;</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《四川省建设工程量清单计价定额》(2015) ;</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《建设项目经济评价方法与参数（第三版)》;</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四川省建设工程造价管理总站关于对成都市等16个市、州2015年《四川省建设工程工程量清单计价定额》人工费调整的批复，川建价发(2018)8号计取;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安全文明施工按川建发〔2017〕5号-四川省住房和城乡建设厅关于印发《四川省建设工程安全文明施工费计价管理办法》的通知计取;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规费按2015年《四川省建设工程工程量清单计价定额》规定进行计取;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税金按四川省住房和城乡建设厅关于印发《建筑业营业税改征增值税四川省建设工程计价依据调整办法》的通知（川建造价发〔2018)392号文件）计取，根据市场价格调整;</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材料单价按《四川省建设工程造价信息》雅安市工程造价信息最近一期执行，信息中没有的材料单价按市场行情确定。</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2.编制说明</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(1）工程监理费按发改价格[2007]670号和《建设工程监理与相关服务收费标准》、发改价格（2015)299号文，下浮计取。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(2）建设项目前期工作咨询费按国家计委计价格[1999]1283号计取。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(3)工程勘察费暂按计价格[2002]10号《工程勘察设计收费标准》、发改价格（(2015）299号文有关规定，下浮计取。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(4)工程设计费按国家发展计划委员会、建设部联合颁布的计价格[2002]10号《工程勘察设计收费标准》、发改价格（2015）299号文有关规定，按插入法计算，下浮。</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(5）环境评价费按国家计委、国家环保总局计价格[2002]125号文计取。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(6）工程招标代理费按计价格(2002）1980号文计取。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(7）工程量清单及控制价编制费、审核工程预算费、审核竣工结算费根据川建价发[2008]141号文计取。</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(8）施工图审查费按川发改价格[2011]323号，第一部分工程费用0.16%计取计算。</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(9）工程保险费按第一部分工程费用0.3%计取计算。</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(10）建设单位管理费按财政部财建[2016]504号文件计算。</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（11）基本预备费按工程建设费用和工程建设其他的费用之和3%记取。</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3.项目总投资</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经测算，本项目总投资为3,767.00万元，其中:第一部分工程费用3,244.2万元；第二部分工程建设其他费用投资336.58万元；预备费107.58万元，建设期利息78.64万元。项目总投资构成明细如下表：</w:t>
      </w:r>
    </w:p>
    <w:p>
      <w:pPr>
        <w:widowControl w:val="0"/>
        <w:spacing w:before="156" w:after="156" w:line="360" w:lineRule="auto"/>
        <w:ind w:left="0" w:right="0" w:firstLine="0"/>
        <w:jc w:val="center"/>
        <w:rPr>
          <w:rFonts w:ascii="仿宋" w:hAnsi="仿宋" w:eastAsia="仿宋" w:cs="仿宋"/>
          <w:color w:val="auto"/>
          <w:spacing w:val="0"/>
          <w:position w:val="0"/>
          <w:sz w:val="24"/>
          <w:shd w:val="clear" w:fill="auto"/>
        </w:rPr>
      </w:pPr>
      <w:r>
        <w:rPr>
          <w:rFonts w:ascii="仿宋" w:hAnsi="仿宋" w:eastAsia="仿宋" w:cs="仿宋"/>
          <w:color w:val="auto"/>
          <w:spacing w:val="0"/>
          <w:position w:val="0"/>
          <w:sz w:val="24"/>
          <w:shd w:val="clear" w:fill="auto"/>
        </w:rPr>
        <w:t>表3-1芦山县文庙街区恢复重建工程投资表    单位（万元）</w:t>
      </w:r>
    </w:p>
    <w:tbl>
      <w:tblPr>
        <w:tblStyle w:val="2"/>
        <w:tblW w:w="0" w:type="auto"/>
        <w:tblInd w:w="0" w:type="dxa"/>
        <w:tblLayout w:type="autofit"/>
        <w:tblCellMar>
          <w:top w:w="0" w:type="dxa"/>
          <w:left w:w="10" w:type="dxa"/>
          <w:bottom w:w="0" w:type="dxa"/>
          <w:right w:w="10" w:type="dxa"/>
        </w:tblCellMar>
      </w:tblPr>
      <w:tblGrid>
        <w:gridCol w:w="5082"/>
        <w:gridCol w:w="3214"/>
      </w:tblGrid>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项目</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金额</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一.建筑工程安装费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b/>
                <w:color w:val="auto"/>
                <w:spacing w:val="0"/>
                <w:kern w:val="2"/>
                <w:position w:val="0"/>
                <w:sz w:val="20"/>
                <w:shd w:val="clear" w:fill="auto"/>
              </w:rPr>
              <w:t xml:space="preserve"> 3,244.20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原交通局宿舍</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125.00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凯丽滨江小区</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161.00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老法院宿舍</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119.00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原财政局宿舍</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178.00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原计生局宿舍</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161.00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安居大厦</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124.00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74号大院</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173.00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原防疫站宿舍</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113.10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原林业局宿舍</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513.00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审计局宿舍</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203.00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姜城印象小区</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370.00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美庐花园小区</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884.10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先锋路95号小区</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120.00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二.工程建设其他费用</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b/>
                <w:color w:val="auto"/>
                <w:spacing w:val="0"/>
                <w:kern w:val="2"/>
                <w:position w:val="0"/>
                <w:sz w:val="20"/>
                <w:shd w:val="clear" w:fill="auto"/>
              </w:rPr>
              <w:t>336.58</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建设单位管理费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61.50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可研报告编制费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13.75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可研报告评审</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5.54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设计费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107.58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工程招标代理费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16.23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工程监理费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73.80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施工图审查费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17.88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工程量清单编制费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12.34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竣工审核</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16.57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工程保险费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top"/>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仿宋" w:hAnsi="仿宋" w:eastAsia="仿宋" w:cs="仿宋"/>
                <w:color w:val="auto"/>
                <w:spacing w:val="0"/>
                <w:kern w:val="2"/>
                <w:position w:val="0"/>
                <w:sz w:val="20"/>
                <w:shd w:val="clear" w:fill="auto"/>
              </w:rPr>
              <w:t xml:space="preserve"> 11.30 </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三.基本预备费</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107.58</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四.建设期利息</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78.64</w:t>
            </w:r>
          </w:p>
        </w:tc>
      </w:tr>
      <w:tr>
        <w:tblPrEx>
          <w:tblCellMar>
            <w:top w:w="0" w:type="dxa"/>
            <w:left w:w="10" w:type="dxa"/>
            <w:bottom w:w="0" w:type="dxa"/>
            <w:right w:w="10" w:type="dxa"/>
          </w:tblCellMar>
        </w:tblPrEx>
        <w:trPr>
          <w:trHeight w:val="0" w:hRule="atLeast"/>
        </w:trPr>
        <w:tc>
          <w:tcPr>
            <w:tcW w:w="508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五.总投资</w:t>
            </w:r>
          </w:p>
        </w:tc>
        <w:tc>
          <w:tcPr>
            <w:tcW w:w="3214"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b/>
                <w:color w:val="000000"/>
                <w:spacing w:val="0"/>
                <w:kern w:val="2"/>
                <w:position w:val="0"/>
                <w:sz w:val="20"/>
                <w:shd w:val="clear" w:fill="auto"/>
              </w:rPr>
              <w:t>3,767.00</w:t>
            </w:r>
          </w:p>
        </w:tc>
      </w:tr>
    </w:tbl>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 xml:space="preserve">（二）资金筹措方案  </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1.资金来源</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本项目总投资为3,767.00万元，其中发行专项债券筹集资金1,966.00万元，占比52.19%，2021年发行1,966.00万元。项目资本金1,801.00万元，占比47.81%，由本级财政预算资金安排。</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2.项目实施计划</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本项目建设周期拟定为2021年1月至2021年12月，共12个月。具体如下：</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（1）2021年1月前完成项目前期准备工作。</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该阶段开展前期筹备工作，包括项目现状调查分析、前期立项、可行性研究报告编制、环境评价、工程勘察设计、土地取得、招投标和建设手续报批工作。</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（2）施工准备阶段（2021年1月到2021年2月）</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该阶段开展项目施工前期准备工作，施工地围栏设施放置、材料设施准备、人员准备。</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（3）工程施工阶段（2021年3月至2021年11月）</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 xml:space="preserve">该阶段开展主体现场施工工作。 </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（4）项目竣工验收工作（2021年12月，共1个月）</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该阶段开展各单位、单项工程的全面竣工验收工作，为项目投入使用做好准备。</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3.资金使用计划</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投入资金3,767.00万元，将于2021年投入到项目工程建设工作中，在保证项目工程投资资金充足的情况下，充分利用且不浪费当年度专项债券融资额度。结合本项目建设计划，后续项目资金使用计划如下表所示：</w:t>
      </w:r>
    </w:p>
    <w:p>
      <w:pPr>
        <w:spacing w:before="156" w:after="156" w:line="360" w:lineRule="auto"/>
        <w:ind w:left="0" w:right="0" w:firstLine="0"/>
        <w:jc w:val="center"/>
        <w:rPr>
          <w:rFonts w:ascii="仿宋" w:hAnsi="仿宋" w:eastAsia="仿宋" w:cs="仿宋"/>
          <w:color w:val="auto"/>
          <w:spacing w:val="0"/>
          <w:position w:val="0"/>
          <w:sz w:val="24"/>
          <w:shd w:val="clear" w:fill="auto"/>
        </w:rPr>
      </w:pPr>
      <w:r>
        <w:rPr>
          <w:rFonts w:ascii="仿宋" w:hAnsi="仿宋" w:eastAsia="仿宋" w:cs="仿宋"/>
          <w:color w:val="auto"/>
          <w:spacing w:val="0"/>
          <w:position w:val="0"/>
          <w:sz w:val="24"/>
          <w:shd w:val="clear" w:fill="auto"/>
        </w:rPr>
        <w:t>表3-2芦山县文庙街区恢复重建工程资金使用计划表 单位：万元</w:t>
      </w:r>
    </w:p>
    <w:tbl>
      <w:tblPr>
        <w:tblStyle w:val="2"/>
        <w:tblW w:w="0" w:type="auto"/>
        <w:jc w:val="center"/>
        <w:tblLayout w:type="autofit"/>
        <w:tblCellMar>
          <w:top w:w="0" w:type="dxa"/>
          <w:left w:w="10" w:type="dxa"/>
          <w:bottom w:w="0" w:type="dxa"/>
          <w:right w:w="10" w:type="dxa"/>
        </w:tblCellMar>
      </w:tblPr>
      <w:tblGrid>
        <w:gridCol w:w="1522"/>
        <w:gridCol w:w="2280"/>
        <w:gridCol w:w="2078"/>
        <w:gridCol w:w="1220"/>
      </w:tblGrid>
      <w:tr>
        <w:tblPrEx>
          <w:tblCellMar>
            <w:top w:w="0" w:type="dxa"/>
            <w:left w:w="10" w:type="dxa"/>
            <w:bottom w:w="0" w:type="dxa"/>
            <w:right w:w="10" w:type="dxa"/>
          </w:tblCellMar>
        </w:tblPrEx>
        <w:trPr>
          <w:trHeight w:val="0" w:hRule="atLeast"/>
          <w:jc w:val="center"/>
        </w:trPr>
        <w:tc>
          <w:tcPr>
            <w:tcW w:w="1522" w:type="dxa"/>
            <w:vMerge w:val="restart"/>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时间</w:t>
            </w:r>
          </w:p>
        </w:tc>
        <w:tc>
          <w:tcPr>
            <w:tcW w:w="2280" w:type="dxa"/>
            <w:vMerge w:val="restart"/>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债券资金使用计划</w:t>
            </w:r>
          </w:p>
        </w:tc>
        <w:tc>
          <w:tcPr>
            <w:tcW w:w="2078" w:type="dxa"/>
            <w:vMerge w:val="restart"/>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财政预算资金</w:t>
            </w:r>
          </w:p>
        </w:tc>
        <w:tc>
          <w:tcPr>
            <w:tcW w:w="1220" w:type="dxa"/>
            <w:vMerge w:val="restart"/>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合 计</w:t>
            </w:r>
          </w:p>
        </w:tc>
      </w:tr>
      <w:tr>
        <w:tblPrEx>
          <w:tblCellMar>
            <w:top w:w="0" w:type="dxa"/>
            <w:left w:w="10" w:type="dxa"/>
            <w:bottom w:w="0" w:type="dxa"/>
            <w:right w:w="10" w:type="dxa"/>
          </w:tblCellMar>
        </w:tblPrEx>
        <w:trPr>
          <w:trHeight w:val="0" w:hRule="atLeast"/>
          <w:jc w:val="center"/>
        </w:trPr>
        <w:tc>
          <w:tcPr>
            <w:tcW w:w="1522" w:type="dxa"/>
            <w:vMerge w:val="continue"/>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kern w:val="2"/>
                <w:position w:val="0"/>
                <w:sz w:val="22"/>
                <w:shd w:val="clear" w:fill="auto"/>
              </w:rPr>
            </w:pPr>
          </w:p>
        </w:tc>
        <w:tc>
          <w:tcPr>
            <w:tcW w:w="2280" w:type="dxa"/>
            <w:vMerge w:val="continue"/>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kern w:val="2"/>
                <w:position w:val="0"/>
                <w:sz w:val="22"/>
                <w:shd w:val="clear" w:fill="auto"/>
              </w:rPr>
            </w:pPr>
          </w:p>
        </w:tc>
        <w:tc>
          <w:tcPr>
            <w:tcW w:w="2078" w:type="dxa"/>
            <w:vMerge w:val="continue"/>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kern w:val="2"/>
                <w:position w:val="0"/>
                <w:sz w:val="22"/>
                <w:shd w:val="clear" w:fill="auto"/>
              </w:rPr>
            </w:pPr>
          </w:p>
        </w:tc>
        <w:tc>
          <w:tcPr>
            <w:tcW w:w="1220" w:type="dxa"/>
            <w:vMerge w:val="continue"/>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152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2021年</w:t>
            </w:r>
          </w:p>
        </w:tc>
        <w:tc>
          <w:tcPr>
            <w:tcW w:w="2280"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1,966.00</w:t>
            </w:r>
          </w:p>
        </w:tc>
        <w:tc>
          <w:tcPr>
            <w:tcW w:w="207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1,801.00</w:t>
            </w:r>
          </w:p>
        </w:tc>
        <w:tc>
          <w:tcPr>
            <w:tcW w:w="1220"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3,767.00</w:t>
            </w:r>
          </w:p>
        </w:tc>
      </w:tr>
      <w:tr>
        <w:tblPrEx>
          <w:tblCellMar>
            <w:top w:w="0" w:type="dxa"/>
            <w:left w:w="10" w:type="dxa"/>
            <w:bottom w:w="0" w:type="dxa"/>
            <w:right w:w="10" w:type="dxa"/>
          </w:tblCellMar>
        </w:tblPrEx>
        <w:trPr>
          <w:trHeight w:val="0" w:hRule="atLeast"/>
          <w:jc w:val="center"/>
        </w:trPr>
        <w:tc>
          <w:tcPr>
            <w:tcW w:w="152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合 计</w:t>
            </w:r>
          </w:p>
        </w:tc>
        <w:tc>
          <w:tcPr>
            <w:tcW w:w="2280"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1,966.00</w:t>
            </w:r>
          </w:p>
        </w:tc>
        <w:tc>
          <w:tcPr>
            <w:tcW w:w="207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1,801.00</w:t>
            </w:r>
          </w:p>
        </w:tc>
        <w:tc>
          <w:tcPr>
            <w:tcW w:w="1220"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仿宋" w:hAnsi="仿宋" w:eastAsia="仿宋" w:cs="仿宋"/>
                <w:color w:val="000000"/>
                <w:spacing w:val="0"/>
                <w:kern w:val="2"/>
                <w:position w:val="0"/>
                <w:sz w:val="20"/>
                <w:shd w:val="clear" w:fill="auto"/>
              </w:rPr>
              <w:t>3,767.00</w:t>
            </w:r>
          </w:p>
        </w:tc>
      </w:tr>
    </w:tbl>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4.项目资金保障措施</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（1）项目资金管理方案</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申请债券资金使用需严格按照《地方政府专项债务预算管理办法》（财预[2016]155号）文件规定执行，专项用于本项目资本性支出，任何单位和个人都不得截留、挤占和挪用，不得用于经常性支出。严格限制项目资金的使用范围，用于项目建设相关支出。详细说明资金使用计划的具体保障措施，包括与建设进度相匹配的计划安排、资金管理、应急方案等，保证资金使用效率及安全。</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（2）项目资金保障措施</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①</w:t>
      </w:r>
      <w:r>
        <w:rPr>
          <w:rFonts w:ascii="仿宋" w:hAnsi="仿宋" w:eastAsia="仿宋" w:cs="仿宋"/>
          <w:color w:val="auto"/>
          <w:spacing w:val="0"/>
          <w:position w:val="0"/>
          <w:sz w:val="28"/>
          <w:shd w:val="clear" w:fill="auto"/>
        </w:rPr>
        <w:t>政府保障措施</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第一，强化职责、认真履职。</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各成员单位按照职能职责，强化协调服务，积极支持配合，齐心协力抓好项目建设。</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第二，大力宣传，营造氛围。</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充分发挥舆论引导作用，让人民群众充分认识项目建设的重要意义，了解有关政策措施，使项目建设真正得到人民群众的理解和支持；同时，要及时召开群众会议，公布实施方案等政策措施，提高透明度，营造良好舆论氛围和环境。</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②</w:t>
      </w:r>
      <w:r>
        <w:rPr>
          <w:rFonts w:ascii="仿宋" w:hAnsi="仿宋" w:eastAsia="仿宋" w:cs="仿宋"/>
          <w:color w:val="auto"/>
          <w:spacing w:val="0"/>
          <w:position w:val="0"/>
          <w:sz w:val="28"/>
          <w:shd w:val="clear" w:fill="auto"/>
        </w:rPr>
        <w:t>对项目进行周密的安排，促进现金回流</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充分考虑项目建设的特点，对项目地区配套基础设施改建进行周密的安排，保证按期完工，充分落实建设所需资金。加快招商引资工作和土地出让步伐，促进现金回流。</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③</w:t>
      </w:r>
      <w:r>
        <w:rPr>
          <w:rFonts w:ascii="仿宋" w:hAnsi="仿宋" w:eastAsia="仿宋" w:cs="仿宋"/>
          <w:color w:val="auto"/>
          <w:spacing w:val="0"/>
          <w:position w:val="0"/>
          <w:sz w:val="28"/>
          <w:shd w:val="clear" w:fill="auto"/>
        </w:rPr>
        <w:t xml:space="preserve">定期审核投资估算 </w:t>
      </w:r>
    </w:p>
    <w:p>
      <w:pPr>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根据稳健性原则，在进行投资估算时，适当考虑计入一定比例的不可预见费；在实施过程中，定期（一般按年）对估算投资进行审核验证，如发现对估算投资产生重大影响的变化，及时对估算投资进行调整。</w:t>
      </w:r>
    </w:p>
    <w:p>
      <w:pPr>
        <w:tabs>
          <w:tab w:val="left" w:pos="476"/>
        </w:tabs>
        <w:spacing w:before="156" w:after="156" w:line="360" w:lineRule="auto"/>
        <w:ind w:left="0" w:right="0" w:firstLine="640"/>
        <w:jc w:val="left"/>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四、项目预期收益、成本及融资平衡情况</w:t>
      </w:r>
    </w:p>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（一）预期收益</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1.项目收入</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（1）项目收入可行性</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根据财政部《关于试点发展项目收益与融资自求平衡的地方政府专项债券品种的通知》（财预〔2017〕89号文），专项债券对应的项目取得的政府性基金或专项收入，应当按照该项目对应的专项债券余额统筹安排资金，专门用于偿还到期债券本金，不得通过其他项目对应的项目收益偿还到期债券本金。</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芦山县老旧小区公共配套设施改建工程实施可以产生可靠的收入来源:物业管理收入、停车位出租收入、汽车充电桩收入。物业管理价格、车位租赁价格、充电桩价格参照四川省同类标准价格，并结合未来发展趋势，对价格估算。经测算收入完全可覆盖项目的开发成本。</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（2）项目收入的分类</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本次芦山县老旧小区公共配套设施改建工程收入来自物业管理收入、车位出租出租收入、汽车充电桩收入，均为专项收入。芦山县财政局将上述收入进行封闭式管理，专门用于偿还本次专项债券本息。</w:t>
      </w:r>
    </w:p>
    <w:p>
      <w:pPr>
        <w:widowControl w:val="0"/>
        <w:spacing w:before="156" w:after="156"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（3）项目收入预测</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本次芦山县老旧小区公共配套设施改建工程收入来自物业管理收入、车位出租出租收入、汽车充电桩收入。根据四川省类似标准价格，结合未来发展趋势，对各类收入进行预测，明细如下：</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①</w:t>
      </w:r>
      <w:r>
        <w:rPr>
          <w:rFonts w:ascii="仿宋" w:hAnsi="仿宋" w:eastAsia="仿宋" w:cs="仿宋"/>
          <w:color w:val="auto"/>
          <w:spacing w:val="0"/>
          <w:position w:val="0"/>
          <w:sz w:val="28"/>
          <w:shd w:val="clear" w:fill="auto"/>
        </w:rPr>
        <w:t>物业管理收入</w:t>
      </w:r>
    </w:p>
    <w:p>
      <w:pPr>
        <w:widowControl w:val="0"/>
        <w:spacing w:before="0" w:after="0" w:line="360" w:lineRule="auto"/>
        <w:ind w:left="0" w:right="0" w:firstLine="480"/>
        <w:jc w:val="both"/>
        <w:rPr>
          <w:rFonts w:ascii="仿宋" w:hAnsi="仿宋" w:eastAsia="仿宋" w:cs="仿宋"/>
          <w:color w:val="auto"/>
          <w:spacing w:val="0"/>
          <w:position w:val="0"/>
          <w:sz w:val="28"/>
          <w:shd w:val="clear" w:fill="auto"/>
        </w:rPr>
      </w:pPr>
      <w:r>
        <w:object>
          <v:shape id="_x0000_i1025" o:spt="75" type="#_x0000_t75" style="height:223.35pt;width:248.75pt;" o:ole="t" filled="f" o:preferrelative="t" coordsize="21600,21600">
            <v:path/>
            <v:fill on="f" focussize="0,0"/>
            <v:stroke/>
            <v:imagedata r:id="rId5" o:title=""/>
            <o:lock v:ext="edit" aspectratio="t"/>
            <w10:wrap type="none"/>
            <w10:anchorlock/>
          </v:shape>
          <o:OLEObject Type="Embed" ProgID="StaticMetafile" ShapeID="_x0000_i1025" DrawAspect="Content" ObjectID="_1468075725" r:id="rId4">
            <o:LockedField>false</o:LockedField>
          </o:OLEObject>
        </w:object>
      </w:r>
      <w:r>
        <w:rPr>
          <w:rFonts w:ascii="仿宋" w:hAnsi="仿宋" w:eastAsia="仿宋" w:cs="仿宋"/>
          <w:color w:val="auto"/>
          <w:spacing w:val="0"/>
          <w:position w:val="0"/>
          <w:sz w:val="28"/>
          <w:shd w:val="clear" w:fill="auto"/>
        </w:rPr>
        <w:t>本项目物业管理收入单价参考物业服务政府指导价及浮动幅度，项目位于芦山县老旧小区，基于谨慎原则，项目参照四级标准，同时考虑项目改造涉及公建房和商品房，本项目2021年物业管理综合定价按0.50元/㎡/月测算，并每三年增长10.00%。管理面积预计为99,345.00㎡。运营期间物业管理收入（不含税）总计979.34万元。</w:t>
      </w:r>
    </w:p>
    <w:p>
      <w:pPr>
        <w:spacing w:before="0" w:after="0" w:line="240" w:lineRule="auto"/>
        <w:ind w:left="0" w:right="0" w:firstLine="482"/>
        <w:jc w:val="center"/>
        <w:rPr>
          <w:rFonts w:ascii="Times New Roman" w:hAnsi="Times New Roman" w:eastAsia="Times New Roman" w:cs="Times New Roman"/>
          <w:b/>
          <w:color w:val="auto"/>
          <w:spacing w:val="0"/>
          <w:position w:val="0"/>
          <w:sz w:val="24"/>
          <w:shd w:val="clear" w:fill="auto"/>
        </w:rPr>
      </w:pP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②</w:t>
      </w:r>
      <w:r>
        <w:rPr>
          <w:rFonts w:ascii="仿宋" w:hAnsi="仿宋" w:eastAsia="仿宋" w:cs="仿宋"/>
          <w:color w:val="auto"/>
          <w:spacing w:val="0"/>
          <w:position w:val="0"/>
          <w:sz w:val="28"/>
          <w:shd w:val="clear" w:fill="auto"/>
        </w:rPr>
        <w:t>停车位租赁收入</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根据业主提供的资料以及结合项目用地情况进行估算，参照雅安地区近期网上公开挂出的停车位出租价格，2021年停车位租金按200.00元/个/年计算，租金每三年增长5.00%，出租率按照80%计算。本项目规划停车位个数1,000个。运营期间停车位出租收入（不含税）总计2,685.89万元。</w:t>
      </w:r>
    </w:p>
    <w:p>
      <w:pPr>
        <w:widowControl w:val="0"/>
        <w:spacing w:before="0" w:after="0" w:line="360" w:lineRule="auto"/>
        <w:ind w:left="0" w:right="0" w:firstLine="0"/>
        <w:jc w:val="center"/>
        <w:rPr>
          <w:rFonts w:ascii="仿宋" w:hAnsi="仿宋" w:eastAsia="仿宋" w:cs="仿宋"/>
          <w:color w:val="auto"/>
          <w:spacing w:val="0"/>
          <w:position w:val="0"/>
          <w:sz w:val="28"/>
          <w:shd w:val="clear" w:fill="auto"/>
        </w:rPr>
      </w:pPr>
      <w:r>
        <w:object>
          <v:shape id="_x0000_i1026" o:spt="75" type="#_x0000_t75" style="height:267.85pt;width:398.55pt;" o:ole="t" filled="f" o:preferrelative="t" coordsize="21600,21600">
            <v:path/>
            <v:fill on="f" focussize="0,0"/>
            <v:stroke/>
            <v:imagedata r:id="rId7" o:title=""/>
            <o:lock v:ext="edit" aspectratio="t"/>
            <w10:wrap type="none"/>
            <w10:anchorlock/>
          </v:shape>
          <o:OLEObject Type="Embed" ProgID="StaticMetafile" ShapeID="_x0000_i1026" DrawAspect="Content" ObjectID="_1468075726" r:id="rId6">
            <o:LockedField>false</o:LockedField>
          </o:OLEObject>
        </w:objec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③</w:t>
      </w:r>
      <w:r>
        <w:rPr>
          <w:rFonts w:ascii="仿宋" w:hAnsi="仿宋" w:eastAsia="仿宋" w:cs="仿宋"/>
          <w:color w:val="auto"/>
          <w:spacing w:val="0"/>
          <w:position w:val="0"/>
          <w:sz w:val="28"/>
          <w:shd w:val="clear" w:fill="auto"/>
        </w:rPr>
        <w:t>汽车充电桩收入</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预计建设充电标准为10kwh汽车充电桩50个。充电桩收费一般是由基本电费和服务费组成，参考成都市出台充电服务价格政策，指导价上限为0.60元/kwh，电价按0.5774元/kwh计算，2021年预计单个充电桩价格为1.2/元/小时，价格每三年增加10.00%。预计充电桩使用时长为12小时，使用率每年按2%增长。运营期间汽车充电桩收入4,947.32万元。</w:t>
      </w:r>
    </w:p>
    <w:p>
      <w:pPr>
        <w:widowControl w:val="0"/>
        <w:spacing w:before="0" w:after="0" w:line="360" w:lineRule="auto"/>
        <w:ind w:left="0" w:right="0" w:firstLine="0"/>
        <w:jc w:val="center"/>
        <w:rPr>
          <w:rFonts w:ascii="仿宋" w:hAnsi="仿宋" w:eastAsia="仿宋" w:cs="仿宋"/>
          <w:color w:val="auto"/>
          <w:spacing w:val="0"/>
          <w:position w:val="0"/>
          <w:sz w:val="28"/>
          <w:shd w:val="clear" w:fill="auto"/>
        </w:rPr>
      </w:pPr>
      <w:r>
        <w:object>
          <v:shape id="_x0000_i1027" o:spt="75" type="#_x0000_t75" style="height:178.4pt;width:398.55pt;" o:ole="t" filled="f" o:preferrelative="t" coordsize="21600,21600">
            <v:path/>
            <v:fill on="f" focussize="0,0"/>
            <v:stroke/>
            <v:imagedata r:id="rId9" o:title=""/>
            <o:lock v:ext="edit" aspectratio="t"/>
            <w10:wrap type="none"/>
            <w10:anchorlock/>
          </v:shape>
          <o:OLEObject Type="Embed" ProgID="StaticMetafile" ShapeID="_x0000_i1027" DrawAspect="Content" ObjectID="_1468075727" r:id="rId8">
            <o:LockedField>false</o:LockedField>
          </o:OLEObject>
        </w:object>
      </w:r>
    </w:p>
    <w:p>
      <w:pPr>
        <w:spacing w:before="0" w:after="0" w:line="240" w:lineRule="auto"/>
        <w:ind w:left="0" w:right="0" w:firstLine="789"/>
        <w:jc w:val="left"/>
        <w:rPr>
          <w:rFonts w:ascii="Times New Roman" w:hAnsi="Times New Roman" w:eastAsia="Times New Roman" w:cs="Times New Roman"/>
          <w:color w:val="auto"/>
          <w:spacing w:val="0"/>
          <w:position w:val="0"/>
          <w:sz w:val="28"/>
          <w:shd w:val="clear" w:fill="auto"/>
        </w:rPr>
      </w:pPr>
    </w:p>
    <w:p>
      <w:pPr>
        <w:spacing w:before="0" w:after="0" w:line="240" w:lineRule="auto"/>
        <w:ind w:left="0" w:right="0" w:firstLine="232"/>
        <w:jc w:val="left"/>
        <w:rPr>
          <w:rFonts w:ascii="Times New Roman" w:hAnsi="Times New Roman" w:eastAsia="Times New Roman" w:cs="Times New Roman"/>
          <w:color w:val="auto"/>
          <w:spacing w:val="0"/>
          <w:position w:val="0"/>
          <w:sz w:val="28"/>
          <w:shd w:val="clear" w:fill="auto"/>
        </w:rPr>
      </w:pPr>
      <w:r>
        <w:rPr>
          <w:rFonts w:ascii="宋体" w:hAnsi="宋体" w:eastAsia="宋体" w:cs="宋体"/>
          <w:color w:val="auto"/>
          <w:spacing w:val="0"/>
          <w:position w:val="0"/>
          <w:sz w:val="28"/>
          <w:shd w:val="clear" w:fill="auto"/>
        </w:rPr>
        <w:t>项目收入汇总情况如下所示：</w:t>
      </w:r>
    </w:p>
    <w:p>
      <w:pPr>
        <w:spacing w:before="0" w:after="0" w:line="240" w:lineRule="auto"/>
        <w:ind w:left="0" w:right="0" w:firstLine="199"/>
        <w:jc w:val="center"/>
        <w:rPr>
          <w:rFonts w:ascii="仿宋" w:hAnsi="仿宋" w:eastAsia="仿宋" w:cs="仿宋"/>
          <w:color w:val="auto"/>
          <w:spacing w:val="0"/>
          <w:position w:val="0"/>
          <w:sz w:val="24"/>
          <w:shd w:val="clear" w:fill="auto"/>
        </w:rPr>
      </w:pPr>
      <w:r>
        <w:rPr>
          <w:rFonts w:ascii="仿宋" w:hAnsi="仿宋" w:eastAsia="仿宋" w:cs="仿宋"/>
          <w:color w:val="auto"/>
          <w:spacing w:val="0"/>
          <w:position w:val="0"/>
          <w:sz w:val="24"/>
          <w:shd w:val="clear" w:fill="auto"/>
        </w:rPr>
        <w:t>表4-1 项目收入一览表  单位：万元</w:t>
      </w:r>
    </w:p>
    <w:tbl>
      <w:tblPr>
        <w:tblStyle w:val="2"/>
        <w:tblW w:w="0" w:type="auto"/>
        <w:jc w:val="center"/>
        <w:tblLayout w:type="autofit"/>
        <w:tblCellMar>
          <w:top w:w="0" w:type="dxa"/>
          <w:left w:w="10" w:type="dxa"/>
          <w:bottom w:w="0" w:type="dxa"/>
          <w:right w:w="10" w:type="dxa"/>
        </w:tblCellMar>
      </w:tblPr>
      <w:tblGrid>
        <w:gridCol w:w="892"/>
        <w:gridCol w:w="1090"/>
        <w:gridCol w:w="1090"/>
        <w:gridCol w:w="1090"/>
        <w:gridCol w:w="1090"/>
        <w:gridCol w:w="1090"/>
        <w:gridCol w:w="1090"/>
        <w:gridCol w:w="1090"/>
      </w:tblGrid>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shd w:val="clear" w:fill="auto"/>
              </w:rPr>
              <w:t>项目</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2022</w:t>
            </w:r>
            <w:r>
              <w:rPr>
                <w:rFonts w:hint="default" w:ascii="宋体" w:hAnsi="宋体" w:eastAsia="宋体" w:cs="宋体"/>
                <w:color w:val="000000"/>
                <w:spacing w:val="0"/>
                <w:kern w:val="2"/>
                <w:position w:val="0"/>
                <w:sz w:val="20"/>
                <w:shd w:val="clear" w:fill="auto"/>
              </w:rPr>
              <w:t>年</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2023</w:t>
            </w:r>
            <w:r>
              <w:rPr>
                <w:rFonts w:hint="default" w:ascii="宋体" w:hAnsi="宋体" w:eastAsia="宋体" w:cs="宋体"/>
                <w:color w:val="000000"/>
                <w:spacing w:val="0"/>
                <w:kern w:val="2"/>
                <w:position w:val="0"/>
                <w:sz w:val="20"/>
                <w:shd w:val="clear" w:fill="auto"/>
              </w:rPr>
              <w:t>年</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2024</w:t>
            </w:r>
            <w:r>
              <w:rPr>
                <w:rFonts w:hint="default" w:ascii="宋体" w:hAnsi="宋体" w:eastAsia="宋体" w:cs="宋体"/>
                <w:color w:val="000000"/>
                <w:spacing w:val="0"/>
                <w:kern w:val="2"/>
                <w:position w:val="0"/>
                <w:sz w:val="20"/>
                <w:shd w:val="clear" w:fill="auto"/>
              </w:rPr>
              <w:t>年</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2025</w:t>
            </w:r>
            <w:r>
              <w:rPr>
                <w:rFonts w:hint="default" w:ascii="宋体" w:hAnsi="宋体" w:eastAsia="宋体" w:cs="宋体"/>
                <w:color w:val="000000"/>
                <w:spacing w:val="0"/>
                <w:kern w:val="2"/>
                <w:position w:val="0"/>
                <w:sz w:val="20"/>
                <w:shd w:val="clear" w:fill="auto"/>
              </w:rPr>
              <w:t>年</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2026</w:t>
            </w:r>
            <w:r>
              <w:rPr>
                <w:rFonts w:hint="default" w:ascii="宋体" w:hAnsi="宋体" w:eastAsia="宋体" w:cs="宋体"/>
                <w:color w:val="000000"/>
                <w:spacing w:val="0"/>
                <w:kern w:val="2"/>
                <w:position w:val="0"/>
                <w:sz w:val="20"/>
                <w:shd w:val="clear" w:fill="auto"/>
              </w:rPr>
              <w:t>年</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2027</w:t>
            </w:r>
            <w:r>
              <w:rPr>
                <w:rFonts w:hint="default" w:ascii="宋体" w:hAnsi="宋体" w:eastAsia="宋体" w:cs="宋体"/>
                <w:color w:val="000000"/>
                <w:spacing w:val="0"/>
                <w:kern w:val="2"/>
                <w:position w:val="0"/>
                <w:sz w:val="20"/>
                <w:shd w:val="clear" w:fill="auto"/>
              </w:rPr>
              <w:t>年</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2028</w:t>
            </w:r>
            <w:r>
              <w:rPr>
                <w:rFonts w:hint="default" w:ascii="宋体" w:hAnsi="宋体" w:eastAsia="宋体" w:cs="宋体"/>
                <w:color w:val="000000"/>
                <w:spacing w:val="0"/>
                <w:kern w:val="2"/>
                <w:position w:val="0"/>
                <w:sz w:val="20"/>
                <w:shd w:val="clear" w:fill="auto"/>
              </w:rPr>
              <w:t>年</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物业管理收入</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56.17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56.17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61.83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61.83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61.83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68.67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68.67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面积（㎡）</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单价（元</w:t>
            </w:r>
            <w:r>
              <w:rPr>
                <w:rFonts w:hint="default" w:ascii="Arial" w:hAnsi="Arial" w:eastAsia="Arial" w:cs="Arial"/>
                <w:color w:val="000000"/>
                <w:spacing w:val="0"/>
                <w:kern w:val="2"/>
                <w:position w:val="0"/>
                <w:sz w:val="20"/>
                <w:u w:val="single"/>
                <w:shd w:val="clear" w:fill="auto"/>
              </w:rPr>
              <w:t>/</w:t>
            </w:r>
            <w:r>
              <w:rPr>
                <w:rFonts w:hint="default" w:ascii="Segoe UI Symbol" w:hAnsi="Segoe UI Symbol" w:eastAsia="Segoe UI Symbol" w:cs="Segoe UI Symbol"/>
                <w:color w:val="000000"/>
                <w:spacing w:val="0"/>
                <w:kern w:val="2"/>
                <w:position w:val="0"/>
                <w:sz w:val="20"/>
                <w:u w:val="single"/>
                <w:shd w:val="clear" w:fill="auto"/>
              </w:rPr>
              <w:t>㎡</w:t>
            </w:r>
            <w:r>
              <w:rPr>
                <w:rFonts w:hint="default" w:ascii="Arial" w:hAnsi="Arial" w:eastAsia="Arial" w:cs="Arial"/>
                <w:color w:val="000000"/>
                <w:spacing w:val="0"/>
                <w:kern w:val="2"/>
                <w:position w:val="0"/>
                <w:sz w:val="20"/>
                <w:u w:val="single"/>
                <w:shd w:val="clear" w:fill="auto"/>
              </w:rPr>
              <w:t>/</w:t>
            </w:r>
            <w:r>
              <w:rPr>
                <w:rFonts w:hint="default" w:ascii="宋体" w:hAnsi="宋体" w:eastAsia="宋体" w:cs="宋体"/>
                <w:color w:val="000000"/>
                <w:spacing w:val="0"/>
                <w:kern w:val="2"/>
                <w:position w:val="0"/>
                <w:sz w:val="20"/>
                <w:u w:val="single"/>
                <w:shd w:val="clear" w:fill="auto"/>
              </w:rPr>
              <w:t>月）</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0.50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0.50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0.55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0.55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0.55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0.61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0.61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销项税（</w:t>
            </w:r>
            <w:r>
              <w:rPr>
                <w:rFonts w:hint="default" w:ascii="Arial" w:hAnsi="Arial" w:eastAsia="Arial" w:cs="Arial"/>
                <w:color w:val="000000"/>
                <w:spacing w:val="0"/>
                <w:kern w:val="2"/>
                <w:position w:val="0"/>
                <w:sz w:val="20"/>
                <w:u w:val="single"/>
                <w:shd w:val="clear" w:fill="auto"/>
              </w:rPr>
              <w:t>6%</w:t>
            </w:r>
            <w:r>
              <w:rPr>
                <w:rFonts w:hint="default" w:ascii="宋体" w:hAnsi="宋体" w:eastAsia="宋体" w:cs="宋体"/>
                <w:color w:val="000000"/>
                <w:spacing w:val="0"/>
                <w:kern w:val="2"/>
                <w:position w:val="0"/>
                <w:sz w:val="20"/>
                <w:u w:val="single"/>
                <w:shd w:val="clear" w:fill="auto"/>
              </w:rPr>
              <w:t>）</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3.37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3.37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3.71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3.71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3.71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4.12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4.12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停车位出租收入</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176.11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176.11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183.44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183.44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183.44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190.78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190.78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规划车位数（个）</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单个车位预计年收入</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0.24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0.24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0.26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0.26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停车场使用率</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销项税（</w:t>
            </w:r>
            <w:r>
              <w:rPr>
                <w:rFonts w:hint="default" w:ascii="Arial" w:hAnsi="Arial" w:eastAsia="Arial" w:cs="Arial"/>
                <w:color w:val="000000"/>
                <w:spacing w:val="0"/>
                <w:kern w:val="2"/>
                <w:position w:val="0"/>
                <w:sz w:val="20"/>
                <w:u w:val="single"/>
                <w:shd w:val="clear" w:fill="auto"/>
              </w:rPr>
              <w:t>9%</w:t>
            </w:r>
            <w:r>
              <w:rPr>
                <w:rFonts w:hint="default" w:ascii="宋体" w:hAnsi="宋体" w:eastAsia="宋体" w:cs="宋体"/>
                <w:color w:val="000000"/>
                <w:spacing w:val="0"/>
                <w:kern w:val="2"/>
                <w:position w:val="0"/>
                <w:sz w:val="20"/>
                <w:u w:val="single"/>
                <w:shd w:val="clear" w:fill="auto"/>
              </w:rPr>
              <w:t>）</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15.85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15.85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16.51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16.51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16.51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17.17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17.17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汽车充电桩收入</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248.00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252.83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283.67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289.33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295.00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330.50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337.00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充电站个数</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每天充电时间</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12.00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12.24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12.48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12.73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12.98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13.24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13.50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单位充电量</w:t>
            </w:r>
            <w:r>
              <w:rPr>
                <w:rFonts w:hint="default" w:ascii="Arial" w:hAnsi="Arial" w:eastAsia="Arial" w:cs="Arial"/>
                <w:color w:val="000000"/>
                <w:spacing w:val="0"/>
                <w:kern w:val="2"/>
                <w:position w:val="0"/>
                <w:sz w:val="20"/>
                <w:u w:val="single"/>
                <w:shd w:val="clear" w:fill="auto"/>
              </w:rPr>
              <w:t>(</w:t>
            </w:r>
            <w:r>
              <w:rPr>
                <w:rFonts w:hint="default" w:ascii="宋体" w:hAnsi="宋体" w:eastAsia="宋体" w:cs="宋体"/>
                <w:color w:val="000000"/>
                <w:spacing w:val="0"/>
                <w:kern w:val="2"/>
                <w:position w:val="0"/>
                <w:sz w:val="20"/>
                <w:u w:val="single"/>
                <w:shd w:val="clear" w:fill="auto"/>
              </w:rPr>
              <w:t>度</w:t>
            </w:r>
            <w:r>
              <w:rPr>
                <w:rFonts w:hint="default" w:ascii="Arial" w:hAnsi="Arial" w:eastAsia="Arial" w:cs="Arial"/>
                <w:color w:val="000000"/>
                <w:spacing w:val="0"/>
                <w:kern w:val="2"/>
                <w:position w:val="0"/>
                <w:sz w:val="20"/>
                <w:u w:val="single"/>
                <w:shd w:val="clear" w:fill="auto"/>
              </w:rPr>
              <w:t>/H)</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单价（元</w:t>
            </w:r>
            <w:r>
              <w:rPr>
                <w:rFonts w:hint="default" w:ascii="Arial" w:hAnsi="Arial" w:eastAsia="Arial" w:cs="Arial"/>
                <w:color w:val="000000"/>
                <w:spacing w:val="0"/>
                <w:kern w:val="2"/>
                <w:position w:val="0"/>
                <w:sz w:val="20"/>
                <w:u w:val="single"/>
                <w:shd w:val="clear" w:fill="auto"/>
              </w:rPr>
              <w:t>/</w:t>
            </w:r>
            <w:r>
              <w:rPr>
                <w:rFonts w:hint="default" w:ascii="宋体" w:hAnsi="宋体" w:eastAsia="宋体" w:cs="宋体"/>
                <w:color w:val="000000"/>
                <w:spacing w:val="0"/>
                <w:kern w:val="2"/>
                <w:position w:val="0"/>
                <w:sz w:val="20"/>
                <w:u w:val="single"/>
                <w:shd w:val="clear" w:fill="auto"/>
              </w:rPr>
              <w:t>度</w:t>
            </w:r>
            <w:r>
              <w:rPr>
                <w:rFonts w:hint="default" w:ascii="Arial" w:hAnsi="Arial" w:eastAsia="Arial" w:cs="Arial"/>
                <w:color w:val="000000"/>
                <w:spacing w:val="0"/>
                <w:kern w:val="2"/>
                <w:position w:val="0"/>
                <w:sz w:val="20"/>
                <w:u w:val="single"/>
                <w:shd w:val="clear" w:fill="auto"/>
              </w:rPr>
              <w:t>)</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1.20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1.20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1.32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1.32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1.32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1.45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销项税（</w:t>
            </w:r>
            <w:r>
              <w:rPr>
                <w:rFonts w:hint="default" w:ascii="Arial" w:hAnsi="Arial" w:eastAsia="Arial" w:cs="Arial"/>
                <w:color w:val="000000"/>
                <w:spacing w:val="0"/>
                <w:kern w:val="2"/>
                <w:position w:val="0"/>
                <w:sz w:val="20"/>
                <w:u w:val="single"/>
                <w:shd w:val="clear" w:fill="auto"/>
              </w:rPr>
              <w:t>6%</w:t>
            </w:r>
            <w:r>
              <w:rPr>
                <w:rFonts w:hint="default" w:ascii="宋体" w:hAnsi="宋体" w:eastAsia="宋体" w:cs="宋体"/>
                <w:color w:val="000000"/>
                <w:spacing w:val="0"/>
                <w:kern w:val="2"/>
                <w:position w:val="0"/>
                <w:sz w:val="20"/>
                <w:u w:val="single"/>
                <w:shd w:val="clear" w:fill="auto"/>
              </w:rPr>
              <w:t>）</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14.88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15.17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17.02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17.36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17.70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19.83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20.22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营业收入合计</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480.28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485.11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528.94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534.60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540.27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589.95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596.45 </w:t>
            </w:r>
          </w:p>
        </w:tc>
      </w:tr>
      <w:tr>
        <w:tblPrEx>
          <w:tblCellMar>
            <w:top w:w="0" w:type="dxa"/>
            <w:left w:w="10" w:type="dxa"/>
            <w:bottom w:w="0" w:type="dxa"/>
            <w:right w:w="10" w:type="dxa"/>
          </w:tblCellMar>
        </w:tblPrEx>
        <w:trPr>
          <w:trHeight w:val="0" w:hRule="atLeast"/>
          <w:jc w:val="center"/>
        </w:trPr>
        <w:tc>
          <w:tcPr>
            <w:tcW w:w="2602"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销项税合计</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34.10 </w:t>
            </w:r>
          </w:p>
        </w:tc>
        <w:tc>
          <w:tcPr>
            <w:tcW w:w="1558"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34.39 </w:t>
            </w:r>
          </w:p>
        </w:tc>
        <w:tc>
          <w:tcPr>
            <w:tcW w:w="1555"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37.24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37.58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37.92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41.12 </w:t>
            </w:r>
          </w:p>
        </w:tc>
        <w:tc>
          <w:tcPr>
            <w:tcW w:w="155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41.51 </w:t>
            </w:r>
          </w:p>
        </w:tc>
      </w:tr>
    </w:tbl>
    <w:p>
      <w:pPr>
        <w:spacing w:before="0" w:after="0" w:line="240" w:lineRule="auto"/>
        <w:ind w:left="0" w:right="0" w:firstLine="232"/>
        <w:jc w:val="left"/>
        <w:rPr>
          <w:rFonts w:ascii="Times New Roman" w:hAnsi="Times New Roman" w:eastAsia="Times New Roman" w:cs="Times New Roman"/>
          <w:color w:val="auto"/>
          <w:spacing w:val="0"/>
          <w:position w:val="0"/>
          <w:sz w:val="28"/>
          <w:shd w:val="clear" w:fill="auto"/>
        </w:rPr>
      </w:pPr>
      <w:r>
        <w:rPr>
          <w:rFonts w:ascii="宋体" w:hAnsi="宋体" w:eastAsia="宋体" w:cs="宋体"/>
          <w:color w:val="auto"/>
          <w:spacing w:val="0"/>
          <w:position w:val="0"/>
          <w:sz w:val="28"/>
          <w:shd w:val="clear" w:fill="auto"/>
        </w:rPr>
        <w:t>续表</w:t>
      </w:r>
    </w:p>
    <w:tbl>
      <w:tblPr>
        <w:tblStyle w:val="2"/>
        <w:tblW w:w="0" w:type="auto"/>
        <w:jc w:val="center"/>
        <w:tblLayout w:type="autofit"/>
        <w:tblCellMar>
          <w:top w:w="0" w:type="dxa"/>
          <w:left w:w="10" w:type="dxa"/>
          <w:bottom w:w="0" w:type="dxa"/>
          <w:right w:w="10" w:type="dxa"/>
        </w:tblCellMar>
      </w:tblPr>
      <w:tblGrid>
        <w:gridCol w:w="806"/>
        <w:gridCol w:w="976"/>
        <w:gridCol w:w="976"/>
        <w:gridCol w:w="976"/>
        <w:gridCol w:w="976"/>
        <w:gridCol w:w="976"/>
        <w:gridCol w:w="976"/>
        <w:gridCol w:w="977"/>
        <w:gridCol w:w="883"/>
      </w:tblGrid>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shd w:val="clear" w:fill="auto"/>
              </w:rPr>
              <w:t>项目</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2029</w:t>
            </w:r>
            <w:r>
              <w:rPr>
                <w:rFonts w:hint="default" w:ascii="宋体" w:hAnsi="宋体" w:eastAsia="宋体" w:cs="宋体"/>
                <w:color w:val="000000"/>
                <w:spacing w:val="0"/>
                <w:kern w:val="2"/>
                <w:position w:val="0"/>
                <w:sz w:val="20"/>
                <w:shd w:val="clear" w:fill="auto"/>
              </w:rPr>
              <w:t>年</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2030</w:t>
            </w:r>
            <w:r>
              <w:rPr>
                <w:rFonts w:hint="default" w:ascii="宋体" w:hAnsi="宋体" w:eastAsia="宋体" w:cs="宋体"/>
                <w:color w:val="000000"/>
                <w:spacing w:val="0"/>
                <w:kern w:val="2"/>
                <w:position w:val="0"/>
                <w:sz w:val="20"/>
                <w:shd w:val="clear" w:fill="auto"/>
              </w:rPr>
              <w:t>年</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2031</w:t>
            </w:r>
            <w:r>
              <w:rPr>
                <w:rFonts w:hint="default" w:ascii="宋体" w:hAnsi="宋体" w:eastAsia="宋体" w:cs="宋体"/>
                <w:color w:val="000000"/>
                <w:spacing w:val="0"/>
                <w:kern w:val="2"/>
                <w:position w:val="0"/>
                <w:sz w:val="20"/>
                <w:shd w:val="clear" w:fill="auto"/>
              </w:rPr>
              <w:t>年</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2032</w:t>
            </w:r>
            <w:r>
              <w:rPr>
                <w:rFonts w:hint="default" w:ascii="宋体" w:hAnsi="宋体" w:eastAsia="宋体" w:cs="宋体"/>
                <w:color w:val="000000"/>
                <w:spacing w:val="0"/>
                <w:kern w:val="2"/>
                <w:position w:val="0"/>
                <w:sz w:val="20"/>
                <w:shd w:val="clear" w:fill="auto"/>
              </w:rPr>
              <w:t>年</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2033</w:t>
            </w:r>
            <w:r>
              <w:rPr>
                <w:rFonts w:hint="default" w:ascii="宋体" w:hAnsi="宋体" w:eastAsia="宋体" w:cs="宋体"/>
                <w:color w:val="000000"/>
                <w:spacing w:val="0"/>
                <w:kern w:val="2"/>
                <w:position w:val="0"/>
                <w:sz w:val="20"/>
                <w:shd w:val="clear" w:fill="auto"/>
              </w:rPr>
              <w:t>年</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2034</w:t>
            </w:r>
            <w:r>
              <w:rPr>
                <w:rFonts w:hint="default" w:ascii="宋体" w:hAnsi="宋体" w:eastAsia="宋体" w:cs="宋体"/>
                <w:color w:val="000000"/>
                <w:spacing w:val="0"/>
                <w:kern w:val="2"/>
                <w:position w:val="0"/>
                <w:sz w:val="20"/>
                <w:shd w:val="clear" w:fill="auto"/>
              </w:rPr>
              <w:t>年</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20"/>
                <w:shd w:val="clear" w:fill="auto"/>
              </w:rPr>
              <w:t>2035</w:t>
            </w:r>
            <w:r>
              <w:rPr>
                <w:rFonts w:hint="default" w:ascii="宋体" w:hAnsi="宋体" w:eastAsia="宋体" w:cs="宋体"/>
                <w:color w:val="000000"/>
                <w:spacing w:val="0"/>
                <w:kern w:val="2"/>
                <w:position w:val="0"/>
                <w:sz w:val="20"/>
                <w:shd w:val="clear" w:fill="auto"/>
              </w:rPr>
              <w:t>年</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shd w:val="clear" w:fill="auto"/>
              </w:rPr>
              <w:t>合计</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物业管理收入</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68.67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75.33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75.33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75.33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83.17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83.17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83.17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979.34 </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面积（㎡）</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99,345.00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单价（元</w:t>
            </w:r>
            <w:r>
              <w:rPr>
                <w:rFonts w:hint="default" w:ascii="Arial" w:hAnsi="Arial" w:eastAsia="Arial" w:cs="Arial"/>
                <w:color w:val="000000"/>
                <w:spacing w:val="0"/>
                <w:kern w:val="2"/>
                <w:position w:val="0"/>
                <w:sz w:val="20"/>
                <w:u w:val="single"/>
                <w:shd w:val="clear" w:fill="auto"/>
              </w:rPr>
              <w:t>/</w:t>
            </w:r>
            <w:r>
              <w:rPr>
                <w:rFonts w:hint="default" w:ascii="Segoe UI Symbol" w:hAnsi="Segoe UI Symbol" w:eastAsia="Segoe UI Symbol" w:cs="Segoe UI Symbol"/>
                <w:color w:val="000000"/>
                <w:spacing w:val="0"/>
                <w:kern w:val="2"/>
                <w:position w:val="0"/>
                <w:sz w:val="20"/>
                <w:u w:val="single"/>
                <w:shd w:val="clear" w:fill="auto"/>
              </w:rPr>
              <w:t>㎡</w:t>
            </w:r>
            <w:r>
              <w:rPr>
                <w:rFonts w:hint="default" w:ascii="Arial" w:hAnsi="Arial" w:eastAsia="Arial" w:cs="Arial"/>
                <w:color w:val="000000"/>
                <w:spacing w:val="0"/>
                <w:kern w:val="2"/>
                <w:position w:val="0"/>
                <w:sz w:val="20"/>
                <w:u w:val="single"/>
                <w:shd w:val="clear" w:fill="auto"/>
              </w:rPr>
              <w:t>/</w:t>
            </w:r>
            <w:r>
              <w:rPr>
                <w:rFonts w:hint="default" w:ascii="宋体" w:hAnsi="宋体" w:eastAsia="宋体" w:cs="宋体"/>
                <w:color w:val="000000"/>
                <w:spacing w:val="0"/>
                <w:kern w:val="2"/>
                <w:position w:val="0"/>
                <w:sz w:val="20"/>
                <w:u w:val="single"/>
                <w:shd w:val="clear" w:fill="auto"/>
              </w:rPr>
              <w:t>月）</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0.61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0.67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0.67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0.67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0.74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0.74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0.74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销项税（</w:t>
            </w:r>
            <w:r>
              <w:rPr>
                <w:rFonts w:hint="default" w:ascii="Arial" w:hAnsi="Arial" w:eastAsia="Arial" w:cs="Arial"/>
                <w:color w:val="000000"/>
                <w:spacing w:val="0"/>
                <w:kern w:val="2"/>
                <w:position w:val="0"/>
                <w:sz w:val="20"/>
                <w:u w:val="single"/>
                <w:shd w:val="clear" w:fill="auto"/>
              </w:rPr>
              <w:t>6%</w:t>
            </w:r>
            <w:r>
              <w:rPr>
                <w:rFonts w:hint="default" w:ascii="宋体" w:hAnsi="宋体" w:eastAsia="宋体" w:cs="宋体"/>
                <w:color w:val="000000"/>
                <w:spacing w:val="0"/>
                <w:kern w:val="2"/>
                <w:position w:val="0"/>
                <w:sz w:val="20"/>
                <w:u w:val="single"/>
                <w:shd w:val="clear" w:fill="auto"/>
              </w:rPr>
              <w:t>）</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4.12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4.52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4.52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4.52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4.99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4.99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4.99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58.76 </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停车位出租收入</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190.78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198.11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198.11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198.11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205.56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205.56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205.56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2,685.89 </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规划车位数（个）</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1,000.00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单个车位预计年收入</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0.26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0.27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0.28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0.28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0.28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停车场使用率</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0.80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销项税（</w:t>
            </w:r>
            <w:r>
              <w:rPr>
                <w:rFonts w:hint="default" w:ascii="Arial" w:hAnsi="Arial" w:eastAsia="Arial" w:cs="Arial"/>
                <w:color w:val="000000"/>
                <w:spacing w:val="0"/>
                <w:kern w:val="2"/>
                <w:position w:val="0"/>
                <w:sz w:val="20"/>
                <w:u w:val="single"/>
                <w:shd w:val="clear" w:fill="auto"/>
              </w:rPr>
              <w:t>9%</w:t>
            </w:r>
            <w:r>
              <w:rPr>
                <w:rFonts w:hint="default" w:ascii="宋体" w:hAnsi="宋体" w:eastAsia="宋体" w:cs="宋体"/>
                <w:color w:val="000000"/>
                <w:spacing w:val="0"/>
                <w:kern w:val="2"/>
                <w:position w:val="0"/>
                <w:sz w:val="20"/>
                <w:u w:val="single"/>
                <w:shd w:val="clear" w:fill="auto"/>
              </w:rPr>
              <w:t>）</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17.17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17.83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17.83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17.83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18.50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18.50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18.50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241.73 </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汽车充电桩收入</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343.83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387.00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394.83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402.67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451.83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460.83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470.00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4,947.32 </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充电站个数</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50.00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20"/>
                <w:u w:val="single"/>
                <w:shd w:val="clear" w:fill="auto"/>
              </w:rPr>
              <w:t>每天充电时间</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13.77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14.05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14.33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14.62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14.91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15.21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15.51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单位充电量</w:t>
            </w:r>
            <w:r>
              <w:rPr>
                <w:rFonts w:hint="default" w:ascii="Arial" w:hAnsi="Arial" w:eastAsia="Arial" w:cs="Arial"/>
                <w:color w:val="000000"/>
                <w:spacing w:val="0"/>
                <w:kern w:val="2"/>
                <w:position w:val="0"/>
                <w:sz w:val="20"/>
                <w:u w:val="single"/>
                <w:shd w:val="clear" w:fill="auto"/>
              </w:rPr>
              <w:t>(</w:t>
            </w:r>
            <w:r>
              <w:rPr>
                <w:rFonts w:hint="default" w:ascii="宋体" w:hAnsi="宋体" w:eastAsia="宋体" w:cs="宋体"/>
                <w:color w:val="000000"/>
                <w:spacing w:val="0"/>
                <w:kern w:val="2"/>
                <w:position w:val="0"/>
                <w:sz w:val="20"/>
                <w:u w:val="single"/>
                <w:shd w:val="clear" w:fill="auto"/>
              </w:rPr>
              <w:t>度</w:t>
            </w:r>
            <w:r>
              <w:rPr>
                <w:rFonts w:hint="default" w:ascii="Arial" w:hAnsi="Arial" w:eastAsia="Arial" w:cs="Arial"/>
                <w:color w:val="000000"/>
                <w:spacing w:val="0"/>
                <w:kern w:val="2"/>
                <w:position w:val="0"/>
                <w:sz w:val="20"/>
                <w:u w:val="single"/>
                <w:shd w:val="clear" w:fill="auto"/>
              </w:rPr>
              <w:t>/H)</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10.00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单价（元</w:t>
            </w:r>
            <w:r>
              <w:rPr>
                <w:rFonts w:hint="default" w:ascii="Arial" w:hAnsi="Arial" w:eastAsia="Arial" w:cs="Arial"/>
                <w:color w:val="000000"/>
                <w:spacing w:val="0"/>
                <w:kern w:val="2"/>
                <w:position w:val="0"/>
                <w:sz w:val="20"/>
                <w:u w:val="single"/>
                <w:shd w:val="clear" w:fill="auto"/>
              </w:rPr>
              <w:t>/</w:t>
            </w:r>
            <w:r>
              <w:rPr>
                <w:rFonts w:hint="default" w:ascii="宋体" w:hAnsi="宋体" w:eastAsia="宋体" w:cs="宋体"/>
                <w:color w:val="000000"/>
                <w:spacing w:val="0"/>
                <w:kern w:val="2"/>
                <w:position w:val="0"/>
                <w:sz w:val="20"/>
                <w:u w:val="single"/>
                <w:shd w:val="clear" w:fill="auto"/>
              </w:rPr>
              <w:t>度</w:t>
            </w:r>
            <w:r>
              <w:rPr>
                <w:rFonts w:hint="default" w:ascii="Arial" w:hAnsi="Arial" w:eastAsia="Arial" w:cs="Arial"/>
                <w:color w:val="000000"/>
                <w:spacing w:val="0"/>
                <w:kern w:val="2"/>
                <w:position w:val="0"/>
                <w:sz w:val="20"/>
                <w:u w:val="single"/>
                <w:shd w:val="clear" w:fill="auto"/>
              </w:rPr>
              <w:t>)</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1.45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1.60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1.60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1.60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1.76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1.76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1.76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20"/>
                <w:u w:val="single"/>
                <w:shd w:val="clear" w:fill="auto"/>
              </w:rPr>
              <w:t>销项税（</w:t>
            </w:r>
            <w:r>
              <w:rPr>
                <w:rFonts w:hint="default" w:ascii="Arial" w:hAnsi="Arial" w:eastAsia="Arial" w:cs="Arial"/>
                <w:color w:val="000000"/>
                <w:spacing w:val="0"/>
                <w:kern w:val="2"/>
                <w:position w:val="0"/>
                <w:sz w:val="20"/>
                <w:u w:val="single"/>
                <w:shd w:val="clear" w:fill="auto"/>
              </w:rPr>
              <w:t>6%</w:t>
            </w:r>
            <w:r>
              <w:rPr>
                <w:rFonts w:hint="default" w:ascii="宋体" w:hAnsi="宋体" w:eastAsia="宋体" w:cs="宋体"/>
                <w:color w:val="000000"/>
                <w:spacing w:val="0"/>
                <w:kern w:val="2"/>
                <w:position w:val="0"/>
                <w:sz w:val="20"/>
                <w:u w:val="single"/>
                <w:shd w:val="clear" w:fill="auto"/>
              </w:rPr>
              <w:t>）</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20.63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23.22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23.69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24.16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27.11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27.65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28.20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20"/>
                <w:u w:val="single"/>
                <w:shd w:val="clear" w:fill="auto"/>
              </w:rPr>
              <w:t xml:space="preserve"> 296.84 </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营业收入合计</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603.28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660.44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668.27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676.11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740.56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749.56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758.73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8,612.55 </w:t>
            </w:r>
          </w:p>
        </w:tc>
      </w:tr>
      <w:tr>
        <w:tblPrEx>
          <w:tblCellMar>
            <w:top w:w="0" w:type="dxa"/>
            <w:left w:w="10" w:type="dxa"/>
            <w:bottom w:w="0" w:type="dxa"/>
            <w:right w:w="10" w:type="dxa"/>
          </w:tblCellMar>
        </w:tblPrEx>
        <w:trPr>
          <w:trHeight w:val="0" w:hRule="atLeast"/>
          <w:jc w:val="center"/>
        </w:trPr>
        <w:tc>
          <w:tcPr>
            <w:tcW w:w="231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20"/>
                <w:u w:val="single"/>
                <w:shd w:val="clear" w:fill="auto"/>
              </w:rPr>
              <w:t>销项税合计</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41.92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45.57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46.04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46.51 </w:t>
            </w:r>
          </w:p>
        </w:tc>
        <w:tc>
          <w:tcPr>
            <w:tcW w:w="1387"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50.60 </w:t>
            </w:r>
          </w:p>
        </w:tc>
        <w:tc>
          <w:tcPr>
            <w:tcW w:w="138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51.14 </w:t>
            </w:r>
          </w:p>
        </w:tc>
        <w:tc>
          <w:tcPr>
            <w:tcW w:w="1356"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51.69 </w:t>
            </w:r>
          </w:p>
        </w:tc>
        <w:tc>
          <w:tcPr>
            <w:tcW w:w="1289" w:type="dxa"/>
            <w:tcBorders>
              <w:top w:val="single" w:color="000000" w:sz="12" w:space="0"/>
              <w:left w:val="single" w:color="000000" w:sz="0" w:space="0"/>
              <w:bottom w:val="single" w:color="000000" w:sz="12" w:space="0"/>
              <w:right w:val="single" w:color="000000" w:sz="0" w:space="0"/>
            </w:tcBorders>
            <w:shd w:val="clear" w:color="auto" w:fill="auto"/>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20"/>
                <w:u w:val="single"/>
                <w:shd w:val="clear" w:fill="auto"/>
              </w:rPr>
              <w:t xml:space="preserve"> 597.33 </w:t>
            </w:r>
          </w:p>
        </w:tc>
      </w:tr>
    </w:tbl>
    <w:p>
      <w:pPr>
        <w:spacing w:before="0" w:after="0" w:line="240" w:lineRule="auto"/>
        <w:ind w:left="0" w:right="0" w:firstLine="199"/>
        <w:jc w:val="left"/>
        <w:rPr>
          <w:rFonts w:ascii="Times New Roman" w:hAnsi="Times New Roman" w:eastAsia="Times New Roman" w:cs="Times New Roman"/>
          <w:color w:val="auto"/>
          <w:spacing w:val="0"/>
          <w:position w:val="0"/>
          <w:sz w:val="24"/>
          <w:shd w:val="clear" w:fill="auto"/>
        </w:rPr>
      </w:pPr>
    </w:p>
    <w:p>
      <w:pPr>
        <w:spacing w:before="0" w:after="0" w:line="240" w:lineRule="auto"/>
        <w:ind w:left="0" w:right="0" w:firstLine="199"/>
        <w:jc w:val="left"/>
        <w:rPr>
          <w:rFonts w:ascii="Times New Roman" w:hAnsi="Times New Roman" w:eastAsia="Times New Roman" w:cs="Times New Roman"/>
          <w:color w:val="auto"/>
          <w:spacing w:val="0"/>
          <w:position w:val="0"/>
          <w:sz w:val="24"/>
          <w:shd w:val="clear" w:fill="auto"/>
        </w:rPr>
      </w:pP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2.项目成本</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项目预计于2021年开始运营，运营期14年。运营期内项目成本主要包括运营成本、折旧及摊销、财务费用。</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（1）运营成本</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本次项目运营成本主要包括运营期员工薪酬、燃料及动力费用、维护及修理费及其他管理费用。</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①</w:t>
      </w:r>
      <w:r>
        <w:rPr>
          <w:rFonts w:ascii="仿宋" w:hAnsi="仿宋" w:eastAsia="仿宋" w:cs="仿宋"/>
          <w:color w:val="auto"/>
          <w:spacing w:val="0"/>
          <w:position w:val="0"/>
          <w:sz w:val="28"/>
          <w:shd w:val="clear" w:fill="auto"/>
        </w:rPr>
        <w:t>员工薪酬：预计运营期员工人数为30人，职工薪酬暂按3,500.00元/人/月计算，职工福利按工资14%计算，考虑每三年增长3.00%。预计运营期内员工薪酬支出为2,126.16万元。</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②燃料及动力费用：燃料动力费用主要为充电桩用电能耗，一般工商业及其他用电销售电价为0.5774元/kwh。</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③维护及修理费：维护及修理费用按年折旧费用的10.00%计算，并考虑每三年增加3%。</w:t>
      </w:r>
    </w:p>
    <w:p>
      <w:pPr>
        <w:widowControl w:val="0"/>
        <w:spacing w:before="0" w:after="0" w:line="360" w:lineRule="auto"/>
        <w:ind w:left="105" w:right="0" w:firstLine="42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④</w:t>
      </w:r>
      <w:r>
        <w:rPr>
          <w:rFonts w:ascii="仿宋" w:hAnsi="仿宋" w:eastAsia="仿宋" w:cs="仿宋"/>
          <w:color w:val="auto"/>
          <w:spacing w:val="0"/>
          <w:position w:val="0"/>
          <w:sz w:val="28"/>
          <w:shd w:val="clear" w:fill="auto"/>
        </w:rPr>
        <w:t>税金及附加：按应交增值税计提城市维护建设税、教育附加费、地方教育附加，分别为5.00%、3.00%、2.00%。</w:t>
      </w:r>
    </w:p>
    <w:p>
      <w:pPr>
        <w:widowControl w:val="0"/>
        <w:spacing w:before="0" w:after="0" w:line="360" w:lineRule="auto"/>
        <w:ind w:left="105" w:right="0" w:firstLine="420"/>
        <w:jc w:val="both"/>
        <w:rPr>
          <w:rFonts w:ascii="仿宋" w:hAnsi="仿宋" w:eastAsia="仿宋" w:cs="仿宋"/>
          <w:color w:val="auto"/>
          <w:spacing w:val="0"/>
          <w:position w:val="0"/>
          <w:sz w:val="28"/>
          <w:shd w:val="clear" w:fill="auto"/>
        </w:rPr>
      </w:pPr>
      <w:r>
        <w:rPr>
          <w:rFonts w:ascii="Segoe UI Symbol" w:hAnsi="Segoe UI Symbol" w:eastAsia="Segoe UI Symbol" w:cs="Segoe UI Symbol"/>
          <w:color w:val="auto"/>
          <w:spacing w:val="0"/>
          <w:position w:val="0"/>
          <w:sz w:val="28"/>
          <w:shd w:val="clear" w:fill="auto"/>
        </w:rPr>
        <w:t>⑤</w:t>
      </w:r>
      <w:r>
        <w:rPr>
          <w:rFonts w:ascii="仿宋" w:hAnsi="仿宋" w:eastAsia="仿宋" w:cs="仿宋"/>
          <w:color w:val="auto"/>
          <w:spacing w:val="0"/>
          <w:position w:val="0"/>
          <w:sz w:val="28"/>
          <w:shd w:val="clear" w:fill="auto"/>
        </w:rPr>
        <w:t xml:space="preserve">折旧与摊销：本项目固定资产主要为房屋及建筑物，残值率5.00%，按20年折旧。   </w:t>
      </w:r>
    </w:p>
    <w:p>
      <w:pPr>
        <w:widowControl w:val="0"/>
        <w:spacing w:before="0" w:after="0" w:line="360" w:lineRule="auto"/>
        <w:ind w:left="105" w:right="0" w:firstLine="42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（2）财务费用</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按照同期专项债券发行平均利率4.00%计算，根据本次债券发行计划，本次专项债在运营期内利息合计1,100.96万元。</w:t>
      </w:r>
    </w:p>
    <w:p>
      <w:pPr>
        <w:spacing w:before="156" w:after="156" w:line="360" w:lineRule="auto"/>
        <w:ind w:left="0" w:right="0" w:firstLine="0"/>
        <w:jc w:val="center"/>
        <w:rPr>
          <w:rFonts w:ascii="仿宋" w:hAnsi="仿宋" w:eastAsia="仿宋" w:cs="仿宋"/>
          <w:color w:val="auto"/>
          <w:spacing w:val="0"/>
          <w:position w:val="0"/>
          <w:sz w:val="24"/>
          <w:shd w:val="clear" w:fill="auto"/>
        </w:rPr>
      </w:pPr>
      <w:r>
        <w:rPr>
          <w:rFonts w:ascii="仿宋" w:hAnsi="仿宋" w:eastAsia="仿宋" w:cs="仿宋"/>
          <w:color w:val="auto"/>
          <w:spacing w:val="0"/>
          <w:position w:val="0"/>
          <w:sz w:val="24"/>
          <w:shd w:val="clear" w:fill="auto"/>
        </w:rPr>
        <w:t>表4-2财务成本预测表</w:t>
      </w:r>
    </w:p>
    <w:tbl>
      <w:tblPr>
        <w:tblStyle w:val="2"/>
        <w:tblW w:w="0" w:type="auto"/>
        <w:jc w:val="center"/>
        <w:tblLayout w:type="autofit"/>
        <w:tblCellMar>
          <w:top w:w="0" w:type="dxa"/>
          <w:left w:w="10" w:type="dxa"/>
          <w:bottom w:w="0" w:type="dxa"/>
          <w:right w:w="10" w:type="dxa"/>
        </w:tblCellMar>
      </w:tblPr>
      <w:tblGrid>
        <w:gridCol w:w="2532"/>
        <w:gridCol w:w="3328"/>
      </w:tblGrid>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时间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财务成本/万元</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2022年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2023年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2024年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2025年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2026年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2027年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2028年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2029年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2030年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2031年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2032年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2033年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2034年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2035年</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78.64</w:t>
            </w:r>
          </w:p>
        </w:tc>
      </w:tr>
      <w:tr>
        <w:tblPrEx>
          <w:tblCellMar>
            <w:top w:w="0" w:type="dxa"/>
            <w:left w:w="10" w:type="dxa"/>
            <w:bottom w:w="0" w:type="dxa"/>
            <w:right w:w="10" w:type="dxa"/>
          </w:tblCellMar>
        </w:tblPrEx>
        <w:trPr>
          <w:trHeight w:val="0" w:hRule="atLeast"/>
          <w:jc w:val="center"/>
        </w:trPr>
        <w:tc>
          <w:tcPr>
            <w:tcW w:w="2532"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合计</w:t>
            </w:r>
          </w:p>
        </w:tc>
        <w:tc>
          <w:tcPr>
            <w:tcW w:w="3328"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color w:val="auto"/>
                <w:spacing w:val="0"/>
                <w:kern w:val="2"/>
                <w:position w:val="0"/>
                <w:shd w:val="clear" w:fill="auto"/>
              </w:rPr>
            </w:pPr>
            <w:r>
              <w:rPr>
                <w:rFonts w:hint="default" w:ascii="Times New Roman" w:hAnsi="Times New Roman" w:eastAsia="Times New Roman" w:cs="Times New Roman"/>
                <w:color w:val="auto"/>
                <w:spacing w:val="0"/>
                <w:kern w:val="2"/>
                <w:position w:val="0"/>
                <w:sz w:val="21"/>
                <w:shd w:val="clear" w:fill="auto"/>
              </w:rPr>
              <w:t>1,100.96</w:t>
            </w:r>
          </w:p>
        </w:tc>
      </w:tr>
    </w:tbl>
    <w:p>
      <w:pPr>
        <w:spacing w:before="0" w:after="0" w:line="240" w:lineRule="auto"/>
        <w:ind w:left="0" w:right="0" w:firstLine="789"/>
        <w:jc w:val="left"/>
        <w:rPr>
          <w:rFonts w:ascii="Times New Roman" w:hAnsi="Times New Roman" w:eastAsia="Times New Roman" w:cs="Times New Roman"/>
          <w:color w:val="auto"/>
          <w:spacing w:val="0"/>
          <w:position w:val="0"/>
          <w:sz w:val="28"/>
          <w:shd w:val="clear" w:fill="auto"/>
        </w:rPr>
      </w:pPr>
      <w:r>
        <w:rPr>
          <w:rFonts w:ascii="宋体" w:hAnsi="宋体" w:eastAsia="宋体" w:cs="宋体"/>
          <w:color w:val="auto"/>
          <w:spacing w:val="0"/>
          <w:position w:val="0"/>
          <w:sz w:val="28"/>
          <w:shd w:val="clear" w:fill="auto"/>
        </w:rPr>
        <w:t>项目成本汇总情况如下所示：</w:t>
      </w:r>
    </w:p>
    <w:p>
      <w:pPr>
        <w:spacing w:before="0" w:after="0" w:line="240" w:lineRule="auto"/>
        <w:ind w:left="0" w:right="0" w:firstLine="676"/>
        <w:jc w:val="center"/>
        <w:rPr>
          <w:rFonts w:ascii="仿宋" w:hAnsi="仿宋" w:eastAsia="仿宋" w:cs="仿宋"/>
          <w:color w:val="auto"/>
          <w:spacing w:val="0"/>
          <w:position w:val="0"/>
          <w:sz w:val="24"/>
          <w:shd w:val="clear" w:fill="auto"/>
        </w:rPr>
      </w:pPr>
      <w:r>
        <w:rPr>
          <w:rFonts w:ascii="仿宋" w:hAnsi="仿宋" w:eastAsia="仿宋" w:cs="仿宋"/>
          <w:color w:val="auto"/>
          <w:spacing w:val="0"/>
          <w:position w:val="0"/>
          <w:sz w:val="24"/>
          <w:shd w:val="clear" w:fill="auto"/>
        </w:rPr>
        <w:t>表4-3项目成本一览表  单位：万元</w:t>
      </w:r>
    </w:p>
    <w:tbl>
      <w:tblPr>
        <w:tblStyle w:val="2"/>
        <w:tblW w:w="0" w:type="auto"/>
        <w:tblInd w:w="0" w:type="dxa"/>
        <w:tblLayout w:type="autofit"/>
        <w:tblCellMar>
          <w:top w:w="0" w:type="dxa"/>
          <w:left w:w="10" w:type="dxa"/>
          <w:bottom w:w="0" w:type="dxa"/>
          <w:right w:w="10" w:type="dxa"/>
        </w:tblCellMar>
      </w:tblPr>
      <w:tblGrid>
        <w:gridCol w:w="142"/>
        <w:gridCol w:w="872"/>
        <w:gridCol w:w="487"/>
        <w:gridCol w:w="487"/>
        <w:gridCol w:w="487"/>
        <w:gridCol w:w="487"/>
        <w:gridCol w:w="488"/>
        <w:gridCol w:w="488"/>
        <w:gridCol w:w="488"/>
        <w:gridCol w:w="488"/>
        <w:gridCol w:w="488"/>
        <w:gridCol w:w="488"/>
        <w:gridCol w:w="488"/>
        <w:gridCol w:w="488"/>
        <w:gridCol w:w="488"/>
        <w:gridCol w:w="488"/>
        <w:gridCol w:w="488"/>
      </w:tblGrid>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序号</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项目</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2022</w:t>
            </w:r>
            <w:r>
              <w:rPr>
                <w:rFonts w:hint="default" w:ascii="宋体" w:hAnsi="宋体" w:eastAsia="宋体" w:cs="宋体"/>
                <w:color w:val="000000"/>
                <w:spacing w:val="0"/>
                <w:kern w:val="2"/>
                <w:position w:val="0"/>
                <w:sz w:val="18"/>
                <w:u w:val="single"/>
                <w:shd w:val="clear" w:fill="auto"/>
              </w:rPr>
              <w:t>年</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2023</w:t>
            </w:r>
            <w:r>
              <w:rPr>
                <w:rFonts w:hint="default" w:ascii="宋体" w:hAnsi="宋体" w:eastAsia="宋体" w:cs="宋体"/>
                <w:color w:val="000000"/>
                <w:spacing w:val="0"/>
                <w:kern w:val="2"/>
                <w:position w:val="0"/>
                <w:sz w:val="18"/>
                <w:u w:val="single"/>
                <w:shd w:val="clear" w:fill="auto"/>
              </w:rPr>
              <w:t>年</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2024</w:t>
            </w:r>
            <w:r>
              <w:rPr>
                <w:rFonts w:hint="default" w:ascii="宋体" w:hAnsi="宋体" w:eastAsia="宋体" w:cs="宋体"/>
                <w:color w:val="000000"/>
                <w:spacing w:val="0"/>
                <w:kern w:val="2"/>
                <w:position w:val="0"/>
                <w:sz w:val="18"/>
                <w:u w:val="single"/>
                <w:shd w:val="clear" w:fill="auto"/>
              </w:rPr>
              <w:t>年</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2025</w:t>
            </w:r>
            <w:r>
              <w:rPr>
                <w:rFonts w:hint="default" w:ascii="宋体" w:hAnsi="宋体" w:eastAsia="宋体" w:cs="宋体"/>
                <w:color w:val="000000"/>
                <w:spacing w:val="0"/>
                <w:kern w:val="2"/>
                <w:position w:val="0"/>
                <w:sz w:val="18"/>
                <w:u w:val="single"/>
                <w:shd w:val="clear" w:fill="auto"/>
              </w:rPr>
              <w:t>年</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2026</w:t>
            </w:r>
            <w:r>
              <w:rPr>
                <w:rFonts w:hint="default" w:ascii="宋体" w:hAnsi="宋体" w:eastAsia="宋体" w:cs="宋体"/>
                <w:color w:val="000000"/>
                <w:spacing w:val="0"/>
                <w:kern w:val="2"/>
                <w:position w:val="0"/>
                <w:sz w:val="18"/>
                <w:u w:val="single"/>
                <w:shd w:val="clear" w:fill="auto"/>
              </w:rPr>
              <w:t>年</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2027</w:t>
            </w:r>
            <w:r>
              <w:rPr>
                <w:rFonts w:hint="default" w:ascii="宋体" w:hAnsi="宋体" w:eastAsia="宋体" w:cs="宋体"/>
                <w:color w:val="000000"/>
                <w:spacing w:val="0"/>
                <w:kern w:val="2"/>
                <w:position w:val="0"/>
                <w:sz w:val="18"/>
                <w:u w:val="single"/>
                <w:shd w:val="clear" w:fill="auto"/>
              </w:rPr>
              <w:t>年</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2028</w:t>
            </w:r>
            <w:r>
              <w:rPr>
                <w:rFonts w:hint="default" w:ascii="宋体" w:hAnsi="宋体" w:eastAsia="宋体" w:cs="宋体"/>
                <w:color w:val="000000"/>
                <w:spacing w:val="0"/>
                <w:kern w:val="2"/>
                <w:position w:val="0"/>
                <w:sz w:val="18"/>
                <w:u w:val="single"/>
                <w:shd w:val="clear" w:fill="auto"/>
              </w:rPr>
              <w:t>年</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2029</w:t>
            </w:r>
            <w:r>
              <w:rPr>
                <w:rFonts w:hint="default" w:ascii="宋体" w:hAnsi="宋体" w:eastAsia="宋体" w:cs="宋体"/>
                <w:color w:val="000000"/>
                <w:spacing w:val="0"/>
                <w:kern w:val="2"/>
                <w:position w:val="0"/>
                <w:sz w:val="18"/>
                <w:u w:val="single"/>
                <w:shd w:val="clear" w:fill="auto"/>
              </w:rPr>
              <w:t>年</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2030</w:t>
            </w:r>
            <w:r>
              <w:rPr>
                <w:rFonts w:hint="default" w:ascii="宋体" w:hAnsi="宋体" w:eastAsia="宋体" w:cs="宋体"/>
                <w:color w:val="000000"/>
                <w:spacing w:val="0"/>
                <w:kern w:val="2"/>
                <w:position w:val="0"/>
                <w:sz w:val="18"/>
                <w:u w:val="single"/>
                <w:shd w:val="clear" w:fill="auto"/>
              </w:rPr>
              <w:t>年</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2031</w:t>
            </w:r>
            <w:r>
              <w:rPr>
                <w:rFonts w:hint="default" w:ascii="宋体" w:hAnsi="宋体" w:eastAsia="宋体" w:cs="宋体"/>
                <w:color w:val="000000"/>
                <w:spacing w:val="0"/>
                <w:kern w:val="2"/>
                <w:position w:val="0"/>
                <w:sz w:val="18"/>
                <w:u w:val="single"/>
                <w:shd w:val="clear" w:fill="auto"/>
              </w:rPr>
              <w:t>年</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2032</w:t>
            </w:r>
            <w:r>
              <w:rPr>
                <w:rFonts w:hint="default" w:ascii="宋体" w:hAnsi="宋体" w:eastAsia="宋体" w:cs="宋体"/>
                <w:color w:val="000000"/>
                <w:spacing w:val="0"/>
                <w:kern w:val="2"/>
                <w:position w:val="0"/>
                <w:sz w:val="18"/>
                <w:u w:val="single"/>
                <w:shd w:val="clear" w:fill="auto"/>
              </w:rPr>
              <w:t>年</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2033</w:t>
            </w:r>
            <w:r>
              <w:rPr>
                <w:rFonts w:hint="default" w:ascii="宋体" w:hAnsi="宋体" w:eastAsia="宋体" w:cs="宋体"/>
                <w:color w:val="000000"/>
                <w:spacing w:val="0"/>
                <w:kern w:val="2"/>
                <w:position w:val="0"/>
                <w:sz w:val="18"/>
                <w:u w:val="single"/>
                <w:shd w:val="clear" w:fill="auto"/>
              </w:rPr>
              <w:t>年</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2034</w:t>
            </w:r>
            <w:r>
              <w:rPr>
                <w:rFonts w:hint="default" w:ascii="宋体" w:hAnsi="宋体" w:eastAsia="宋体" w:cs="宋体"/>
                <w:color w:val="000000"/>
                <w:spacing w:val="0"/>
                <w:kern w:val="2"/>
                <w:position w:val="0"/>
                <w:sz w:val="18"/>
                <w:u w:val="single"/>
                <w:shd w:val="clear" w:fill="auto"/>
              </w:rPr>
              <w:t>年</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2035</w:t>
            </w:r>
            <w:r>
              <w:rPr>
                <w:rFonts w:hint="default" w:ascii="宋体" w:hAnsi="宋体" w:eastAsia="宋体" w:cs="宋体"/>
                <w:color w:val="000000"/>
                <w:spacing w:val="0"/>
                <w:kern w:val="2"/>
                <w:position w:val="0"/>
                <w:sz w:val="18"/>
                <w:u w:val="single"/>
                <w:shd w:val="clear" w:fill="auto"/>
              </w:rPr>
              <w:t>年</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合计</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管理人员工资</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143.64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143.64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143.64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147.95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147.95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147.95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152.39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152.39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152.39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156.96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156.96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156.96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161.67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161.67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2,126.16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kern w:val="2"/>
                <w:position w:val="0"/>
                <w:sz w:val="22"/>
                <w:shd w:val="clear" w:fill="auto"/>
              </w:rPr>
            </w:pP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color w:val="000000"/>
                <w:spacing w:val="0"/>
                <w:kern w:val="2"/>
                <w:position w:val="0"/>
                <w:sz w:val="18"/>
                <w:u w:val="single"/>
                <w:shd w:val="clear" w:fill="auto"/>
              </w:rPr>
              <w:t>人均薪酬（元</w:t>
            </w:r>
            <w:r>
              <w:rPr>
                <w:rFonts w:hint="default" w:ascii="Arial" w:hAnsi="Arial" w:eastAsia="Arial" w:cs="Arial"/>
                <w:color w:val="000000"/>
                <w:spacing w:val="0"/>
                <w:kern w:val="2"/>
                <w:position w:val="0"/>
                <w:sz w:val="18"/>
                <w:u w:val="single"/>
                <w:shd w:val="clear" w:fill="auto"/>
              </w:rPr>
              <w:t>/</w:t>
            </w:r>
            <w:r>
              <w:rPr>
                <w:rFonts w:hint="default" w:ascii="宋体" w:hAnsi="宋体" w:eastAsia="宋体" w:cs="宋体"/>
                <w:color w:val="000000"/>
                <w:spacing w:val="0"/>
                <w:kern w:val="2"/>
                <w:position w:val="0"/>
                <w:sz w:val="18"/>
                <w:u w:val="single"/>
                <w:shd w:val="clear" w:fill="auto"/>
              </w:rPr>
              <w:t>月）</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3,990.00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3,990.00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3,990.00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4,109.70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4,109.70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4,109.70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4,232.99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4,232.99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4,232.99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4,359.98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4,359.98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4,359.98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4,490.78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4,490.78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auto"/>
                <w:spacing w:val="0"/>
                <w:kern w:val="2"/>
                <w:position w:val="0"/>
                <w:sz w:val="22"/>
                <w:shd w:val="clear" w:fill="auto"/>
              </w:rPr>
            </w:pP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人数</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燃料及动力费用</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120.98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123.40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125.81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128.33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130.86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133.48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136.10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138.82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141.64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144.47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147.39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150.31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153.34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156.36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1,931.29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3</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管理费用</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14.41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14.55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15.87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16.04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16.21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17.70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17.89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18.10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19.81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20.05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20.28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22.22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22.49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22.76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258.38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4</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维护及修理费</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14.14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14.56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14.56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14.56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15.00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15.45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15.45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15.45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15.91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15.91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209.27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5</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税金及附加</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2.82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3.51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3.52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3.58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13.43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6</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b/>
                <w:color w:val="000000"/>
                <w:spacing w:val="0"/>
                <w:kern w:val="2"/>
                <w:position w:val="0"/>
                <w:sz w:val="18"/>
                <w:u w:val="single"/>
                <w:shd w:val="clear" w:fill="auto"/>
              </w:rPr>
              <w:t>经营成本（</w:t>
            </w:r>
            <w:r>
              <w:rPr>
                <w:rFonts w:hint="default" w:ascii="Arial" w:hAnsi="Arial" w:eastAsia="Arial" w:cs="Arial"/>
                <w:b/>
                <w:color w:val="000000"/>
                <w:spacing w:val="0"/>
                <w:kern w:val="2"/>
                <w:position w:val="0"/>
                <w:sz w:val="18"/>
                <w:u w:val="single"/>
                <w:shd w:val="clear" w:fill="auto"/>
              </w:rPr>
              <w:t>1+2+3+4+5</w:t>
            </w:r>
            <w:r>
              <w:rPr>
                <w:rFonts w:hint="default" w:ascii="宋体" w:hAnsi="宋体" w:eastAsia="宋体" w:cs="宋体"/>
                <w:b/>
                <w:color w:val="000000"/>
                <w:spacing w:val="0"/>
                <w:kern w:val="2"/>
                <w:position w:val="0"/>
                <w:sz w:val="18"/>
                <w:u w:val="single"/>
                <w:shd w:val="clear" w:fill="auto"/>
              </w:rPr>
              <w:t>）</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293.17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295.73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299.46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306.88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309.58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313.69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321.38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324.31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328.84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336.93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342.90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348.45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356.93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360.28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4,538.53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7</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折旧摊销</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1,979.32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8</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财务费用</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1,100.96 </w:t>
            </w:r>
          </w:p>
        </w:tc>
      </w:tr>
      <w:tr>
        <w:tblPrEx>
          <w:tblCellMar>
            <w:top w:w="0" w:type="dxa"/>
            <w:left w:w="10" w:type="dxa"/>
            <w:bottom w:w="0" w:type="dxa"/>
            <w:right w:w="10" w:type="dxa"/>
          </w:tblCellMar>
        </w:tblPrEx>
        <w:trPr>
          <w:trHeight w:val="0" w:hRule="atLeast"/>
        </w:trPr>
        <w:tc>
          <w:tcPr>
            <w:tcW w:w="38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9</w:t>
            </w:r>
          </w:p>
        </w:tc>
        <w:tc>
          <w:tcPr>
            <w:tcW w:w="205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宋体" w:hAnsi="宋体" w:eastAsia="宋体" w:cs="宋体"/>
                <w:b/>
                <w:color w:val="000000"/>
                <w:spacing w:val="0"/>
                <w:kern w:val="2"/>
                <w:position w:val="0"/>
                <w:sz w:val="18"/>
                <w:u w:val="single"/>
                <w:shd w:val="clear" w:fill="auto"/>
              </w:rPr>
              <w:t>项目成本合计（</w:t>
            </w:r>
            <w:r>
              <w:rPr>
                <w:rFonts w:hint="default" w:ascii="Arial" w:hAnsi="Arial" w:eastAsia="Arial" w:cs="Arial"/>
                <w:b/>
                <w:color w:val="000000"/>
                <w:spacing w:val="0"/>
                <w:kern w:val="2"/>
                <w:position w:val="0"/>
                <w:sz w:val="18"/>
                <w:u w:val="single"/>
                <w:shd w:val="clear" w:fill="auto"/>
              </w:rPr>
              <w:t>6+7+8</w:t>
            </w:r>
            <w:r>
              <w:rPr>
                <w:rFonts w:hint="default" w:ascii="宋体" w:hAnsi="宋体" w:eastAsia="宋体" w:cs="宋体"/>
                <w:b/>
                <w:color w:val="000000"/>
                <w:spacing w:val="0"/>
                <w:kern w:val="2"/>
                <w:position w:val="0"/>
                <w:sz w:val="18"/>
                <w:u w:val="single"/>
                <w:shd w:val="clear" w:fill="auto"/>
              </w:rPr>
              <w:t>）</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513.19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515.75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519.48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526.90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529.60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533.71 </w:t>
            </w:r>
          </w:p>
        </w:tc>
        <w:tc>
          <w:tcPr>
            <w:tcW w:w="82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541.40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544.33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548.86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556.95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562.92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568.47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576.95 </w:t>
            </w:r>
          </w:p>
        </w:tc>
        <w:tc>
          <w:tcPr>
            <w:tcW w:w="82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580.30 </w:t>
            </w:r>
          </w:p>
        </w:tc>
        <w:tc>
          <w:tcPr>
            <w:tcW w:w="82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7,105.62 </w:t>
            </w:r>
          </w:p>
        </w:tc>
      </w:tr>
    </w:tbl>
    <w:p>
      <w:pPr>
        <w:spacing w:before="0" w:after="0" w:line="240" w:lineRule="auto"/>
        <w:ind w:left="0" w:right="0" w:firstLine="789"/>
        <w:jc w:val="center"/>
        <w:rPr>
          <w:rFonts w:ascii="仿宋" w:hAnsi="仿宋" w:eastAsia="仿宋" w:cs="仿宋"/>
          <w:color w:val="auto"/>
          <w:spacing w:val="0"/>
          <w:position w:val="0"/>
          <w:sz w:val="28"/>
          <w:shd w:val="clear" w:fill="auto"/>
        </w:rPr>
      </w:pPr>
    </w:p>
    <w:p>
      <w:pPr>
        <w:spacing w:before="0" w:after="0" w:line="240" w:lineRule="auto"/>
        <w:ind w:left="0" w:right="0" w:firstLine="676"/>
        <w:jc w:val="left"/>
        <w:rPr>
          <w:rFonts w:ascii="仿宋" w:hAnsi="仿宋" w:eastAsia="仿宋" w:cs="仿宋"/>
          <w:color w:val="auto"/>
          <w:spacing w:val="0"/>
          <w:position w:val="0"/>
          <w:sz w:val="24"/>
          <w:shd w:val="clear" w:fill="auto"/>
        </w:rPr>
      </w:pP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3.项目损益</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根据上述项目收入成本测算，本项目在专项债券存续期间（2022年—2035年）的收益情况如下表所示：</w:t>
      </w:r>
    </w:p>
    <w:p>
      <w:pPr>
        <w:widowControl w:val="0"/>
        <w:spacing w:before="0" w:after="0" w:line="360" w:lineRule="auto"/>
        <w:ind w:left="0" w:right="0" w:firstLine="560"/>
        <w:jc w:val="center"/>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表4-4本项目收益预测表（单位：万元）</w:t>
      </w:r>
    </w:p>
    <w:tbl>
      <w:tblPr>
        <w:tblStyle w:val="2"/>
        <w:tblW w:w="0" w:type="auto"/>
        <w:tblInd w:w="0" w:type="dxa"/>
        <w:tblLayout w:type="autofit"/>
        <w:tblCellMar>
          <w:top w:w="0" w:type="dxa"/>
          <w:left w:w="10" w:type="dxa"/>
          <w:bottom w:w="0" w:type="dxa"/>
          <w:right w:w="10" w:type="dxa"/>
        </w:tblCellMar>
      </w:tblPr>
      <w:tblGrid>
        <w:gridCol w:w="243"/>
        <w:gridCol w:w="339"/>
        <w:gridCol w:w="507"/>
        <w:gridCol w:w="507"/>
        <w:gridCol w:w="507"/>
        <w:gridCol w:w="508"/>
        <w:gridCol w:w="508"/>
        <w:gridCol w:w="508"/>
        <w:gridCol w:w="508"/>
        <w:gridCol w:w="508"/>
        <w:gridCol w:w="508"/>
        <w:gridCol w:w="508"/>
        <w:gridCol w:w="508"/>
        <w:gridCol w:w="508"/>
        <w:gridCol w:w="508"/>
        <w:gridCol w:w="508"/>
        <w:gridCol w:w="639"/>
      </w:tblGrid>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序号</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项目</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2022</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2023</w:t>
            </w:r>
            <w:r>
              <w:rPr>
                <w:rFonts w:hint="default" w:ascii="宋体" w:hAnsi="宋体" w:eastAsia="宋体" w:cs="宋体"/>
                <w:color w:val="000000"/>
                <w:spacing w:val="0"/>
                <w:kern w:val="2"/>
                <w:position w:val="0"/>
                <w:sz w:val="18"/>
                <w:u w:val="single"/>
                <w:shd w:val="clear" w:fill="auto"/>
              </w:rPr>
              <w:t>年</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2024</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2025</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2026</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2027</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2028</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2029</w:t>
            </w:r>
            <w:r>
              <w:rPr>
                <w:rFonts w:hint="default" w:ascii="宋体" w:hAnsi="宋体" w:eastAsia="宋体" w:cs="宋体"/>
                <w:color w:val="000000"/>
                <w:spacing w:val="0"/>
                <w:kern w:val="2"/>
                <w:position w:val="0"/>
                <w:sz w:val="18"/>
                <w:u w:val="single"/>
                <w:shd w:val="clear" w:fill="auto"/>
              </w:rPr>
              <w:t>年</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2030</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2031</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2032</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2033</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2034</w:t>
            </w:r>
            <w:r>
              <w:rPr>
                <w:rFonts w:hint="default" w:ascii="宋体" w:hAnsi="宋体" w:eastAsia="宋体" w:cs="宋体"/>
                <w:color w:val="000000"/>
                <w:spacing w:val="0"/>
                <w:kern w:val="2"/>
                <w:position w:val="0"/>
                <w:sz w:val="18"/>
                <w:u w:val="single"/>
                <w:shd w:val="clear" w:fill="auto"/>
              </w:rPr>
              <w:t>年</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2035</w:t>
            </w:r>
            <w:r>
              <w:rPr>
                <w:rFonts w:hint="default" w:ascii="宋体" w:hAnsi="宋体" w:eastAsia="宋体" w:cs="宋体"/>
                <w:color w:val="000000"/>
                <w:spacing w:val="0"/>
                <w:kern w:val="2"/>
                <w:position w:val="0"/>
                <w:sz w:val="18"/>
                <w:u w:val="single"/>
                <w:shd w:val="clear" w:fill="auto"/>
              </w:rPr>
              <w:t>年</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合计</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1</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18"/>
                <w:u w:val="single"/>
                <w:shd w:val="clear" w:fill="auto"/>
              </w:rPr>
              <w:t xml:space="preserve"> 总收入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480.28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485.11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528.94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534.60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540.27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589.95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596.45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603.28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660.44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668.27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676.11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740.56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749.56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758.73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8,612.55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1.1</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w:t>
            </w:r>
            <w:r>
              <w:rPr>
                <w:rFonts w:hint="default" w:ascii="宋体" w:hAnsi="宋体" w:eastAsia="宋体" w:cs="宋体"/>
                <w:color w:val="000000"/>
                <w:spacing w:val="0"/>
                <w:kern w:val="2"/>
                <w:position w:val="0"/>
                <w:sz w:val="18"/>
                <w:u w:val="single"/>
                <w:shd w:val="clear" w:fill="auto"/>
              </w:rPr>
              <w:t>物业管理收入</w:t>
            </w:r>
            <w:r>
              <w:rPr>
                <w:rFonts w:hint="default" w:ascii="Arial" w:hAnsi="Arial" w:eastAsia="Arial" w:cs="Arial"/>
                <w:color w:val="000000"/>
                <w:spacing w:val="0"/>
                <w:kern w:val="2"/>
                <w:position w:val="0"/>
                <w:sz w:val="18"/>
                <w:u w:val="single"/>
                <w:shd w:val="clear" w:fill="auto"/>
              </w:rPr>
              <w:t xml:space="preserve">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56.17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56.17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61.83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61.83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61.83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68.67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68.67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68.67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75.33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75.33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75.33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83.17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83.17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83.17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979.34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1.2</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w:t>
            </w:r>
            <w:r>
              <w:rPr>
                <w:rFonts w:hint="default" w:ascii="宋体" w:hAnsi="宋体" w:eastAsia="宋体" w:cs="宋体"/>
                <w:color w:val="000000"/>
                <w:spacing w:val="0"/>
                <w:kern w:val="2"/>
                <w:position w:val="0"/>
                <w:sz w:val="18"/>
                <w:u w:val="single"/>
                <w:shd w:val="clear" w:fill="auto"/>
              </w:rPr>
              <w:t>停车位出租收入</w:t>
            </w:r>
            <w:r>
              <w:rPr>
                <w:rFonts w:hint="default" w:ascii="Arial" w:hAnsi="Arial" w:eastAsia="Arial" w:cs="Arial"/>
                <w:color w:val="000000"/>
                <w:spacing w:val="0"/>
                <w:kern w:val="2"/>
                <w:position w:val="0"/>
                <w:sz w:val="18"/>
                <w:u w:val="single"/>
                <w:shd w:val="clear" w:fill="auto"/>
              </w:rPr>
              <w:t xml:space="preserve">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176.11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176.11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183.44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183.44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183.44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190.78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190.78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190.78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198.11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198.11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198.11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205.56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205.56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205.56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2,685.89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1.3</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w:t>
            </w:r>
            <w:r>
              <w:rPr>
                <w:rFonts w:hint="default" w:ascii="宋体" w:hAnsi="宋体" w:eastAsia="宋体" w:cs="宋体"/>
                <w:color w:val="000000"/>
                <w:spacing w:val="0"/>
                <w:kern w:val="2"/>
                <w:position w:val="0"/>
                <w:sz w:val="18"/>
                <w:u w:val="single"/>
                <w:shd w:val="clear" w:fill="auto"/>
              </w:rPr>
              <w:t>汽车充电桩收入</w:t>
            </w:r>
            <w:r>
              <w:rPr>
                <w:rFonts w:hint="default" w:ascii="Arial" w:hAnsi="Arial" w:eastAsia="Arial" w:cs="Arial"/>
                <w:color w:val="000000"/>
                <w:spacing w:val="0"/>
                <w:kern w:val="2"/>
                <w:position w:val="0"/>
                <w:sz w:val="18"/>
                <w:u w:val="single"/>
                <w:shd w:val="clear" w:fill="auto"/>
              </w:rPr>
              <w:t xml:space="preserve">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248.00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252.83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283.67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289.33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295.00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330.50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337.00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343.83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387.00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394.83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402.67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451.83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460.83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470.00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4,947.32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2</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18"/>
                <w:u w:val="single"/>
                <w:shd w:val="clear" w:fill="auto"/>
              </w:rPr>
              <w:t xml:space="preserve"> 总成本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513.19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515.75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519.48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526.90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529.60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533.71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541.40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544.33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548.86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556.95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562.92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568.47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576.95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580.30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7,618.81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2.1</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运营成本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293.17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295.73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299.46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306.88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309.58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313.69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321.38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324.31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328.84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336.93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342.90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348.45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356.93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360.28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4,538.53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2.2</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折旧费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141.38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1,979.32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2.3</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财务费用（利息支出）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1,100.96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3</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both"/>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18"/>
                <w:u w:val="single"/>
                <w:shd w:val="clear" w:fill="auto"/>
              </w:rPr>
              <w:t>所得税费用</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2.37</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1.93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2.67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14.06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13.76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14.74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27.90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27.83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28.30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43.02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43.15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44.61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264.34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4</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both"/>
              <w:rPr>
                <w:rFonts w:hint="default"/>
                <w:spacing w:val="0"/>
                <w:kern w:val="2"/>
                <w:position w:val="0"/>
                <w:shd w:val="clear" w:fill="auto"/>
              </w:rPr>
            </w:pPr>
            <w:r>
              <w:rPr>
                <w:rFonts w:hint="default" w:ascii="宋体" w:hAnsi="宋体" w:eastAsia="宋体" w:cs="宋体"/>
                <w:b/>
                <w:color w:val="000000"/>
                <w:spacing w:val="0"/>
                <w:kern w:val="2"/>
                <w:position w:val="0"/>
                <w:sz w:val="18"/>
                <w:u w:val="single"/>
                <w:shd w:val="clear" w:fill="auto"/>
              </w:rPr>
              <w:t>净利润（</w:t>
            </w:r>
            <w:r>
              <w:rPr>
                <w:rFonts w:hint="default" w:ascii="Arial" w:hAnsi="Arial" w:eastAsia="Arial" w:cs="Arial"/>
                <w:b/>
                <w:color w:val="000000"/>
                <w:spacing w:val="0"/>
                <w:kern w:val="2"/>
                <w:position w:val="0"/>
                <w:sz w:val="18"/>
                <w:u w:val="single"/>
                <w:shd w:val="clear" w:fill="auto"/>
              </w:rPr>
              <w:t>1-2-3</w:t>
            </w:r>
            <w:r>
              <w:rPr>
                <w:rFonts w:hint="default" w:ascii="宋体" w:hAnsi="宋体" w:eastAsia="宋体" w:cs="宋体"/>
                <w:b/>
                <w:color w:val="000000"/>
                <w:spacing w:val="0"/>
                <w:kern w:val="2"/>
                <w:position w:val="0"/>
                <w:sz w:val="18"/>
                <w:u w:val="single"/>
                <w:shd w:val="clear" w:fill="auto"/>
              </w:rPr>
              <w:t>）</w:t>
            </w:r>
            <w:r>
              <w:rPr>
                <w:rFonts w:hint="default" w:ascii="Arial" w:hAnsi="Arial" w:eastAsia="Arial" w:cs="Arial"/>
                <w:b/>
                <w:color w:val="000000"/>
                <w:spacing w:val="0"/>
                <w:kern w:val="2"/>
                <w:position w:val="0"/>
                <w:sz w:val="18"/>
                <w:u w:val="single"/>
                <w:shd w:val="clear" w:fill="auto"/>
              </w:rPr>
              <w:t xml:space="preserve">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-32.91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-30.64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7.09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5.77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8.00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42.18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41.29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44.21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83.68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83.49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84.89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129.07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129.46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133.82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729.40 </w:t>
            </w:r>
          </w:p>
        </w:tc>
      </w:tr>
      <w:tr>
        <w:tblPrEx>
          <w:tblCellMar>
            <w:top w:w="0" w:type="dxa"/>
            <w:left w:w="10" w:type="dxa"/>
            <w:bottom w:w="0" w:type="dxa"/>
            <w:right w:w="10" w:type="dxa"/>
          </w:tblCellMar>
        </w:tblPrEx>
        <w:trPr>
          <w:trHeight w:val="0" w:hRule="atLeast"/>
        </w:trPr>
        <w:tc>
          <w:tcPr>
            <w:tcW w:w="40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5</w:t>
            </w:r>
          </w:p>
        </w:tc>
        <w:tc>
          <w:tcPr>
            <w:tcW w:w="223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b/>
                <w:color w:val="000000"/>
                <w:spacing w:val="0"/>
                <w:kern w:val="2"/>
                <w:position w:val="0"/>
                <w:sz w:val="18"/>
                <w:u w:val="single"/>
                <w:shd w:val="clear" w:fill="auto"/>
              </w:rPr>
              <w:t>息税折旧前利润</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187.11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189.38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229.48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227.72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230.69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276.26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275.07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278.97 </w:t>
            </w:r>
          </w:p>
        </w:tc>
        <w:tc>
          <w:tcPr>
            <w:tcW w:w="77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331.60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331.34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333.21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392.11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392.63 </w:t>
            </w:r>
          </w:p>
        </w:tc>
        <w:tc>
          <w:tcPr>
            <w:tcW w:w="77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398.45 </w:t>
            </w:r>
          </w:p>
        </w:tc>
        <w:tc>
          <w:tcPr>
            <w:tcW w:w="949"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4,074.02 </w:t>
            </w:r>
          </w:p>
        </w:tc>
      </w:tr>
    </w:tbl>
    <w:p>
      <w:pPr>
        <w:widowControl w:val="0"/>
        <w:spacing w:before="0" w:after="0" w:line="360" w:lineRule="auto"/>
        <w:ind w:left="0" w:right="0" w:firstLine="560"/>
        <w:jc w:val="center"/>
        <w:rPr>
          <w:rFonts w:ascii="仿宋" w:hAnsi="仿宋" w:eastAsia="仿宋" w:cs="仿宋"/>
          <w:color w:val="auto"/>
          <w:spacing w:val="0"/>
          <w:position w:val="0"/>
          <w:sz w:val="28"/>
          <w:shd w:val="clear" w:fill="auto"/>
        </w:rPr>
      </w:pP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本次芦山县老旧小区公共配套设施改建工程项目专项债券发行规模1,966.00万元，按照每年4.00%利率计算，利息为78.64万/年，发行期限15年，本息和3,145.60万元。</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预计不含税收入8,612.55万元，运营成本为（不含折旧）4,538.53万元，收入扣除运营成本后的项目收益为4,074.02万元，项目收益是债券本息的1.30倍，完全能够满足本项目还本付息的要求。在还款期内，本金偿还保障率均超过100%，项目本身能够达到自求平衡。</w:t>
      </w:r>
    </w:p>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（二）资金测算平衡情况</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本次芦山县老旧小区公共配套设施改建工程项目专项债券发行规模1,966.00万元，债券拟于2021年发行，期限15年，利息费用按照每年4.00%的利率计算。</w:t>
      </w:r>
    </w:p>
    <w:p>
      <w:pPr>
        <w:widowControl w:val="0"/>
        <w:spacing w:before="156" w:after="156" w:line="360" w:lineRule="auto"/>
        <w:ind w:left="0" w:right="0" w:firstLine="0"/>
        <w:jc w:val="center"/>
        <w:rPr>
          <w:rFonts w:ascii="仿宋" w:hAnsi="仿宋" w:eastAsia="仿宋" w:cs="仿宋"/>
          <w:color w:val="auto"/>
          <w:spacing w:val="0"/>
          <w:position w:val="0"/>
          <w:sz w:val="24"/>
          <w:shd w:val="clear" w:fill="auto"/>
        </w:rPr>
      </w:pPr>
      <w:r>
        <w:rPr>
          <w:rFonts w:ascii="仿宋" w:hAnsi="仿宋" w:eastAsia="仿宋" w:cs="仿宋"/>
          <w:color w:val="auto"/>
          <w:spacing w:val="0"/>
          <w:position w:val="0"/>
          <w:sz w:val="24"/>
          <w:shd w:val="clear" w:fill="auto"/>
        </w:rPr>
        <w:t>表4-5资金测算平衡表（单位：万元）</w:t>
      </w:r>
    </w:p>
    <w:tbl>
      <w:tblPr>
        <w:tblStyle w:val="2"/>
        <w:tblW w:w="0" w:type="auto"/>
        <w:jc w:val="center"/>
        <w:tblLayout w:type="autofit"/>
        <w:tblCellMar>
          <w:top w:w="0" w:type="dxa"/>
          <w:left w:w="10" w:type="dxa"/>
          <w:bottom w:w="0" w:type="dxa"/>
          <w:right w:w="10" w:type="dxa"/>
        </w:tblCellMar>
      </w:tblPr>
      <w:tblGrid>
        <w:gridCol w:w="312"/>
        <w:gridCol w:w="153"/>
        <w:gridCol w:w="527"/>
        <w:gridCol w:w="420"/>
        <w:gridCol w:w="420"/>
        <w:gridCol w:w="420"/>
        <w:gridCol w:w="420"/>
        <w:gridCol w:w="420"/>
        <w:gridCol w:w="420"/>
        <w:gridCol w:w="527"/>
        <w:gridCol w:w="527"/>
        <w:gridCol w:w="527"/>
        <w:gridCol w:w="527"/>
        <w:gridCol w:w="527"/>
        <w:gridCol w:w="527"/>
        <w:gridCol w:w="528"/>
        <w:gridCol w:w="528"/>
        <w:gridCol w:w="600"/>
      </w:tblGrid>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序号</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项目</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2021</w:t>
            </w:r>
            <w:r>
              <w:rPr>
                <w:rFonts w:hint="default" w:ascii="宋体" w:hAnsi="宋体" w:eastAsia="宋体" w:cs="宋体"/>
                <w:color w:val="000000"/>
                <w:spacing w:val="0"/>
                <w:kern w:val="2"/>
                <w:position w:val="0"/>
                <w:sz w:val="18"/>
                <w:u w:val="single"/>
                <w:shd w:val="clear" w:fill="auto"/>
              </w:rPr>
              <w:t>年</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2022</w:t>
            </w:r>
            <w:r>
              <w:rPr>
                <w:rFonts w:hint="default" w:ascii="宋体" w:hAnsi="宋体" w:eastAsia="宋体" w:cs="宋体"/>
                <w:color w:val="000000"/>
                <w:spacing w:val="0"/>
                <w:kern w:val="2"/>
                <w:position w:val="0"/>
                <w:sz w:val="18"/>
                <w:u w:val="single"/>
                <w:shd w:val="clear" w:fill="auto"/>
              </w:rPr>
              <w:t>年</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2023</w:t>
            </w:r>
            <w:r>
              <w:rPr>
                <w:rFonts w:hint="default" w:ascii="宋体" w:hAnsi="宋体" w:eastAsia="宋体" w:cs="宋体"/>
                <w:color w:val="000000"/>
                <w:spacing w:val="0"/>
                <w:kern w:val="2"/>
                <w:position w:val="0"/>
                <w:sz w:val="18"/>
                <w:u w:val="single"/>
                <w:shd w:val="clear" w:fill="auto"/>
              </w:rPr>
              <w:t>年</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2024</w:t>
            </w:r>
            <w:r>
              <w:rPr>
                <w:rFonts w:hint="default" w:ascii="宋体" w:hAnsi="宋体" w:eastAsia="宋体" w:cs="宋体"/>
                <w:color w:val="000000"/>
                <w:spacing w:val="0"/>
                <w:kern w:val="2"/>
                <w:position w:val="0"/>
                <w:sz w:val="18"/>
                <w:u w:val="single"/>
                <w:shd w:val="clear" w:fill="auto"/>
              </w:rPr>
              <w:t>年</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2025</w:t>
            </w:r>
            <w:r>
              <w:rPr>
                <w:rFonts w:hint="default" w:ascii="宋体" w:hAnsi="宋体" w:eastAsia="宋体" w:cs="宋体"/>
                <w:color w:val="000000"/>
                <w:spacing w:val="0"/>
                <w:kern w:val="2"/>
                <w:position w:val="0"/>
                <w:sz w:val="18"/>
                <w:u w:val="single"/>
                <w:shd w:val="clear" w:fill="auto"/>
              </w:rPr>
              <w:t>年</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2026</w:t>
            </w:r>
            <w:r>
              <w:rPr>
                <w:rFonts w:hint="default" w:ascii="宋体" w:hAnsi="宋体" w:eastAsia="宋体" w:cs="宋体"/>
                <w:color w:val="000000"/>
                <w:spacing w:val="0"/>
                <w:kern w:val="2"/>
                <w:position w:val="0"/>
                <w:sz w:val="18"/>
                <w:u w:val="single"/>
                <w:shd w:val="clear" w:fill="auto"/>
              </w:rPr>
              <w:t>年</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2027</w:t>
            </w:r>
            <w:r>
              <w:rPr>
                <w:rFonts w:hint="default" w:ascii="宋体" w:hAnsi="宋体" w:eastAsia="宋体" w:cs="宋体"/>
                <w:color w:val="000000"/>
                <w:spacing w:val="0"/>
                <w:kern w:val="2"/>
                <w:position w:val="0"/>
                <w:sz w:val="18"/>
                <w:u w:val="single"/>
                <w:shd w:val="clear" w:fill="auto"/>
              </w:rPr>
              <w:t>年</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2028</w:t>
            </w:r>
            <w:r>
              <w:rPr>
                <w:rFonts w:hint="default" w:ascii="宋体" w:hAnsi="宋体" w:eastAsia="宋体" w:cs="宋体"/>
                <w:color w:val="000000"/>
                <w:spacing w:val="0"/>
                <w:kern w:val="2"/>
                <w:position w:val="0"/>
                <w:sz w:val="18"/>
                <w:u w:val="single"/>
                <w:shd w:val="clear" w:fill="auto"/>
              </w:rPr>
              <w:t>年</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2029</w:t>
            </w:r>
            <w:r>
              <w:rPr>
                <w:rFonts w:hint="default" w:ascii="宋体" w:hAnsi="宋体" w:eastAsia="宋体" w:cs="宋体"/>
                <w:color w:val="000000"/>
                <w:spacing w:val="0"/>
                <w:kern w:val="2"/>
                <w:position w:val="0"/>
                <w:sz w:val="18"/>
                <w:u w:val="single"/>
                <w:shd w:val="clear" w:fill="auto"/>
              </w:rPr>
              <w:t>年</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2030</w:t>
            </w:r>
            <w:r>
              <w:rPr>
                <w:rFonts w:hint="default" w:ascii="宋体" w:hAnsi="宋体" w:eastAsia="宋体" w:cs="宋体"/>
                <w:color w:val="000000"/>
                <w:spacing w:val="0"/>
                <w:kern w:val="2"/>
                <w:position w:val="0"/>
                <w:sz w:val="18"/>
                <w:u w:val="single"/>
                <w:shd w:val="clear" w:fill="auto"/>
              </w:rPr>
              <w:t>年</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2031</w:t>
            </w:r>
            <w:r>
              <w:rPr>
                <w:rFonts w:hint="default" w:ascii="宋体" w:hAnsi="宋体" w:eastAsia="宋体" w:cs="宋体"/>
                <w:color w:val="000000"/>
                <w:spacing w:val="0"/>
                <w:kern w:val="2"/>
                <w:position w:val="0"/>
                <w:sz w:val="18"/>
                <w:u w:val="single"/>
                <w:shd w:val="clear" w:fill="auto"/>
              </w:rPr>
              <w:t>年</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2032</w:t>
            </w:r>
            <w:r>
              <w:rPr>
                <w:rFonts w:hint="default" w:ascii="宋体" w:hAnsi="宋体" w:eastAsia="宋体" w:cs="宋体"/>
                <w:color w:val="000000"/>
                <w:spacing w:val="0"/>
                <w:kern w:val="2"/>
                <w:position w:val="0"/>
                <w:sz w:val="18"/>
                <w:u w:val="single"/>
                <w:shd w:val="clear" w:fill="auto"/>
              </w:rPr>
              <w:t>年</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2033</w:t>
            </w:r>
            <w:r>
              <w:rPr>
                <w:rFonts w:hint="default" w:ascii="宋体" w:hAnsi="宋体" w:eastAsia="宋体" w:cs="宋体"/>
                <w:color w:val="000000"/>
                <w:spacing w:val="0"/>
                <w:kern w:val="2"/>
                <w:position w:val="0"/>
                <w:sz w:val="18"/>
                <w:u w:val="single"/>
                <w:shd w:val="clear" w:fill="auto"/>
              </w:rPr>
              <w:t>年</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2034</w:t>
            </w:r>
            <w:r>
              <w:rPr>
                <w:rFonts w:hint="default" w:ascii="宋体" w:hAnsi="宋体" w:eastAsia="宋体" w:cs="宋体"/>
                <w:color w:val="000000"/>
                <w:spacing w:val="0"/>
                <w:kern w:val="2"/>
                <w:position w:val="0"/>
                <w:sz w:val="18"/>
                <w:u w:val="single"/>
                <w:shd w:val="clear" w:fill="auto"/>
              </w:rPr>
              <w:t>年</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2035</w:t>
            </w:r>
            <w:r>
              <w:rPr>
                <w:rFonts w:hint="default" w:ascii="宋体" w:hAnsi="宋体" w:eastAsia="宋体" w:cs="宋体"/>
                <w:color w:val="000000"/>
                <w:spacing w:val="0"/>
                <w:kern w:val="2"/>
                <w:position w:val="0"/>
                <w:sz w:val="18"/>
                <w:u w:val="single"/>
                <w:shd w:val="clear" w:fill="auto"/>
              </w:rPr>
              <w:t>年</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center"/>
          </w:tcPr>
          <w:p>
            <w:pPr>
              <w:keepNext w:val="0"/>
              <w:keepLines w:val="0"/>
              <w:widowControl w:val="0"/>
              <w:suppressLineNumbers w:val="0"/>
              <w:spacing w:before="0" w:beforeAutospacing="0" w:after="0" w:afterAutospacing="0" w:line="240" w:lineRule="auto"/>
              <w:ind w:left="0" w:right="0" w:firstLine="0"/>
              <w:jc w:val="center"/>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合计</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资金流入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3,767.00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480.28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485.11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528.94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534.60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540.27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589.95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596.45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603.28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660.44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668.27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676.11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740.56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749.56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758.73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12,379.55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1.1</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项目资本金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1,801.00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1,801.00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1.2</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债券资金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1,966.00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1,966.00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1.3</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销售收入流入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480.28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485.11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528.94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534.60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540.27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589.95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596.45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603.28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660.44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668.27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676.11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740.56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749.56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758.73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8,612.55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资金流出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3,767.00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371.81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374.37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380.47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387.45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390.89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406.39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413.78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417.69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435.38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443.40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449.84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470.11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478.72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2,449.53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11,636.83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2.1</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建设期支出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3,688.36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3,688.36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2.2</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运营成本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293.17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295.73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299.46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306.88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309.58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313.69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321.38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324.31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328.84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336.93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342.90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348.45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356.93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360.28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4,538.53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2.3</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所得税费用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2.37</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1.93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2.67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14.06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13.76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14.74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27.90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27.83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28.30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43.02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43.15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44.61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264.34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2.4</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本息支出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2,044.64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3,145.60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2.4.1</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支付本金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1,966.00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1,966.00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2.4.2</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支付利息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78.64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 xml:space="preserve"> 1,179.60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3</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现金流净额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108.47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110.74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148.47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147.15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149.38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183.56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182.67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185.59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225.06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224.87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226.27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270.45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270.84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-1,690.80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742.72 </w:t>
            </w:r>
          </w:p>
        </w:tc>
      </w:tr>
      <w:tr>
        <w:tblPrEx>
          <w:tblCellMar>
            <w:top w:w="0" w:type="dxa"/>
            <w:left w:w="10" w:type="dxa"/>
            <w:bottom w:w="0" w:type="dxa"/>
            <w:right w:w="10" w:type="dxa"/>
          </w:tblCellMar>
        </w:tblPrEx>
        <w:trPr>
          <w:trHeight w:val="0" w:hRule="atLeast"/>
          <w:jc w:val="center"/>
        </w:trPr>
        <w:tc>
          <w:tcPr>
            <w:tcW w:w="45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center"/>
              <w:rPr>
                <w:rFonts w:hint="default"/>
                <w:spacing w:val="0"/>
                <w:kern w:val="2"/>
                <w:position w:val="0"/>
                <w:shd w:val="clear" w:fill="auto"/>
              </w:rPr>
            </w:pPr>
            <w:r>
              <w:rPr>
                <w:rFonts w:hint="default" w:ascii="Arial" w:hAnsi="Arial" w:eastAsia="Arial" w:cs="Arial"/>
                <w:color w:val="000000"/>
                <w:spacing w:val="0"/>
                <w:kern w:val="2"/>
                <w:position w:val="0"/>
                <w:sz w:val="18"/>
                <w:u w:val="single"/>
                <w:shd w:val="clear" w:fill="auto"/>
              </w:rPr>
              <w:t>4</w:t>
            </w:r>
          </w:p>
        </w:tc>
        <w:tc>
          <w:tcPr>
            <w:tcW w:w="12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spacing w:val="0"/>
                <w:kern w:val="2"/>
                <w:position w:val="0"/>
                <w:shd w:val="clear" w:fill="auto"/>
              </w:rPr>
            </w:pPr>
            <w:r>
              <w:rPr>
                <w:rFonts w:hint="default" w:ascii="宋体" w:hAnsi="宋体" w:eastAsia="宋体" w:cs="宋体"/>
                <w:color w:val="000000"/>
                <w:spacing w:val="0"/>
                <w:kern w:val="2"/>
                <w:position w:val="0"/>
                <w:sz w:val="18"/>
                <w:u w:val="single"/>
                <w:shd w:val="clear" w:fill="auto"/>
              </w:rPr>
              <w:t xml:space="preserve"> 累计净现金流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ascii="宋体" w:hAnsi="宋体" w:eastAsia="宋体" w:cs="宋体"/>
                <w:color w:val="auto"/>
                <w:spacing w:val="0"/>
                <w:kern w:val="2"/>
                <w:position w:val="0"/>
                <w:sz w:val="22"/>
                <w:shd w:val="clear" w:fill="auto"/>
              </w:rPr>
            </w:pP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108.47</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219.21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367.68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514.83 </w:t>
            </w:r>
          </w:p>
        </w:tc>
        <w:tc>
          <w:tcPr>
            <w:tcW w:w="715"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664.21 </w:t>
            </w:r>
          </w:p>
        </w:tc>
        <w:tc>
          <w:tcPr>
            <w:tcW w:w="714"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847.77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1,030.44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1,216.03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1,441.09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1,665.96 </w:t>
            </w:r>
          </w:p>
        </w:tc>
        <w:tc>
          <w:tcPr>
            <w:tcW w:w="877"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1,892.23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2,162.68 </w:t>
            </w:r>
          </w:p>
        </w:tc>
        <w:tc>
          <w:tcPr>
            <w:tcW w:w="876"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2,433.52 </w:t>
            </w:r>
          </w:p>
        </w:tc>
        <w:tc>
          <w:tcPr>
            <w:tcW w:w="941"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widowControl w:val="0"/>
              <w:suppressLineNumbers w:val="0"/>
              <w:spacing w:before="0" w:beforeAutospacing="0" w:after="0" w:afterAutospacing="0" w:line="240" w:lineRule="auto"/>
              <w:ind w:left="0" w:right="0" w:firstLine="0"/>
              <w:jc w:val="right"/>
              <w:rPr>
                <w:rFonts w:hint="default"/>
                <w:spacing w:val="0"/>
                <w:kern w:val="2"/>
                <w:position w:val="0"/>
                <w:shd w:val="clear" w:fill="auto"/>
              </w:rPr>
            </w:pPr>
            <w:r>
              <w:rPr>
                <w:rFonts w:hint="default" w:ascii="Arial" w:hAnsi="Arial" w:eastAsia="Arial" w:cs="Arial"/>
                <w:b/>
                <w:color w:val="000000"/>
                <w:spacing w:val="0"/>
                <w:kern w:val="2"/>
                <w:position w:val="0"/>
                <w:sz w:val="18"/>
                <w:u w:val="single"/>
                <w:shd w:val="clear" w:fill="auto"/>
              </w:rPr>
              <w:t xml:space="preserve"> 742.72 </w:t>
            </w:r>
          </w:p>
        </w:tc>
        <w:tc>
          <w:tcPr>
            <w:tcW w:w="983" w:type="dxa"/>
            <w:tcBorders>
              <w:top w:val="single" w:color="000000" w:sz="12" w:space="0"/>
              <w:left w:val="single" w:color="000000" w:sz="0" w:space="0"/>
              <w:bottom w:val="single" w:color="000000" w:sz="12" w:space="0"/>
              <w:right w:val="single" w:color="000000" w:sz="0" w:space="0"/>
            </w:tcBorders>
            <w:shd w:val="clear" w:color="auto" w:fill="auto"/>
            <w:tcMar>
              <w:left w:w="12" w:type="dxa"/>
              <w:right w:w="12" w:type="dxa"/>
            </w:tcMar>
            <w:vAlign w:val="bottom"/>
          </w:tcPr>
          <w:p>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auto"/>
                <w:spacing w:val="0"/>
                <w:kern w:val="2"/>
                <w:position w:val="0"/>
                <w:sz w:val="22"/>
                <w:shd w:val="clear" w:fill="auto"/>
              </w:rPr>
            </w:pPr>
          </w:p>
        </w:tc>
      </w:tr>
    </w:tbl>
    <w:p>
      <w:pPr>
        <w:widowControl w:val="0"/>
        <w:spacing w:before="156" w:after="156" w:line="360" w:lineRule="auto"/>
        <w:ind w:left="0" w:right="0" w:firstLine="0"/>
        <w:jc w:val="both"/>
        <w:rPr>
          <w:rFonts w:ascii="仿宋" w:hAnsi="仿宋" w:eastAsia="仿宋" w:cs="仿宋"/>
          <w:color w:val="auto"/>
          <w:spacing w:val="0"/>
          <w:position w:val="0"/>
          <w:sz w:val="24"/>
          <w:shd w:val="clear" w:fill="auto"/>
        </w:rPr>
      </w:pPr>
    </w:p>
    <w:p>
      <w:pPr>
        <w:widowControl w:val="0"/>
        <w:spacing w:before="156" w:after="156" w:line="360" w:lineRule="auto"/>
        <w:ind w:left="0" w:right="0" w:firstLine="0"/>
        <w:jc w:val="left"/>
        <w:rPr>
          <w:rFonts w:ascii="仿宋" w:hAnsi="仿宋" w:eastAsia="仿宋" w:cs="仿宋"/>
          <w:color w:val="auto"/>
          <w:spacing w:val="0"/>
          <w:position w:val="0"/>
          <w:sz w:val="24"/>
          <w:shd w:val="clear" w:fill="auto"/>
        </w:rPr>
      </w:pPr>
    </w:p>
    <w:p>
      <w:pPr>
        <w:widowControl w:val="0"/>
        <w:spacing w:before="156" w:after="156" w:line="360" w:lineRule="auto"/>
        <w:ind w:left="0" w:right="0" w:firstLine="0"/>
        <w:jc w:val="left"/>
        <w:rPr>
          <w:rFonts w:ascii="仿宋" w:hAnsi="仿宋" w:eastAsia="仿宋" w:cs="仿宋"/>
          <w:color w:val="auto"/>
          <w:spacing w:val="0"/>
          <w:position w:val="0"/>
          <w:sz w:val="24"/>
          <w:shd w:val="clear" w:fill="auto"/>
        </w:rPr>
      </w:pP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由上表可知，本项目累计现金流量净额为 742.72万元，各年度累计现金流量净额均未出现负数现象，完全能够满足本次专项债券本息偿还要求。</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综上所述，本次芦山县老旧小区公共配套设施改建工程项目收益与融资自求平衡专项债券，在债券存续期内项目未来产生的现金流入对本次债券的本息形成了较好的覆盖性，项目本身能够达到自求平衡，能够满足本次债券本息偿还要求。</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（三）独立第三方专业机构进行评估意见</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1.中喜会计师事务出具的独立意见</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根据中喜会计师事务所（特殊普通合伙）四川分所出具的《关于芦山县老旧小区公共配套设施项目收益与融资自求平衡专项债券财务评估报告》（中喜川专审字[2019]第0065号），本次项目的评估结论如下：</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在发行人对项目收益预测及其所依据的各项假设前提下，本次评估的芦山县老旧小区公共配套设施项目预期各项收入扣除运营成本后的项目收益，能够合理保障偿还专项债券本金和利息，实现项目收益和融资自求平衡。</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2.四川鼎众律师事务所出具的独立意见</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 xml:space="preserve">四川鼎众律师事务所出具的《芦山县老旧小区公共配套设施项目    收益与融资自求平衡专项债券法律意见书》，本次项目的评估结论如下： </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（1）芦山县住房和城乡建设局是具有独立法人地位的机关法人单位，其具备作为本项目实施机构和项目业主的主体资格。</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（2）本项目是《产业结构调整目录（2011年本）》（2013年修正版）鼓励类项目。</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（3）本期债券投资项目具有较强的公益性且有收益，符合财预〔2017〕89号文关于“积极探索在有一定收益的公益性事业领域分类发行专项债券”的领域要求。</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（4）本期债券募集资金拟投资项目具有稳定的预期偿债资金来源，对应的专项收入能够保障偿还债券本金及利息，实现项目收益与融资自求平衡。</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（5）为本期债券发行提供服务的审计机构、法律顾问均具备相应的从业资质。</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五、项目融资计划</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（一）项目发行地方政府专项债券募集资金计划</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1.发行依据</w:t>
      </w:r>
    </w:p>
    <w:p>
      <w:pPr>
        <w:widowControl w:val="0"/>
        <w:spacing w:before="0" w:after="0" w:line="360" w:lineRule="auto"/>
        <w:ind w:left="0" w:right="0" w:firstLine="560"/>
        <w:jc w:val="both"/>
        <w:rPr>
          <w:rFonts w:hint="eastAsia"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（1）发行主体资格</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hint="eastAsia" w:ascii="仿宋" w:hAnsi="仿宋" w:eastAsia="仿宋" w:cs="仿宋"/>
          <w:color w:val="auto"/>
          <w:spacing w:val="0"/>
          <w:position w:val="0"/>
          <w:sz w:val="28"/>
          <w:shd w:val="clear" w:fill="auto"/>
        </w:rPr>
        <w:t>《中华人民共和国预算法》第三十五条规定，经国务院批准的省、自治区、直辖市的预算中必需的建设投资的部</w:t>
      </w:r>
      <w:r>
        <w:rPr>
          <w:rFonts w:ascii="仿宋" w:hAnsi="仿宋" w:eastAsia="仿宋" w:cs="仿宋"/>
          <w:color w:val="auto"/>
          <w:spacing w:val="0"/>
          <w:position w:val="0"/>
          <w:sz w:val="28"/>
          <w:shd w:val="clear" w:fill="auto"/>
        </w:rPr>
        <w:t>分资金，可以在国务院确定的限额内，通过发行地方政府债券举借债务的方式筹措。</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地方政府专项债务预算管理办法》（财预〔2016〕155号）第四条规定，设区的市、自治州，县、自治县、不设区的市、市辖区政府（以下简称市县级政府）确需发行专项债券的，由省、自治区、直辖市政府统一发行并转贷给市县级政府。</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（2）地方政府债务限额管理</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《中华人民共和国预算法》第三十五条规定，举借债务的规模，由国务院报全国人民代表大会或者全国人民代表大会常务委员会批准。</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地方政府专项债务预算管理办法》（财预〔2016〕155号）第十条规定，财政部在全国人民代表大会或其常委委员会批准的专项债务限额内，根据债务风险、财力状况等因素并统筹考虑国家调控政策、各地区公益性项目建设需求等，提出分地区专项债务限额及当年新增专项债务限额方案，报国务院批准后下达省级财政部门。</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地方政府专项债务预算管理办法》（财预〔2016〕155号）第十一条规定，省级财政部门在财政部下达的本地区专项债务限额内，根据债务风险、财力状况等因素并统筹考虑本地区公益性项目建设需求等，提出省本级及所辖各市县当年专项债务限额方案，报省、自治区、直辖市政府批准后下达市县级财政部门。</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财政部关于试点发展项目收益与融资自求平衡的地方政府专项债券品种的通知》（财预〔2017〕89号）规定，各地试点分类发行专项债券的规模，应当在国务院批准的专项债务限额内统筹安排，包括当年新增专项债务限额、上年末专项债务余额低于限额的部分。</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（3）地方政府债务预算管理</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《中华人民共和国预算法》第三十五条规定，省、自治区、直辖市依照国务院下达的限额举借的债务，列入本级预算调整方案，报本级人民代表大会常务委员会批准。</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《地方政府专项债务预算管理办法》（财预〔2016〕155号）第三条规定，专项债务收入、安排的支出、还本付息、发行费用纳入政府性基金预算管理。</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地方政府专项债务预算管理办法》（财预〔2016〕155号）第十三条规定，增加举借专项债务收入，以下内容应当列入预算调整方案：（一）省、自治区、直辖市在新增专项债务限额内筹措的专项债券收入；（二）市县级政府从上级政府转贷的专项债务收入。</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地方政府专项债务预算管理办法》（财预〔2016〕155号）第十八条规定，专项债务转贷下级政府的，财政部门应当在本级人民代表大会或其常务委员会批准后，及时将专项债务转贷的预算下达有关市县级财政部门。接受专项债务转贷的市县级政府在本级人民代表大会或其常务委员会批准后，应当及时与上级财政部门签订转贷协议。</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（4）建立地方政府债务应急处置机制</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中华人民共和国预算法》第三十五条第五款规定，国务院建立地方政府债务风险评估和预警机制、应急处置机制以及责任追究制度。《国务院关于加强地方政府性债务管理的意见》（国发〔2014〕43号）第四（二）点“建立债务风险应急处置机制”规定，各级政府要制定应急处置预案，建立责任追究机制。</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按照国务院办公厅10月27日印发的《国务院办公厅关于印发地方政府性债务风险应急处置预案的通知》（国办函〔2016〕88号）第7.1点规定，县级以上地方各级人民政府要结合实际制定当地债务风险应急处置预案。</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2.发行计划</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本次芦山县老旧小区公共配套设施改建工程项目专项债券发行计划如下表所示：</w:t>
      </w:r>
    </w:p>
    <w:p>
      <w:pPr>
        <w:spacing w:before="156" w:after="156" w:line="360" w:lineRule="auto"/>
        <w:ind w:left="0" w:right="0" w:firstLine="0"/>
        <w:jc w:val="center"/>
        <w:rPr>
          <w:rFonts w:ascii="仿宋" w:hAnsi="仿宋" w:eastAsia="仿宋" w:cs="仿宋"/>
          <w:color w:val="auto"/>
          <w:spacing w:val="0"/>
          <w:position w:val="0"/>
          <w:sz w:val="24"/>
          <w:shd w:val="clear" w:fill="auto"/>
        </w:rPr>
      </w:pPr>
      <w:r>
        <w:rPr>
          <w:rFonts w:ascii="仿宋" w:hAnsi="仿宋" w:eastAsia="仿宋" w:cs="仿宋"/>
          <w:color w:val="auto"/>
          <w:spacing w:val="0"/>
          <w:position w:val="0"/>
          <w:sz w:val="24"/>
          <w:shd w:val="clear" w:fill="auto"/>
        </w:rPr>
        <w:t>表5-1 本次债券发行计划（单位;万元）</w:t>
      </w:r>
    </w:p>
    <w:tbl>
      <w:tblPr>
        <w:tblStyle w:val="2"/>
        <w:tblW w:w="0" w:type="auto"/>
        <w:jc w:val="center"/>
        <w:tblLayout w:type="autofit"/>
        <w:tblCellMar>
          <w:top w:w="0" w:type="dxa"/>
          <w:left w:w="10" w:type="dxa"/>
          <w:bottom w:w="0" w:type="dxa"/>
          <w:right w:w="10" w:type="dxa"/>
        </w:tblCellMar>
      </w:tblPr>
      <w:tblGrid>
        <w:gridCol w:w="2680"/>
        <w:gridCol w:w="2765"/>
        <w:gridCol w:w="2536"/>
      </w:tblGrid>
      <w:tr>
        <w:tblPrEx>
          <w:tblCellMar>
            <w:top w:w="0" w:type="dxa"/>
            <w:left w:w="10" w:type="dxa"/>
            <w:bottom w:w="0" w:type="dxa"/>
            <w:right w:w="10" w:type="dxa"/>
          </w:tblCellMar>
        </w:tblPrEx>
        <w:trPr>
          <w:trHeight w:val="0" w:hRule="atLeast"/>
          <w:jc w:val="center"/>
        </w:trPr>
        <w:tc>
          <w:tcPr>
            <w:tcW w:w="2680"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21"/>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4"/>
                <w:shd w:val="clear" w:fill="auto"/>
              </w:rPr>
              <w:t>发行年份</w:t>
            </w:r>
          </w:p>
        </w:tc>
        <w:tc>
          <w:tcPr>
            <w:tcW w:w="2765"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21"/>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4"/>
                <w:shd w:val="clear" w:fill="auto"/>
              </w:rPr>
              <w:t>发行额度</w:t>
            </w:r>
          </w:p>
        </w:tc>
        <w:tc>
          <w:tcPr>
            <w:tcW w:w="2536"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21"/>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4"/>
                <w:shd w:val="clear" w:fill="auto"/>
              </w:rPr>
              <w:t>发行期限（年）</w:t>
            </w:r>
          </w:p>
        </w:tc>
      </w:tr>
      <w:tr>
        <w:tblPrEx>
          <w:tblCellMar>
            <w:top w:w="0" w:type="dxa"/>
            <w:left w:w="10" w:type="dxa"/>
            <w:bottom w:w="0" w:type="dxa"/>
            <w:right w:w="10" w:type="dxa"/>
          </w:tblCellMar>
        </w:tblPrEx>
        <w:trPr>
          <w:trHeight w:val="0" w:hRule="atLeast"/>
          <w:jc w:val="center"/>
        </w:trPr>
        <w:tc>
          <w:tcPr>
            <w:tcW w:w="2680"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18"/>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2020</w:t>
            </w:r>
          </w:p>
        </w:tc>
        <w:tc>
          <w:tcPr>
            <w:tcW w:w="2765"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18"/>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1,966.00</w:t>
            </w:r>
          </w:p>
        </w:tc>
        <w:tc>
          <w:tcPr>
            <w:tcW w:w="2536"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18"/>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15</w:t>
            </w:r>
          </w:p>
        </w:tc>
      </w:tr>
      <w:tr>
        <w:tblPrEx>
          <w:tblCellMar>
            <w:top w:w="0" w:type="dxa"/>
            <w:left w:w="10" w:type="dxa"/>
            <w:bottom w:w="0" w:type="dxa"/>
            <w:right w:w="10" w:type="dxa"/>
          </w:tblCellMar>
        </w:tblPrEx>
        <w:trPr>
          <w:trHeight w:val="0" w:hRule="atLeast"/>
          <w:jc w:val="center"/>
        </w:trPr>
        <w:tc>
          <w:tcPr>
            <w:tcW w:w="2680"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21"/>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4"/>
                <w:shd w:val="clear" w:fill="auto"/>
              </w:rPr>
              <w:t>合计</w:t>
            </w:r>
          </w:p>
        </w:tc>
        <w:tc>
          <w:tcPr>
            <w:tcW w:w="2765"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18"/>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1"/>
                <w:shd w:val="clear" w:fill="auto"/>
              </w:rPr>
              <w:t>1,966.00</w:t>
            </w:r>
          </w:p>
        </w:tc>
        <w:tc>
          <w:tcPr>
            <w:tcW w:w="2536" w:type="dxa"/>
            <w:tcBorders>
              <w:top w:val="single" w:color="000000" w:sz="12" w:space="0"/>
              <w:left w:val="single" w:color="000000" w:sz="0" w:space="0"/>
              <w:bottom w:val="single" w:color="000000" w:sz="12" w:space="0"/>
              <w:right w:val="single" w:color="000000" w:sz="0" w:space="0"/>
            </w:tcBorders>
            <w:shd w:val="clear" w:color="000000" w:fill="FFFFFF"/>
            <w:tcMar>
              <w:left w:w="108" w:type="dxa"/>
              <w:right w:w="108" w:type="dxa"/>
            </w:tcMar>
            <w:vAlign w:val="top"/>
          </w:tcPr>
          <w:p>
            <w:pPr>
              <w:keepNext w:val="0"/>
              <w:keepLines w:val="0"/>
              <w:suppressLineNumbers w:val="0"/>
              <w:spacing w:before="0" w:beforeAutospacing="0" w:after="0" w:afterAutospacing="0" w:line="360" w:lineRule="auto"/>
              <w:ind w:left="0" w:right="0" w:firstLine="21"/>
              <w:jc w:val="center"/>
              <w:rPr>
                <w:rFonts w:hint="default"/>
                <w:color w:val="auto"/>
                <w:spacing w:val="0"/>
                <w:kern w:val="2"/>
                <w:position w:val="0"/>
                <w:shd w:val="clear" w:fill="auto"/>
              </w:rPr>
            </w:pPr>
            <w:r>
              <w:rPr>
                <w:rFonts w:hint="default" w:ascii="仿宋" w:hAnsi="仿宋" w:eastAsia="仿宋" w:cs="仿宋"/>
                <w:color w:val="auto"/>
                <w:spacing w:val="0"/>
                <w:kern w:val="2"/>
                <w:position w:val="0"/>
                <w:sz w:val="24"/>
                <w:shd w:val="clear" w:fill="auto"/>
              </w:rPr>
              <w:t>-</w:t>
            </w:r>
          </w:p>
        </w:tc>
      </w:tr>
    </w:tbl>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3. 发行场所</w:t>
      </w:r>
    </w:p>
    <w:p>
      <w:pPr>
        <w:spacing w:before="0" w:after="0" w:line="360" w:lineRule="auto"/>
        <w:ind w:left="0" w:right="0" w:firstLine="560"/>
        <w:jc w:val="both"/>
        <w:rPr>
          <w:rFonts w:ascii="Arial" w:hAnsi="Arial" w:eastAsia="Arial" w:cs="Arial"/>
          <w:color w:val="000000"/>
          <w:spacing w:val="0"/>
          <w:position w:val="0"/>
          <w:sz w:val="28"/>
          <w:shd w:val="clear" w:fill="auto"/>
        </w:rPr>
      </w:pPr>
      <w:r>
        <w:rPr>
          <w:rFonts w:ascii="仿宋" w:hAnsi="仿宋" w:eastAsia="仿宋" w:cs="仿宋"/>
          <w:color w:val="auto"/>
          <w:spacing w:val="0"/>
          <w:position w:val="0"/>
          <w:sz w:val="28"/>
          <w:shd w:val="clear" w:fill="auto"/>
        </w:rPr>
        <w:t>通过全国银行间债券市场、证券交易所债券市场公开发行。</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4. 品种及数量</w:t>
      </w:r>
    </w:p>
    <w:p>
      <w:pPr>
        <w:spacing w:before="0" w:after="0" w:line="360" w:lineRule="auto"/>
        <w:ind w:left="0" w:right="0" w:firstLine="560"/>
        <w:jc w:val="both"/>
        <w:rPr>
          <w:rFonts w:ascii="Times New Roman" w:hAnsi="Times New Roman" w:eastAsia="Times New Roman" w:cs="Times New Roman"/>
          <w:color w:val="000000"/>
          <w:spacing w:val="0"/>
          <w:position w:val="0"/>
          <w:sz w:val="28"/>
          <w:shd w:val="clear" w:fill="auto"/>
        </w:rPr>
      </w:pPr>
      <w:r>
        <w:rPr>
          <w:rFonts w:ascii="宋体" w:hAnsi="宋体" w:eastAsia="宋体" w:cs="宋体"/>
          <w:color w:val="000000"/>
          <w:spacing w:val="0"/>
          <w:position w:val="0"/>
          <w:sz w:val="28"/>
          <w:shd w:val="clear" w:fill="auto"/>
        </w:rPr>
        <w:t>本项目为</w:t>
      </w:r>
      <w:r>
        <w:rPr>
          <w:rFonts w:ascii="仿宋" w:hAnsi="仿宋" w:eastAsia="仿宋" w:cs="仿宋"/>
          <w:color w:val="auto"/>
          <w:spacing w:val="0"/>
          <w:position w:val="0"/>
          <w:sz w:val="28"/>
          <w:shd w:val="clear" w:fill="auto"/>
        </w:rPr>
        <w:t>芦山县老旧小区公共配套设施改建工程项目</w:t>
      </w:r>
      <w:r>
        <w:rPr>
          <w:rFonts w:ascii="仿宋" w:hAnsi="仿宋" w:eastAsia="仿宋" w:cs="仿宋"/>
          <w:color w:val="000000"/>
          <w:spacing w:val="0"/>
          <w:position w:val="0"/>
          <w:sz w:val="28"/>
          <w:shd w:val="clear" w:fill="auto"/>
        </w:rPr>
        <w:t>专项债券，为</w:t>
      </w:r>
      <w:r>
        <w:rPr>
          <w:rFonts w:ascii="仿宋" w:hAnsi="仿宋" w:eastAsia="仿宋" w:cs="仿宋"/>
          <w:color w:val="auto"/>
          <w:spacing w:val="0"/>
          <w:position w:val="0"/>
          <w:sz w:val="28"/>
          <w:shd w:val="clear" w:fill="auto"/>
        </w:rPr>
        <w:t>15年期记账式固定利率附息债，计划发行面值总额为</w:t>
      </w:r>
      <w:r>
        <w:rPr>
          <w:rFonts w:ascii="Times New Roman" w:hAnsi="Times New Roman" w:eastAsia="Times New Roman" w:cs="Times New Roman"/>
          <w:color w:val="auto"/>
          <w:spacing w:val="0"/>
          <w:position w:val="0"/>
          <w:sz w:val="28"/>
          <w:shd w:val="clear" w:fill="auto"/>
        </w:rPr>
        <w:t>1,966.00</w:t>
      </w:r>
      <w:r>
        <w:rPr>
          <w:rFonts w:ascii="仿宋" w:hAnsi="仿宋" w:eastAsia="仿宋" w:cs="仿宋"/>
          <w:color w:val="000000"/>
          <w:spacing w:val="0"/>
          <w:position w:val="0"/>
          <w:sz w:val="28"/>
          <w:shd w:val="clear" w:fill="auto"/>
        </w:rPr>
        <w:t>万元，于</w:t>
      </w:r>
      <w:r>
        <w:rPr>
          <w:rFonts w:ascii="Times New Roman" w:hAnsi="Times New Roman" w:eastAsia="Times New Roman" w:cs="Times New Roman"/>
          <w:color w:val="000000"/>
          <w:spacing w:val="0"/>
          <w:position w:val="0"/>
          <w:sz w:val="28"/>
          <w:shd w:val="clear" w:fill="auto"/>
        </w:rPr>
        <w:t>2021</w:t>
      </w:r>
      <w:r>
        <w:rPr>
          <w:rFonts w:ascii="仿宋" w:hAnsi="仿宋" w:eastAsia="仿宋" w:cs="仿宋"/>
          <w:color w:val="000000"/>
          <w:spacing w:val="0"/>
          <w:position w:val="0"/>
          <w:sz w:val="28"/>
          <w:shd w:val="clear" w:fill="auto"/>
        </w:rPr>
        <w:t>年发行。</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5. 时间安排</w:t>
      </w:r>
    </w:p>
    <w:p>
      <w:pPr>
        <w:spacing w:before="0" w:after="0" w:line="360" w:lineRule="auto"/>
        <w:ind w:left="0" w:right="0" w:firstLine="560"/>
        <w:jc w:val="both"/>
        <w:rPr>
          <w:rFonts w:ascii="Arial" w:hAnsi="Arial" w:eastAsia="Arial" w:cs="Arial"/>
          <w:color w:val="000000"/>
          <w:spacing w:val="0"/>
          <w:position w:val="0"/>
          <w:sz w:val="28"/>
          <w:shd w:val="clear" w:fill="auto"/>
        </w:rPr>
      </w:pPr>
      <w:r>
        <w:rPr>
          <w:rFonts w:ascii="宋体" w:hAnsi="宋体" w:eastAsia="宋体" w:cs="宋体"/>
          <w:color w:val="000000"/>
          <w:spacing w:val="0"/>
          <w:position w:val="0"/>
          <w:sz w:val="28"/>
          <w:shd w:val="clear" w:fill="auto"/>
        </w:rPr>
        <w:t>按照省财政厅计划统一招标，发行日第二个自然日开始计息。</w:t>
      </w:r>
    </w:p>
    <w:p>
      <w:pPr>
        <w:spacing w:before="156" w:after="156" w:line="360" w:lineRule="auto"/>
        <w:ind w:left="0" w:right="0" w:firstLine="562"/>
        <w:jc w:val="both"/>
        <w:rPr>
          <w:rFonts w:ascii="Arial" w:hAnsi="Arial" w:eastAsia="Arial" w:cs="Arial"/>
          <w:color w:val="auto"/>
          <w:spacing w:val="0"/>
          <w:position w:val="0"/>
          <w:sz w:val="28"/>
          <w:shd w:val="clear" w:fill="auto"/>
        </w:rPr>
      </w:pPr>
      <w:r>
        <w:rPr>
          <w:rFonts w:ascii="仿宋" w:hAnsi="仿宋" w:eastAsia="仿宋" w:cs="仿宋"/>
          <w:b/>
          <w:color w:val="auto"/>
          <w:spacing w:val="0"/>
          <w:position w:val="0"/>
          <w:sz w:val="28"/>
          <w:shd w:val="clear" w:fill="auto"/>
        </w:rPr>
        <w:t>6. 上市安排</w:t>
      </w:r>
    </w:p>
    <w:p>
      <w:pPr>
        <w:spacing w:before="0" w:after="0" w:line="360" w:lineRule="auto"/>
        <w:ind w:left="0" w:right="0" w:firstLine="560"/>
        <w:jc w:val="both"/>
        <w:rPr>
          <w:rFonts w:ascii="Arial" w:hAnsi="Arial" w:eastAsia="Arial" w:cs="Arial"/>
          <w:color w:val="000000"/>
          <w:spacing w:val="0"/>
          <w:position w:val="0"/>
          <w:sz w:val="28"/>
          <w:shd w:val="clear" w:fill="auto"/>
        </w:rPr>
      </w:pPr>
      <w:r>
        <w:rPr>
          <w:rFonts w:ascii="宋体" w:hAnsi="宋体" w:eastAsia="宋体" w:cs="宋体"/>
          <w:color w:val="000000"/>
          <w:spacing w:val="0"/>
          <w:position w:val="0"/>
          <w:sz w:val="28"/>
          <w:shd w:val="clear" w:fill="auto"/>
        </w:rPr>
        <w:t>按照有关规定进行上市交易。</w:t>
      </w:r>
    </w:p>
    <w:p>
      <w:pPr>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7. 兑付安排</w:t>
      </w:r>
    </w:p>
    <w:p>
      <w:pPr>
        <w:spacing w:before="0" w:after="0" w:line="360" w:lineRule="auto"/>
        <w:ind w:left="0" w:right="0" w:firstLine="560"/>
        <w:jc w:val="both"/>
        <w:rPr>
          <w:rFonts w:ascii="Arial" w:hAnsi="Arial" w:eastAsia="Arial" w:cs="Arial"/>
          <w:color w:val="000000"/>
          <w:spacing w:val="0"/>
          <w:position w:val="0"/>
          <w:sz w:val="28"/>
          <w:shd w:val="clear" w:fill="auto"/>
        </w:rPr>
      </w:pPr>
      <w:r>
        <w:rPr>
          <w:rFonts w:ascii="宋体" w:hAnsi="宋体" w:eastAsia="宋体" w:cs="宋体"/>
          <w:color w:val="000000"/>
          <w:spacing w:val="0"/>
          <w:position w:val="0"/>
          <w:sz w:val="28"/>
          <w:shd w:val="clear" w:fill="auto"/>
        </w:rPr>
        <w:t>利息半年支付一次，以最后发行上市日期为准，按期支付利息，到期日最后一年偿还本金并支付最后一次利息。各期债券由四川省财政厅支付发行手续费，并办理还本付息事宜。</w:t>
      </w:r>
    </w:p>
    <w:p>
      <w:pPr>
        <w:spacing w:before="156" w:after="156" w:line="360" w:lineRule="auto"/>
        <w:ind w:left="0" w:right="0" w:firstLine="562"/>
        <w:jc w:val="both"/>
        <w:rPr>
          <w:rFonts w:ascii="Arial" w:hAnsi="Arial" w:eastAsia="Arial" w:cs="Arial"/>
          <w:color w:val="auto"/>
          <w:spacing w:val="0"/>
          <w:position w:val="0"/>
          <w:sz w:val="28"/>
          <w:shd w:val="clear" w:fill="auto"/>
        </w:rPr>
      </w:pPr>
      <w:r>
        <w:rPr>
          <w:rFonts w:ascii="仿宋" w:hAnsi="仿宋" w:eastAsia="仿宋" w:cs="仿宋"/>
          <w:b/>
          <w:color w:val="auto"/>
          <w:spacing w:val="0"/>
          <w:position w:val="0"/>
          <w:sz w:val="28"/>
          <w:shd w:val="clear" w:fill="auto"/>
        </w:rPr>
        <w:t>8. 发行费</w:t>
      </w:r>
    </w:p>
    <w:p>
      <w:pPr>
        <w:spacing w:before="0" w:after="0" w:line="360" w:lineRule="auto"/>
        <w:ind w:left="0" w:right="0" w:firstLine="560"/>
        <w:jc w:val="both"/>
        <w:rPr>
          <w:rFonts w:ascii="Arial" w:hAnsi="Arial" w:eastAsia="Arial" w:cs="Arial"/>
          <w:color w:val="000000"/>
          <w:spacing w:val="0"/>
          <w:position w:val="0"/>
          <w:sz w:val="28"/>
          <w:shd w:val="clear" w:fill="auto"/>
        </w:rPr>
      </w:pPr>
      <w:r>
        <w:rPr>
          <w:rFonts w:ascii="宋体" w:hAnsi="宋体" w:eastAsia="宋体" w:cs="宋体"/>
          <w:color w:val="000000"/>
          <w:spacing w:val="0"/>
          <w:position w:val="0"/>
          <w:sz w:val="28"/>
          <w:shd w:val="clear" w:fill="auto"/>
        </w:rPr>
        <w:t>发行费用包括债券发行手续费，等级服务费、会计事务所、律师事务所等费用。四川省财政厅支付债券发行手续费。</w:t>
      </w:r>
    </w:p>
    <w:p>
      <w:pPr>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9. 招投标</w:t>
      </w:r>
    </w:p>
    <w:p>
      <w:pPr>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（1）招标方式：招标总量1,966.00万元，采用单一价格荷兰式招标方式，标的为利率，全场最高中标利率为债券的票面利率。</w:t>
      </w:r>
    </w:p>
    <w:p>
      <w:pPr>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2）标位限定：每一承销团成员最高、最低标位差为30个标位，无需连续投标。投标标位区间下限为中国债券信息网公布的中债国债收益率曲线中，招标日前1至5个工作日（含第1和第5个工作日）相同待偿期国债收益率的算术平均值，上限为该平均值上浮20%（四舍五入计算到0.01%）。</w:t>
      </w:r>
    </w:p>
    <w:p>
      <w:pPr>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（3）时间安排：竞争性招标结束后15分钟内为填制债权托管申请书时间。</w:t>
      </w:r>
    </w:p>
    <w:p>
      <w:pPr>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（4）参与机构：2021年四川省政府债券承销团成员有资格参与本次投标。</w:t>
      </w:r>
    </w:p>
    <w:p>
      <w:pPr>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（5）招标系统：四川省财政厅于招标日通过财政部上海证券交易所政府债券发行系统组织招投标工作。</w:t>
      </w:r>
    </w:p>
    <w:p>
      <w:pPr>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10. 分销</w:t>
      </w:r>
    </w:p>
    <w:p>
      <w:pPr>
        <w:spacing w:before="0" w:after="0" w:line="360" w:lineRule="auto"/>
        <w:ind w:left="0" w:right="0" w:firstLine="560"/>
        <w:jc w:val="both"/>
        <w:rPr>
          <w:rFonts w:ascii="Arial" w:hAnsi="Arial" w:eastAsia="Arial" w:cs="Arial"/>
          <w:color w:val="000000"/>
          <w:spacing w:val="0"/>
          <w:position w:val="0"/>
          <w:sz w:val="28"/>
          <w:shd w:val="clear" w:fill="auto"/>
        </w:rPr>
      </w:pPr>
      <w:r>
        <w:rPr>
          <w:rFonts w:ascii="宋体" w:hAnsi="宋体" w:eastAsia="宋体" w:cs="宋体"/>
          <w:color w:val="000000"/>
          <w:spacing w:val="0"/>
          <w:position w:val="0"/>
          <w:sz w:val="28"/>
          <w:shd w:val="clear" w:fill="auto"/>
        </w:rPr>
        <w:t>债券采取场内挂牌和场外签订分销合同的方式分销，可于招投标结束至缴款日进行分销。承销机构间不得分销。承销机构根据市场情况自定分销价格。</w:t>
      </w:r>
    </w:p>
    <w:p>
      <w:pPr>
        <w:spacing w:before="156" w:after="156" w:line="360" w:lineRule="auto"/>
        <w:ind w:left="0" w:right="0" w:firstLine="562"/>
        <w:jc w:val="both"/>
        <w:rPr>
          <w:rFonts w:ascii="Arial" w:hAnsi="Arial" w:eastAsia="Arial" w:cs="Arial"/>
          <w:color w:val="auto"/>
          <w:spacing w:val="0"/>
          <w:position w:val="0"/>
          <w:sz w:val="28"/>
          <w:shd w:val="clear" w:fill="auto"/>
        </w:rPr>
      </w:pPr>
      <w:r>
        <w:rPr>
          <w:rFonts w:ascii="仿宋" w:hAnsi="仿宋" w:eastAsia="仿宋" w:cs="仿宋"/>
          <w:b/>
          <w:color w:val="auto"/>
          <w:spacing w:val="0"/>
          <w:position w:val="0"/>
          <w:sz w:val="28"/>
          <w:shd w:val="clear" w:fill="auto"/>
        </w:rPr>
        <w:t>11. 发行款缴纳</w:t>
      </w:r>
    </w:p>
    <w:p>
      <w:pPr>
        <w:spacing w:before="0" w:after="0" w:line="360" w:lineRule="auto"/>
        <w:ind w:left="0" w:right="0" w:firstLine="560"/>
        <w:jc w:val="both"/>
        <w:rPr>
          <w:rFonts w:ascii="仿宋" w:hAnsi="仿宋" w:eastAsia="仿宋" w:cs="仿宋"/>
          <w:color w:val="000000"/>
          <w:spacing w:val="0"/>
          <w:position w:val="0"/>
          <w:sz w:val="28"/>
          <w:shd w:val="clear" w:fill="auto"/>
        </w:rPr>
      </w:pPr>
      <w:r>
        <w:rPr>
          <w:rFonts w:ascii="仿宋" w:hAnsi="仿宋" w:eastAsia="仿宋" w:cs="仿宋"/>
          <w:color w:val="000000"/>
          <w:spacing w:val="0"/>
          <w:position w:val="0"/>
          <w:sz w:val="28"/>
          <w:shd w:val="clear" w:fill="auto"/>
        </w:rPr>
        <w:t>承销机构按照承销额度及缴款通知书上确定金额将发行款通过大额实时支付系统缴入四川省财政厅指定账户。缴款日期以四川省财政厅指定账户收到款项时间为准。承销机构未按时缴付发行款的，按规定将违约金通过大额实时支付系统缴入四川省财政厅指定账户。支付报文中附言为必录项，填写时应当注明缴款机构名称、债券名称及资金用途，如：</w:t>
      </w:r>
      <w:r>
        <w:rPr>
          <w:rFonts w:ascii="仿宋" w:hAnsi="仿宋" w:eastAsia="仿宋" w:cs="仿宋"/>
          <w:color w:val="auto"/>
          <w:spacing w:val="0"/>
          <w:position w:val="0"/>
          <w:sz w:val="28"/>
          <w:shd w:val="clear" w:fill="auto"/>
        </w:rPr>
        <w:t>芦山县住房和城乡建设局</w:t>
      </w:r>
      <w:r>
        <w:rPr>
          <w:rFonts w:ascii="仿宋" w:hAnsi="仿宋" w:eastAsia="仿宋" w:cs="仿宋"/>
          <w:color w:val="000000"/>
          <w:spacing w:val="0"/>
          <w:position w:val="0"/>
          <w:sz w:val="28"/>
          <w:shd w:val="clear" w:fill="auto"/>
        </w:rPr>
        <w:t>2021年</w:t>
      </w:r>
      <w:r>
        <w:rPr>
          <w:rFonts w:ascii="仿宋" w:hAnsi="仿宋" w:eastAsia="仿宋" w:cs="仿宋"/>
          <w:color w:val="auto"/>
          <w:spacing w:val="0"/>
          <w:position w:val="0"/>
          <w:sz w:val="28"/>
          <w:shd w:val="clear" w:fill="auto"/>
        </w:rPr>
        <w:t>芦山县老旧小区公共配套设施改建工程</w:t>
      </w:r>
      <w:r>
        <w:rPr>
          <w:rFonts w:ascii="仿宋" w:hAnsi="仿宋" w:eastAsia="仿宋" w:cs="仿宋"/>
          <w:color w:val="000000"/>
          <w:spacing w:val="0"/>
          <w:position w:val="0"/>
          <w:sz w:val="28"/>
          <w:shd w:val="clear" w:fill="auto"/>
        </w:rPr>
        <w:t>专项债券发行款（或逾期违约金）。</w:t>
      </w:r>
    </w:p>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（二）专项债券投资者保护措施</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1.发行人和主承销商应在债券发行前，按要求对项目实施方案、专项债券项目合同、项目入库情况、建设运营情况及本期债券可能存在的风险等事项进行充分披露。</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2.发行人和主承销商应在债券存续期内，定期在中国债券信息网等相关媒体上公告或向投资者通报项目建设进度、项目合同履约情况、运营服务绩效评价结果等信息。</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3.债券存续期内，项目建设、运营情况发生重大变化或发行人发生对投资者有重大影响的事项，应按照规定或约定履行程序，并及时公告或通报。</w:t>
      </w:r>
    </w:p>
    <w:p>
      <w:pPr>
        <w:tabs>
          <w:tab w:val="left" w:pos="476"/>
        </w:tabs>
        <w:spacing w:before="156" w:after="156" w:line="360" w:lineRule="auto"/>
        <w:ind w:left="0" w:right="0" w:firstLine="640"/>
        <w:jc w:val="left"/>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六、潜在影响项目收益和融资平衡结果的各种风险评估</w:t>
      </w:r>
    </w:p>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（一）影响项目施工进度或正常运营的风险及控制措施</w:t>
      </w:r>
    </w:p>
    <w:p>
      <w:pPr>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 自然、地质灾害风险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因自然力的不规则变化产生的现象所导致危害经济活动，物质生产或生命安全的风险。如地震，水灾，火灾等,可能会对业主单位的财产、人员造成损害，影响业主单位的经营和项目的正常实施进度。</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控制措施：自然风险的发生具有随机性和不可预见性，属于不可抗力的范畴。为规避自然风险和控制损失，对项目所在地的自然环境进行充分的可行性论证，减少不良地质灾害和外界因素对项目的影响。</w:t>
      </w:r>
    </w:p>
    <w:p>
      <w:pPr>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2.来源于施工方的风险因素</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施工方因为工程地质条件、水文地质条件发生重大变化，或者对实施条件估计不足，或者受限于施工技术和项目管理能力，导致工程量增加、投资增加、工期拖长的风险。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业主单位委托有资质、有实力、工程施工经验丰富的施工单位进行施工，施工单位应健全完善施工安全制度，加强对施工人员的安全培训，现场由专人负责施工安全，杜绝安全事故,保障项目的顺利进行。施工单位、建设单位及其他相关部门在整个项目建设过程中应充分沟通协商，密切配合，确保各项安全防护措施的落实，并制定应急预案应对突发情况，最大限度的减少工程施工安全造成的风险。</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3.来源于设计单位的风险因素</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设计单位风险主要来源于：设计内容违反建设程序、国家法律法规、设计错误和疏漏、设计深度不足和设计水平不高导致等风险造成工程质量达不到预期，导致成本增加。</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控制措施：项目在选择设计方时，选择实力较强的设计单位进行设计，设计方案需经过有关部门根据国家相关规范文件审核后才能实施。</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4.来源于供应商的风险因素</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来源于供应商的风险主要表现为供应商不按时交付货物/服务以及瑕疵履行的行为。供应商在资信或是能力存在不足或是失误，都将会导致相关货物/服务在交付时间上不满足预期要求，或是出现质量不合格的问题。</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组织政府采购时，对供应商的资质、商业信誉和财务会计制度进行严格审查，并且通过增加供应商违约成本和保证金制度来降低风险；与供应商建立了长期稳定合作关系，保证交付货物的充足性和交付服务的及时性；形成供应商优胜劣汰的选择机制，激励供应商诚信服务；拓宽供应渠道，做好应急备选方案，保证项目正常实施进度。</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5.资金落实风险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项目建设资金需求量大，回款周期长。资金是否按时到位是确保本建设项目顺利实施的基础。资金短缺或者营运资金不足将直接影响到项目建设、销售的预期进度。</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在充分掌握政策环境、宏观经济形势、利率变动情况后，当地政府和业主单位坚决贯彻关于资本金的相关规定，保证资本金足额按时到位。政府积极构建地方政府债券风险防范机制、信用社会评价机制和地方信息披露机制。对债券发行信息进行定期公开，广泛收集投资者各方意见，为政府决策提供更多参考，政府决策也为投资者选择提供更多参考。</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6.工程事故风险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 xml:space="preserve">本项目建设实施过程中的工程机械操作和工作环境有一定危险性。如果安全管理某个环节发生疏忽，或人员操作不当，或物品保管不当，或自然灾害等原因，均可能发生安全事故，影响实施进度并可能造成较大的经济损失和社会影响。 </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做好现场的安全管理工作，防范各类安全事故的发生。加强对工程和人员安全防护措施，确保实施人员的人身安全以及机械设备的安全。业主单加强内部管理，实行岗前和继续培训，提高职工的安全意识，将安全管理落实到细节。施工前施工单位应签订安全监护协议或施工配合协议，施工现场监护人员并按时上岗，严格制定施工计划，提早办理好相关审批手续。未接到施工命令及未设好防护不得施工。</w:t>
      </w:r>
    </w:p>
    <w:p>
      <w:pPr>
        <w:tabs>
          <w:tab w:val="left" w:pos="476"/>
        </w:tabs>
        <w:spacing w:before="156" w:after="156" w:line="360" w:lineRule="auto"/>
        <w:ind w:left="0" w:right="0" w:firstLine="0"/>
        <w:jc w:val="both"/>
        <w:rPr>
          <w:rFonts w:ascii="仿宋" w:hAnsi="仿宋" w:eastAsia="仿宋" w:cs="仿宋"/>
          <w:color w:val="auto"/>
          <w:spacing w:val="0"/>
          <w:position w:val="0"/>
          <w:sz w:val="30"/>
          <w:shd w:val="clear" w:fill="auto"/>
        </w:rPr>
      </w:pPr>
      <w:r>
        <w:rPr>
          <w:rFonts w:ascii="仿宋" w:hAnsi="仿宋" w:eastAsia="仿宋" w:cs="仿宋"/>
          <w:b/>
          <w:color w:val="auto"/>
          <w:spacing w:val="0"/>
          <w:position w:val="0"/>
          <w:sz w:val="30"/>
          <w:shd w:val="clear" w:fill="auto"/>
        </w:rPr>
        <w:t>（二）影响项目收益的风险及控制措施</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1.经营风险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经营风险是指业主单位在项目建设过程中，受到房地产市场发展运行状况、经营决策失误、经营管理不善、管理效率低下、政策环境变化的影响，可能持续经营出现困难。</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控制措施：合理设计业主单位的管理模式、选择适当的管理者和加强团队建设是规避经营风险的重要措施。密切关注业主单位的经营状况，实行全面的跟踪管理，要求出现经营风险及时上报，及时处置。</w:t>
      </w:r>
    </w:p>
    <w:p>
      <w:pPr>
        <w:widowControl w:val="0"/>
        <w:spacing w:before="156" w:after="156" w:line="360" w:lineRule="auto"/>
        <w:ind w:left="0" w:right="0" w:firstLine="562"/>
        <w:jc w:val="both"/>
        <w:rPr>
          <w:rFonts w:ascii="仿宋" w:hAnsi="仿宋" w:eastAsia="仿宋" w:cs="仿宋"/>
          <w:b/>
          <w:color w:val="auto"/>
          <w:spacing w:val="0"/>
          <w:position w:val="0"/>
          <w:sz w:val="28"/>
          <w:shd w:val="clear" w:fill="auto"/>
        </w:rPr>
      </w:pPr>
      <w:r>
        <w:rPr>
          <w:rFonts w:ascii="仿宋" w:hAnsi="仿宋" w:eastAsia="仿宋" w:cs="仿宋"/>
          <w:b/>
          <w:color w:val="auto"/>
          <w:spacing w:val="0"/>
          <w:position w:val="0"/>
          <w:sz w:val="28"/>
          <w:shd w:val="clear" w:fill="auto"/>
        </w:rPr>
        <w:t>2.市场风险</w:t>
      </w:r>
    </w:p>
    <w:p>
      <w:pPr>
        <w:spacing w:before="0" w:after="0" w:line="240" w:lineRule="auto"/>
        <w:ind w:left="0" w:right="0" w:firstLine="560"/>
        <w:jc w:val="left"/>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市场风险主要是指项目建成投入使用后对市场的适应情况。项目进入市场后根据市场竞争状况、。需求的变化等都会对项目的市场前景造成影响。</w:t>
      </w:r>
    </w:p>
    <w:p>
      <w:pPr>
        <w:spacing w:before="0" w:after="0" w:line="240" w:lineRule="auto"/>
        <w:ind w:left="0" w:right="0" w:firstLine="560"/>
        <w:jc w:val="left"/>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控制对策：对项目预期无法达到，投资者在项目建设前就应该建立起风险控制机制，如风险监督机制和风险报告制度，根据不同的风险采取保险和风险分散等策略。</w:t>
      </w:r>
    </w:p>
    <w:p>
      <w:pPr>
        <w:tabs>
          <w:tab w:val="left" w:pos="476"/>
        </w:tabs>
        <w:spacing w:before="156" w:after="156" w:line="360" w:lineRule="auto"/>
        <w:ind w:left="0" w:right="0" w:firstLine="0"/>
        <w:jc w:val="both"/>
        <w:rPr>
          <w:rFonts w:ascii="仿宋" w:hAnsi="仿宋" w:eastAsia="仿宋" w:cs="仿宋"/>
          <w:b/>
          <w:color w:val="auto"/>
          <w:spacing w:val="0"/>
          <w:position w:val="0"/>
          <w:sz w:val="30"/>
          <w:shd w:val="clear" w:fill="auto"/>
        </w:rPr>
      </w:pPr>
      <w:r>
        <w:rPr>
          <w:rFonts w:ascii="仿宋" w:hAnsi="仿宋" w:eastAsia="仿宋" w:cs="仿宋"/>
          <w:b/>
          <w:color w:val="auto"/>
          <w:spacing w:val="0"/>
          <w:position w:val="0"/>
          <w:sz w:val="30"/>
          <w:shd w:val="clear" w:fill="auto"/>
        </w:rPr>
        <w:t>（三）影响融资平衡结果的风险及控制措施</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1.投资测算不准确风险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本项目虽然对项目的投资进行了估算，但是由于设计方案未完全确定，使得主要工程的工程量与实际情况可能存在一定的偏差，同时，由于本项目现阶段的估价是依据当前造价信息进行估算，随着项目时间的推移和市场的变化，项目在实施的造价与现阶段依据的造价会存在一定差距，从而最终导致投资估算的不正确，产生估算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根据稳健性原则，在进行投资估算时，考虑了资料和数据的基本准确性，在此基础上，适当考虑一定比例的不可预见费。在实施过程中应对规划建设方案进行明确并尽量优化，力图减少不必要的工程量，减少投资。如发现产生对估算投资重大影响的变化，应及时调整估算投资，确保项目正常实施。</w:t>
      </w:r>
    </w:p>
    <w:p>
      <w:pPr>
        <w:widowControl w:val="0"/>
        <w:spacing w:before="156" w:after="156" w:line="360" w:lineRule="auto"/>
        <w:ind w:left="0" w:right="0" w:firstLine="562"/>
        <w:jc w:val="both"/>
        <w:rPr>
          <w:rFonts w:ascii="仿宋" w:hAnsi="仿宋" w:eastAsia="仿宋" w:cs="仿宋"/>
          <w:color w:val="auto"/>
          <w:spacing w:val="0"/>
          <w:position w:val="0"/>
          <w:sz w:val="28"/>
          <w:shd w:val="clear" w:fill="auto"/>
        </w:rPr>
      </w:pPr>
      <w:r>
        <w:rPr>
          <w:rFonts w:ascii="仿宋" w:hAnsi="仿宋" w:eastAsia="仿宋" w:cs="仿宋"/>
          <w:b/>
          <w:color w:val="auto"/>
          <w:spacing w:val="0"/>
          <w:position w:val="0"/>
          <w:sz w:val="28"/>
          <w:shd w:val="clear" w:fill="auto"/>
        </w:rPr>
        <w:t>2.利率波动风险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利率波动风险，是指由于市场利率变动对债券投资收益影响的可能性。利率风险是债券投资中的最重要的风险，可分为价格风险和再投资风险两部分。价格风险：市场利率与债券价格呈反向变化，债券期限越长，价格变动幅度越大；二是债券的息票利率越低，价格波动幅度越大：再投资风险。这种风险主要产生于附息式债券，因为附息式债券的本金到期才能归还，利息则是按一定时期支付，造成投资者再投资风险。</w:t>
      </w:r>
    </w:p>
    <w:p>
      <w:pPr>
        <w:widowControl w:val="0"/>
        <w:spacing w:before="0" w:after="0" w:line="36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控制措施：收集可能影响市场变动的因素和规律，对市场利率做出科学合理的预测，根据发债类型发债期限采取分散债券的期限，长短期配合。</w:t>
      </w:r>
    </w:p>
    <w:p>
      <w:pPr>
        <w:tabs>
          <w:tab w:val="left" w:pos="476"/>
        </w:tabs>
        <w:spacing w:before="156" w:after="156" w:line="360" w:lineRule="auto"/>
        <w:ind w:left="0" w:right="0" w:firstLine="640"/>
        <w:jc w:val="left"/>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七、还款保障情况</w:t>
      </w:r>
    </w:p>
    <w:p>
      <w:pPr>
        <w:widowControl w:val="0"/>
        <w:spacing w:before="0" w:after="0" w:line="360" w:lineRule="auto"/>
        <w:ind w:left="0" w:right="0" w:firstLine="567"/>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重可变现资产、调整预算支出结构等方式筹集资金偿还债务。未按时足额向省财政缴纳专项债券还本付息资金的，省财政采取适当方式扣回。</w:t>
      </w:r>
    </w:p>
    <w:p>
      <w:pPr>
        <w:tabs>
          <w:tab w:val="left" w:pos="476"/>
        </w:tabs>
        <w:spacing w:before="0" w:after="156" w:line="576" w:lineRule="auto"/>
        <w:ind w:left="0" w:right="0" w:firstLine="640"/>
        <w:jc w:val="left"/>
        <w:rPr>
          <w:rFonts w:ascii="Times New Roman" w:hAnsi="Times New Roman" w:eastAsia="Times New Roman" w:cs="Times New Roman"/>
          <w:color w:val="auto"/>
          <w:spacing w:val="0"/>
          <w:position w:val="0"/>
          <w:sz w:val="22"/>
          <w:shd w:val="clear" w:fill="auto"/>
        </w:rPr>
      </w:pPr>
      <w:r>
        <w:rPr>
          <w:rFonts w:ascii="宋体" w:hAnsi="宋体" w:eastAsia="宋体" w:cs="宋体"/>
          <w:color w:val="auto"/>
          <w:spacing w:val="0"/>
          <w:position w:val="0"/>
          <w:sz w:val="32"/>
          <w:shd w:val="clear" w:fill="auto"/>
        </w:rPr>
        <w:t>八、</w:t>
      </w:r>
      <w:r>
        <w:rPr>
          <w:rFonts w:ascii="宋体" w:hAnsi="宋体" w:eastAsia="宋体" w:cs="宋体"/>
          <w:color w:val="auto"/>
          <w:spacing w:val="0"/>
          <w:position w:val="0"/>
          <w:sz w:val="22"/>
          <w:shd w:val="clear" w:fill="auto"/>
        </w:rPr>
        <w:t>主管部门和项目单位职责</w:t>
      </w:r>
    </w:p>
    <w:p>
      <w:pPr>
        <w:widowControl w:val="0"/>
        <w:spacing w:before="0" w:after="0" w:line="576" w:lineRule="auto"/>
        <w:ind w:left="0" w:right="0" w:firstLine="560"/>
        <w:jc w:val="both"/>
        <w:rPr>
          <w:rFonts w:ascii="Times New Roman" w:hAnsi="Times New Roman" w:eastAsia="Times New Roman" w:cs="Times New Roman"/>
          <w:color w:val="auto"/>
          <w:spacing w:val="0"/>
          <w:position w:val="0"/>
          <w:sz w:val="28"/>
          <w:shd w:val="clear" w:fill="auto"/>
        </w:rPr>
      </w:pPr>
      <w:r>
        <w:rPr>
          <w:rFonts w:ascii="宋体" w:hAnsi="宋体" w:eastAsia="宋体" w:cs="宋体"/>
          <w:color w:val="auto"/>
          <w:spacing w:val="0"/>
          <w:position w:val="0"/>
          <w:sz w:val="28"/>
          <w:shd w:val="clear" w:fill="auto"/>
        </w:rPr>
        <w:t>本项目主管部门为芦山县</w:t>
      </w:r>
      <w:r>
        <w:rPr>
          <w:rFonts w:ascii="仿宋" w:hAnsi="仿宋" w:eastAsia="仿宋" w:cs="仿宋"/>
          <w:color w:val="auto"/>
          <w:spacing w:val="0"/>
          <w:position w:val="0"/>
          <w:sz w:val="28"/>
          <w:shd w:val="clear" w:fill="auto"/>
        </w:rPr>
        <w:t>芦山县住房和城乡建设局，对本项目建设过程进行监督。业主单位为</w:t>
      </w:r>
      <w:r>
        <w:rPr>
          <w:rFonts w:ascii="宋体" w:hAnsi="宋体" w:eastAsia="宋体" w:cs="宋体"/>
          <w:color w:val="auto"/>
          <w:spacing w:val="0"/>
          <w:position w:val="0"/>
          <w:sz w:val="28"/>
          <w:shd w:val="clear" w:fill="auto"/>
        </w:rPr>
        <w:t>芦山县</w:t>
      </w:r>
      <w:r>
        <w:rPr>
          <w:rFonts w:ascii="仿宋" w:hAnsi="仿宋" w:eastAsia="仿宋" w:cs="仿宋"/>
          <w:color w:val="auto"/>
          <w:spacing w:val="0"/>
          <w:position w:val="0"/>
          <w:sz w:val="28"/>
          <w:shd w:val="clear" w:fill="auto"/>
        </w:rPr>
        <w:t>芦山县住房和城乡建设局。主管部门对信息披露材料的真实性、完整性、准确性负责。主管部门将会配合做好项目专项债券发行准备工作，认真审核该项目资金需求，及时准确提供相关资料，配合做好信息披露、信用评级等工作。项目运行过程中，主管部门将主动披露项目施工期间的施工进度、专项债券资金使用情况、项目运营期间的收支情况等信息。在债券资金管理方面，行业主管部门将会履行项目建设运营管理责任，加强成本控制，确保项目形成的专项收入应收尽收</w:t>
      </w:r>
      <w:r>
        <w:rPr>
          <w:rFonts w:ascii="Times New Roman" w:hAnsi="Times New Roman" w:eastAsia="Times New Roman" w:cs="Times New Roman"/>
          <w:color w:val="auto"/>
          <w:spacing w:val="0"/>
          <w:position w:val="0"/>
          <w:sz w:val="28"/>
          <w:shd w:val="clear" w:fill="auto"/>
        </w:rPr>
        <w:t>,</w:t>
      </w:r>
      <w:r>
        <w:rPr>
          <w:rFonts w:ascii="仿宋" w:hAnsi="仿宋" w:eastAsia="仿宋" w:cs="仿宋"/>
          <w:color w:val="auto"/>
          <w:spacing w:val="0"/>
          <w:position w:val="0"/>
          <w:sz w:val="28"/>
          <w:shd w:val="clear" w:fill="auto"/>
        </w:rPr>
        <w:t>并按照规定及时足额上交。债券对应资产管理方面，主管部门将会协同财政部门将各类项目收益专项债券对应项目形成的资产纳入国有资产管理，建立相应的资产登记和统计报告制度</w:t>
      </w:r>
      <w:r>
        <w:rPr>
          <w:rFonts w:ascii="Times New Roman" w:hAnsi="Times New Roman" w:eastAsia="Times New Roman" w:cs="Times New Roman"/>
          <w:color w:val="auto"/>
          <w:spacing w:val="0"/>
          <w:position w:val="0"/>
          <w:sz w:val="28"/>
          <w:shd w:val="clear" w:fill="auto"/>
        </w:rPr>
        <w:t>,</w:t>
      </w:r>
      <w:r>
        <w:rPr>
          <w:rFonts w:ascii="仿宋" w:hAnsi="仿宋" w:eastAsia="仿宋" w:cs="仿宋"/>
          <w:color w:val="auto"/>
          <w:spacing w:val="0"/>
          <w:position w:val="0"/>
          <w:sz w:val="28"/>
          <w:shd w:val="clear" w:fill="auto"/>
        </w:rPr>
        <w:t>加强资产日常统计和动态监控。</w:t>
      </w:r>
    </w:p>
    <w:p>
      <w:pPr>
        <w:spacing w:before="0" w:after="0" w:line="576" w:lineRule="auto"/>
        <w:ind w:left="0" w:right="0" w:firstLine="640"/>
        <w:jc w:val="both"/>
        <w:rPr>
          <w:rFonts w:ascii="Times New Roman" w:hAnsi="Times New Roman" w:eastAsia="Times New Roman" w:cs="Times New Roman"/>
          <w:color w:val="auto"/>
          <w:spacing w:val="0"/>
          <w:position w:val="0"/>
          <w:sz w:val="32"/>
          <w:shd w:val="clear" w:fill="auto"/>
        </w:rPr>
      </w:pPr>
      <w:r>
        <w:rPr>
          <w:rFonts w:ascii="宋体" w:hAnsi="宋体" w:eastAsia="宋体" w:cs="宋体"/>
          <w:color w:val="auto"/>
          <w:spacing w:val="0"/>
          <w:position w:val="0"/>
          <w:sz w:val="32"/>
          <w:shd w:val="clear" w:fill="auto"/>
        </w:rPr>
        <w:t>九、补充说明</w:t>
      </w:r>
    </w:p>
    <w:p>
      <w:pPr>
        <w:spacing w:line="560" w:lineRule="exact"/>
        <w:ind w:firstLine="632" w:firstLineChars="200"/>
        <w:rPr>
          <w:rFonts w:hint="eastAsia" w:ascii="仿宋_GB2312" w:hAnsi="仿宋_GB2312" w:eastAsia="仿宋_GB2312"/>
          <w:w w:val="99"/>
          <w:sz w:val="32"/>
          <w:szCs w:val="32"/>
        </w:rPr>
      </w:pPr>
      <w:bookmarkStart w:id="0" w:name="_GoBack"/>
      <w:bookmarkEnd w:id="0"/>
      <w:r>
        <w:rPr>
          <w:rFonts w:hint="eastAsia" w:ascii="仿宋_GB2312" w:hAnsi="仿宋_GB2312" w:eastAsia="仿宋_GB2312"/>
          <w:w w:val="99"/>
          <w:sz w:val="32"/>
          <w:szCs w:val="32"/>
        </w:rPr>
        <w:t>根据原发行计划及额度安排, 此项目计划于20</w:t>
      </w:r>
      <w:r>
        <w:rPr>
          <w:rFonts w:hint="eastAsia" w:ascii="仿宋_GB2312" w:hAnsi="仿宋_GB2312" w:eastAsia="仿宋_GB2312"/>
          <w:w w:val="99"/>
          <w:sz w:val="32"/>
          <w:szCs w:val="32"/>
          <w:lang w:val="en-US" w:eastAsia="zh-CN"/>
        </w:rPr>
        <w:t>21</w:t>
      </w:r>
      <w:r>
        <w:rPr>
          <w:rFonts w:hint="eastAsia" w:ascii="仿宋_GB2312" w:hAnsi="仿宋_GB2312" w:eastAsia="仿宋_GB2312"/>
          <w:w w:val="99"/>
          <w:sz w:val="32"/>
          <w:szCs w:val="32"/>
        </w:rPr>
        <w:t>年发行</w:t>
      </w:r>
      <w:r>
        <w:rPr>
          <w:rFonts w:hint="eastAsia" w:ascii="仿宋_GB2312" w:hAnsi="仿宋_GB2312" w:eastAsia="仿宋_GB2312"/>
          <w:w w:val="99"/>
          <w:sz w:val="32"/>
          <w:szCs w:val="32"/>
          <w:lang w:val="en-US" w:eastAsia="zh-CN"/>
        </w:rPr>
        <w:t>1966</w:t>
      </w:r>
      <w:r>
        <w:rPr>
          <w:rFonts w:hint="eastAsia" w:ascii="仿宋_GB2312" w:hAnsi="仿宋_GB2312" w:eastAsia="仿宋_GB2312"/>
          <w:w w:val="99"/>
          <w:sz w:val="32"/>
          <w:szCs w:val="32"/>
        </w:rPr>
        <w:t>万元，因地方政府债务限额管理要求和项目实施进展情况等原因未发行。调整后本次拟发行</w:t>
      </w:r>
      <w:r>
        <w:rPr>
          <w:rFonts w:hint="eastAsia" w:ascii="仿宋_GB2312" w:hAnsi="仿宋_GB2312" w:eastAsia="仿宋_GB2312"/>
          <w:w w:val="99"/>
          <w:sz w:val="32"/>
          <w:szCs w:val="32"/>
          <w:lang w:val="en-US" w:eastAsia="zh-CN"/>
        </w:rPr>
        <w:t>800</w:t>
      </w:r>
      <w:r>
        <w:rPr>
          <w:rFonts w:hint="eastAsia" w:ascii="仿宋_GB2312" w:hAnsi="仿宋_GB2312" w:eastAsia="仿宋_GB2312"/>
          <w:w w:val="99"/>
          <w:sz w:val="32"/>
          <w:szCs w:val="32"/>
        </w:rPr>
        <w:t>万元，期限</w:t>
      </w:r>
      <w:r>
        <w:rPr>
          <w:rFonts w:hint="eastAsia" w:ascii="仿宋_GB2312" w:hAnsi="仿宋_GB2312" w:eastAsia="仿宋_GB2312"/>
          <w:w w:val="99"/>
          <w:sz w:val="32"/>
          <w:szCs w:val="32"/>
          <w:lang w:val="en-US" w:eastAsia="zh-CN"/>
        </w:rPr>
        <w:t>10</w:t>
      </w:r>
      <w:r>
        <w:rPr>
          <w:rFonts w:hint="eastAsia" w:ascii="仿宋_GB2312" w:hAnsi="仿宋_GB2312" w:eastAsia="仿宋_GB2312"/>
          <w:w w:val="99"/>
          <w:sz w:val="32"/>
          <w:szCs w:val="32"/>
        </w:rPr>
        <w:t>年，该项目实施内容及收益来源未发生变动，在不超过项目债券总需求情况下，债券跨年发行对项目整体融资平衡不构成实质影响。</w:t>
      </w:r>
    </w:p>
    <w:p>
      <w:pPr>
        <w:keepNext w:val="0"/>
        <w:keepLines w:val="0"/>
        <w:widowControl w:val="0"/>
        <w:suppressLineNumbers w:val="0"/>
        <w:spacing w:before="0" w:beforeAutospacing="0" w:after="0" w:afterAutospacing="0" w:line="560" w:lineRule="exact"/>
        <w:ind w:left="0" w:right="0" w:firstLine="560" w:firstLineChars="200"/>
        <w:jc w:val="both"/>
        <w:rPr>
          <w:rFonts w:hint="eastAsia" w:ascii="仿宋" w:hAnsi="仿宋" w:eastAsia="仿宋" w:cs="仿宋"/>
          <w:color w:val="auto"/>
          <w:spacing w:val="0"/>
          <w:position w:val="0"/>
          <w:sz w:val="28"/>
          <w:shd w:val="clear" w:fill="auto"/>
          <w:lang w:val="en-US" w:eastAsia="zh-CN"/>
        </w:rPr>
      </w:pPr>
    </w:p>
    <w:p>
      <w:pPr>
        <w:widowControl w:val="0"/>
        <w:spacing w:before="0" w:after="0" w:line="576" w:lineRule="auto"/>
        <w:ind w:left="0" w:right="0" w:firstLine="567"/>
        <w:jc w:val="both"/>
        <w:rPr>
          <w:rFonts w:ascii="宋体" w:hAnsi="宋体" w:eastAsia="宋体" w:cs="宋体"/>
          <w:color w:val="auto"/>
          <w:spacing w:val="0"/>
          <w:position w:val="0"/>
          <w:sz w:val="28"/>
          <w:shd w:val="clear" w:fill="auto"/>
        </w:rPr>
      </w:pPr>
    </w:p>
    <w:p>
      <w:pPr>
        <w:widowControl w:val="0"/>
        <w:spacing w:before="0" w:after="0" w:line="360" w:lineRule="auto"/>
        <w:ind w:right="0"/>
        <w:jc w:val="both"/>
        <w:rPr>
          <w:rFonts w:ascii="仿宋" w:hAnsi="仿宋" w:eastAsia="仿宋" w:cs="仿宋"/>
          <w:color w:val="auto"/>
          <w:spacing w:val="0"/>
          <w:position w:val="0"/>
          <w:sz w:val="28"/>
          <w:shd w:val="clear" w:fill="auto"/>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isplayHorizontalDrawingGridEvery w:val="0"/>
  <w:displayVerticalDrawingGridEvery w:val="2"/>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706402"/>
    <w:rsid w:val="1F02126C"/>
    <w:rsid w:val="2C084F98"/>
    <w:rsid w:val="2C2133DB"/>
    <w:rsid w:val="65C02F42"/>
    <w:rsid w:val="6C6B3DE0"/>
    <w:rsid w:val="77565C00"/>
    <w:rsid w:val="7F9652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Office_11.1.0.11294_F1E327BC-269C-435d-A152-05C5408002CA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2022-02-10T08:30:00Z</dcterms:created>
  <dc:creator>Lenovo</dc:creator>
  <cp:lastModifiedBy>lenovo</cp:lastModifiedBy>
  <dcterms:modified xsi:type="dcterms:W3CDTF">2022-02-10T09:10:32Z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F344D654AF8A4859A853EAF4E8D18C1A</vt:lpwstr>
  </property>
</Properties>
</file>