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ind w:left="2399" w:hanging="2399" w:hangingChars="543"/>
        <w:jc w:val="center"/>
        <w:rPr>
          <w:rFonts w:ascii="黑体" w:hAnsi="仿宋_GB2312" w:eastAsia="黑体"/>
          <w:b/>
          <w:color w:val="000000"/>
          <w:sz w:val="44"/>
          <w:szCs w:val="44"/>
        </w:rPr>
      </w:pPr>
      <w:r>
        <w:rPr>
          <w:rFonts w:hint="eastAsia" w:ascii="黑体" w:hAnsi="仿宋_GB2312" w:eastAsia="黑体"/>
          <w:b/>
          <w:color w:val="000000"/>
          <w:sz w:val="44"/>
          <w:szCs w:val="44"/>
        </w:rPr>
        <w:t>关于芦山县（城中村）棚户区改造项目</w:t>
      </w:r>
    </w:p>
    <w:p>
      <w:pPr>
        <w:spacing w:line="576" w:lineRule="exact"/>
        <w:ind w:left="2399" w:hanging="2399" w:hangingChars="543"/>
        <w:jc w:val="center"/>
        <w:rPr>
          <w:rFonts w:ascii="黑体" w:hAnsi="仿宋_GB2312" w:eastAsia="黑体"/>
          <w:b/>
          <w:color w:val="000000"/>
          <w:sz w:val="44"/>
          <w:szCs w:val="44"/>
        </w:rPr>
      </w:pPr>
      <w:r>
        <w:rPr>
          <w:rFonts w:hint="eastAsia" w:ascii="黑体" w:hAnsi="仿宋_GB2312" w:eastAsia="黑体"/>
          <w:b/>
          <w:color w:val="000000"/>
          <w:sz w:val="44"/>
          <w:szCs w:val="44"/>
        </w:rPr>
        <w:t>情况说明</w:t>
      </w:r>
    </w:p>
    <w:p>
      <w:pPr>
        <w:adjustRightInd w:val="0"/>
        <w:snapToGrid w:val="0"/>
        <w:spacing w:line="576" w:lineRule="exact"/>
        <w:ind w:firstLine="560" w:firstLineChars="200"/>
        <w:rPr>
          <w:rFonts w:ascii="仿宋" w:hAnsi="仿宋" w:eastAsia="仿宋"/>
          <w:color w:val="000000"/>
          <w:sz w:val="28"/>
          <w:szCs w:val="28"/>
        </w:rPr>
      </w:pPr>
    </w:p>
    <w:p>
      <w:pPr>
        <w:pStyle w:val="2"/>
        <w:spacing w:beforeLines="50" w:after="156" w:line="576" w:lineRule="exact"/>
        <w:rPr>
          <w:rFonts w:ascii="Times New Roman" w:hAnsi="Times New Roman"/>
          <w:szCs w:val="32"/>
        </w:rPr>
      </w:pPr>
      <w:bookmarkStart w:id="0" w:name="_Toc498385044"/>
      <w:bookmarkStart w:id="1" w:name="_Toc498385713"/>
      <w:bookmarkStart w:id="2" w:name="_Toc32848136"/>
      <w:r>
        <w:rPr>
          <w:rFonts w:hint="eastAsia" w:ascii="Times New Roman" w:hAnsi="Times New Roman"/>
          <w:szCs w:val="32"/>
        </w:rPr>
        <w:t>项目基本情况</w:t>
      </w:r>
      <w:bookmarkEnd w:id="0"/>
      <w:bookmarkEnd w:id="1"/>
      <w:bookmarkEnd w:id="2"/>
    </w:p>
    <w:p>
      <w:pPr>
        <w:pStyle w:val="3"/>
        <w:spacing w:beforeLines="50" w:after="156" w:line="576" w:lineRule="exact"/>
        <w:rPr>
          <w:rFonts w:ascii="仿宋" w:hAnsi="仿宋" w:eastAsia="仿宋"/>
          <w:sz w:val="30"/>
          <w:szCs w:val="30"/>
        </w:rPr>
      </w:pPr>
      <w:bookmarkStart w:id="3" w:name="_Toc32848137"/>
      <w:bookmarkStart w:id="4" w:name="_Toc498385045"/>
      <w:bookmarkStart w:id="5" w:name="_Toc29640"/>
      <w:bookmarkStart w:id="6" w:name="_Toc498385714"/>
      <w:bookmarkStart w:id="7" w:name="_Toc498385717"/>
      <w:bookmarkStart w:id="8" w:name="_Toc498385048"/>
      <w:r>
        <w:rPr>
          <w:rFonts w:hint="eastAsia" w:ascii="仿宋" w:hAnsi="仿宋" w:eastAsia="仿宋"/>
          <w:sz w:val="30"/>
          <w:szCs w:val="30"/>
          <w:lang w:val="en-US"/>
        </w:rPr>
        <w:t>雅安</w:t>
      </w:r>
      <w:r>
        <w:rPr>
          <w:rFonts w:hint="eastAsia" w:ascii="仿宋" w:hAnsi="仿宋" w:eastAsia="仿宋"/>
          <w:sz w:val="30"/>
          <w:szCs w:val="30"/>
        </w:rPr>
        <w:t>市芦山县</w:t>
      </w:r>
      <w:r>
        <w:rPr>
          <w:rFonts w:hint="eastAsia" w:ascii="仿宋" w:hAnsi="仿宋" w:eastAsia="仿宋"/>
          <w:sz w:val="30"/>
          <w:szCs w:val="30"/>
          <w:lang w:val="en-US"/>
        </w:rPr>
        <w:t>及行业专项</w:t>
      </w:r>
      <w:r>
        <w:rPr>
          <w:rFonts w:hint="eastAsia" w:ascii="仿宋" w:hAnsi="仿宋" w:eastAsia="仿宋"/>
          <w:sz w:val="30"/>
          <w:szCs w:val="30"/>
        </w:rPr>
        <w:t>规划概况</w:t>
      </w:r>
      <w:bookmarkEnd w:id="3"/>
      <w:bookmarkEnd w:id="4"/>
      <w:bookmarkEnd w:id="5"/>
      <w:bookmarkEnd w:id="6"/>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雅安市社会经济概况</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雅安，四川省地级市，位于四川盆地西缘、邛崃山东麓，东靠成都、西连甘孜、南界凉山、北接阿坝，距成都</w:t>
      </w:r>
      <w:r>
        <w:rPr>
          <w:rFonts w:ascii="Arial" w:hAnsi="Arial" w:eastAsia="仿宋" w:cs="Arial"/>
          <w:kern w:val="2"/>
          <w:sz w:val="28"/>
          <w:szCs w:val="28"/>
          <w:lang w:val="en-US"/>
        </w:rPr>
        <w:t>120</w:t>
      </w:r>
      <w:r>
        <w:rPr>
          <w:rFonts w:hint="eastAsia" w:ascii="仿宋" w:hAnsi="仿宋" w:eastAsia="仿宋"/>
          <w:kern w:val="2"/>
          <w:sz w:val="28"/>
          <w:szCs w:val="28"/>
          <w:lang w:val="en-US"/>
        </w:rPr>
        <w:t>公里；属四川盆地西缘山地，跨四川盆地和青藏高原两大地形区；气候类型为亚热带季风性湿润气候；全市总面积</w:t>
      </w:r>
      <w:r>
        <w:rPr>
          <w:rFonts w:ascii="Arial" w:hAnsi="Arial" w:eastAsia="仿宋" w:cs="Arial"/>
          <w:kern w:val="2"/>
          <w:sz w:val="28"/>
          <w:szCs w:val="28"/>
          <w:lang w:val="en-US"/>
        </w:rPr>
        <w:t>15046</w:t>
      </w:r>
      <w:r>
        <w:rPr>
          <w:rFonts w:hint="eastAsia" w:ascii="仿宋" w:hAnsi="仿宋" w:eastAsia="仿宋"/>
          <w:kern w:val="2"/>
          <w:sz w:val="28"/>
          <w:szCs w:val="28"/>
          <w:lang w:val="en-US"/>
        </w:rPr>
        <w:t>平方千米，下辖</w:t>
      </w:r>
      <w:r>
        <w:rPr>
          <w:rFonts w:ascii="Arial" w:hAnsi="Arial" w:eastAsia="仿宋" w:cs="Arial"/>
          <w:kern w:val="2"/>
          <w:sz w:val="28"/>
          <w:szCs w:val="28"/>
          <w:lang w:val="en-US"/>
        </w:rPr>
        <w:t>2</w:t>
      </w:r>
      <w:r>
        <w:rPr>
          <w:rFonts w:hint="eastAsia" w:ascii="仿宋" w:hAnsi="仿宋" w:eastAsia="仿宋"/>
          <w:kern w:val="2"/>
          <w:sz w:val="28"/>
          <w:szCs w:val="28"/>
          <w:lang w:val="en-US"/>
        </w:rPr>
        <w:t>区、</w:t>
      </w:r>
      <w:r>
        <w:rPr>
          <w:rFonts w:ascii="Arial" w:hAnsi="Arial" w:eastAsia="仿宋" w:cs="Arial"/>
          <w:kern w:val="2"/>
          <w:sz w:val="28"/>
          <w:szCs w:val="28"/>
          <w:lang w:val="en-US"/>
        </w:rPr>
        <w:t>6</w:t>
      </w:r>
      <w:r>
        <w:rPr>
          <w:rFonts w:hint="eastAsia" w:ascii="仿宋" w:hAnsi="仿宋" w:eastAsia="仿宋"/>
          <w:kern w:val="2"/>
          <w:sz w:val="28"/>
          <w:szCs w:val="28"/>
          <w:lang w:val="en-US"/>
        </w:rPr>
        <w:t>县；</w:t>
      </w:r>
      <w:r>
        <w:rPr>
          <w:rFonts w:ascii="Arial" w:hAnsi="Arial" w:eastAsia="仿宋" w:cs="Arial"/>
          <w:kern w:val="2"/>
          <w:sz w:val="28"/>
          <w:szCs w:val="28"/>
          <w:lang w:val="en-US"/>
        </w:rPr>
        <w:t>2019</w:t>
      </w:r>
      <w:r>
        <w:rPr>
          <w:rFonts w:hint="eastAsia" w:ascii="仿宋" w:hAnsi="仿宋" w:eastAsia="仿宋"/>
          <w:kern w:val="2"/>
          <w:sz w:val="28"/>
          <w:szCs w:val="28"/>
          <w:lang w:val="en-US"/>
        </w:rPr>
        <w:t>年末常住人口</w:t>
      </w:r>
      <w:r>
        <w:rPr>
          <w:rFonts w:ascii="Arial" w:hAnsi="Arial" w:eastAsia="仿宋" w:cs="Arial"/>
          <w:kern w:val="2"/>
          <w:sz w:val="28"/>
          <w:szCs w:val="28"/>
          <w:lang w:val="en-US"/>
        </w:rPr>
        <w:t>154</w:t>
      </w:r>
      <w:r>
        <w:rPr>
          <w:rFonts w:ascii="仿宋" w:hAnsi="仿宋" w:eastAsia="仿宋"/>
          <w:kern w:val="2"/>
          <w:sz w:val="28"/>
          <w:szCs w:val="28"/>
          <w:lang w:val="en-US"/>
        </w:rPr>
        <w:t>.</w:t>
      </w:r>
      <w:r>
        <w:rPr>
          <w:rFonts w:ascii="Arial" w:hAnsi="Arial" w:eastAsia="仿宋" w:cs="Arial"/>
          <w:kern w:val="2"/>
          <w:sz w:val="28"/>
          <w:szCs w:val="28"/>
          <w:lang w:val="en-US"/>
        </w:rPr>
        <w:t>1</w:t>
      </w:r>
      <w:r>
        <w:rPr>
          <w:rFonts w:hint="eastAsia" w:ascii="仿宋" w:hAnsi="仿宋" w:eastAsia="仿宋"/>
          <w:kern w:val="2"/>
          <w:sz w:val="28"/>
          <w:szCs w:val="28"/>
          <w:lang w:val="en-US"/>
        </w:rPr>
        <w:t>万人</w:t>
      </w:r>
      <w:r>
        <w:rPr>
          <w:rFonts w:ascii="仿宋" w:hAnsi="仿宋" w:eastAsia="仿宋"/>
          <w:kern w:val="2"/>
          <w:sz w:val="28"/>
          <w:szCs w:val="28"/>
          <w:lang w:val="en-US"/>
        </w:rPr>
        <w:t>,</w:t>
      </w:r>
      <w:r>
        <w:rPr>
          <w:rFonts w:hint="eastAsia" w:ascii="仿宋" w:hAnsi="仿宋" w:eastAsia="仿宋"/>
          <w:kern w:val="2"/>
          <w:sz w:val="28"/>
          <w:szCs w:val="28"/>
          <w:lang w:val="en-US"/>
        </w:rPr>
        <w:t>城镇化率</w:t>
      </w:r>
      <w:r>
        <w:rPr>
          <w:rFonts w:ascii="Arial" w:hAnsi="Arial" w:eastAsia="仿宋" w:cs="Arial"/>
          <w:kern w:val="2"/>
          <w:sz w:val="28"/>
          <w:szCs w:val="28"/>
          <w:lang w:val="en-US"/>
        </w:rPr>
        <w:t>44</w:t>
      </w:r>
      <w:r>
        <w:rPr>
          <w:rFonts w:ascii="仿宋" w:hAnsi="仿宋" w:eastAsia="仿宋"/>
          <w:kern w:val="2"/>
          <w:sz w:val="28"/>
          <w:szCs w:val="28"/>
          <w:lang w:val="en-US"/>
        </w:rPr>
        <w:t>.</w:t>
      </w:r>
      <w:r>
        <w:rPr>
          <w:rFonts w:ascii="Arial" w:hAnsi="Arial" w:eastAsia="仿宋" w:cs="Arial"/>
          <w:kern w:val="2"/>
          <w:sz w:val="28"/>
          <w:szCs w:val="28"/>
          <w:lang w:val="en-US"/>
        </w:rPr>
        <w:t>38</w:t>
      </w:r>
      <w:r>
        <w:rPr>
          <w:rFonts w:ascii="仿宋" w:hAnsi="仿宋" w:eastAsia="仿宋"/>
          <w:kern w:val="2"/>
          <w:sz w:val="28"/>
          <w:szCs w:val="28"/>
          <w:lang w:val="en-US"/>
        </w:rPr>
        <w:t>%</w:t>
      </w:r>
      <w:r>
        <w:rPr>
          <w:rFonts w:hint="eastAsia" w:ascii="仿宋" w:hAnsi="仿宋" w:eastAsia="仿宋"/>
          <w:kern w:val="2"/>
          <w:sz w:val="28"/>
          <w:szCs w:val="28"/>
          <w:lang w:val="en-US"/>
        </w:rPr>
        <w:t>。。</w:t>
      </w:r>
    </w:p>
    <w:p>
      <w:pPr>
        <w:pStyle w:val="5"/>
        <w:spacing w:before="0" w:after="0" w:line="576" w:lineRule="exact"/>
        <w:ind w:firstLine="560" w:firstLineChars="200"/>
        <w:rPr>
          <w:rFonts w:ascii="仿宋" w:hAnsi="仿宋" w:eastAsia="仿宋"/>
          <w:kern w:val="2"/>
          <w:sz w:val="28"/>
          <w:szCs w:val="28"/>
          <w:lang w:val="en-US"/>
        </w:rPr>
      </w:pPr>
      <w:r>
        <w:rPr>
          <w:rFonts w:ascii="Arial" w:hAnsi="Arial" w:eastAsia="仿宋" w:cs="Arial"/>
          <w:kern w:val="2"/>
          <w:sz w:val="28"/>
          <w:szCs w:val="28"/>
          <w:lang w:val="en-US"/>
        </w:rPr>
        <w:t>2019</w:t>
      </w:r>
      <w:r>
        <w:rPr>
          <w:rFonts w:hint="eastAsia" w:ascii="仿宋" w:hAnsi="仿宋" w:eastAsia="仿宋"/>
          <w:kern w:val="2"/>
          <w:sz w:val="28"/>
          <w:szCs w:val="28"/>
          <w:lang w:val="en-US"/>
        </w:rPr>
        <w:t>年，雅安实现地区生产总值（</w:t>
      </w:r>
      <w:r>
        <w:rPr>
          <w:rFonts w:ascii="仿宋" w:hAnsi="仿宋" w:eastAsia="仿宋"/>
          <w:kern w:val="2"/>
          <w:sz w:val="28"/>
          <w:szCs w:val="28"/>
          <w:lang w:val="en-US"/>
        </w:rPr>
        <w:t>GDP</w:t>
      </w:r>
      <w:r>
        <w:rPr>
          <w:rFonts w:hint="eastAsia" w:ascii="仿宋" w:hAnsi="仿宋" w:eastAsia="仿宋"/>
          <w:kern w:val="2"/>
          <w:sz w:val="28"/>
          <w:szCs w:val="28"/>
          <w:lang w:val="en-US"/>
        </w:rPr>
        <w:t>）</w:t>
      </w:r>
      <w:r>
        <w:rPr>
          <w:rFonts w:ascii="Arial" w:hAnsi="Arial" w:eastAsia="仿宋" w:cs="Arial"/>
          <w:kern w:val="2"/>
          <w:sz w:val="28"/>
          <w:szCs w:val="28"/>
          <w:lang w:val="en-US"/>
        </w:rPr>
        <w:t>723</w:t>
      </w:r>
      <w:r>
        <w:rPr>
          <w:rFonts w:ascii="仿宋" w:hAnsi="仿宋" w:eastAsia="仿宋"/>
          <w:kern w:val="2"/>
          <w:sz w:val="28"/>
          <w:szCs w:val="28"/>
          <w:lang w:val="en-US"/>
        </w:rPr>
        <w:t>.</w:t>
      </w:r>
      <w:r>
        <w:rPr>
          <w:rFonts w:ascii="Arial" w:hAnsi="Arial" w:eastAsia="仿宋" w:cs="Arial"/>
          <w:kern w:val="2"/>
          <w:sz w:val="28"/>
          <w:szCs w:val="28"/>
          <w:lang w:val="en-US"/>
        </w:rPr>
        <w:t>79</w:t>
      </w:r>
      <w:r>
        <w:rPr>
          <w:rFonts w:hint="eastAsia" w:ascii="仿宋" w:hAnsi="仿宋" w:eastAsia="仿宋"/>
          <w:kern w:val="2"/>
          <w:sz w:val="28"/>
          <w:szCs w:val="28"/>
          <w:lang w:val="en-US"/>
        </w:rPr>
        <w:t>亿元，按可比价格计算，比上年增长</w:t>
      </w:r>
      <w:r>
        <w:rPr>
          <w:rFonts w:ascii="Arial" w:hAnsi="Arial" w:eastAsia="仿宋" w:cs="Arial"/>
          <w:kern w:val="2"/>
          <w:sz w:val="28"/>
          <w:szCs w:val="28"/>
          <w:lang w:val="en-US"/>
        </w:rPr>
        <w:t>8</w:t>
      </w:r>
      <w:r>
        <w:rPr>
          <w:rFonts w:ascii="仿宋" w:hAnsi="仿宋" w:eastAsia="仿宋"/>
          <w:kern w:val="2"/>
          <w:sz w:val="28"/>
          <w:szCs w:val="28"/>
          <w:lang w:val="en-US"/>
        </w:rPr>
        <w:t>.</w:t>
      </w:r>
      <w:r>
        <w:rPr>
          <w:rFonts w:ascii="Arial" w:hAnsi="Arial" w:eastAsia="仿宋" w:cs="Arial"/>
          <w:kern w:val="2"/>
          <w:sz w:val="28"/>
          <w:szCs w:val="28"/>
          <w:lang w:val="en-US"/>
        </w:rPr>
        <w:t>0</w:t>
      </w:r>
      <w:r>
        <w:rPr>
          <w:rFonts w:ascii="仿宋" w:hAnsi="仿宋" w:eastAsia="仿宋"/>
          <w:kern w:val="2"/>
          <w:sz w:val="28"/>
          <w:szCs w:val="28"/>
          <w:lang w:val="en-US"/>
        </w:rPr>
        <w:t>%</w:t>
      </w:r>
      <w:r>
        <w:rPr>
          <w:rFonts w:hint="eastAsia" w:ascii="仿宋" w:hAnsi="仿宋" w:eastAsia="仿宋"/>
          <w:kern w:val="2"/>
          <w:sz w:val="28"/>
          <w:szCs w:val="28"/>
          <w:lang w:val="en-US"/>
        </w:rPr>
        <w:t>；全社会固定资产投资同比增长</w:t>
      </w:r>
      <w:r>
        <w:rPr>
          <w:rFonts w:ascii="Arial" w:hAnsi="Arial" w:eastAsia="仿宋" w:cs="Arial"/>
          <w:kern w:val="2"/>
          <w:sz w:val="28"/>
          <w:szCs w:val="28"/>
          <w:lang w:val="en-US"/>
        </w:rPr>
        <w:t>10</w:t>
      </w:r>
      <w:r>
        <w:rPr>
          <w:rFonts w:ascii="仿宋" w:hAnsi="仿宋" w:eastAsia="仿宋"/>
          <w:kern w:val="2"/>
          <w:sz w:val="28"/>
          <w:szCs w:val="28"/>
          <w:lang w:val="en-US"/>
        </w:rPr>
        <w:t>.</w:t>
      </w:r>
      <w:r>
        <w:rPr>
          <w:rFonts w:ascii="Arial" w:hAnsi="Arial" w:eastAsia="仿宋" w:cs="Arial"/>
          <w:kern w:val="2"/>
          <w:sz w:val="28"/>
          <w:szCs w:val="28"/>
          <w:lang w:val="en-US"/>
        </w:rPr>
        <w:t>5</w:t>
      </w:r>
      <w:r>
        <w:rPr>
          <w:rFonts w:ascii="仿宋" w:hAnsi="仿宋" w:eastAsia="仿宋"/>
          <w:kern w:val="2"/>
          <w:sz w:val="28"/>
          <w:szCs w:val="28"/>
          <w:lang w:val="en-US"/>
        </w:rPr>
        <w:t>%</w:t>
      </w:r>
      <w:r>
        <w:rPr>
          <w:rFonts w:hint="eastAsia" w:ascii="仿宋" w:hAnsi="仿宋" w:eastAsia="仿宋"/>
          <w:kern w:val="2"/>
          <w:sz w:val="28"/>
          <w:szCs w:val="28"/>
          <w:lang w:val="en-US"/>
        </w:rPr>
        <w:t>；规模以上工业增加值同比增长</w:t>
      </w:r>
      <w:r>
        <w:rPr>
          <w:rFonts w:ascii="Arial" w:hAnsi="Arial" w:eastAsia="仿宋" w:cs="Arial"/>
          <w:kern w:val="2"/>
          <w:sz w:val="28"/>
          <w:szCs w:val="28"/>
          <w:lang w:val="en-US"/>
        </w:rPr>
        <w:t>9</w:t>
      </w:r>
      <w:r>
        <w:rPr>
          <w:rFonts w:ascii="仿宋" w:hAnsi="仿宋" w:eastAsia="仿宋"/>
          <w:kern w:val="2"/>
          <w:sz w:val="28"/>
          <w:szCs w:val="28"/>
          <w:lang w:val="en-US"/>
        </w:rPr>
        <w:t>.</w:t>
      </w:r>
      <w:r>
        <w:rPr>
          <w:rFonts w:ascii="Arial" w:hAnsi="Arial" w:eastAsia="仿宋" w:cs="Arial"/>
          <w:kern w:val="2"/>
          <w:sz w:val="28"/>
          <w:szCs w:val="28"/>
          <w:lang w:val="en-US"/>
        </w:rPr>
        <w:t>8</w:t>
      </w:r>
      <w:r>
        <w:rPr>
          <w:rFonts w:ascii="仿宋" w:hAnsi="仿宋" w:eastAsia="仿宋"/>
          <w:kern w:val="2"/>
          <w:sz w:val="28"/>
          <w:szCs w:val="28"/>
          <w:lang w:val="en-US"/>
        </w:rPr>
        <w:t>%</w:t>
      </w:r>
      <w:r>
        <w:rPr>
          <w:rFonts w:hint="eastAsia" w:ascii="仿宋" w:hAnsi="仿宋" w:eastAsia="仿宋"/>
          <w:kern w:val="2"/>
          <w:sz w:val="28"/>
          <w:szCs w:val="28"/>
          <w:lang w:val="en-US"/>
        </w:rPr>
        <w:t>；社会消费品零售</w:t>
      </w:r>
      <w:r>
        <w:rPr>
          <w:rFonts w:ascii="Arial" w:hAnsi="Arial" w:eastAsia="仿宋" w:cs="Arial"/>
          <w:kern w:val="2"/>
          <w:sz w:val="28"/>
          <w:szCs w:val="28"/>
          <w:lang w:val="en-US"/>
        </w:rPr>
        <w:t>267</w:t>
      </w:r>
      <w:r>
        <w:rPr>
          <w:rFonts w:ascii="仿宋" w:hAnsi="仿宋" w:eastAsia="仿宋"/>
          <w:kern w:val="2"/>
          <w:sz w:val="28"/>
          <w:szCs w:val="28"/>
          <w:lang w:val="en-US"/>
        </w:rPr>
        <w:t>.</w:t>
      </w:r>
      <w:r>
        <w:rPr>
          <w:rFonts w:ascii="Arial" w:hAnsi="Arial" w:eastAsia="仿宋" w:cs="Arial"/>
          <w:kern w:val="2"/>
          <w:sz w:val="28"/>
          <w:szCs w:val="28"/>
          <w:lang w:val="en-US"/>
        </w:rPr>
        <w:t>60</w:t>
      </w:r>
      <w:r>
        <w:rPr>
          <w:rFonts w:hint="eastAsia" w:ascii="仿宋" w:hAnsi="仿宋" w:eastAsia="仿宋"/>
          <w:kern w:val="2"/>
          <w:sz w:val="28"/>
          <w:szCs w:val="28"/>
          <w:lang w:val="en-US"/>
        </w:rPr>
        <w:t>亿元，同比增长</w:t>
      </w:r>
      <w:r>
        <w:rPr>
          <w:rFonts w:ascii="Arial" w:hAnsi="Arial" w:eastAsia="仿宋" w:cs="Arial"/>
          <w:kern w:val="2"/>
          <w:sz w:val="28"/>
          <w:szCs w:val="28"/>
          <w:lang w:val="en-US"/>
        </w:rPr>
        <w:t>10</w:t>
      </w:r>
      <w:r>
        <w:rPr>
          <w:rFonts w:ascii="仿宋" w:hAnsi="仿宋" w:eastAsia="仿宋"/>
          <w:kern w:val="2"/>
          <w:sz w:val="28"/>
          <w:szCs w:val="28"/>
          <w:lang w:val="en-US"/>
        </w:rPr>
        <w:t>.</w:t>
      </w: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。全市经济发展平稳。</w:t>
      </w:r>
    </w:p>
    <w:p>
      <w:pPr>
        <w:pStyle w:val="5"/>
        <w:spacing w:before="0" w:after="0" w:line="576" w:lineRule="exact"/>
        <w:ind w:firstLine="560" w:firstLineChars="200"/>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芦山县社会经济概况</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芦山县位于四川盆地周山区西缘，雅安市西北部，地跨东经</w:t>
      </w:r>
      <w:r>
        <w:rPr>
          <w:rFonts w:ascii="Arial" w:hAnsi="Arial" w:eastAsia="仿宋" w:cs="Arial"/>
          <w:kern w:val="2"/>
          <w:sz w:val="28"/>
          <w:szCs w:val="28"/>
          <w:lang w:val="en-US"/>
        </w:rPr>
        <w:t>102</w:t>
      </w:r>
      <w:r>
        <w:rPr>
          <w:rFonts w:ascii="仿宋" w:hAnsi="仿宋" w:eastAsia="仿宋"/>
          <w:kern w:val="2"/>
          <w:sz w:val="28"/>
          <w:szCs w:val="28"/>
          <w:lang w:val="en-US"/>
        </w:rPr>
        <w:t>.</w:t>
      </w:r>
      <w:r>
        <w:rPr>
          <w:rFonts w:ascii="Arial" w:hAnsi="Arial" w:eastAsia="仿宋" w:cs="Arial"/>
          <w:kern w:val="2"/>
          <w:sz w:val="28"/>
          <w:szCs w:val="28"/>
          <w:lang w:val="en-US"/>
        </w:rPr>
        <w:t>52</w:t>
      </w:r>
      <w:r>
        <w:rPr>
          <w:rFonts w:hint="eastAsia" w:ascii="仿宋" w:hAnsi="仿宋" w:eastAsia="仿宋"/>
          <w:kern w:val="2"/>
          <w:sz w:val="28"/>
          <w:szCs w:val="28"/>
          <w:lang w:val="en-US"/>
        </w:rPr>
        <w:t>′，至</w:t>
      </w:r>
      <w:r>
        <w:rPr>
          <w:rFonts w:ascii="Arial" w:hAnsi="Arial" w:eastAsia="仿宋" w:cs="Arial"/>
          <w:kern w:val="2"/>
          <w:sz w:val="28"/>
          <w:szCs w:val="28"/>
          <w:lang w:val="en-US"/>
        </w:rPr>
        <w:t>103</w:t>
      </w:r>
      <w:r>
        <w:rPr>
          <w:rFonts w:ascii="仿宋" w:hAnsi="仿宋" w:eastAsia="仿宋"/>
          <w:kern w:val="2"/>
          <w:sz w:val="28"/>
          <w:szCs w:val="28"/>
          <w:lang w:val="en-US"/>
        </w:rPr>
        <w:t>.</w:t>
      </w:r>
      <w:r>
        <w:rPr>
          <w:rFonts w:ascii="Arial" w:hAnsi="Arial" w:eastAsia="仿宋" w:cs="Arial"/>
          <w:kern w:val="2"/>
          <w:sz w:val="28"/>
          <w:szCs w:val="28"/>
          <w:lang w:val="en-US"/>
        </w:rPr>
        <w:t>11</w:t>
      </w:r>
      <w:r>
        <w:rPr>
          <w:rFonts w:hint="eastAsia" w:ascii="仿宋" w:hAnsi="仿宋" w:eastAsia="仿宋"/>
          <w:kern w:val="2"/>
          <w:sz w:val="28"/>
          <w:szCs w:val="28"/>
          <w:lang w:val="en-US"/>
        </w:rPr>
        <w:t>′，北纬</w:t>
      </w:r>
      <w:r>
        <w:rPr>
          <w:rFonts w:ascii="Arial" w:hAnsi="Arial" w:eastAsia="仿宋" w:cs="Arial"/>
          <w:kern w:val="2"/>
          <w:sz w:val="28"/>
          <w:szCs w:val="28"/>
          <w:lang w:val="en-US"/>
        </w:rPr>
        <w:t>30</w:t>
      </w:r>
      <w:r>
        <w:rPr>
          <w:rFonts w:ascii="仿宋" w:hAnsi="仿宋" w:eastAsia="仿宋"/>
          <w:kern w:val="2"/>
          <w:sz w:val="28"/>
          <w:szCs w:val="28"/>
          <w:lang w:val="en-US"/>
        </w:rPr>
        <w:t>.</w:t>
      </w:r>
      <w:r>
        <w:rPr>
          <w:rFonts w:ascii="Arial" w:hAnsi="Arial" w:eastAsia="仿宋" w:cs="Arial"/>
          <w:kern w:val="2"/>
          <w:sz w:val="28"/>
          <w:szCs w:val="28"/>
          <w:lang w:val="en-US"/>
        </w:rPr>
        <w:t>01</w:t>
      </w:r>
      <w:r>
        <w:rPr>
          <w:rFonts w:hint="eastAsia" w:ascii="仿宋" w:hAnsi="仿宋" w:eastAsia="仿宋"/>
          <w:kern w:val="2"/>
          <w:sz w:val="28"/>
          <w:szCs w:val="28"/>
          <w:lang w:val="en-US"/>
        </w:rPr>
        <w:t>′至</w:t>
      </w:r>
      <w:r>
        <w:rPr>
          <w:rFonts w:ascii="Arial" w:hAnsi="Arial" w:eastAsia="仿宋" w:cs="Arial"/>
          <w:kern w:val="2"/>
          <w:sz w:val="28"/>
          <w:szCs w:val="28"/>
          <w:lang w:val="en-US"/>
        </w:rPr>
        <w:t>30</w:t>
      </w:r>
      <w:r>
        <w:rPr>
          <w:rFonts w:ascii="仿宋" w:hAnsi="仿宋" w:eastAsia="仿宋"/>
          <w:kern w:val="2"/>
          <w:sz w:val="28"/>
          <w:szCs w:val="28"/>
          <w:lang w:val="en-US"/>
        </w:rPr>
        <w:t>.</w:t>
      </w:r>
      <w:r>
        <w:rPr>
          <w:rFonts w:ascii="Arial" w:hAnsi="Arial" w:eastAsia="仿宋" w:cs="Arial"/>
          <w:kern w:val="2"/>
          <w:sz w:val="28"/>
          <w:szCs w:val="28"/>
          <w:lang w:val="en-US"/>
        </w:rPr>
        <w:t>49</w:t>
      </w:r>
      <w:r>
        <w:rPr>
          <w:rFonts w:hint="eastAsia" w:ascii="仿宋" w:hAnsi="仿宋" w:eastAsia="仿宋"/>
          <w:kern w:val="2"/>
          <w:sz w:val="28"/>
          <w:szCs w:val="28"/>
          <w:lang w:val="en-US"/>
        </w:rPr>
        <w:t>′。东南与雅安市雨城区接壤，西南与天全县相连，西北与宝兴县为邻，北与汶川连界，东北与大邑、邛崃毗连。县城距雅安</w:t>
      </w:r>
      <w:r>
        <w:rPr>
          <w:rFonts w:ascii="Arial" w:hAnsi="Arial" w:eastAsia="仿宋" w:cs="Arial"/>
          <w:kern w:val="2"/>
          <w:sz w:val="28"/>
          <w:szCs w:val="28"/>
          <w:lang w:val="en-US"/>
        </w:rPr>
        <w:t>33</w:t>
      </w:r>
      <w:r>
        <w:rPr>
          <w:rFonts w:hint="eastAsia" w:ascii="仿宋" w:hAnsi="仿宋" w:eastAsia="仿宋"/>
          <w:kern w:val="2"/>
          <w:sz w:val="28"/>
          <w:szCs w:val="28"/>
          <w:lang w:val="en-US"/>
        </w:rPr>
        <w:t>公里，距成都</w:t>
      </w:r>
      <w:r>
        <w:rPr>
          <w:rFonts w:ascii="Arial" w:hAnsi="Arial" w:eastAsia="仿宋" w:cs="Arial"/>
          <w:kern w:val="2"/>
          <w:sz w:val="28"/>
          <w:szCs w:val="28"/>
          <w:lang w:val="en-US"/>
        </w:rPr>
        <w:t>156</w:t>
      </w:r>
      <w:r>
        <w:rPr>
          <w:rFonts w:hint="eastAsia" w:ascii="仿宋" w:hAnsi="仿宋" w:eastAsia="仿宋"/>
          <w:kern w:val="2"/>
          <w:sz w:val="28"/>
          <w:szCs w:val="28"/>
          <w:lang w:val="en-US"/>
        </w:rPr>
        <w:t>公里。芦山县幅员面积</w:t>
      </w:r>
      <w:r>
        <w:rPr>
          <w:rFonts w:ascii="Arial" w:hAnsi="Arial" w:eastAsia="仿宋" w:cs="Arial"/>
          <w:kern w:val="2"/>
          <w:sz w:val="28"/>
          <w:szCs w:val="28"/>
          <w:lang w:val="en-US"/>
        </w:rPr>
        <w:t>1</w:t>
      </w:r>
      <w:r>
        <w:rPr>
          <w:rFonts w:ascii="仿宋" w:hAnsi="仿宋" w:eastAsia="仿宋"/>
          <w:kern w:val="2"/>
          <w:sz w:val="28"/>
          <w:szCs w:val="28"/>
          <w:lang w:val="en-US"/>
        </w:rPr>
        <w:t>,</w:t>
      </w:r>
      <w:r>
        <w:rPr>
          <w:rFonts w:ascii="Arial" w:hAnsi="Arial" w:eastAsia="仿宋" w:cs="Arial"/>
          <w:kern w:val="2"/>
          <w:sz w:val="28"/>
          <w:szCs w:val="28"/>
          <w:lang w:val="en-US"/>
        </w:rPr>
        <w:t>166</w:t>
      </w:r>
      <w:r>
        <w:rPr>
          <w:rFonts w:ascii="仿宋" w:hAnsi="仿宋" w:eastAsia="仿宋"/>
          <w:kern w:val="2"/>
          <w:sz w:val="28"/>
          <w:szCs w:val="28"/>
          <w:lang w:val="en-US"/>
        </w:rPr>
        <w:t>.</w:t>
      </w:r>
      <w:r>
        <w:rPr>
          <w:rFonts w:ascii="Arial" w:hAnsi="Arial" w:eastAsia="仿宋" w:cs="Arial"/>
          <w:kern w:val="2"/>
          <w:sz w:val="28"/>
          <w:szCs w:val="28"/>
          <w:lang w:val="en-US"/>
        </w:rPr>
        <w:t>39</w:t>
      </w:r>
      <w:r>
        <w:rPr>
          <w:rFonts w:hint="eastAsia" w:ascii="仿宋" w:hAnsi="仿宋" w:eastAsia="仿宋"/>
          <w:kern w:val="2"/>
          <w:sz w:val="28"/>
          <w:szCs w:val="28"/>
          <w:lang w:val="en-US"/>
        </w:rPr>
        <w:t>平方公里，辖</w:t>
      </w:r>
      <w:r>
        <w:rPr>
          <w:rFonts w:ascii="Arial" w:hAnsi="Arial" w:eastAsia="仿宋" w:cs="Arial"/>
          <w:kern w:val="2"/>
          <w:sz w:val="28"/>
          <w:szCs w:val="28"/>
          <w:lang w:val="en-US"/>
        </w:rPr>
        <w:t>1</w:t>
      </w:r>
      <w:r>
        <w:rPr>
          <w:rFonts w:hint="eastAsia" w:ascii="仿宋" w:hAnsi="仿宋" w:eastAsia="仿宋"/>
          <w:kern w:val="2"/>
          <w:sz w:val="28"/>
          <w:szCs w:val="28"/>
          <w:lang w:val="en-US"/>
        </w:rPr>
        <w:t>个街道办事处（芦阳街道办事处）</w:t>
      </w:r>
      <w:r>
        <w:rPr>
          <w:rFonts w:ascii="Arial" w:hAnsi="Arial" w:eastAsia="仿宋" w:cs="Arial"/>
          <w:kern w:val="2"/>
          <w:sz w:val="28"/>
          <w:szCs w:val="28"/>
          <w:lang w:val="en-US"/>
        </w:rPr>
        <w:t>6</w:t>
      </w:r>
      <w:r>
        <w:rPr>
          <w:rFonts w:hint="eastAsia" w:ascii="仿宋" w:hAnsi="仿宋" w:eastAsia="仿宋"/>
          <w:kern w:val="2"/>
          <w:sz w:val="28"/>
          <w:szCs w:val="28"/>
          <w:lang w:val="en-US"/>
        </w:rPr>
        <w:t>个镇（飞仙关镇、思延镇、龙门镇、太平镇、大川镇、双石镇）</w:t>
      </w:r>
      <w:r>
        <w:rPr>
          <w:rFonts w:ascii="Arial" w:hAnsi="Arial" w:eastAsia="仿宋" w:cs="Arial"/>
          <w:kern w:val="2"/>
          <w:sz w:val="28"/>
          <w:szCs w:val="28"/>
          <w:lang w:val="en-US"/>
        </w:rPr>
        <w:t>2</w:t>
      </w:r>
      <w:r>
        <w:rPr>
          <w:rFonts w:hint="eastAsia" w:ascii="仿宋" w:hAnsi="仿宋" w:eastAsia="仿宋"/>
          <w:kern w:val="2"/>
          <w:sz w:val="28"/>
          <w:szCs w:val="28"/>
          <w:lang w:val="en-US"/>
        </w:rPr>
        <w:t>个乡（清仁乡、宝盛乡）。设</w:t>
      </w:r>
      <w:r>
        <w:rPr>
          <w:rFonts w:ascii="Arial" w:hAnsi="Arial" w:eastAsia="仿宋" w:cs="Arial"/>
          <w:kern w:val="2"/>
          <w:sz w:val="28"/>
          <w:szCs w:val="28"/>
          <w:lang w:val="en-US"/>
        </w:rPr>
        <w:t>7</w:t>
      </w:r>
      <w:r>
        <w:rPr>
          <w:rFonts w:hint="eastAsia" w:ascii="仿宋" w:hAnsi="仿宋" w:eastAsia="仿宋"/>
          <w:kern w:val="2"/>
          <w:sz w:val="28"/>
          <w:szCs w:val="28"/>
          <w:lang w:val="en-US"/>
        </w:rPr>
        <w:t>个社区居民委员会，</w:t>
      </w:r>
      <w:r>
        <w:rPr>
          <w:rFonts w:ascii="Arial" w:hAnsi="Arial" w:eastAsia="仿宋" w:cs="Arial"/>
          <w:kern w:val="2"/>
          <w:sz w:val="28"/>
          <w:szCs w:val="28"/>
          <w:lang w:val="en-US"/>
        </w:rPr>
        <w:t>40</w:t>
      </w:r>
      <w:r>
        <w:rPr>
          <w:rFonts w:hint="eastAsia" w:ascii="仿宋" w:hAnsi="仿宋" w:eastAsia="仿宋"/>
          <w:kern w:val="2"/>
          <w:sz w:val="28"/>
          <w:szCs w:val="28"/>
          <w:lang w:val="en-US"/>
        </w:rPr>
        <w:t>个村民委员会；</w:t>
      </w:r>
      <w:r>
        <w:rPr>
          <w:rFonts w:ascii="Arial" w:hAnsi="Arial" w:eastAsia="仿宋" w:cs="Arial"/>
          <w:kern w:val="2"/>
          <w:sz w:val="28"/>
          <w:szCs w:val="28"/>
          <w:lang w:val="en-US"/>
        </w:rPr>
        <w:t>255</w:t>
      </w:r>
      <w:r>
        <w:rPr>
          <w:rFonts w:hint="eastAsia" w:ascii="仿宋" w:hAnsi="仿宋" w:eastAsia="仿宋"/>
          <w:kern w:val="2"/>
          <w:sz w:val="28"/>
          <w:szCs w:val="28"/>
          <w:lang w:val="en-US"/>
        </w:rPr>
        <w:t>个村民小组，</w:t>
      </w:r>
      <w:r>
        <w:rPr>
          <w:rFonts w:ascii="Arial" w:hAnsi="Arial" w:eastAsia="仿宋" w:cs="Arial"/>
          <w:kern w:val="2"/>
          <w:sz w:val="28"/>
          <w:szCs w:val="28"/>
          <w:lang w:val="en-US"/>
        </w:rPr>
        <w:t>28</w:t>
      </w:r>
      <w:r>
        <w:rPr>
          <w:rFonts w:hint="eastAsia" w:ascii="仿宋" w:hAnsi="仿宋" w:eastAsia="仿宋"/>
          <w:kern w:val="2"/>
          <w:sz w:val="28"/>
          <w:szCs w:val="28"/>
          <w:lang w:val="en-US"/>
        </w:rPr>
        <w:t>个居民小区。</w:t>
      </w:r>
      <w:r>
        <w:rPr>
          <w:rFonts w:ascii="Arial" w:hAnsi="Arial" w:eastAsia="仿宋" w:cs="Arial"/>
          <w:kern w:val="2"/>
          <w:sz w:val="28"/>
          <w:szCs w:val="28"/>
          <w:lang w:val="en-US"/>
        </w:rPr>
        <w:t>2018</w:t>
      </w:r>
      <w:r>
        <w:rPr>
          <w:rFonts w:hint="eastAsia" w:ascii="仿宋" w:hAnsi="仿宋" w:eastAsia="仿宋"/>
          <w:kern w:val="2"/>
          <w:sz w:val="28"/>
          <w:szCs w:val="28"/>
          <w:lang w:val="en-US"/>
        </w:rPr>
        <w:t>年，全县实现地区生产总值</w:t>
      </w:r>
      <w:r>
        <w:rPr>
          <w:rFonts w:ascii="Arial" w:hAnsi="Arial" w:eastAsia="仿宋" w:cs="Arial"/>
          <w:kern w:val="2"/>
          <w:sz w:val="28"/>
          <w:szCs w:val="28"/>
          <w:lang w:val="en-US"/>
        </w:rPr>
        <w:t>43</w:t>
      </w:r>
      <w:r>
        <w:rPr>
          <w:rFonts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亿元，增长</w:t>
      </w:r>
      <w:r>
        <w:rPr>
          <w:rFonts w:ascii="Arial" w:hAnsi="Arial" w:eastAsia="仿宋" w:cs="Arial"/>
          <w:kern w:val="2"/>
          <w:sz w:val="28"/>
          <w:szCs w:val="28"/>
          <w:lang w:val="en-US"/>
        </w:rPr>
        <w:t>9</w:t>
      </w:r>
      <w:r>
        <w:rPr>
          <w:rFonts w:ascii="仿宋" w:hAnsi="仿宋" w:eastAsia="仿宋"/>
          <w:kern w:val="2"/>
          <w:sz w:val="28"/>
          <w:szCs w:val="28"/>
          <w:lang w:val="en-US"/>
        </w:rPr>
        <w:t>.</w:t>
      </w:r>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，高于全市平均增速</w:t>
      </w:r>
      <w:r>
        <w:rPr>
          <w:rFonts w:ascii="Arial" w:hAnsi="Arial" w:eastAsia="仿宋" w:cs="Arial"/>
          <w:kern w:val="2"/>
          <w:sz w:val="28"/>
          <w:szCs w:val="28"/>
          <w:lang w:val="en-US"/>
        </w:rPr>
        <w:t>1</w:t>
      </w:r>
      <w:r>
        <w:rPr>
          <w:rFonts w:hint="eastAsia" w:ascii="仿宋" w:hAnsi="仿宋" w:eastAsia="仿宋"/>
          <w:kern w:val="2"/>
          <w:sz w:val="28"/>
          <w:szCs w:val="28"/>
          <w:lang w:val="en-US"/>
        </w:rPr>
        <w:t>个百分点；规模以上工业增加值增长</w:t>
      </w:r>
      <w:r>
        <w:rPr>
          <w:rFonts w:ascii="Arial" w:hAnsi="Arial" w:eastAsia="仿宋" w:cs="Arial"/>
          <w:kern w:val="2"/>
          <w:sz w:val="28"/>
          <w:szCs w:val="28"/>
          <w:lang w:val="en-US"/>
        </w:rPr>
        <w:t>12</w:t>
      </w:r>
      <w:r>
        <w:rPr>
          <w:rFonts w:ascii="仿宋" w:hAnsi="仿宋" w:eastAsia="仿宋"/>
          <w:kern w:val="2"/>
          <w:sz w:val="28"/>
          <w:szCs w:val="28"/>
          <w:lang w:val="en-US"/>
        </w:rPr>
        <w:t>.</w:t>
      </w:r>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，高于全市平均增速</w:t>
      </w:r>
      <w:r>
        <w:rPr>
          <w:rFonts w:ascii="Arial" w:hAnsi="Arial" w:eastAsia="仿宋" w:cs="Arial"/>
          <w:kern w:val="2"/>
          <w:sz w:val="28"/>
          <w:szCs w:val="28"/>
          <w:lang w:val="en-US"/>
        </w:rPr>
        <w:t>1</w:t>
      </w:r>
      <w:r>
        <w:rPr>
          <w:rFonts w:ascii="仿宋" w:hAnsi="仿宋" w:eastAsia="仿宋"/>
          <w:kern w:val="2"/>
          <w:sz w:val="28"/>
          <w:szCs w:val="28"/>
          <w:lang w:val="en-US"/>
        </w:rPr>
        <w:t>.</w:t>
      </w:r>
      <w:r>
        <w:rPr>
          <w:rFonts w:ascii="Arial" w:hAnsi="Arial" w:eastAsia="仿宋" w:cs="Arial"/>
          <w:kern w:val="2"/>
          <w:sz w:val="28"/>
          <w:szCs w:val="28"/>
          <w:lang w:val="en-US"/>
        </w:rPr>
        <w:t>9</w:t>
      </w:r>
      <w:r>
        <w:rPr>
          <w:rFonts w:hint="eastAsia" w:ascii="仿宋" w:hAnsi="仿宋" w:eastAsia="仿宋"/>
          <w:kern w:val="2"/>
          <w:sz w:val="28"/>
          <w:szCs w:val="28"/>
          <w:lang w:val="en-US"/>
        </w:rPr>
        <w:t>个百分点；完成全社会固定资产投资</w:t>
      </w:r>
      <w:r>
        <w:rPr>
          <w:rFonts w:ascii="Arial" w:hAnsi="Arial" w:eastAsia="仿宋" w:cs="Arial"/>
          <w:kern w:val="2"/>
          <w:sz w:val="28"/>
          <w:szCs w:val="28"/>
          <w:lang w:val="en-US"/>
        </w:rPr>
        <w:t>28</w:t>
      </w:r>
      <w:r>
        <w:rPr>
          <w:rFonts w:ascii="仿宋" w:hAnsi="仿宋" w:eastAsia="仿宋"/>
          <w:kern w:val="2"/>
          <w:sz w:val="28"/>
          <w:szCs w:val="28"/>
          <w:lang w:val="en-US"/>
        </w:rPr>
        <w:t>.</w:t>
      </w:r>
      <w:r>
        <w:rPr>
          <w:rFonts w:ascii="Arial" w:hAnsi="Arial" w:eastAsia="仿宋" w:cs="Arial"/>
          <w:kern w:val="2"/>
          <w:sz w:val="28"/>
          <w:szCs w:val="28"/>
          <w:lang w:val="en-US"/>
        </w:rPr>
        <w:t>59</w:t>
      </w:r>
      <w:r>
        <w:rPr>
          <w:rFonts w:hint="eastAsia" w:ascii="仿宋" w:hAnsi="仿宋" w:eastAsia="仿宋"/>
          <w:kern w:val="2"/>
          <w:sz w:val="28"/>
          <w:szCs w:val="28"/>
          <w:lang w:val="en-US"/>
        </w:rPr>
        <w:t>亿元，增长</w:t>
      </w:r>
      <w:r>
        <w:rPr>
          <w:rFonts w:ascii="Arial" w:hAnsi="Arial" w:eastAsia="仿宋" w:cs="Arial"/>
          <w:kern w:val="2"/>
          <w:sz w:val="28"/>
          <w:szCs w:val="28"/>
          <w:lang w:val="en-US"/>
        </w:rPr>
        <w:t>15</w:t>
      </w:r>
      <w:r>
        <w:rPr>
          <w:rFonts w:ascii="仿宋" w:hAnsi="仿宋" w:eastAsia="仿宋"/>
          <w:kern w:val="2"/>
          <w:sz w:val="28"/>
          <w:szCs w:val="28"/>
          <w:lang w:val="en-US"/>
        </w:rPr>
        <w:t>.</w:t>
      </w: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，高于全市平均增速</w:t>
      </w:r>
      <w:r>
        <w:rPr>
          <w:rFonts w:ascii="Arial" w:hAnsi="Arial" w:eastAsia="仿宋" w:cs="Arial"/>
          <w:kern w:val="2"/>
          <w:sz w:val="28"/>
          <w:szCs w:val="28"/>
          <w:lang w:val="en-US"/>
        </w:rPr>
        <w:t>3</w:t>
      </w:r>
      <w:r>
        <w:rPr>
          <w:rFonts w:ascii="仿宋" w:hAnsi="仿宋" w:eastAsia="仿宋"/>
          <w:kern w:val="2"/>
          <w:sz w:val="28"/>
          <w:szCs w:val="28"/>
          <w:lang w:val="en-US"/>
        </w:rPr>
        <w:t>.</w:t>
      </w:r>
      <w:r>
        <w:rPr>
          <w:rFonts w:ascii="Arial" w:hAnsi="Arial" w:eastAsia="仿宋" w:cs="Arial"/>
          <w:kern w:val="2"/>
          <w:sz w:val="28"/>
          <w:szCs w:val="28"/>
          <w:lang w:val="en-US"/>
        </w:rPr>
        <w:t>0</w:t>
      </w:r>
      <w:r>
        <w:rPr>
          <w:rFonts w:hint="eastAsia" w:ascii="仿宋" w:hAnsi="仿宋" w:eastAsia="仿宋"/>
          <w:kern w:val="2"/>
          <w:sz w:val="28"/>
          <w:szCs w:val="28"/>
          <w:lang w:val="en-US"/>
        </w:rPr>
        <w:t>个百分点；实现社会消费品零售总额</w:t>
      </w:r>
      <w:r>
        <w:rPr>
          <w:rFonts w:ascii="Arial" w:hAnsi="Arial" w:eastAsia="仿宋" w:cs="Arial"/>
          <w:kern w:val="2"/>
          <w:sz w:val="28"/>
          <w:szCs w:val="28"/>
          <w:lang w:val="en-US"/>
        </w:rPr>
        <w:t>13</w:t>
      </w:r>
      <w:r>
        <w:rPr>
          <w:rFonts w:ascii="仿宋" w:hAnsi="仿宋" w:eastAsia="仿宋"/>
          <w:kern w:val="2"/>
          <w:sz w:val="28"/>
          <w:szCs w:val="28"/>
          <w:lang w:val="en-US"/>
        </w:rPr>
        <w:t>.</w:t>
      </w:r>
      <w:r>
        <w:rPr>
          <w:rFonts w:ascii="Arial" w:hAnsi="Arial" w:eastAsia="仿宋" w:cs="Arial"/>
          <w:kern w:val="2"/>
          <w:sz w:val="28"/>
          <w:szCs w:val="28"/>
          <w:lang w:val="en-US"/>
        </w:rPr>
        <w:t>95</w:t>
      </w:r>
      <w:r>
        <w:rPr>
          <w:rFonts w:hint="eastAsia" w:ascii="仿宋" w:hAnsi="仿宋" w:eastAsia="仿宋"/>
          <w:kern w:val="2"/>
          <w:sz w:val="28"/>
          <w:szCs w:val="28"/>
          <w:lang w:val="en-US"/>
        </w:rPr>
        <w:t>亿元，增长</w:t>
      </w:r>
      <w:r>
        <w:rPr>
          <w:rFonts w:ascii="Arial" w:hAnsi="Arial" w:eastAsia="仿宋" w:cs="Arial"/>
          <w:kern w:val="2"/>
          <w:sz w:val="28"/>
          <w:szCs w:val="28"/>
          <w:lang w:val="en-US"/>
        </w:rPr>
        <w:t>10</w:t>
      </w:r>
      <w:r>
        <w:rPr>
          <w:rFonts w:ascii="仿宋" w:hAnsi="仿宋" w:eastAsia="仿宋"/>
          <w:kern w:val="2"/>
          <w:sz w:val="28"/>
          <w:szCs w:val="28"/>
          <w:lang w:val="en-US"/>
        </w:rPr>
        <w:t>.</w:t>
      </w: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，高于全市平均增速</w:t>
      </w:r>
      <w:r>
        <w:rPr>
          <w:rFonts w:ascii="Arial" w:hAnsi="Arial" w:eastAsia="仿宋" w:cs="Arial"/>
          <w:kern w:val="2"/>
          <w:sz w:val="28"/>
          <w:szCs w:val="28"/>
          <w:lang w:val="en-US"/>
        </w:rPr>
        <w:t>0</w:t>
      </w:r>
      <w:r>
        <w:rPr>
          <w:rFonts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个百分点；实现城镇居民人均可支配收入</w:t>
      </w:r>
      <w:r>
        <w:rPr>
          <w:rFonts w:ascii="Arial" w:hAnsi="Arial" w:eastAsia="仿宋" w:cs="Arial"/>
          <w:kern w:val="2"/>
          <w:sz w:val="28"/>
          <w:szCs w:val="28"/>
          <w:lang w:val="en-US"/>
        </w:rPr>
        <w:t>29</w:t>
      </w:r>
      <w:r>
        <w:rPr>
          <w:rFonts w:ascii="仿宋" w:hAnsi="仿宋" w:eastAsia="仿宋"/>
          <w:kern w:val="2"/>
          <w:sz w:val="28"/>
          <w:szCs w:val="28"/>
          <w:lang w:val="en-US"/>
        </w:rPr>
        <w:t>,</w:t>
      </w:r>
      <w:r>
        <w:rPr>
          <w:rFonts w:ascii="Arial" w:hAnsi="Arial" w:eastAsia="仿宋" w:cs="Arial"/>
          <w:kern w:val="2"/>
          <w:sz w:val="28"/>
          <w:szCs w:val="28"/>
          <w:lang w:val="en-US"/>
        </w:rPr>
        <w:t>318</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元，增长</w:t>
      </w:r>
      <w:r>
        <w:rPr>
          <w:rFonts w:ascii="Arial" w:hAnsi="Arial" w:eastAsia="仿宋" w:cs="Arial"/>
          <w:kern w:val="2"/>
          <w:sz w:val="28"/>
          <w:szCs w:val="28"/>
          <w:lang w:val="en-US"/>
        </w:rPr>
        <w:t>8</w:t>
      </w:r>
      <w:r>
        <w:rPr>
          <w:rFonts w:ascii="仿宋" w:hAnsi="仿宋" w:eastAsia="仿宋"/>
          <w:kern w:val="2"/>
          <w:sz w:val="28"/>
          <w:szCs w:val="28"/>
          <w:lang w:val="en-US"/>
        </w:rPr>
        <w:t>.</w:t>
      </w:r>
      <w:r>
        <w:rPr>
          <w:rFonts w:ascii="Arial" w:hAnsi="Arial" w:eastAsia="仿宋" w:cs="Arial"/>
          <w:kern w:val="2"/>
          <w:sz w:val="28"/>
          <w:szCs w:val="28"/>
          <w:lang w:val="en-US"/>
        </w:rPr>
        <w:t>4</w:t>
      </w:r>
      <w:r>
        <w:rPr>
          <w:rFonts w:ascii="仿宋" w:hAnsi="仿宋" w:eastAsia="仿宋"/>
          <w:kern w:val="2"/>
          <w:sz w:val="28"/>
          <w:szCs w:val="28"/>
          <w:lang w:val="en-US"/>
        </w:rPr>
        <w:t>%</w:t>
      </w:r>
      <w:r>
        <w:rPr>
          <w:rFonts w:hint="eastAsia" w:ascii="仿宋" w:hAnsi="仿宋" w:eastAsia="仿宋"/>
          <w:kern w:val="2"/>
          <w:sz w:val="28"/>
          <w:szCs w:val="28"/>
          <w:lang w:val="en-US"/>
        </w:rPr>
        <w:t>，高于全市平均增速</w:t>
      </w:r>
      <w:r>
        <w:rPr>
          <w:rFonts w:ascii="Arial" w:hAnsi="Arial" w:eastAsia="仿宋" w:cs="Arial"/>
          <w:kern w:val="2"/>
          <w:sz w:val="28"/>
          <w:szCs w:val="28"/>
          <w:lang w:val="en-US"/>
        </w:rPr>
        <w:t>0</w:t>
      </w:r>
      <w:r>
        <w:rPr>
          <w:rFonts w:ascii="仿宋" w:hAnsi="仿宋" w:eastAsia="仿宋"/>
          <w:kern w:val="2"/>
          <w:sz w:val="28"/>
          <w:szCs w:val="28"/>
          <w:lang w:val="en-US"/>
        </w:rPr>
        <w:t>.</w:t>
      </w:r>
      <w:r>
        <w:rPr>
          <w:rFonts w:ascii="Arial" w:hAnsi="Arial" w:eastAsia="仿宋" w:cs="Arial"/>
          <w:kern w:val="2"/>
          <w:sz w:val="28"/>
          <w:szCs w:val="28"/>
          <w:lang w:val="en-US"/>
        </w:rPr>
        <w:t>1</w:t>
      </w:r>
      <w:r>
        <w:rPr>
          <w:rFonts w:hint="eastAsia" w:ascii="仿宋" w:hAnsi="仿宋" w:eastAsia="仿宋"/>
          <w:kern w:val="2"/>
          <w:sz w:val="28"/>
          <w:szCs w:val="28"/>
          <w:lang w:val="en-US"/>
        </w:rPr>
        <w:t>个百分点；实现农村居民人居可支配收入</w:t>
      </w:r>
      <w:r>
        <w:rPr>
          <w:rFonts w:ascii="Arial" w:hAnsi="Arial" w:eastAsia="仿宋" w:cs="Arial"/>
          <w:kern w:val="2"/>
          <w:sz w:val="28"/>
          <w:szCs w:val="28"/>
          <w:lang w:val="en-US"/>
        </w:rPr>
        <w:t>12</w:t>
      </w:r>
      <w:r>
        <w:rPr>
          <w:rFonts w:ascii="仿宋" w:hAnsi="仿宋" w:eastAsia="仿宋"/>
          <w:kern w:val="2"/>
          <w:sz w:val="28"/>
          <w:szCs w:val="28"/>
          <w:lang w:val="en-US"/>
        </w:rPr>
        <w:t>,</w:t>
      </w:r>
      <w:r>
        <w:rPr>
          <w:rFonts w:ascii="Arial" w:hAnsi="Arial" w:eastAsia="仿宋" w:cs="Arial"/>
          <w:kern w:val="2"/>
          <w:sz w:val="28"/>
          <w:szCs w:val="28"/>
          <w:lang w:val="en-US"/>
        </w:rPr>
        <w:t>260</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元，增长</w:t>
      </w:r>
      <w:r>
        <w:rPr>
          <w:rFonts w:ascii="Arial" w:hAnsi="Arial" w:eastAsia="仿宋" w:cs="Arial"/>
          <w:kern w:val="2"/>
          <w:sz w:val="28"/>
          <w:szCs w:val="28"/>
          <w:lang w:val="en-US"/>
        </w:rPr>
        <w:t>9</w:t>
      </w:r>
      <w:r>
        <w:rPr>
          <w:rFonts w:ascii="仿宋" w:hAnsi="仿宋" w:eastAsia="仿宋"/>
          <w:kern w:val="2"/>
          <w:sz w:val="28"/>
          <w:szCs w:val="28"/>
          <w:lang w:val="en-US"/>
        </w:rPr>
        <w:t>.</w:t>
      </w: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，高于全市平均增速</w:t>
      </w:r>
      <w:r>
        <w:rPr>
          <w:rFonts w:ascii="Arial" w:hAnsi="Arial" w:eastAsia="仿宋" w:cs="Arial"/>
          <w:kern w:val="2"/>
          <w:sz w:val="28"/>
          <w:szCs w:val="28"/>
          <w:lang w:val="en-US"/>
        </w:rPr>
        <w:t>0</w:t>
      </w:r>
      <w:r>
        <w:rPr>
          <w:rFonts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个百分点。全年城镇居民人均可支配收入</w:t>
      </w:r>
      <w:r>
        <w:rPr>
          <w:rFonts w:ascii="Arial" w:hAnsi="Arial" w:eastAsia="仿宋" w:cs="Arial"/>
          <w:kern w:val="2"/>
          <w:sz w:val="28"/>
          <w:szCs w:val="28"/>
          <w:lang w:val="en-US"/>
        </w:rPr>
        <w:t>27047</w:t>
      </w:r>
      <w:r>
        <w:rPr>
          <w:rFonts w:hint="eastAsia" w:ascii="仿宋" w:hAnsi="仿宋" w:eastAsia="仿宋"/>
          <w:kern w:val="2"/>
          <w:sz w:val="28"/>
          <w:szCs w:val="28"/>
          <w:lang w:val="en-US"/>
        </w:rPr>
        <w:t>元，增长</w:t>
      </w:r>
      <w:r>
        <w:rPr>
          <w:rFonts w:ascii="Arial" w:hAnsi="Arial" w:eastAsia="仿宋" w:cs="Arial"/>
          <w:kern w:val="2"/>
          <w:sz w:val="28"/>
          <w:szCs w:val="28"/>
          <w:lang w:val="en-US"/>
        </w:rPr>
        <w:t>8</w:t>
      </w:r>
      <w:r>
        <w:rPr>
          <w:rFonts w:ascii="仿宋" w:hAnsi="仿宋" w:eastAsia="仿宋"/>
          <w:kern w:val="2"/>
          <w:sz w:val="28"/>
          <w:szCs w:val="28"/>
          <w:lang w:val="en-US"/>
        </w:rPr>
        <w:t>.</w:t>
      </w:r>
      <w:r>
        <w:rPr>
          <w:rFonts w:ascii="Arial" w:hAnsi="Arial" w:eastAsia="仿宋" w:cs="Arial"/>
          <w:kern w:val="2"/>
          <w:sz w:val="28"/>
          <w:szCs w:val="28"/>
          <w:lang w:val="en-US"/>
        </w:rPr>
        <w:t>8</w:t>
      </w:r>
      <w:r>
        <w:rPr>
          <w:rFonts w:ascii="仿宋" w:hAnsi="仿宋" w:eastAsia="仿宋"/>
          <w:kern w:val="2"/>
          <w:sz w:val="28"/>
          <w:szCs w:val="28"/>
          <w:lang w:val="en-US"/>
        </w:rPr>
        <w:t>%</w:t>
      </w:r>
      <w:r>
        <w:rPr>
          <w:rFonts w:hint="eastAsia" w:ascii="仿宋" w:hAnsi="仿宋" w:eastAsia="仿宋"/>
          <w:kern w:val="2"/>
          <w:sz w:val="28"/>
          <w:szCs w:val="28"/>
          <w:lang w:val="en-US"/>
        </w:rPr>
        <w:t>。其中，工资性收入</w:t>
      </w:r>
      <w:r>
        <w:rPr>
          <w:rFonts w:ascii="Arial" w:hAnsi="Arial" w:eastAsia="仿宋" w:cs="Arial"/>
          <w:kern w:val="2"/>
          <w:sz w:val="28"/>
          <w:szCs w:val="28"/>
          <w:lang w:val="en-US"/>
        </w:rPr>
        <w:t>19</w:t>
      </w:r>
      <w:r>
        <w:rPr>
          <w:rFonts w:ascii="仿宋" w:hAnsi="仿宋" w:eastAsia="仿宋"/>
          <w:kern w:val="2"/>
          <w:sz w:val="28"/>
          <w:szCs w:val="28"/>
          <w:lang w:val="en-US"/>
        </w:rPr>
        <w:t>,</w:t>
      </w:r>
      <w:r>
        <w:rPr>
          <w:rFonts w:ascii="Arial" w:hAnsi="Arial" w:eastAsia="仿宋" w:cs="Arial"/>
          <w:kern w:val="2"/>
          <w:sz w:val="28"/>
          <w:szCs w:val="28"/>
          <w:lang w:val="en-US"/>
        </w:rPr>
        <w:t>483</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元，上涨</w:t>
      </w:r>
      <w:r>
        <w:rPr>
          <w:rFonts w:ascii="Arial" w:hAnsi="Arial" w:eastAsia="仿宋" w:cs="Arial"/>
          <w:kern w:val="2"/>
          <w:sz w:val="28"/>
          <w:szCs w:val="28"/>
          <w:lang w:val="en-US"/>
        </w:rPr>
        <w:t>7</w:t>
      </w:r>
      <w:r>
        <w:rPr>
          <w:rFonts w:ascii="仿宋" w:hAnsi="仿宋" w:eastAsia="仿宋"/>
          <w:kern w:val="2"/>
          <w:sz w:val="28"/>
          <w:szCs w:val="28"/>
          <w:lang w:val="en-US"/>
        </w:rPr>
        <w:t>.</w:t>
      </w:r>
      <w:r>
        <w:rPr>
          <w:rFonts w:ascii="Arial" w:hAnsi="Arial" w:eastAsia="仿宋" w:cs="Arial"/>
          <w:kern w:val="2"/>
          <w:sz w:val="28"/>
          <w:szCs w:val="28"/>
          <w:lang w:val="en-US"/>
        </w:rPr>
        <w:t>7</w:t>
      </w:r>
      <w:r>
        <w:rPr>
          <w:rFonts w:ascii="仿宋" w:hAnsi="仿宋" w:eastAsia="仿宋"/>
          <w:kern w:val="2"/>
          <w:sz w:val="28"/>
          <w:szCs w:val="28"/>
          <w:lang w:val="en-US"/>
        </w:rPr>
        <w:t>%</w:t>
      </w:r>
      <w:r>
        <w:rPr>
          <w:rFonts w:hint="eastAsia" w:ascii="仿宋" w:hAnsi="仿宋" w:eastAsia="仿宋"/>
          <w:kern w:val="2"/>
          <w:sz w:val="28"/>
          <w:szCs w:val="28"/>
          <w:lang w:val="en-US"/>
        </w:rPr>
        <w:t>。城镇居民人均消费支出</w:t>
      </w:r>
      <w:r>
        <w:rPr>
          <w:rFonts w:ascii="Arial" w:hAnsi="Arial" w:eastAsia="仿宋" w:cs="Arial"/>
          <w:kern w:val="2"/>
          <w:sz w:val="28"/>
          <w:szCs w:val="28"/>
          <w:lang w:val="en-US"/>
        </w:rPr>
        <w:t>17</w:t>
      </w:r>
      <w:r>
        <w:rPr>
          <w:rFonts w:ascii="仿宋" w:hAnsi="仿宋" w:eastAsia="仿宋"/>
          <w:kern w:val="2"/>
          <w:sz w:val="28"/>
          <w:szCs w:val="28"/>
          <w:lang w:val="en-US"/>
        </w:rPr>
        <w:t>,</w:t>
      </w:r>
      <w:r>
        <w:rPr>
          <w:rFonts w:ascii="Arial" w:hAnsi="Arial" w:eastAsia="仿宋" w:cs="Arial"/>
          <w:kern w:val="2"/>
          <w:sz w:val="28"/>
          <w:szCs w:val="28"/>
          <w:lang w:val="en-US"/>
        </w:rPr>
        <w:t>703</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元，上涨</w:t>
      </w:r>
      <w:r>
        <w:rPr>
          <w:rFonts w:ascii="Arial" w:hAnsi="Arial" w:eastAsia="仿宋" w:cs="Arial"/>
          <w:kern w:val="2"/>
          <w:sz w:val="28"/>
          <w:szCs w:val="28"/>
          <w:lang w:val="en-US"/>
        </w:rPr>
        <w:t>7</w:t>
      </w:r>
      <w:r>
        <w:rPr>
          <w:rFonts w:ascii="仿宋" w:hAnsi="仿宋" w:eastAsia="仿宋"/>
          <w:kern w:val="2"/>
          <w:sz w:val="28"/>
          <w:szCs w:val="28"/>
          <w:lang w:val="en-US"/>
        </w:rPr>
        <w:t>.</w:t>
      </w:r>
      <w:r>
        <w:rPr>
          <w:rFonts w:ascii="Arial" w:hAnsi="Arial" w:eastAsia="仿宋" w:cs="Arial"/>
          <w:kern w:val="2"/>
          <w:sz w:val="28"/>
          <w:szCs w:val="28"/>
          <w:lang w:val="en-US"/>
        </w:rPr>
        <w:t>6</w:t>
      </w:r>
      <w:r>
        <w:rPr>
          <w:rFonts w:ascii="仿宋" w:hAnsi="仿宋" w:eastAsia="仿宋"/>
          <w:kern w:val="2"/>
          <w:sz w:val="28"/>
          <w:szCs w:val="28"/>
          <w:lang w:val="en-US"/>
        </w:rPr>
        <w:t>%</w:t>
      </w:r>
      <w:r>
        <w:rPr>
          <w:rFonts w:hint="eastAsia" w:ascii="仿宋" w:hAnsi="仿宋" w:eastAsia="仿宋"/>
          <w:kern w:val="2"/>
          <w:sz w:val="28"/>
          <w:szCs w:val="28"/>
          <w:lang w:val="en-US"/>
        </w:rPr>
        <w:t>。农村居民人均可支配收入</w:t>
      </w:r>
      <w:r>
        <w:rPr>
          <w:rFonts w:ascii="Arial" w:hAnsi="Arial" w:eastAsia="仿宋" w:cs="Arial"/>
          <w:kern w:val="2"/>
          <w:sz w:val="28"/>
          <w:szCs w:val="28"/>
          <w:lang w:val="en-US"/>
        </w:rPr>
        <w:t>11</w:t>
      </w:r>
      <w:r>
        <w:rPr>
          <w:rFonts w:ascii="仿宋" w:hAnsi="仿宋" w:eastAsia="仿宋"/>
          <w:kern w:val="2"/>
          <w:sz w:val="28"/>
          <w:szCs w:val="28"/>
          <w:lang w:val="en-US"/>
        </w:rPr>
        <w:t>,</w:t>
      </w:r>
      <w:r>
        <w:rPr>
          <w:rFonts w:ascii="Arial" w:hAnsi="Arial" w:eastAsia="仿宋" w:cs="Arial"/>
          <w:kern w:val="2"/>
          <w:sz w:val="28"/>
          <w:szCs w:val="28"/>
          <w:lang w:val="en-US"/>
        </w:rPr>
        <w:t>230</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元，增长</w:t>
      </w:r>
      <w:r>
        <w:rPr>
          <w:rFonts w:ascii="Arial" w:hAnsi="Arial" w:eastAsia="仿宋" w:cs="Arial"/>
          <w:kern w:val="2"/>
          <w:sz w:val="28"/>
          <w:szCs w:val="28"/>
          <w:lang w:val="en-US"/>
        </w:rPr>
        <w:t>9</w:t>
      </w:r>
      <w:r>
        <w:rPr>
          <w:rFonts w:ascii="仿宋" w:hAnsi="仿宋" w:eastAsia="仿宋"/>
          <w:kern w:val="2"/>
          <w:sz w:val="28"/>
          <w:szCs w:val="28"/>
          <w:lang w:val="en-US"/>
        </w:rPr>
        <w:t>.</w:t>
      </w: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。其中，工资性收入</w:t>
      </w:r>
      <w:r>
        <w:rPr>
          <w:rFonts w:ascii="Arial" w:hAnsi="Arial" w:eastAsia="仿宋" w:cs="Arial"/>
          <w:kern w:val="2"/>
          <w:sz w:val="28"/>
          <w:szCs w:val="28"/>
          <w:lang w:val="en-US"/>
        </w:rPr>
        <w:t>6</w:t>
      </w:r>
      <w:r>
        <w:rPr>
          <w:rFonts w:ascii="仿宋" w:hAnsi="仿宋" w:eastAsia="仿宋"/>
          <w:kern w:val="2"/>
          <w:sz w:val="28"/>
          <w:szCs w:val="28"/>
          <w:lang w:val="en-US"/>
        </w:rPr>
        <w:t>,</w:t>
      </w:r>
      <w:r>
        <w:rPr>
          <w:rFonts w:ascii="Arial" w:hAnsi="Arial" w:eastAsia="仿宋" w:cs="Arial"/>
          <w:kern w:val="2"/>
          <w:sz w:val="28"/>
          <w:szCs w:val="28"/>
          <w:lang w:val="en-US"/>
        </w:rPr>
        <w:t>720</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元，增长</w:t>
      </w:r>
      <w:r>
        <w:rPr>
          <w:rFonts w:ascii="Arial" w:hAnsi="Arial" w:eastAsia="仿宋" w:cs="Arial"/>
          <w:kern w:val="2"/>
          <w:sz w:val="28"/>
          <w:szCs w:val="28"/>
          <w:lang w:val="en-US"/>
        </w:rPr>
        <w:t>7</w:t>
      </w:r>
      <w:r>
        <w:rPr>
          <w:rFonts w:ascii="仿宋" w:hAnsi="仿宋" w:eastAsia="仿宋"/>
          <w:kern w:val="2"/>
          <w:sz w:val="28"/>
          <w:szCs w:val="28"/>
          <w:lang w:val="en-US"/>
        </w:rPr>
        <w:t>.</w:t>
      </w:r>
      <w:r>
        <w:rPr>
          <w:rFonts w:ascii="Arial" w:hAnsi="Arial" w:eastAsia="仿宋" w:cs="Arial"/>
          <w:kern w:val="2"/>
          <w:sz w:val="28"/>
          <w:szCs w:val="28"/>
          <w:lang w:val="en-US"/>
        </w:rPr>
        <w:t>9</w:t>
      </w:r>
      <w:r>
        <w:rPr>
          <w:rFonts w:ascii="仿宋" w:hAnsi="仿宋" w:eastAsia="仿宋"/>
          <w:kern w:val="2"/>
          <w:sz w:val="28"/>
          <w:szCs w:val="28"/>
          <w:lang w:val="en-US"/>
        </w:rPr>
        <w:t>%</w:t>
      </w:r>
      <w:r>
        <w:rPr>
          <w:rFonts w:hint="eastAsia" w:ascii="仿宋" w:hAnsi="仿宋" w:eastAsia="仿宋"/>
          <w:kern w:val="2"/>
          <w:sz w:val="28"/>
          <w:szCs w:val="28"/>
          <w:lang w:val="en-US"/>
        </w:rPr>
        <w:t>。农村居民人均消费支出</w:t>
      </w:r>
      <w:r>
        <w:rPr>
          <w:rFonts w:ascii="Arial" w:hAnsi="Arial" w:eastAsia="仿宋" w:cs="Arial"/>
          <w:kern w:val="2"/>
          <w:sz w:val="28"/>
          <w:szCs w:val="28"/>
          <w:lang w:val="en-US"/>
        </w:rPr>
        <w:t>12</w:t>
      </w:r>
      <w:r>
        <w:rPr>
          <w:rFonts w:ascii="仿宋" w:hAnsi="仿宋" w:eastAsia="仿宋"/>
          <w:kern w:val="2"/>
          <w:sz w:val="28"/>
          <w:szCs w:val="28"/>
          <w:lang w:val="en-US"/>
        </w:rPr>
        <w:t>,</w:t>
      </w:r>
      <w:r>
        <w:rPr>
          <w:rFonts w:ascii="Arial" w:hAnsi="Arial" w:eastAsia="仿宋" w:cs="Arial"/>
          <w:kern w:val="2"/>
          <w:sz w:val="28"/>
          <w:szCs w:val="28"/>
          <w:lang w:val="en-US"/>
        </w:rPr>
        <w:t>231</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元，增长</w:t>
      </w:r>
      <w:r>
        <w:rPr>
          <w:rFonts w:ascii="Arial" w:hAnsi="Arial" w:eastAsia="仿宋" w:cs="Arial"/>
          <w:kern w:val="2"/>
          <w:sz w:val="28"/>
          <w:szCs w:val="28"/>
          <w:lang w:val="en-US"/>
        </w:rPr>
        <w:t>8</w:t>
      </w:r>
      <w:r>
        <w:rPr>
          <w:rFonts w:ascii="仿宋" w:hAnsi="仿宋" w:eastAsia="仿宋"/>
          <w:kern w:val="2"/>
          <w:sz w:val="28"/>
          <w:szCs w:val="28"/>
          <w:lang w:val="en-US"/>
        </w:rPr>
        <w:t>.</w:t>
      </w:r>
      <w:r>
        <w:rPr>
          <w:rFonts w:ascii="Arial" w:hAnsi="Arial" w:eastAsia="仿宋" w:cs="Arial"/>
          <w:kern w:val="2"/>
          <w:sz w:val="28"/>
          <w:szCs w:val="28"/>
          <w:lang w:val="en-US"/>
        </w:rPr>
        <w:t>8</w:t>
      </w:r>
      <w:r>
        <w:rPr>
          <w:rFonts w:ascii="仿宋" w:hAnsi="仿宋" w:eastAsia="仿宋"/>
          <w:kern w:val="2"/>
          <w:sz w:val="28"/>
          <w:szCs w:val="28"/>
          <w:lang w:val="en-US"/>
        </w:rPr>
        <w:t>%</w:t>
      </w:r>
      <w:r>
        <w:rPr>
          <w:rFonts w:hint="eastAsia" w:ascii="仿宋" w:hAnsi="仿宋" w:eastAsia="仿宋"/>
          <w:kern w:val="2"/>
          <w:sz w:val="28"/>
          <w:szCs w:val="28"/>
          <w:lang w:val="en-US"/>
        </w:rPr>
        <w:t>。</w:t>
      </w:r>
    </w:p>
    <w:p>
      <w:pPr>
        <w:pStyle w:val="5"/>
        <w:spacing w:line="576" w:lineRule="exact"/>
        <w:rPr>
          <w:rFonts w:ascii="仿宋" w:hAnsi="仿宋" w:eastAsia="仿宋"/>
          <w:kern w:val="2"/>
          <w:sz w:val="28"/>
          <w:szCs w:val="28"/>
          <w:lang w:val="en-US"/>
        </w:rPr>
      </w:pPr>
      <w:r>
        <w:rPr>
          <w:rFonts w:hint="eastAsia" w:ascii="仿宋" w:hAnsi="仿宋" w:eastAsia="仿宋"/>
          <w:kern w:val="2"/>
          <w:sz w:val="28"/>
          <w:szCs w:val="28"/>
          <w:lang w:val="en-US"/>
        </w:rPr>
        <w:t>根据《芦山县城市总体规划（</w:t>
      </w:r>
      <w:r>
        <w:rPr>
          <w:rFonts w:ascii="Arial" w:hAnsi="Arial" w:eastAsia="仿宋" w:cs="Arial"/>
          <w:kern w:val="2"/>
          <w:sz w:val="28"/>
          <w:szCs w:val="28"/>
          <w:lang w:val="en-US"/>
        </w:rPr>
        <w:t>2017</w:t>
      </w:r>
      <w:r>
        <w:rPr>
          <w:rFonts w:ascii="仿宋" w:hAnsi="仿宋" w:eastAsia="仿宋"/>
          <w:kern w:val="2"/>
          <w:sz w:val="28"/>
          <w:szCs w:val="28"/>
          <w:lang w:val="en-US"/>
        </w:rPr>
        <w:t>-</w:t>
      </w:r>
      <w:r>
        <w:rPr>
          <w:rFonts w:ascii="Arial" w:hAnsi="Arial" w:eastAsia="仿宋" w:cs="Arial"/>
          <w:kern w:val="2"/>
          <w:sz w:val="28"/>
          <w:szCs w:val="28"/>
          <w:lang w:val="en-US"/>
        </w:rPr>
        <w:t>2035</w:t>
      </w:r>
      <w:r>
        <w:rPr>
          <w:rFonts w:hint="eastAsia" w:ascii="仿宋" w:hAnsi="仿宋" w:eastAsia="仿宋"/>
          <w:kern w:val="2"/>
          <w:sz w:val="28"/>
          <w:szCs w:val="28"/>
          <w:lang w:val="en-US"/>
        </w:rPr>
        <w:t>）》，规划芦山总体发展目标为“秀美芦山</w:t>
      </w:r>
      <w:r>
        <w:rPr>
          <w:rFonts w:ascii="仿宋" w:hAnsi="仿宋" w:eastAsia="仿宋"/>
          <w:kern w:val="2"/>
          <w:sz w:val="28"/>
          <w:szCs w:val="28"/>
          <w:lang w:val="en-US"/>
        </w:rPr>
        <w:t>•</w:t>
      </w:r>
      <w:r>
        <w:rPr>
          <w:rFonts w:hint="eastAsia" w:ascii="仿宋" w:hAnsi="仿宋" w:eastAsia="仿宋"/>
          <w:kern w:val="2"/>
          <w:sz w:val="28"/>
          <w:szCs w:val="28"/>
          <w:lang w:val="en-US"/>
        </w:rPr>
        <w:t>生态强县”。到</w:t>
      </w:r>
      <w:r>
        <w:rPr>
          <w:rFonts w:ascii="Arial" w:hAnsi="Arial" w:eastAsia="仿宋" w:cs="Arial"/>
          <w:kern w:val="2"/>
          <w:sz w:val="28"/>
          <w:szCs w:val="28"/>
          <w:lang w:val="en-US"/>
        </w:rPr>
        <w:t>2035</w:t>
      </w:r>
      <w:r>
        <w:rPr>
          <w:rFonts w:hint="eastAsia" w:ascii="仿宋" w:hAnsi="仿宋" w:eastAsia="仿宋"/>
          <w:kern w:val="2"/>
          <w:sz w:val="28"/>
          <w:szCs w:val="28"/>
          <w:lang w:val="en-US"/>
        </w:rPr>
        <w:t>年，将芦山建设成为川西生态经济高地、文旅产业高地、康体养生高地和生态宜居、具有地域特色的生态旅游示范县。</w:t>
      </w:r>
    </w:p>
    <w:p>
      <w:pPr>
        <w:pStyle w:val="5"/>
        <w:spacing w:line="576" w:lineRule="exact"/>
        <w:rPr>
          <w:rFonts w:ascii="仿宋" w:hAnsi="仿宋" w:eastAsia="仿宋"/>
          <w:kern w:val="2"/>
          <w:sz w:val="28"/>
          <w:szCs w:val="28"/>
          <w:lang w:val="en-US"/>
        </w:rPr>
      </w:pPr>
      <w:r>
        <w:rPr>
          <w:rFonts w:hint="eastAsia" w:ascii="仿宋" w:hAnsi="仿宋" w:eastAsia="仿宋"/>
          <w:kern w:val="2"/>
          <w:sz w:val="28"/>
          <w:szCs w:val="28"/>
          <w:lang w:val="en-US"/>
        </w:rPr>
        <w:t>芦山县城镇空间面积</w:t>
      </w:r>
      <w:r>
        <w:rPr>
          <w:rFonts w:ascii="Arial" w:hAnsi="Arial" w:eastAsia="仿宋" w:cs="Arial"/>
          <w:kern w:val="2"/>
          <w:sz w:val="28"/>
          <w:szCs w:val="28"/>
          <w:lang w:val="en-US"/>
        </w:rPr>
        <w:t>38</w:t>
      </w:r>
      <w:r>
        <w:rPr>
          <w:rFonts w:ascii="仿宋" w:hAnsi="仿宋" w:eastAsia="仿宋"/>
          <w:kern w:val="2"/>
          <w:sz w:val="28"/>
          <w:szCs w:val="28"/>
          <w:lang w:val="en-US"/>
        </w:rPr>
        <w:t>.</w:t>
      </w:r>
      <w:r>
        <w:rPr>
          <w:rFonts w:ascii="Arial" w:hAnsi="Arial" w:eastAsia="仿宋" w:cs="Arial"/>
          <w:kern w:val="2"/>
          <w:sz w:val="28"/>
          <w:szCs w:val="28"/>
          <w:lang w:val="en-US"/>
        </w:rPr>
        <w:t>09</w:t>
      </w:r>
      <w:r>
        <w:rPr>
          <w:rFonts w:hint="eastAsia" w:ascii="仿宋" w:hAnsi="仿宋" w:eastAsia="仿宋"/>
          <w:kern w:val="2"/>
          <w:sz w:val="28"/>
          <w:szCs w:val="28"/>
          <w:lang w:val="en-US"/>
        </w:rPr>
        <w:t>平方公里，占县域总面积的</w:t>
      </w:r>
      <w:r>
        <w:rPr>
          <w:rFonts w:ascii="Arial" w:hAnsi="Arial" w:eastAsia="仿宋" w:cs="Arial"/>
          <w:kern w:val="2"/>
          <w:sz w:val="28"/>
          <w:szCs w:val="28"/>
          <w:lang w:val="en-US"/>
        </w:rPr>
        <w:t>3</w:t>
      </w:r>
      <w:r>
        <w:rPr>
          <w:rFonts w:ascii="仿宋" w:hAnsi="仿宋" w:eastAsia="仿宋"/>
          <w:kern w:val="2"/>
          <w:sz w:val="28"/>
          <w:szCs w:val="28"/>
          <w:lang w:val="en-US"/>
        </w:rPr>
        <w:t>.</w:t>
      </w:r>
      <w:r>
        <w:rPr>
          <w:rFonts w:ascii="Arial" w:hAnsi="Arial" w:eastAsia="仿宋" w:cs="Arial"/>
          <w:kern w:val="2"/>
          <w:sz w:val="28"/>
          <w:szCs w:val="28"/>
          <w:lang w:val="en-US"/>
        </w:rPr>
        <w:t>27</w:t>
      </w:r>
      <w:r>
        <w:rPr>
          <w:rFonts w:ascii="仿宋" w:hAnsi="仿宋" w:eastAsia="仿宋"/>
          <w:kern w:val="2"/>
          <w:sz w:val="28"/>
          <w:szCs w:val="28"/>
          <w:lang w:val="en-US"/>
        </w:rPr>
        <w:t>%</w:t>
      </w:r>
      <w:r>
        <w:rPr>
          <w:rFonts w:hint="eastAsia" w:ascii="仿宋" w:hAnsi="仿宋" w:eastAsia="仿宋"/>
          <w:kern w:val="2"/>
          <w:sz w:val="28"/>
          <w:szCs w:val="28"/>
          <w:lang w:val="en-US"/>
        </w:rPr>
        <w:t>。全县划分为三个发展区，分别是北部生态涵养区、中部特色发展区、南部核心发展区。北部生态涵养区打造高端生态旅游目的地，以生态保育和生态旅游为发展方向。中部特色发展区构建农旅融合创新发展示范，以生态农业、旅游业和农副加工为发展方向。南部核心发展区构建产城融合发展示范，吸引人口和产业集聚。</w:t>
      </w:r>
    </w:p>
    <w:p>
      <w:pPr>
        <w:pStyle w:val="5"/>
        <w:spacing w:line="576" w:lineRule="exact"/>
        <w:rPr>
          <w:rFonts w:ascii="Arial" w:hAnsi="Arial" w:eastAsia="仿宋" w:cs="Arial"/>
          <w:kern w:val="2"/>
          <w:sz w:val="28"/>
          <w:szCs w:val="28"/>
          <w:lang w:val="en-US"/>
        </w:rPr>
      </w:pPr>
      <w:r>
        <w:rPr>
          <w:rFonts w:hint="eastAsia" w:ascii="仿宋" w:hAnsi="仿宋" w:eastAsia="仿宋"/>
          <w:kern w:val="2"/>
          <w:sz w:val="28"/>
          <w:szCs w:val="28"/>
          <w:lang w:val="en-US"/>
        </w:rPr>
        <w:t>根据规划，</w:t>
      </w:r>
      <w:r>
        <w:rPr>
          <w:rFonts w:ascii="Arial" w:hAnsi="Arial" w:eastAsia="仿宋" w:cs="Arial"/>
          <w:kern w:val="2"/>
          <w:sz w:val="28"/>
          <w:szCs w:val="28"/>
          <w:lang w:val="en-US"/>
        </w:rPr>
        <w:t>2035</w:t>
      </w:r>
      <w:r>
        <w:rPr>
          <w:rFonts w:hint="eastAsia" w:ascii="仿宋" w:hAnsi="仿宋" w:eastAsia="仿宋"/>
          <w:kern w:val="2"/>
          <w:sz w:val="28"/>
          <w:szCs w:val="28"/>
          <w:lang w:val="en-US"/>
        </w:rPr>
        <w:t>年芦山县中心城区居住用地</w:t>
      </w:r>
      <w:r>
        <w:rPr>
          <w:rFonts w:ascii="Arial" w:hAnsi="Arial" w:eastAsia="仿宋" w:cs="Arial"/>
          <w:kern w:val="2"/>
          <w:sz w:val="28"/>
          <w:szCs w:val="28"/>
          <w:lang w:val="en-US"/>
        </w:rPr>
        <w:t>244</w:t>
      </w:r>
      <w:r>
        <w:rPr>
          <w:rFonts w:ascii="仿宋" w:hAnsi="仿宋" w:eastAsia="仿宋"/>
          <w:kern w:val="2"/>
          <w:sz w:val="28"/>
          <w:szCs w:val="28"/>
          <w:lang w:val="en-US"/>
        </w:rPr>
        <w:t>.</w:t>
      </w:r>
      <w:r>
        <w:rPr>
          <w:rFonts w:ascii="Arial" w:hAnsi="Arial" w:eastAsia="仿宋" w:cs="Arial"/>
          <w:kern w:val="2"/>
          <w:sz w:val="28"/>
          <w:szCs w:val="28"/>
          <w:lang w:val="en-US"/>
        </w:rPr>
        <w:t>65</w:t>
      </w:r>
      <w:r>
        <w:rPr>
          <w:rFonts w:hint="eastAsia" w:ascii="仿宋" w:hAnsi="仿宋" w:eastAsia="仿宋"/>
          <w:kern w:val="2"/>
          <w:sz w:val="28"/>
          <w:szCs w:val="28"/>
          <w:lang w:val="en-US"/>
        </w:rPr>
        <w:t>公顷，占城市建设用地的</w:t>
      </w:r>
      <w:r>
        <w:rPr>
          <w:rFonts w:ascii="Arial" w:hAnsi="Arial" w:eastAsia="仿宋" w:cs="Arial"/>
          <w:kern w:val="2"/>
          <w:sz w:val="28"/>
          <w:szCs w:val="28"/>
          <w:lang w:val="en-US"/>
        </w:rPr>
        <w:t>30</w:t>
      </w:r>
      <w:r>
        <w:rPr>
          <w:rFonts w:ascii="仿宋" w:hAnsi="仿宋" w:eastAsia="仿宋"/>
          <w:kern w:val="2"/>
          <w:sz w:val="28"/>
          <w:szCs w:val="28"/>
          <w:lang w:val="en-US"/>
        </w:rPr>
        <w:t>.</w:t>
      </w:r>
      <w:r>
        <w:rPr>
          <w:rFonts w:ascii="Arial" w:hAnsi="Arial" w:eastAsia="仿宋" w:cs="Arial"/>
          <w:kern w:val="2"/>
          <w:sz w:val="28"/>
          <w:szCs w:val="28"/>
          <w:lang w:val="en-US"/>
        </w:rPr>
        <w:t>05</w:t>
      </w:r>
      <w:r>
        <w:rPr>
          <w:rFonts w:ascii="仿宋" w:hAnsi="仿宋" w:eastAsia="仿宋"/>
          <w:kern w:val="2"/>
          <w:sz w:val="28"/>
          <w:szCs w:val="28"/>
          <w:lang w:val="en-US"/>
        </w:rPr>
        <w:t>%</w:t>
      </w:r>
      <w:r>
        <w:rPr>
          <w:rFonts w:hint="eastAsia" w:ascii="仿宋" w:hAnsi="仿宋" w:eastAsia="仿宋"/>
          <w:kern w:val="2"/>
          <w:sz w:val="28"/>
          <w:szCs w:val="28"/>
          <w:lang w:val="en-US"/>
        </w:rPr>
        <w:t>，人均居住用地</w:t>
      </w:r>
      <w:r>
        <w:rPr>
          <w:rFonts w:ascii="Arial" w:hAnsi="Arial" w:eastAsia="仿宋" w:cs="Arial"/>
          <w:kern w:val="2"/>
          <w:sz w:val="28"/>
          <w:szCs w:val="28"/>
          <w:lang w:val="en-US"/>
        </w:rPr>
        <w:t>32</w:t>
      </w:r>
      <w:r>
        <w:rPr>
          <w:rFonts w:ascii="仿宋" w:hAnsi="仿宋" w:eastAsia="仿宋"/>
          <w:kern w:val="2"/>
          <w:sz w:val="28"/>
          <w:szCs w:val="28"/>
          <w:lang w:val="en-US"/>
        </w:rPr>
        <w:t>.</w:t>
      </w:r>
      <w:r>
        <w:rPr>
          <w:rFonts w:ascii="Arial" w:hAnsi="Arial" w:eastAsia="仿宋" w:cs="Arial"/>
          <w:kern w:val="2"/>
          <w:sz w:val="28"/>
          <w:szCs w:val="28"/>
          <w:lang w:val="en-US"/>
        </w:rPr>
        <w:t>62</w:t>
      </w:r>
      <w:r>
        <w:rPr>
          <w:rFonts w:hint="eastAsia" w:ascii="仿宋" w:hAnsi="仿宋" w:eastAsia="仿宋"/>
          <w:kern w:val="2"/>
          <w:sz w:val="28"/>
          <w:szCs w:val="28"/>
          <w:lang w:val="en-US"/>
        </w:rPr>
        <w:t>平方米。居住用地规划形成</w:t>
      </w:r>
      <w:r>
        <w:rPr>
          <w:rFonts w:ascii="Arial" w:hAnsi="Arial" w:eastAsia="仿宋" w:cs="Arial"/>
          <w:kern w:val="2"/>
          <w:sz w:val="28"/>
          <w:szCs w:val="28"/>
          <w:lang w:val="en-US"/>
        </w:rPr>
        <w:t>5</w:t>
      </w:r>
      <w:r>
        <w:rPr>
          <w:rFonts w:hint="eastAsia" w:ascii="仿宋" w:hAnsi="仿宋" w:eastAsia="仿宋"/>
          <w:kern w:val="2"/>
          <w:sz w:val="28"/>
          <w:szCs w:val="28"/>
          <w:lang w:val="en-US"/>
        </w:rPr>
        <w:t>个居住单元，保留老城区居住单元，更新沫东新城居住单元，新建五星组团、大板组团和思延组团居住单元。中心城区保障性住房类型划分为：安置房、棚改房、危改房、廉租房，用地规模</w:t>
      </w:r>
      <w:r>
        <w:rPr>
          <w:rFonts w:ascii="Arial" w:hAnsi="Arial" w:eastAsia="仿宋" w:cs="Arial"/>
          <w:kern w:val="2"/>
          <w:sz w:val="28"/>
          <w:szCs w:val="28"/>
          <w:lang w:val="en-US"/>
        </w:rPr>
        <w:t>61</w:t>
      </w:r>
      <w:r>
        <w:rPr>
          <w:rFonts w:ascii="仿宋" w:hAnsi="仿宋" w:eastAsia="仿宋"/>
          <w:kern w:val="2"/>
          <w:sz w:val="28"/>
          <w:szCs w:val="28"/>
          <w:lang w:val="en-US"/>
        </w:rPr>
        <w:t>.</w:t>
      </w:r>
      <w:r>
        <w:rPr>
          <w:rFonts w:ascii="Arial" w:hAnsi="Arial" w:eastAsia="仿宋" w:cs="Arial"/>
          <w:kern w:val="2"/>
          <w:sz w:val="28"/>
          <w:szCs w:val="28"/>
          <w:lang w:val="en-US"/>
        </w:rPr>
        <w:t>69</w:t>
      </w:r>
      <w:r>
        <w:rPr>
          <w:rFonts w:hint="eastAsia" w:ascii="仿宋" w:hAnsi="仿宋" w:eastAsia="仿宋"/>
          <w:kern w:val="2"/>
          <w:sz w:val="28"/>
          <w:szCs w:val="28"/>
          <w:lang w:val="en-US"/>
        </w:rPr>
        <w:t>公顷。安置户均面积按</w:t>
      </w:r>
      <w:r>
        <w:rPr>
          <w:rFonts w:ascii="Arial" w:hAnsi="Arial" w:eastAsia="仿宋" w:cs="Arial"/>
          <w:kern w:val="2"/>
          <w:sz w:val="28"/>
          <w:szCs w:val="28"/>
          <w:lang w:val="en-US"/>
        </w:rPr>
        <w:t>60</w:t>
      </w:r>
      <w:r>
        <w:rPr>
          <w:rFonts w:hint="eastAsia" w:ascii="仿宋" w:hAnsi="仿宋" w:eastAsia="仿宋"/>
          <w:kern w:val="2"/>
          <w:sz w:val="28"/>
          <w:szCs w:val="28"/>
          <w:lang w:val="en-US"/>
        </w:rPr>
        <w:t>平方米计算，共安置</w:t>
      </w:r>
      <w:r>
        <w:rPr>
          <w:rFonts w:ascii="Arial" w:hAnsi="Arial" w:eastAsia="仿宋" w:cs="Arial"/>
          <w:kern w:val="2"/>
          <w:sz w:val="28"/>
          <w:szCs w:val="28"/>
          <w:lang w:val="en-US"/>
        </w:rPr>
        <w:t>1</w:t>
      </w:r>
      <w:r>
        <w:rPr>
          <w:rFonts w:ascii="仿宋" w:hAnsi="仿宋" w:eastAsia="仿宋"/>
          <w:kern w:val="2"/>
          <w:sz w:val="28"/>
          <w:szCs w:val="28"/>
          <w:lang w:val="en-US"/>
        </w:rPr>
        <w:t>.</w:t>
      </w:r>
      <w:r>
        <w:rPr>
          <w:rFonts w:ascii="Arial" w:hAnsi="Arial" w:eastAsia="仿宋" w:cs="Arial"/>
          <w:kern w:val="2"/>
          <w:sz w:val="28"/>
          <w:szCs w:val="28"/>
          <w:lang w:val="en-US"/>
        </w:rPr>
        <w:t>8</w:t>
      </w:r>
      <w:r>
        <w:rPr>
          <w:rFonts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万人。经济适用房每套建筑面积</w:t>
      </w:r>
      <w:r>
        <w:rPr>
          <w:rFonts w:ascii="Arial" w:hAnsi="Arial" w:eastAsia="仿宋" w:cs="Arial"/>
          <w:kern w:val="2"/>
          <w:sz w:val="28"/>
          <w:szCs w:val="28"/>
          <w:lang w:val="en-US"/>
        </w:rPr>
        <w:t>40</w:t>
      </w:r>
      <w:r>
        <w:rPr>
          <w:rFonts w:ascii="仿宋" w:hAnsi="仿宋" w:eastAsia="仿宋"/>
          <w:kern w:val="2"/>
          <w:sz w:val="28"/>
          <w:szCs w:val="28"/>
          <w:lang w:val="en-US"/>
        </w:rPr>
        <w:t>—</w:t>
      </w:r>
      <w:r>
        <w:rPr>
          <w:rFonts w:ascii="Arial" w:hAnsi="Arial" w:eastAsia="仿宋" w:cs="Arial"/>
          <w:kern w:val="2"/>
          <w:sz w:val="28"/>
          <w:szCs w:val="28"/>
          <w:lang w:val="en-US"/>
        </w:rPr>
        <w:t>80</w:t>
      </w:r>
      <w:r>
        <w:rPr>
          <w:rFonts w:hint="eastAsia" w:ascii="仿宋" w:hAnsi="仿宋" w:eastAsia="仿宋"/>
          <w:kern w:val="2"/>
          <w:sz w:val="28"/>
          <w:szCs w:val="28"/>
          <w:lang w:val="en-US"/>
        </w:rPr>
        <w:t>平方米，以</w:t>
      </w:r>
      <w:r>
        <w:rPr>
          <w:rFonts w:ascii="Arial" w:hAnsi="Arial" w:eastAsia="仿宋" w:cs="Arial"/>
          <w:kern w:val="2"/>
          <w:sz w:val="28"/>
          <w:szCs w:val="28"/>
          <w:lang w:val="en-US"/>
        </w:rPr>
        <w:t>60</w:t>
      </w:r>
      <w:r>
        <w:rPr>
          <w:rFonts w:hint="eastAsia" w:ascii="仿宋" w:hAnsi="仿宋" w:eastAsia="仿宋"/>
          <w:kern w:val="2"/>
          <w:sz w:val="28"/>
          <w:szCs w:val="28"/>
          <w:lang w:val="en-US"/>
        </w:rPr>
        <w:t>平方米左右的户型为主；廉租房每套建筑面积控制在</w:t>
      </w:r>
      <w:r>
        <w:rPr>
          <w:rFonts w:ascii="Arial" w:hAnsi="Arial" w:eastAsia="仿宋" w:cs="Arial"/>
          <w:kern w:val="2"/>
          <w:sz w:val="28"/>
          <w:szCs w:val="28"/>
          <w:lang w:val="en-US"/>
        </w:rPr>
        <w:t>50</w:t>
      </w:r>
      <w:r>
        <w:rPr>
          <w:rFonts w:hint="eastAsia" w:ascii="仿宋" w:hAnsi="仿宋" w:eastAsia="仿宋"/>
          <w:kern w:val="2"/>
          <w:sz w:val="28"/>
          <w:szCs w:val="28"/>
          <w:lang w:val="en-US"/>
        </w:rPr>
        <w:t>平方米左右；保障性住房的面积不低于商品住房供地总面积的</w:t>
      </w:r>
      <w:r>
        <w:rPr>
          <w:rFonts w:ascii="Arial" w:hAnsi="Arial" w:eastAsia="仿宋" w:cs="Arial"/>
          <w:kern w:val="2"/>
          <w:sz w:val="28"/>
          <w:szCs w:val="28"/>
          <w:lang w:val="en-US"/>
        </w:rPr>
        <w:t>10</w:t>
      </w:r>
      <w:r>
        <w:rPr>
          <w:rFonts w:ascii="仿宋" w:hAnsi="仿宋" w:eastAsia="仿宋"/>
          <w:kern w:val="2"/>
          <w:sz w:val="28"/>
          <w:szCs w:val="28"/>
          <w:lang w:val="en-US"/>
        </w:rPr>
        <w:t>%</w:t>
      </w:r>
      <w:r>
        <w:rPr>
          <w:rFonts w:hint="eastAsia" w:ascii="仿宋" w:hAnsi="仿宋" w:eastAsia="仿宋"/>
          <w:kern w:val="2"/>
          <w:sz w:val="28"/>
          <w:szCs w:val="28"/>
          <w:lang w:val="en-US"/>
        </w:rPr>
        <w:t>。</w:t>
      </w:r>
    </w:p>
    <w:p>
      <w:pPr>
        <w:pStyle w:val="5"/>
        <w:spacing w:line="576" w:lineRule="exact"/>
        <w:ind w:firstLine="1684" w:firstLineChars="702"/>
        <w:rPr>
          <w:rFonts w:ascii="Arial" w:hAnsi="Arial" w:eastAsia="仿宋" w:cs="Arial"/>
          <w:kern w:val="2"/>
          <w:sz w:val="28"/>
          <w:szCs w:val="28"/>
          <w:lang w:val="en-US"/>
        </w:rPr>
      </w:pPr>
      <w:r>
        <w:rPr>
          <w:rFonts w:ascii="Arial" w:hAnsi="Arial" w:eastAsia="仿宋" w:cs="Arial"/>
          <w:lang w:val="en-US"/>
        </w:rPr>
        <w:drawing>
          <wp:anchor distT="0" distB="0" distL="0" distR="0" simplePos="0" relativeHeight="251659264" behindDoc="0" locked="0" layoutInCell="1" allowOverlap="1">
            <wp:simplePos x="0" y="0"/>
            <wp:positionH relativeFrom="column">
              <wp:posOffset>-136525</wp:posOffset>
            </wp:positionH>
            <wp:positionV relativeFrom="paragraph">
              <wp:posOffset>336550</wp:posOffset>
            </wp:positionV>
            <wp:extent cx="5125085" cy="4084955"/>
            <wp:effectExtent l="0" t="0" r="18415" b="10795"/>
            <wp:wrapNone/>
            <wp:docPr id="1" name="图片 20" descr="http://www.szcaupd.com/files/upload/20170512/636302055534748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descr="http://www.szcaupd.com/files/upload/20170512/636302055534748539.jpg"/>
                    <pic:cNvPicPr>
                      <a:picLocks noChangeAspect="1" noChangeArrowheads="1"/>
                    </pic:cNvPicPr>
                  </pic:nvPicPr>
                  <pic:blipFill>
                    <a:blip r:embed="rId5"/>
                    <a:srcRect/>
                    <a:stretch>
                      <a:fillRect/>
                    </a:stretch>
                  </pic:blipFill>
                  <pic:spPr>
                    <a:xfrm>
                      <a:off x="0" y="0"/>
                      <a:ext cx="5125085" cy="4084955"/>
                    </a:xfrm>
                    <a:prstGeom prst="rect">
                      <a:avLst/>
                    </a:prstGeom>
                    <a:noFill/>
                    <a:ln w="9525">
                      <a:noFill/>
                      <a:miter lim="800000"/>
                      <a:headEnd/>
                      <a:tailEnd/>
                    </a:ln>
                  </pic:spPr>
                </pic:pic>
              </a:graphicData>
            </a:graphic>
          </wp:anchor>
        </w:drawing>
      </w:r>
      <w:r>
        <w:rPr>
          <w:rFonts w:hint="eastAsia" w:ascii="Arial" w:hAnsi="Arial" w:eastAsia="仿宋" w:cs="Arial"/>
          <w:kern w:val="2"/>
          <w:sz w:val="28"/>
          <w:szCs w:val="28"/>
          <w:lang w:val="en-US"/>
        </w:rPr>
        <w:t>芦山县城市总体规划图</w:t>
      </w:r>
    </w:p>
    <w:p>
      <w:pPr>
        <w:pStyle w:val="5"/>
        <w:spacing w:before="0" w:after="0" w:line="576" w:lineRule="exact"/>
        <w:ind w:firstLine="560" w:firstLineChars="200"/>
        <w:rPr>
          <w:rFonts w:ascii="仿宋" w:hAnsi="仿宋" w:eastAsia="仿宋"/>
          <w:kern w:val="2"/>
          <w:sz w:val="28"/>
          <w:szCs w:val="28"/>
          <w:lang w:val="en-US"/>
        </w:rPr>
      </w:pPr>
    </w:p>
    <w:p>
      <w:pPr>
        <w:pStyle w:val="5"/>
        <w:spacing w:beforeLines="50" w:afterLines="50" w:line="576" w:lineRule="exact"/>
        <w:ind w:firstLine="560" w:firstLineChars="200"/>
        <w:outlineLvl w:val="2"/>
        <w:rPr>
          <w:rFonts w:ascii="Arial" w:hAnsi="Arial" w:eastAsia="仿宋" w:cs="Arial"/>
          <w:kern w:val="2"/>
          <w:sz w:val="28"/>
          <w:szCs w:val="28"/>
          <w:lang w:val="en-US"/>
        </w:rPr>
      </w:pPr>
    </w:p>
    <w:p>
      <w:pPr>
        <w:pStyle w:val="5"/>
        <w:spacing w:beforeLines="50" w:afterLines="50" w:line="576" w:lineRule="exact"/>
        <w:ind w:firstLine="560" w:firstLineChars="200"/>
        <w:outlineLvl w:val="2"/>
        <w:rPr>
          <w:rFonts w:ascii="Arial" w:hAnsi="Arial" w:eastAsia="仿宋" w:cs="Arial"/>
          <w:kern w:val="2"/>
          <w:sz w:val="28"/>
          <w:szCs w:val="28"/>
          <w:lang w:val="en-US"/>
        </w:rPr>
      </w:pPr>
    </w:p>
    <w:p>
      <w:pPr>
        <w:pStyle w:val="5"/>
        <w:spacing w:beforeLines="50" w:afterLines="50" w:line="576" w:lineRule="exact"/>
        <w:ind w:firstLine="560" w:firstLineChars="200"/>
        <w:outlineLvl w:val="2"/>
        <w:rPr>
          <w:rFonts w:ascii="Arial" w:hAnsi="Arial" w:eastAsia="仿宋" w:cs="Arial"/>
          <w:kern w:val="2"/>
          <w:sz w:val="28"/>
          <w:szCs w:val="28"/>
          <w:lang w:val="en-US"/>
        </w:rPr>
      </w:pPr>
    </w:p>
    <w:p>
      <w:pPr>
        <w:pStyle w:val="5"/>
        <w:spacing w:beforeLines="50" w:afterLines="50" w:line="576" w:lineRule="exact"/>
        <w:ind w:firstLine="560" w:firstLineChars="200"/>
        <w:outlineLvl w:val="2"/>
        <w:rPr>
          <w:rFonts w:ascii="Arial" w:hAnsi="Arial" w:eastAsia="仿宋" w:cs="Arial"/>
          <w:kern w:val="2"/>
          <w:sz w:val="28"/>
          <w:szCs w:val="28"/>
          <w:lang w:val="en-US"/>
        </w:rPr>
      </w:pPr>
    </w:p>
    <w:p>
      <w:pPr>
        <w:pStyle w:val="5"/>
        <w:spacing w:beforeLines="50" w:afterLines="50" w:line="576" w:lineRule="exact"/>
        <w:ind w:firstLine="560" w:firstLineChars="200"/>
        <w:outlineLvl w:val="2"/>
        <w:rPr>
          <w:rFonts w:ascii="Arial" w:hAnsi="Arial" w:eastAsia="仿宋" w:cs="Arial"/>
          <w:kern w:val="2"/>
          <w:sz w:val="28"/>
          <w:szCs w:val="28"/>
          <w:lang w:val="en-US"/>
        </w:rPr>
      </w:pPr>
    </w:p>
    <w:p>
      <w:pPr>
        <w:pStyle w:val="5"/>
        <w:spacing w:beforeLines="50" w:afterLines="50" w:line="576" w:lineRule="exact"/>
        <w:ind w:firstLine="560" w:firstLineChars="200"/>
        <w:outlineLvl w:val="2"/>
        <w:rPr>
          <w:rFonts w:ascii="Arial" w:hAnsi="Arial" w:eastAsia="仿宋" w:cs="Arial"/>
          <w:kern w:val="2"/>
          <w:sz w:val="28"/>
          <w:szCs w:val="28"/>
          <w:lang w:val="en-US"/>
        </w:rPr>
      </w:pPr>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棚户区改造的背景及政策</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棚户区改造是我国政府为改造城镇危旧住房、改善困难家庭住房条件而推出的一项民心工程。由于历史和现实的原因，棚户区的居住条件长期没有改善，房屋结构简陋，缺乏必要的市政基础设施，居民生活不便。同时，棚户区的存在，与城市整体形象、文明档次不协调，使城市人居环境大打折扣，不利于城市的经济发展和招商引资。</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加快棚户区改造，是保障性安居工程的重要内容，党中央、国务院对此高度重视。为提高市民的经济文化生活水平，贯彻《国务院关于加快棚户区改造工作的意见》（国发〔</w:t>
      </w:r>
      <w:r>
        <w:rPr>
          <w:rFonts w:ascii="Arial" w:hAnsi="Arial" w:eastAsia="仿宋" w:cs="Arial"/>
          <w:kern w:val="2"/>
          <w:sz w:val="28"/>
          <w:szCs w:val="28"/>
          <w:lang w:val="en-US"/>
        </w:rPr>
        <w:t>2013</w:t>
      </w:r>
      <w:r>
        <w:rPr>
          <w:rFonts w:hint="eastAsia" w:ascii="仿宋" w:hAnsi="仿宋" w:eastAsia="仿宋"/>
          <w:kern w:val="2"/>
          <w:sz w:val="28"/>
          <w:szCs w:val="28"/>
          <w:lang w:val="en-US"/>
        </w:rPr>
        <w:t>〕</w:t>
      </w:r>
      <w:r>
        <w:rPr>
          <w:rFonts w:ascii="Arial" w:hAnsi="Arial" w:eastAsia="仿宋" w:cs="Arial"/>
          <w:kern w:val="2"/>
          <w:sz w:val="28"/>
          <w:szCs w:val="28"/>
          <w:lang w:val="en-US"/>
        </w:rPr>
        <w:t>25</w:t>
      </w:r>
      <w:r>
        <w:rPr>
          <w:rFonts w:hint="eastAsia" w:ascii="仿宋" w:hAnsi="仿宋" w:eastAsia="仿宋"/>
          <w:kern w:val="2"/>
          <w:sz w:val="28"/>
          <w:szCs w:val="28"/>
          <w:lang w:val="en-US"/>
        </w:rPr>
        <w:t>号）、《国土资源部关于做好</w:t>
      </w:r>
      <w:r>
        <w:rPr>
          <w:rFonts w:ascii="Arial" w:hAnsi="Arial" w:eastAsia="仿宋" w:cs="Arial"/>
          <w:kern w:val="2"/>
          <w:sz w:val="28"/>
          <w:szCs w:val="28"/>
          <w:lang w:val="en-US"/>
        </w:rPr>
        <w:t>2012</w:t>
      </w:r>
      <w:r>
        <w:rPr>
          <w:rFonts w:hint="eastAsia" w:ascii="仿宋" w:hAnsi="仿宋" w:eastAsia="仿宋"/>
          <w:kern w:val="2"/>
          <w:sz w:val="28"/>
          <w:szCs w:val="28"/>
          <w:lang w:val="en-US"/>
        </w:rPr>
        <w:t>年房地产用地管理和调控重点工作的通知》（国土资发〔</w:t>
      </w:r>
      <w:r>
        <w:rPr>
          <w:rFonts w:ascii="Arial" w:hAnsi="Arial" w:eastAsia="仿宋" w:cs="Arial"/>
          <w:kern w:val="2"/>
          <w:sz w:val="28"/>
          <w:szCs w:val="28"/>
          <w:lang w:val="en-US"/>
        </w:rPr>
        <w:t>2012</w:t>
      </w:r>
      <w:r>
        <w:rPr>
          <w:rFonts w:hint="eastAsia" w:ascii="仿宋" w:hAnsi="仿宋" w:eastAsia="仿宋"/>
          <w:kern w:val="2"/>
          <w:sz w:val="28"/>
          <w:szCs w:val="28"/>
          <w:lang w:val="en-US"/>
        </w:rPr>
        <w:t>〕</w:t>
      </w:r>
      <w:r>
        <w:rPr>
          <w:rFonts w:ascii="Arial" w:hAnsi="Arial" w:eastAsia="仿宋" w:cs="Arial"/>
          <w:kern w:val="2"/>
          <w:sz w:val="28"/>
          <w:szCs w:val="28"/>
          <w:lang w:val="en-US"/>
        </w:rPr>
        <w:t>26</w:t>
      </w:r>
      <w:r>
        <w:rPr>
          <w:rFonts w:hint="eastAsia" w:ascii="仿宋" w:hAnsi="仿宋" w:eastAsia="仿宋"/>
          <w:kern w:val="2"/>
          <w:sz w:val="28"/>
          <w:szCs w:val="28"/>
          <w:lang w:val="en-US"/>
        </w:rPr>
        <w:t>号）、四川省住房城乡建设厅、省发展改革委《</w:t>
      </w:r>
      <w:r>
        <w:rPr>
          <w:rFonts w:ascii="Arial" w:hAnsi="Arial" w:eastAsia="仿宋" w:cs="Arial"/>
          <w:kern w:val="2"/>
          <w:sz w:val="28"/>
          <w:szCs w:val="28"/>
          <w:lang w:val="en-US"/>
        </w:rPr>
        <w:t>2013</w:t>
      </w:r>
      <w:r>
        <w:rPr>
          <w:rFonts w:hint="eastAsia" w:ascii="仿宋" w:hAnsi="仿宋" w:eastAsia="仿宋"/>
          <w:kern w:val="2"/>
          <w:sz w:val="28"/>
          <w:szCs w:val="28"/>
          <w:lang w:val="en-US"/>
        </w:rPr>
        <w:t>年全省住房保障工作要点》（川建保发〔</w:t>
      </w:r>
      <w:r>
        <w:rPr>
          <w:rFonts w:ascii="Arial" w:hAnsi="Arial" w:eastAsia="仿宋" w:cs="Arial"/>
          <w:kern w:val="2"/>
          <w:sz w:val="28"/>
          <w:szCs w:val="28"/>
          <w:lang w:val="en-US"/>
        </w:rPr>
        <w:t>2013</w:t>
      </w:r>
      <w:r>
        <w:rPr>
          <w:rFonts w:hint="eastAsia" w:ascii="仿宋" w:hAnsi="仿宋" w:eastAsia="仿宋"/>
          <w:kern w:val="2"/>
          <w:sz w:val="28"/>
          <w:szCs w:val="28"/>
          <w:lang w:val="en-US"/>
        </w:rPr>
        <w:t>〕</w:t>
      </w:r>
      <w:r>
        <w:rPr>
          <w:rFonts w:ascii="Arial" w:hAnsi="Arial" w:eastAsia="仿宋" w:cs="Arial"/>
          <w:kern w:val="2"/>
          <w:sz w:val="28"/>
          <w:szCs w:val="28"/>
          <w:lang w:val="en-US"/>
        </w:rPr>
        <w:t>78</w:t>
      </w:r>
      <w:r>
        <w:rPr>
          <w:rFonts w:hint="eastAsia" w:ascii="仿宋" w:hAnsi="仿宋" w:eastAsia="仿宋"/>
          <w:kern w:val="2"/>
          <w:sz w:val="28"/>
          <w:szCs w:val="28"/>
          <w:lang w:val="en-US"/>
        </w:rPr>
        <w:t>号）和《四川省保障性安居工程协调小组办公室关于做好</w:t>
      </w:r>
      <w:r>
        <w:rPr>
          <w:rFonts w:ascii="仿宋" w:hAnsi="仿宋" w:eastAsia="仿宋"/>
          <w:kern w:val="2"/>
          <w:sz w:val="28"/>
          <w:szCs w:val="28"/>
          <w:lang w:val="en-US"/>
        </w:rPr>
        <w:t>2020</w:t>
      </w:r>
      <w:r>
        <w:rPr>
          <w:rFonts w:hint="eastAsia" w:ascii="仿宋" w:hAnsi="仿宋" w:eastAsia="仿宋"/>
          <w:kern w:val="2"/>
          <w:sz w:val="28"/>
          <w:szCs w:val="28"/>
          <w:lang w:val="en-US"/>
        </w:rPr>
        <w:t>年城镇保障性安居工程项目的函》（川保协调办〔</w:t>
      </w:r>
      <w:r>
        <w:rPr>
          <w:rFonts w:ascii="仿宋" w:hAnsi="仿宋" w:eastAsia="仿宋"/>
          <w:kern w:val="2"/>
          <w:sz w:val="28"/>
          <w:szCs w:val="28"/>
          <w:lang w:val="en-US"/>
        </w:rPr>
        <w:t>2020</w:t>
      </w:r>
      <w:r>
        <w:rPr>
          <w:rFonts w:hint="eastAsia" w:ascii="仿宋" w:hAnsi="仿宋" w:eastAsia="仿宋"/>
          <w:kern w:val="2"/>
          <w:sz w:val="28"/>
          <w:szCs w:val="28"/>
          <w:lang w:val="en-US"/>
        </w:rPr>
        <w:t>〕</w:t>
      </w:r>
      <w:r>
        <w:rPr>
          <w:rFonts w:ascii="仿宋" w:hAnsi="仿宋" w:eastAsia="仿宋"/>
          <w:kern w:val="2"/>
          <w:sz w:val="28"/>
          <w:szCs w:val="28"/>
          <w:lang w:val="en-US"/>
        </w:rPr>
        <w:t>1</w:t>
      </w:r>
      <w:r>
        <w:rPr>
          <w:rFonts w:hint="eastAsia" w:ascii="仿宋" w:hAnsi="仿宋" w:eastAsia="仿宋"/>
          <w:kern w:val="2"/>
          <w:sz w:val="28"/>
          <w:szCs w:val="28"/>
          <w:lang w:val="en-US"/>
        </w:rPr>
        <w:t>号）等文件的精神，全面落实全国保障性安居工程工作会议、推进城市和国有工矿棚户区改造工作座谈会议精神，雅安市委、市政府，芦山县委、县政府做出棚户区改造的工作部署。</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在国家棚户区改造精神的指导下，为全力推进芦山县棚户区改造工作的有效开展，改善棚户区人民群众的住房条件与居住环境，提升城市形象，实施芦山县（城中村）棚户区改造十分必要。</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芦山县（城中村）棚户区改造项目位于芦山县城区，杨家坝片区东至迎宾大道、西至平安路、南至</w:t>
      </w:r>
      <w:r>
        <w:rPr>
          <w:rFonts w:ascii="Arial" w:hAnsi="Arial" w:eastAsia="仿宋" w:cs="Arial"/>
          <w:kern w:val="2"/>
          <w:sz w:val="28"/>
          <w:szCs w:val="28"/>
          <w:lang w:val="en-US"/>
        </w:rPr>
        <w:t>5</w:t>
      </w:r>
      <w:r>
        <w:rPr>
          <w:rFonts w:hint="eastAsia" w:ascii="仿宋" w:hAnsi="仿宋" w:eastAsia="仿宋"/>
          <w:kern w:val="2"/>
          <w:sz w:val="28"/>
          <w:szCs w:val="28"/>
          <w:lang w:val="en-US"/>
        </w:rPr>
        <w:t>号路，北至水电路，任坝片区东至</w:t>
      </w:r>
      <w:r>
        <w:rPr>
          <w:rFonts w:ascii="仿宋" w:hAnsi="仿宋" w:eastAsia="仿宋"/>
          <w:kern w:val="2"/>
          <w:sz w:val="28"/>
          <w:szCs w:val="28"/>
          <w:lang w:val="en-US"/>
        </w:rPr>
        <w:t>S</w:t>
      </w:r>
      <w:r>
        <w:rPr>
          <w:rFonts w:ascii="Arial" w:hAnsi="Arial" w:eastAsia="仿宋" w:cs="Arial"/>
          <w:kern w:val="2"/>
          <w:sz w:val="28"/>
          <w:szCs w:val="28"/>
          <w:lang w:val="en-US"/>
        </w:rPr>
        <w:t>210</w:t>
      </w:r>
      <w:r>
        <w:rPr>
          <w:rFonts w:hint="eastAsia" w:ascii="仿宋" w:hAnsi="仿宋" w:eastAsia="仿宋"/>
          <w:kern w:val="2"/>
          <w:sz w:val="28"/>
          <w:szCs w:val="28"/>
          <w:lang w:val="en-US"/>
        </w:rPr>
        <w:t>线，西至迎宾大道、南至根雕一条街，北至友谊路。项目占地</w:t>
      </w:r>
      <w:r>
        <w:rPr>
          <w:rFonts w:ascii="Arial" w:hAnsi="Arial" w:eastAsia="仿宋" w:cs="Arial"/>
          <w:kern w:val="2"/>
          <w:sz w:val="28"/>
          <w:szCs w:val="28"/>
          <w:lang w:val="en-US"/>
        </w:rPr>
        <w:t>174</w:t>
      </w:r>
      <w:r>
        <w:rPr>
          <w:rFonts w:ascii="仿宋" w:hAnsi="仿宋" w:eastAsia="仿宋"/>
          <w:kern w:val="2"/>
          <w:sz w:val="28"/>
          <w:szCs w:val="28"/>
          <w:lang w:val="en-US"/>
        </w:rPr>
        <w:t>.</w:t>
      </w:r>
      <w:r>
        <w:rPr>
          <w:rFonts w:ascii="Arial" w:hAnsi="Arial" w:eastAsia="仿宋" w:cs="Arial"/>
          <w:kern w:val="2"/>
          <w:sz w:val="28"/>
          <w:szCs w:val="28"/>
          <w:lang w:val="en-US"/>
        </w:rPr>
        <w:t>04</w:t>
      </w:r>
      <w:r>
        <w:rPr>
          <w:rFonts w:hint="eastAsia" w:ascii="仿宋" w:hAnsi="仿宋" w:eastAsia="仿宋"/>
          <w:kern w:val="2"/>
          <w:sz w:val="28"/>
          <w:szCs w:val="28"/>
          <w:lang w:val="en-US"/>
        </w:rPr>
        <w:t>亩，拆迁</w:t>
      </w:r>
      <w:r>
        <w:rPr>
          <w:rFonts w:ascii="Arial" w:hAnsi="Arial" w:eastAsia="仿宋" w:cs="Arial"/>
          <w:kern w:val="2"/>
          <w:sz w:val="28"/>
          <w:szCs w:val="28"/>
          <w:lang w:val="en-US"/>
        </w:rPr>
        <w:t>224</w:t>
      </w:r>
      <w:r>
        <w:rPr>
          <w:rFonts w:hint="eastAsia" w:ascii="仿宋" w:hAnsi="仿宋" w:eastAsia="仿宋"/>
          <w:kern w:val="2"/>
          <w:sz w:val="28"/>
          <w:szCs w:val="28"/>
          <w:lang w:val="en-US"/>
        </w:rPr>
        <w:t>户，拆迁面积</w:t>
      </w:r>
      <w:r>
        <w:rPr>
          <w:rFonts w:ascii="Arial" w:hAnsi="Arial" w:eastAsia="仿宋" w:cs="Arial"/>
          <w:kern w:val="2"/>
          <w:sz w:val="28"/>
          <w:szCs w:val="28"/>
          <w:lang w:val="en-US"/>
        </w:rPr>
        <w:t>45024</w:t>
      </w:r>
      <w:r>
        <w:rPr>
          <w:rFonts w:hint="eastAsia" w:ascii="仿宋" w:hAnsi="仿宋" w:eastAsia="仿宋"/>
          <w:kern w:val="2"/>
          <w:sz w:val="28"/>
          <w:szCs w:val="28"/>
          <w:lang w:val="en-US"/>
        </w:rPr>
        <w:t>平方米。本项目采取以产权调换安置为主的拆迁安置方式。</w:t>
      </w:r>
    </w:p>
    <w:p>
      <w:pPr>
        <w:pStyle w:val="5"/>
        <w:spacing w:beforeLines="50" w:afterLines="50" w:line="576" w:lineRule="exact"/>
        <w:ind w:firstLine="562" w:firstLineChars="200"/>
        <w:outlineLvl w:val="2"/>
        <w:rPr>
          <w:rFonts w:ascii="Times New Roman" w:hAnsi="Times New Roman" w:eastAsia="仿宋"/>
          <w:b/>
          <w:bCs/>
          <w:kern w:val="2"/>
          <w:sz w:val="28"/>
          <w:szCs w:val="28"/>
          <w:lang w:val="en-US"/>
        </w:rPr>
      </w:pPr>
      <w:r>
        <w:rPr>
          <w:rFonts w:ascii="Arial" w:hAnsi="Arial" w:eastAsia="仿宋" w:cs="Arial"/>
          <w:b/>
          <w:bCs/>
          <w:kern w:val="2"/>
          <w:sz w:val="28"/>
          <w:szCs w:val="28"/>
          <w:lang w:val="en-US"/>
        </w:rPr>
        <w:t>3</w:t>
      </w:r>
      <w:r>
        <w:rPr>
          <w:rFonts w:ascii="Times New Roman" w:hAnsi="Times New Roman" w:eastAsia="仿宋"/>
          <w:b/>
          <w:bCs/>
          <w:kern w:val="2"/>
          <w:sz w:val="28"/>
          <w:szCs w:val="28"/>
          <w:lang w:val="en-US"/>
        </w:rPr>
        <w:t>.</w:t>
      </w:r>
      <w:r>
        <w:rPr>
          <w:rFonts w:hint="eastAsia" w:ascii="Times New Roman" w:hAnsi="Times New Roman" w:eastAsia="仿宋"/>
          <w:b/>
          <w:bCs/>
          <w:kern w:val="2"/>
          <w:sz w:val="28"/>
          <w:szCs w:val="28"/>
          <w:lang w:val="en-US"/>
        </w:rPr>
        <w:t>项目建设必要性</w:t>
      </w:r>
    </w:p>
    <w:p>
      <w:pPr>
        <w:pStyle w:val="5"/>
        <w:spacing w:before="0" w:after="0" w:line="576" w:lineRule="exact"/>
        <w:ind w:firstLine="560" w:firstLineChars="200"/>
        <w:rPr>
          <w:rFonts w:ascii="Times New Roman" w:hAnsi="Times New Roman" w:eastAsia="仿宋"/>
          <w:kern w:val="2"/>
          <w:sz w:val="28"/>
          <w:szCs w:val="28"/>
          <w:lang w:val="en-US"/>
        </w:rPr>
      </w:pPr>
      <w:r>
        <w:rPr>
          <w:rFonts w:hint="eastAsia" w:ascii="Times New Roman" w:hAnsi="Times New Roman" w:eastAsia="仿宋"/>
          <w:kern w:val="2"/>
          <w:sz w:val="28"/>
          <w:szCs w:val="28"/>
          <w:lang w:val="en-US"/>
        </w:rPr>
        <w:t>（</w:t>
      </w:r>
      <w:r>
        <w:rPr>
          <w:rFonts w:ascii="Arial" w:hAnsi="Arial" w:eastAsia="仿宋" w:cs="Arial"/>
          <w:kern w:val="2"/>
          <w:sz w:val="28"/>
          <w:szCs w:val="28"/>
          <w:lang w:val="en-US"/>
        </w:rPr>
        <w:t>1</w:t>
      </w:r>
      <w:r>
        <w:rPr>
          <w:rFonts w:hint="eastAsia" w:ascii="Times New Roman" w:hAnsi="Times New Roman" w:eastAsia="仿宋"/>
          <w:kern w:val="2"/>
          <w:sz w:val="28"/>
          <w:szCs w:val="28"/>
          <w:lang w:val="en-US"/>
        </w:rPr>
        <w:t>）项目建设是城镇化发展的内在要求</w:t>
      </w:r>
    </w:p>
    <w:p>
      <w:pPr>
        <w:pStyle w:val="5"/>
        <w:spacing w:before="0" w:after="0" w:line="576" w:lineRule="exact"/>
        <w:ind w:firstLine="560" w:firstLineChars="200"/>
        <w:rPr>
          <w:rFonts w:ascii="Times New Roman" w:hAnsi="Times New Roman" w:eastAsia="仿宋"/>
          <w:kern w:val="2"/>
          <w:sz w:val="28"/>
          <w:szCs w:val="28"/>
          <w:lang w:val="en-US"/>
        </w:rPr>
      </w:pPr>
      <w:r>
        <w:rPr>
          <w:rFonts w:hint="eastAsia" w:ascii="Times New Roman" w:hAnsi="Times New Roman" w:eastAsia="仿宋"/>
          <w:kern w:val="2"/>
          <w:sz w:val="28"/>
          <w:szCs w:val="28"/>
          <w:lang w:val="en-US"/>
        </w:rPr>
        <w:t>随着芦山县中心城区的建设的加快推进，以及城镇化发展的需求，考虑县城区中心统筹发展，加快县城棚改区改造建设已日益迫近。通过该项目建设，可补充一定的安置房源，解决棚户区部分居民安置，改善和提高城市居住环境水平，有利于美化环境，完善城市功能。因此，该项目的建设十分必要。</w:t>
      </w:r>
    </w:p>
    <w:p>
      <w:pPr>
        <w:pStyle w:val="5"/>
        <w:spacing w:before="0" w:after="0" w:line="576" w:lineRule="exact"/>
        <w:ind w:firstLine="560" w:firstLineChars="200"/>
        <w:rPr>
          <w:rFonts w:ascii="Times New Roman" w:hAnsi="Times New Roman" w:eastAsia="仿宋"/>
          <w:kern w:val="2"/>
          <w:sz w:val="28"/>
          <w:szCs w:val="28"/>
          <w:lang w:val="en-US"/>
        </w:rPr>
      </w:pPr>
      <w:r>
        <w:rPr>
          <w:rFonts w:hint="eastAsia" w:ascii="Times New Roman" w:hAnsi="Times New Roman" w:eastAsia="仿宋"/>
          <w:kern w:val="2"/>
          <w:sz w:val="28"/>
          <w:szCs w:val="28"/>
          <w:lang w:val="en-US"/>
        </w:rPr>
        <w:t>（</w:t>
      </w:r>
      <w:r>
        <w:rPr>
          <w:rFonts w:ascii="Arial" w:hAnsi="Arial" w:eastAsia="仿宋" w:cs="Arial"/>
          <w:kern w:val="2"/>
          <w:sz w:val="28"/>
          <w:szCs w:val="28"/>
          <w:lang w:val="en-US"/>
        </w:rPr>
        <w:t>2</w:t>
      </w:r>
      <w:r>
        <w:rPr>
          <w:rFonts w:hint="eastAsia" w:ascii="Times New Roman" w:hAnsi="Times New Roman" w:eastAsia="仿宋"/>
          <w:kern w:val="2"/>
          <w:sz w:val="28"/>
          <w:szCs w:val="28"/>
          <w:lang w:val="en-US"/>
        </w:rPr>
        <w:t>）项目建设带来的低收入人群居住条件改善是社会稳定繁荣的需要</w:t>
      </w:r>
    </w:p>
    <w:p>
      <w:pPr>
        <w:pStyle w:val="5"/>
        <w:spacing w:before="0" w:after="0" w:line="576" w:lineRule="exact"/>
        <w:ind w:firstLine="560" w:firstLineChars="200"/>
        <w:rPr>
          <w:rFonts w:ascii="Times New Roman" w:hAnsi="Times New Roman" w:eastAsia="仿宋"/>
          <w:kern w:val="2"/>
          <w:sz w:val="28"/>
          <w:szCs w:val="28"/>
          <w:lang w:val="en-US"/>
        </w:rPr>
      </w:pPr>
      <w:r>
        <w:rPr>
          <w:rFonts w:hint="eastAsia" w:ascii="Times New Roman" w:hAnsi="Times New Roman" w:eastAsia="仿宋"/>
          <w:kern w:val="2"/>
          <w:sz w:val="28"/>
          <w:szCs w:val="28"/>
          <w:lang w:val="en-US"/>
        </w:rPr>
        <w:t>加快解决中低收入群众住房保障问题，切实改善城乡居民的居住条件和生活环境是社会发展的必然要求。本项目的棚户区改造既是响应国家政策的号召，又是改善城市低收入家庭和弱势群体的生活条件，加快建立和完善住房保障制度的需要。棚户区改造是进一步加快住房制度改革、完善房改配套政策措施的重要推动力量。通过实施棚户区改造，将进一步完善社会救助机制和保障体系，建立住房社会保障制度，完善住房公积金制度，深化住房制度改革，让社会弱势群体和贫困群众分享改革发展和振兴所取得的成果。对棚户区的改造除了提升该部分人群的生活幸福指数外，对于社会的和谐与稳定也有积极作用。</w:t>
      </w:r>
    </w:p>
    <w:p>
      <w:pPr>
        <w:pStyle w:val="5"/>
        <w:spacing w:before="0" w:after="0" w:line="576" w:lineRule="exact"/>
        <w:ind w:firstLine="560" w:firstLineChars="200"/>
        <w:rPr>
          <w:rFonts w:ascii="Times New Roman" w:hAnsi="Times New Roman" w:eastAsia="仿宋"/>
          <w:kern w:val="2"/>
          <w:sz w:val="28"/>
          <w:szCs w:val="28"/>
          <w:lang w:val="en-US"/>
        </w:rPr>
      </w:pPr>
      <w:r>
        <w:rPr>
          <w:rFonts w:hint="eastAsia" w:ascii="Times New Roman" w:hAnsi="Times New Roman" w:eastAsia="仿宋"/>
          <w:kern w:val="2"/>
          <w:sz w:val="28"/>
          <w:szCs w:val="28"/>
          <w:lang w:val="en-US"/>
        </w:rPr>
        <w:t>实施棚户区改造，既可以带动社会投资，促进居民消费，扩大社会就业，又可以发展社区公共服务，加强社会管理，推进平安社区建设，是扩内需、惠民生、保稳定的重要结合点。</w:t>
      </w:r>
    </w:p>
    <w:p>
      <w:pPr>
        <w:pStyle w:val="5"/>
        <w:spacing w:before="0" w:after="0" w:line="576" w:lineRule="exact"/>
        <w:ind w:firstLine="560" w:firstLineChars="200"/>
        <w:rPr>
          <w:rFonts w:ascii="Times New Roman" w:hAnsi="Times New Roman" w:eastAsia="仿宋"/>
          <w:kern w:val="2"/>
          <w:sz w:val="28"/>
          <w:szCs w:val="28"/>
          <w:lang w:val="en-US"/>
        </w:rPr>
      </w:pPr>
      <w:r>
        <w:rPr>
          <w:rFonts w:hint="eastAsia" w:ascii="Times New Roman" w:hAnsi="Times New Roman" w:eastAsia="仿宋"/>
          <w:kern w:val="2"/>
          <w:sz w:val="28"/>
          <w:szCs w:val="28"/>
          <w:lang w:val="en-US"/>
        </w:rPr>
        <w:t>（</w:t>
      </w:r>
      <w:r>
        <w:rPr>
          <w:rFonts w:ascii="Arial" w:hAnsi="Arial" w:eastAsia="仿宋" w:cs="Arial"/>
          <w:kern w:val="2"/>
          <w:sz w:val="28"/>
          <w:szCs w:val="28"/>
          <w:lang w:val="en-US"/>
        </w:rPr>
        <w:t>3</w:t>
      </w:r>
      <w:r>
        <w:rPr>
          <w:rFonts w:hint="eastAsia" w:ascii="Times New Roman" w:hAnsi="Times New Roman" w:eastAsia="仿宋"/>
          <w:kern w:val="2"/>
          <w:sz w:val="28"/>
          <w:szCs w:val="28"/>
          <w:lang w:val="en-US"/>
        </w:rPr>
        <w:t>）项目建设有助于进一步推动西部大开发战略的实施</w:t>
      </w:r>
    </w:p>
    <w:p>
      <w:pPr>
        <w:pStyle w:val="5"/>
        <w:spacing w:before="0" w:after="0" w:line="576" w:lineRule="exact"/>
        <w:ind w:firstLine="560" w:firstLineChars="200"/>
        <w:rPr>
          <w:rFonts w:ascii="Times New Roman" w:hAnsi="Times New Roman" w:eastAsia="仿宋"/>
          <w:kern w:val="2"/>
          <w:sz w:val="28"/>
          <w:szCs w:val="28"/>
          <w:lang w:val="en-US"/>
        </w:rPr>
      </w:pPr>
      <w:r>
        <w:rPr>
          <w:rFonts w:hint="eastAsia" w:ascii="Times New Roman" w:hAnsi="Times New Roman" w:eastAsia="仿宋"/>
          <w:kern w:val="2"/>
          <w:sz w:val="28"/>
          <w:szCs w:val="28"/>
          <w:lang w:val="en-US"/>
        </w:rPr>
        <w:t>西部大开发战略是我国政府十几年前作出的一项重大战略决策，对于改变西部地区落后面貌、实现全面建设小康目标，优化国土开发格局，促进区域协调发展，扩大对内对外开放、培育新的经济增长地带，都具有十分重要的战略意义。西部大开发战略实施</w:t>
      </w:r>
      <w:r>
        <w:rPr>
          <w:rFonts w:ascii="Arial" w:hAnsi="Arial" w:eastAsia="仿宋" w:cs="Arial"/>
          <w:kern w:val="2"/>
          <w:sz w:val="28"/>
          <w:szCs w:val="28"/>
          <w:lang w:val="en-US"/>
        </w:rPr>
        <w:t>10</w:t>
      </w:r>
      <w:r>
        <w:rPr>
          <w:rFonts w:hint="eastAsia" w:ascii="Times New Roman" w:hAnsi="Times New Roman" w:eastAsia="仿宋"/>
          <w:kern w:val="2"/>
          <w:sz w:val="28"/>
          <w:szCs w:val="28"/>
          <w:lang w:val="en-US"/>
        </w:rPr>
        <w:t>年来，西部地区的面貌已经发生了很大改观，成绩卓著，但西部相对发达的东部地区仍显落后。因此，进一步推动西部大开发战略实施是我们今后面临的一项重要任务。本项目的建设能快速地增加经济发展规模，增强地区竞争实力，将西部资源优势转变为经济优势，从而更有效地推动西部大开发战略的有效实施。</w:t>
      </w:r>
    </w:p>
    <w:p>
      <w:pPr>
        <w:pStyle w:val="5"/>
        <w:spacing w:before="0" w:after="0" w:line="576" w:lineRule="exact"/>
        <w:ind w:firstLine="560" w:firstLineChars="200"/>
        <w:rPr>
          <w:rFonts w:ascii="Times New Roman" w:hAnsi="Times New Roman" w:eastAsia="仿宋"/>
          <w:kern w:val="2"/>
          <w:sz w:val="28"/>
          <w:szCs w:val="28"/>
          <w:lang w:val="en-US"/>
        </w:rPr>
      </w:pPr>
      <w:r>
        <w:rPr>
          <w:rFonts w:hint="eastAsia" w:ascii="Times New Roman" w:hAnsi="Times New Roman" w:eastAsia="仿宋"/>
          <w:kern w:val="2"/>
          <w:sz w:val="28"/>
          <w:szCs w:val="28"/>
          <w:lang w:val="en-US"/>
        </w:rPr>
        <w:t>（</w:t>
      </w:r>
      <w:r>
        <w:rPr>
          <w:rFonts w:ascii="Arial" w:hAnsi="Arial" w:eastAsia="仿宋" w:cs="Arial"/>
          <w:kern w:val="2"/>
          <w:sz w:val="28"/>
          <w:szCs w:val="28"/>
          <w:lang w:val="en-US"/>
        </w:rPr>
        <w:t>4</w:t>
      </w:r>
      <w:r>
        <w:rPr>
          <w:rFonts w:hint="eastAsia" w:ascii="Times New Roman" w:hAnsi="Times New Roman" w:eastAsia="仿宋"/>
          <w:kern w:val="2"/>
          <w:sz w:val="28"/>
          <w:szCs w:val="28"/>
          <w:lang w:val="en-US"/>
        </w:rPr>
        <w:t>）项目建设是芦山县可持续发展的需要</w:t>
      </w:r>
    </w:p>
    <w:p>
      <w:pPr>
        <w:pStyle w:val="5"/>
        <w:spacing w:before="0" w:after="0" w:line="576" w:lineRule="exact"/>
        <w:ind w:firstLine="560" w:firstLineChars="200"/>
        <w:rPr>
          <w:rFonts w:ascii="Times New Roman" w:hAnsi="Times New Roman" w:eastAsia="仿宋"/>
          <w:kern w:val="2"/>
          <w:sz w:val="28"/>
          <w:szCs w:val="28"/>
          <w:lang w:val="en-US"/>
        </w:rPr>
      </w:pPr>
      <w:r>
        <w:rPr>
          <w:rFonts w:hint="eastAsia" w:ascii="Times New Roman" w:hAnsi="Times New Roman" w:eastAsia="仿宋"/>
          <w:kern w:val="2"/>
          <w:sz w:val="28"/>
          <w:szCs w:val="28"/>
          <w:lang w:val="en-US"/>
        </w:rPr>
        <w:t>可持续发展的核心是发展，但要求在严格控制人口、提高人口素质和</w:t>
      </w:r>
      <w:r>
        <w:fldChar w:fldCharType="begin"/>
      </w:r>
      <w:r>
        <w:instrText xml:space="preserve"> HYPERLINK "http://baike.baidu.com/view/583373.htm" \t "_blank" </w:instrText>
      </w:r>
      <w:r>
        <w:fldChar w:fldCharType="separate"/>
      </w:r>
      <w:r>
        <w:rPr>
          <w:rFonts w:hint="eastAsia" w:ascii="Times New Roman" w:hAnsi="Times New Roman" w:eastAsia="仿宋"/>
          <w:kern w:val="2"/>
          <w:sz w:val="28"/>
          <w:szCs w:val="28"/>
          <w:lang w:val="en-US"/>
        </w:rPr>
        <w:t>保护环境</w:t>
      </w:r>
      <w:r>
        <w:rPr>
          <w:rFonts w:hint="eastAsia" w:ascii="Times New Roman" w:hAnsi="Times New Roman" w:eastAsia="仿宋"/>
          <w:kern w:val="2"/>
          <w:sz w:val="28"/>
          <w:szCs w:val="28"/>
          <w:lang w:val="en-US"/>
        </w:rPr>
        <w:fldChar w:fldCharType="end"/>
      </w:r>
      <w:r>
        <w:rPr>
          <w:rFonts w:hint="eastAsia" w:ascii="Times New Roman" w:hAnsi="Times New Roman" w:eastAsia="仿宋"/>
          <w:kern w:val="2"/>
          <w:sz w:val="28"/>
          <w:szCs w:val="28"/>
          <w:lang w:val="en-US"/>
        </w:rPr>
        <w:t>、资源永续利用的前提下进行经济和社会的发展。发展是可持续发展的前提；人是可持续发展的中心体；通过对人口密度过高的棚户区居民逐步外迁疏散，是生态与环境的可持续发展一大助力。棚户区居住状况的改善带来的社会稳定，极大程度上支持了社会可持续发展。</w:t>
      </w:r>
    </w:p>
    <w:p>
      <w:pPr>
        <w:pStyle w:val="3"/>
        <w:spacing w:beforeLines="50" w:after="156" w:line="576" w:lineRule="exact"/>
        <w:rPr>
          <w:rFonts w:ascii="仿宋" w:hAnsi="仿宋" w:eastAsia="仿宋"/>
          <w:sz w:val="30"/>
          <w:szCs w:val="30"/>
        </w:rPr>
      </w:pPr>
      <w:bookmarkStart w:id="9" w:name="_Toc32848138"/>
      <w:bookmarkStart w:id="10" w:name="_Toc23426"/>
      <w:r>
        <w:rPr>
          <w:rFonts w:hint="eastAsia" w:ascii="仿宋" w:hAnsi="仿宋" w:eastAsia="仿宋"/>
          <w:sz w:val="30"/>
          <w:szCs w:val="30"/>
        </w:rPr>
        <w:t>项目情况</w:t>
      </w:r>
      <w:bookmarkEnd w:id="7"/>
      <w:bookmarkEnd w:id="8"/>
      <w:bookmarkEnd w:id="9"/>
      <w:bookmarkEnd w:id="10"/>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参与主体</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实施机构：芦山县住房和城乡建设局</w:t>
      </w:r>
    </w:p>
    <w:p>
      <w:pPr>
        <w:pStyle w:val="5"/>
        <w:spacing w:before="0" w:after="0" w:line="576" w:lineRule="exact"/>
        <w:ind w:firstLine="560" w:firstLineChars="200"/>
        <w:rPr>
          <w:rFonts w:ascii="仿宋" w:hAnsi="仿宋" w:eastAsia="仿宋"/>
          <w:kern w:val="2"/>
          <w:sz w:val="28"/>
          <w:szCs w:val="28"/>
          <w:lang w:val="en-US"/>
        </w:rPr>
      </w:pPr>
      <w:bookmarkStart w:id="11" w:name="_Hlk1719850"/>
      <w:r>
        <w:rPr>
          <w:rFonts w:hint="eastAsia" w:ascii="仿宋" w:hAnsi="仿宋" w:eastAsia="仿宋"/>
          <w:kern w:val="2"/>
          <w:sz w:val="28"/>
          <w:szCs w:val="28"/>
          <w:lang w:val="en-US"/>
        </w:rPr>
        <w:t>项目业主：</w:t>
      </w:r>
      <w:bookmarkEnd w:id="11"/>
      <w:r>
        <w:rPr>
          <w:rFonts w:hint="eastAsia" w:ascii="仿宋" w:hAnsi="仿宋" w:eastAsia="仿宋"/>
          <w:kern w:val="2"/>
          <w:sz w:val="28"/>
          <w:szCs w:val="28"/>
          <w:lang w:val="en-US"/>
        </w:rPr>
        <w:t>芦山县汉嘉实业有限公司</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芦山县汉嘉实业有限公司的基本信息如下：</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统一社会信用代码：</w:t>
      </w:r>
      <w:r>
        <w:rPr>
          <w:rFonts w:ascii="Arial" w:hAnsi="Arial" w:eastAsia="仿宋" w:cs="Arial"/>
          <w:kern w:val="2"/>
          <w:sz w:val="28"/>
          <w:szCs w:val="28"/>
          <w:lang w:val="en-US"/>
        </w:rPr>
        <w:t>91511826</w:t>
      </w:r>
      <w:r>
        <w:rPr>
          <w:rFonts w:ascii="仿宋" w:hAnsi="仿宋" w:eastAsia="仿宋"/>
          <w:kern w:val="2"/>
          <w:sz w:val="28"/>
          <w:szCs w:val="28"/>
          <w:lang w:val="en-US"/>
        </w:rPr>
        <w:t>MA</w:t>
      </w:r>
      <w:r>
        <w:rPr>
          <w:rFonts w:ascii="Arial" w:hAnsi="Arial" w:eastAsia="仿宋" w:cs="Arial"/>
          <w:kern w:val="2"/>
          <w:sz w:val="28"/>
          <w:szCs w:val="28"/>
          <w:lang w:val="en-US"/>
        </w:rPr>
        <w:t>66</w:t>
      </w:r>
      <w:r>
        <w:rPr>
          <w:rFonts w:ascii="仿宋" w:hAnsi="仿宋" w:eastAsia="仿宋"/>
          <w:kern w:val="2"/>
          <w:sz w:val="28"/>
          <w:szCs w:val="28"/>
          <w:lang w:val="en-US"/>
        </w:rPr>
        <w:t>NE</w:t>
      </w:r>
      <w:r>
        <w:rPr>
          <w:rFonts w:ascii="Arial" w:hAnsi="Arial" w:eastAsia="仿宋" w:cs="Arial"/>
          <w:kern w:val="2"/>
          <w:sz w:val="28"/>
          <w:szCs w:val="28"/>
          <w:lang w:val="en-US"/>
        </w:rPr>
        <w:t>2</w:t>
      </w:r>
      <w:r>
        <w:rPr>
          <w:rFonts w:ascii="仿宋" w:hAnsi="仿宋" w:eastAsia="仿宋"/>
          <w:kern w:val="2"/>
          <w:sz w:val="28"/>
          <w:szCs w:val="28"/>
          <w:lang w:val="en-US"/>
        </w:rPr>
        <w:t>MXN</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类型：有限责任公司（国有独资）</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法定代表人：王文康</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住所：四川省雅安市芦山县迎宾大道</w:t>
      </w:r>
      <w:r>
        <w:rPr>
          <w:rFonts w:ascii="Arial" w:hAnsi="Arial" w:eastAsia="仿宋" w:cs="Arial"/>
          <w:kern w:val="2"/>
          <w:sz w:val="28"/>
          <w:szCs w:val="28"/>
          <w:lang w:val="en-US"/>
        </w:rPr>
        <w:t>157</w:t>
      </w:r>
      <w:r>
        <w:rPr>
          <w:rFonts w:hint="eastAsia" w:ascii="仿宋" w:hAnsi="仿宋" w:eastAsia="仿宋"/>
          <w:kern w:val="2"/>
          <w:sz w:val="28"/>
          <w:szCs w:val="28"/>
          <w:lang w:val="en-US"/>
        </w:rPr>
        <w:t>号</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注册资本：</w:t>
      </w:r>
      <w:r>
        <w:rPr>
          <w:rFonts w:ascii="Arial" w:hAnsi="Arial" w:eastAsia="仿宋" w:cs="Arial"/>
          <w:kern w:val="2"/>
          <w:sz w:val="28"/>
          <w:szCs w:val="28"/>
          <w:lang w:val="en-US"/>
        </w:rPr>
        <w:t>10000</w:t>
      </w:r>
      <w:r>
        <w:rPr>
          <w:rFonts w:hint="eastAsia" w:ascii="仿宋" w:hAnsi="仿宋" w:eastAsia="仿宋"/>
          <w:kern w:val="2"/>
          <w:sz w:val="28"/>
          <w:szCs w:val="28"/>
          <w:lang w:val="en-US"/>
        </w:rPr>
        <w:t>万元人民币</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登记机关：芦山县市场监督管理局</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有效期：自</w:t>
      </w:r>
      <w:r>
        <w:rPr>
          <w:rFonts w:ascii="Arial" w:hAnsi="Arial" w:eastAsia="仿宋" w:cs="Arial"/>
          <w:kern w:val="2"/>
          <w:sz w:val="28"/>
          <w:szCs w:val="28"/>
          <w:lang w:val="en-US"/>
        </w:rPr>
        <w:t>2018</w:t>
      </w:r>
      <w:r>
        <w:rPr>
          <w:rFonts w:hint="eastAsia" w:ascii="仿宋" w:hAnsi="仿宋" w:eastAsia="仿宋"/>
          <w:kern w:val="2"/>
          <w:sz w:val="28"/>
          <w:szCs w:val="28"/>
          <w:lang w:val="en-US"/>
        </w:rPr>
        <w:t>年</w:t>
      </w:r>
      <w:r>
        <w:rPr>
          <w:rFonts w:ascii="Arial" w:hAnsi="Arial" w:eastAsia="仿宋" w:cs="Arial"/>
          <w:kern w:val="2"/>
          <w:sz w:val="28"/>
          <w:szCs w:val="28"/>
          <w:lang w:val="en-US"/>
        </w:rPr>
        <w:t>8</w:t>
      </w:r>
      <w:r>
        <w:rPr>
          <w:rFonts w:hint="eastAsia" w:ascii="仿宋" w:hAnsi="仿宋" w:eastAsia="仿宋"/>
          <w:kern w:val="2"/>
          <w:sz w:val="28"/>
          <w:szCs w:val="28"/>
          <w:lang w:val="en-US"/>
        </w:rPr>
        <w:t>月</w:t>
      </w:r>
      <w:r>
        <w:rPr>
          <w:rFonts w:ascii="Arial" w:hAnsi="Arial" w:eastAsia="仿宋" w:cs="Arial"/>
          <w:kern w:val="2"/>
          <w:sz w:val="28"/>
          <w:szCs w:val="28"/>
          <w:lang w:val="en-US"/>
        </w:rPr>
        <w:t>1</w:t>
      </w:r>
      <w:r>
        <w:rPr>
          <w:rFonts w:hint="eastAsia" w:ascii="仿宋" w:hAnsi="仿宋" w:eastAsia="仿宋"/>
          <w:kern w:val="2"/>
          <w:sz w:val="28"/>
          <w:szCs w:val="28"/>
          <w:lang w:val="en-US"/>
        </w:rPr>
        <w:t>日至无固定期限</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经营范围：砂石建材生产销售、土地整治、城市建设和经营管理、物业管理、物流运输</w:t>
      </w:r>
      <w:r>
        <w:rPr>
          <w:rFonts w:ascii="仿宋" w:hAnsi="仿宋" w:eastAsia="仿宋"/>
          <w:kern w:val="2"/>
          <w:sz w:val="28"/>
          <w:szCs w:val="28"/>
          <w:lang w:val="en-US"/>
        </w:rPr>
        <w:t>;</w:t>
      </w:r>
      <w:r>
        <w:rPr>
          <w:rFonts w:hint="eastAsia" w:ascii="仿宋" w:hAnsi="仿宋" w:eastAsia="仿宋"/>
          <w:kern w:val="2"/>
          <w:sz w:val="28"/>
          <w:szCs w:val="28"/>
          <w:lang w:val="en-US"/>
        </w:rPr>
        <w:t>园林绿化、文化产业开发经营、旅游产业开发经营、农林产业开发和利用、矿产资源开发经营、商品贸易、酒店管理、汽车租赁、劳动力外包服务、建筑施工劳务</w:t>
      </w:r>
      <w:r>
        <w:rPr>
          <w:rFonts w:ascii="仿宋" w:hAnsi="仿宋" w:eastAsia="仿宋"/>
          <w:kern w:val="2"/>
          <w:sz w:val="28"/>
          <w:szCs w:val="28"/>
          <w:lang w:val="en-US"/>
        </w:rPr>
        <w:t>;</w:t>
      </w:r>
      <w:r>
        <w:rPr>
          <w:rFonts w:hint="eastAsia" w:ascii="仿宋" w:hAnsi="仿宋" w:eastAsia="仿宋"/>
          <w:kern w:val="2"/>
          <w:sz w:val="28"/>
          <w:szCs w:val="28"/>
          <w:lang w:val="en-US"/>
        </w:rPr>
        <w:t>房地产开发、机械设备租赁、餐饮服务。</w:t>
      </w:r>
      <w:r>
        <w:rPr>
          <w:rFonts w:ascii="仿宋" w:hAnsi="仿宋" w:eastAsia="仿宋"/>
          <w:kern w:val="2"/>
          <w:sz w:val="28"/>
          <w:szCs w:val="28"/>
          <w:lang w:val="en-US"/>
        </w:rPr>
        <w:t>(</w:t>
      </w:r>
      <w:r>
        <w:rPr>
          <w:rFonts w:hint="eastAsia" w:ascii="仿宋" w:hAnsi="仿宋" w:eastAsia="仿宋"/>
          <w:kern w:val="2"/>
          <w:sz w:val="28"/>
          <w:szCs w:val="28"/>
          <w:lang w:val="en-US"/>
        </w:rPr>
        <w:t>依法须经批准的项目</w:t>
      </w:r>
      <w:r>
        <w:rPr>
          <w:rFonts w:ascii="仿宋" w:hAnsi="仿宋" w:eastAsia="仿宋"/>
          <w:kern w:val="2"/>
          <w:sz w:val="28"/>
          <w:szCs w:val="28"/>
          <w:lang w:val="en-US"/>
        </w:rPr>
        <w:t>,</w:t>
      </w:r>
      <w:r>
        <w:rPr>
          <w:rFonts w:hint="eastAsia" w:ascii="仿宋" w:hAnsi="仿宋" w:eastAsia="仿宋"/>
          <w:kern w:val="2"/>
          <w:sz w:val="28"/>
          <w:szCs w:val="28"/>
          <w:lang w:val="en-US"/>
        </w:rPr>
        <w:t>经相关部门批准后方可开展经营活动</w:t>
      </w:r>
      <w:r>
        <w:rPr>
          <w:rFonts w:ascii="仿宋" w:hAnsi="仿宋" w:eastAsia="仿宋"/>
          <w:kern w:val="2"/>
          <w:sz w:val="28"/>
          <w:szCs w:val="28"/>
          <w:lang w:val="en-US"/>
        </w:rPr>
        <w:t>)</w:t>
      </w:r>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项目概况</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1</w:t>
      </w:r>
      <w:r>
        <w:rPr>
          <w:rFonts w:hint="eastAsia" w:ascii="仿宋" w:hAnsi="仿宋" w:eastAsia="仿宋"/>
          <w:kern w:val="2"/>
          <w:sz w:val="28"/>
          <w:szCs w:val="28"/>
          <w:lang w:val="en-US"/>
        </w:rPr>
        <w:t>）项目所属领域</w:t>
      </w:r>
    </w:p>
    <w:p>
      <w:pPr>
        <w:pStyle w:val="5"/>
        <w:spacing w:before="0" w:after="0" w:line="576" w:lineRule="exact"/>
        <w:ind w:firstLine="560" w:firstLineChars="200"/>
        <w:rPr>
          <w:rFonts w:ascii="仿宋" w:hAnsi="仿宋" w:eastAsia="仿宋"/>
          <w:kern w:val="2"/>
          <w:sz w:val="28"/>
          <w:szCs w:val="28"/>
          <w:lang w:val="en-US"/>
        </w:rPr>
      </w:pPr>
      <w:bookmarkStart w:id="12" w:name="_Hlk1719799"/>
      <w:r>
        <w:rPr>
          <w:rFonts w:hint="eastAsia" w:ascii="仿宋" w:hAnsi="仿宋" w:eastAsia="仿宋"/>
          <w:kern w:val="2"/>
          <w:sz w:val="28"/>
          <w:szCs w:val="28"/>
          <w:lang w:val="en-US"/>
        </w:rPr>
        <w:t>本项目为棚户区改造项目，属于有一定收益的棚户区改造领域</w:t>
      </w:r>
      <w:bookmarkEnd w:id="12"/>
      <w:r>
        <w:rPr>
          <w:rFonts w:hint="eastAsia" w:ascii="仿宋" w:hAnsi="仿宋" w:eastAsia="仿宋"/>
          <w:kern w:val="2"/>
          <w:sz w:val="28"/>
          <w:szCs w:val="28"/>
          <w:lang w:val="en-US"/>
        </w:rPr>
        <w:t>。</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）项目审批情况</w:t>
      </w:r>
    </w:p>
    <w:p>
      <w:pPr>
        <w:pStyle w:val="5"/>
        <w:spacing w:before="0" w:after="0" w:line="576" w:lineRule="exact"/>
        <w:ind w:firstLine="560" w:firstLineChars="200"/>
        <w:rPr>
          <w:rFonts w:ascii="仿宋" w:hAnsi="仿宋" w:eastAsia="仿宋"/>
          <w:kern w:val="2"/>
          <w:sz w:val="28"/>
          <w:szCs w:val="28"/>
          <w:lang w:val="en-US"/>
        </w:rPr>
      </w:pPr>
      <w:r>
        <w:rPr>
          <w:rFonts w:ascii="仿宋" w:hAnsi="仿宋" w:eastAsia="仿宋"/>
          <w:kern w:val="2"/>
          <w:sz w:val="28"/>
          <w:szCs w:val="28"/>
          <w:lang w:val="en-US"/>
        </w:rPr>
        <w:fldChar w:fldCharType="begin"/>
      </w:r>
      <w:r>
        <w:rPr>
          <w:rFonts w:ascii="仿宋" w:hAnsi="仿宋" w:eastAsia="仿宋"/>
          <w:kern w:val="2"/>
          <w:sz w:val="28"/>
          <w:szCs w:val="28"/>
          <w:lang w:val="en-US"/>
        </w:rPr>
        <w:instrText xml:space="preserve"> = 1 \* GB3 </w:instrText>
      </w:r>
      <w:r>
        <w:rPr>
          <w:rFonts w:ascii="仿宋" w:hAnsi="仿宋" w:eastAsia="仿宋"/>
          <w:kern w:val="2"/>
          <w:sz w:val="28"/>
          <w:szCs w:val="28"/>
          <w:lang w:val="en-US"/>
        </w:rPr>
        <w:fldChar w:fldCharType="separate"/>
      </w:r>
      <w:r>
        <w:rPr>
          <w:rFonts w:hint="eastAsia" w:ascii="仿宋" w:hAnsi="仿宋" w:eastAsia="仿宋"/>
          <w:kern w:val="2"/>
          <w:sz w:val="28"/>
          <w:szCs w:val="28"/>
          <w:lang w:val="en-US"/>
        </w:rPr>
        <w:t>①</w:t>
      </w:r>
      <w:r>
        <w:rPr>
          <w:rFonts w:ascii="仿宋" w:hAnsi="仿宋" w:eastAsia="仿宋"/>
          <w:kern w:val="2"/>
          <w:sz w:val="28"/>
          <w:szCs w:val="28"/>
          <w:lang w:val="en-US"/>
        </w:rPr>
        <w:fldChar w:fldCharType="end"/>
      </w:r>
      <w:r>
        <w:rPr>
          <w:rFonts w:hint="eastAsia" w:ascii="仿宋" w:hAnsi="仿宋" w:eastAsia="仿宋"/>
          <w:kern w:val="2"/>
          <w:sz w:val="28"/>
          <w:szCs w:val="28"/>
          <w:lang w:val="en-US"/>
        </w:rPr>
        <w:t>根据芦山县发展和改革局于</w:t>
      </w:r>
      <w:r>
        <w:rPr>
          <w:rFonts w:ascii="Arial" w:hAnsi="Arial" w:eastAsia="仿宋" w:cs="Arial"/>
          <w:kern w:val="2"/>
          <w:sz w:val="28"/>
          <w:szCs w:val="28"/>
          <w:lang w:val="en-US"/>
        </w:rPr>
        <w:t>2020</w:t>
      </w:r>
      <w:r>
        <w:rPr>
          <w:rFonts w:hint="eastAsia" w:ascii="仿宋" w:hAnsi="仿宋" w:eastAsia="仿宋"/>
          <w:kern w:val="2"/>
          <w:sz w:val="28"/>
          <w:szCs w:val="28"/>
          <w:lang w:val="en-US"/>
        </w:rPr>
        <w:t>年</w:t>
      </w:r>
      <w:r>
        <w:rPr>
          <w:rFonts w:ascii="Arial" w:hAnsi="Arial" w:eastAsia="仿宋" w:cs="Arial"/>
          <w:kern w:val="2"/>
          <w:sz w:val="28"/>
          <w:szCs w:val="28"/>
          <w:lang w:val="en-US"/>
        </w:rPr>
        <w:t>1</w:t>
      </w:r>
      <w:r>
        <w:rPr>
          <w:rFonts w:hint="eastAsia" w:ascii="仿宋" w:hAnsi="仿宋" w:eastAsia="仿宋"/>
          <w:kern w:val="2"/>
          <w:sz w:val="28"/>
          <w:szCs w:val="28"/>
          <w:lang w:val="en-US"/>
        </w:rPr>
        <w:t>月</w:t>
      </w:r>
      <w:r>
        <w:rPr>
          <w:rFonts w:ascii="Arial" w:hAnsi="Arial" w:eastAsia="仿宋" w:cs="Arial"/>
          <w:kern w:val="2"/>
          <w:sz w:val="28"/>
          <w:szCs w:val="28"/>
          <w:lang w:val="en-US"/>
        </w:rPr>
        <w:t>17</w:t>
      </w:r>
      <w:r>
        <w:rPr>
          <w:rFonts w:hint="eastAsia" w:ascii="仿宋" w:hAnsi="仿宋" w:eastAsia="仿宋"/>
          <w:kern w:val="2"/>
          <w:sz w:val="28"/>
          <w:szCs w:val="28"/>
          <w:lang w:val="en-US"/>
        </w:rPr>
        <w:t>日下发的芦山县发展和改革局关于《芦山县（城中村）棚户区改造项目立项》的批复（芦发改固</w:t>
      </w:r>
      <w:r>
        <w:rPr>
          <w:rFonts w:ascii="仿宋" w:hAnsi="仿宋" w:eastAsia="仿宋"/>
          <w:kern w:val="2"/>
          <w:sz w:val="28"/>
          <w:szCs w:val="28"/>
          <w:lang w:val="en-US"/>
        </w:rPr>
        <w:t>[</w:t>
      </w:r>
      <w:r>
        <w:rPr>
          <w:rFonts w:ascii="Arial" w:hAnsi="Arial" w:eastAsia="仿宋" w:cs="Arial"/>
          <w:kern w:val="2"/>
          <w:sz w:val="28"/>
          <w:szCs w:val="28"/>
          <w:lang w:val="en-US"/>
        </w:rPr>
        <w:t>2020</w:t>
      </w:r>
      <w:r>
        <w:rPr>
          <w:rFonts w:ascii="仿宋" w:hAnsi="仿宋" w:eastAsia="仿宋"/>
          <w:kern w:val="2"/>
          <w:sz w:val="28"/>
          <w:szCs w:val="28"/>
          <w:lang w:val="en-US"/>
        </w:rPr>
        <w:t>]</w:t>
      </w:r>
      <w:r>
        <w:rPr>
          <w:rFonts w:ascii="Arial" w:hAnsi="Arial" w:eastAsia="仿宋" w:cs="Arial"/>
          <w:kern w:val="2"/>
          <w:sz w:val="28"/>
          <w:szCs w:val="28"/>
          <w:lang w:val="en-US"/>
        </w:rPr>
        <w:t>25</w:t>
      </w:r>
      <w:r>
        <w:rPr>
          <w:rFonts w:hint="eastAsia" w:ascii="仿宋" w:hAnsi="仿宋" w:eastAsia="仿宋"/>
          <w:kern w:val="2"/>
          <w:sz w:val="28"/>
          <w:szCs w:val="28"/>
          <w:lang w:val="en-US"/>
        </w:rPr>
        <w:t>号）文件，芦山县（城中村）棚户区改造项目立项已经过芦山县发展和改革局批准同意。</w:t>
      </w:r>
    </w:p>
    <w:p>
      <w:pPr>
        <w:pStyle w:val="5"/>
        <w:spacing w:before="0" w:after="0" w:line="576" w:lineRule="exact"/>
        <w:ind w:firstLine="560" w:firstLineChars="200"/>
        <w:rPr>
          <w:rFonts w:ascii="仿宋" w:hAnsi="仿宋" w:eastAsia="仿宋"/>
          <w:kern w:val="2"/>
          <w:sz w:val="28"/>
          <w:szCs w:val="28"/>
          <w:lang w:val="en-US"/>
        </w:rPr>
      </w:pPr>
      <w:r>
        <w:rPr>
          <w:rFonts w:ascii="仿宋" w:hAnsi="仿宋" w:eastAsia="仿宋"/>
          <w:sz w:val="28"/>
          <w:szCs w:val="28"/>
        </w:rPr>
        <w:fldChar w:fldCharType="begin"/>
      </w:r>
      <w:r>
        <w:rPr>
          <w:rFonts w:ascii="仿宋" w:hAnsi="仿宋" w:eastAsia="仿宋"/>
          <w:sz w:val="28"/>
          <w:szCs w:val="28"/>
        </w:rPr>
        <w:instrText xml:space="preserve"> = 2 \* GB3 </w:instrText>
      </w:r>
      <w:r>
        <w:rPr>
          <w:rFonts w:ascii="仿宋" w:hAnsi="仿宋" w:eastAsia="仿宋"/>
          <w:sz w:val="28"/>
          <w:szCs w:val="28"/>
        </w:rPr>
        <w:fldChar w:fldCharType="separate"/>
      </w:r>
      <w:r>
        <w:rPr>
          <w:rFonts w:hint="eastAsia" w:ascii="仿宋" w:hAnsi="仿宋" w:eastAsia="仿宋"/>
          <w:sz w:val="28"/>
          <w:szCs w:val="28"/>
        </w:rPr>
        <w:t>②</w:t>
      </w:r>
      <w:r>
        <w:rPr>
          <w:rFonts w:ascii="仿宋" w:hAnsi="仿宋" w:eastAsia="仿宋"/>
          <w:sz w:val="28"/>
          <w:szCs w:val="28"/>
        </w:rPr>
        <w:fldChar w:fldCharType="end"/>
      </w:r>
      <w:r>
        <w:rPr>
          <w:rFonts w:hint="eastAsia" w:ascii="仿宋" w:hAnsi="仿宋" w:eastAsia="仿宋"/>
          <w:kern w:val="2"/>
          <w:sz w:val="28"/>
          <w:szCs w:val="28"/>
          <w:lang w:val="en-US"/>
        </w:rPr>
        <w:t>根据芦山县自然资源和规划局《关于芦山县（城中村）棚户区改造项目用地预审的意见》（芦自然资规函〔</w:t>
      </w:r>
      <w:r>
        <w:rPr>
          <w:rFonts w:ascii="Arial" w:hAnsi="Arial" w:eastAsia="仿宋" w:cs="Arial"/>
          <w:kern w:val="2"/>
          <w:sz w:val="28"/>
          <w:szCs w:val="28"/>
          <w:lang w:val="en-US"/>
        </w:rPr>
        <w:t>2020</w:t>
      </w:r>
      <w:r>
        <w:rPr>
          <w:rFonts w:hint="eastAsia" w:ascii="仿宋" w:hAnsi="仿宋" w:eastAsia="仿宋"/>
          <w:kern w:val="2"/>
          <w:sz w:val="28"/>
          <w:szCs w:val="28"/>
          <w:lang w:val="en-US"/>
        </w:rPr>
        <w:t>〕</w:t>
      </w:r>
      <w:r>
        <w:rPr>
          <w:rFonts w:ascii="Arial" w:hAnsi="Arial" w:eastAsia="仿宋" w:cs="Arial"/>
          <w:kern w:val="2"/>
          <w:sz w:val="28"/>
          <w:szCs w:val="28"/>
          <w:lang w:val="en-US"/>
        </w:rPr>
        <w:t>69</w:t>
      </w:r>
      <w:r>
        <w:rPr>
          <w:rFonts w:hint="eastAsia" w:ascii="仿宋" w:hAnsi="仿宋" w:eastAsia="仿宋"/>
          <w:kern w:val="2"/>
          <w:sz w:val="28"/>
          <w:szCs w:val="28"/>
          <w:lang w:val="en-US"/>
        </w:rPr>
        <w:t>号）</w:t>
      </w:r>
      <w:r>
        <w:rPr>
          <w:rFonts w:ascii="仿宋" w:hAnsi="仿宋" w:eastAsia="仿宋"/>
          <w:kern w:val="2"/>
          <w:sz w:val="28"/>
          <w:szCs w:val="28"/>
          <w:lang w:val="en-US"/>
        </w:rPr>
        <w:t xml:space="preserve">, </w:t>
      </w:r>
      <w:r>
        <w:rPr>
          <w:rFonts w:hint="eastAsia" w:ascii="仿宋" w:hAnsi="仿宋" w:eastAsia="仿宋"/>
          <w:kern w:val="2"/>
          <w:sz w:val="28"/>
          <w:szCs w:val="28"/>
          <w:lang w:val="en-US"/>
        </w:rPr>
        <w:t>芦山县（城中村）棚户区改造项目用地已经过</w:t>
      </w:r>
      <w:r>
        <w:rPr>
          <w:rFonts w:hint="eastAsia" w:ascii="仿宋" w:hAnsi="仿宋" w:eastAsia="仿宋"/>
          <w:sz w:val="28"/>
          <w:szCs w:val="28"/>
        </w:rPr>
        <w:t>芦山县自然资源和规划局</w:t>
      </w:r>
      <w:r>
        <w:rPr>
          <w:rFonts w:hint="eastAsia" w:ascii="仿宋" w:hAnsi="仿宋" w:eastAsia="仿宋"/>
          <w:kern w:val="2"/>
          <w:sz w:val="28"/>
          <w:szCs w:val="28"/>
          <w:lang w:val="en-US"/>
        </w:rPr>
        <w:t>批准同意。</w:t>
      </w:r>
    </w:p>
    <w:p>
      <w:pPr>
        <w:pStyle w:val="21"/>
        <w:spacing w:line="576" w:lineRule="exact"/>
        <w:ind w:firstLine="714" w:firstLineChars="255"/>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 = 3 \* GB3 </w:instrText>
      </w:r>
      <w:r>
        <w:rPr>
          <w:rFonts w:ascii="仿宋" w:hAnsi="仿宋" w:eastAsia="仿宋"/>
          <w:sz w:val="28"/>
          <w:szCs w:val="28"/>
        </w:rPr>
        <w:fldChar w:fldCharType="separate"/>
      </w:r>
      <w:r>
        <w:rPr>
          <w:rFonts w:hint="eastAsia" w:ascii="仿宋" w:hAnsi="仿宋" w:eastAsia="仿宋"/>
          <w:sz w:val="28"/>
          <w:szCs w:val="28"/>
        </w:rPr>
        <w:t>③</w:t>
      </w:r>
      <w:r>
        <w:rPr>
          <w:rFonts w:ascii="仿宋" w:hAnsi="仿宋" w:eastAsia="仿宋"/>
          <w:sz w:val="28"/>
          <w:szCs w:val="28"/>
        </w:rPr>
        <w:fldChar w:fldCharType="end"/>
      </w:r>
      <w:r>
        <w:rPr>
          <w:rFonts w:hint="eastAsia" w:ascii="仿宋" w:hAnsi="仿宋" w:eastAsia="仿宋"/>
          <w:sz w:val="28"/>
          <w:szCs w:val="28"/>
        </w:rPr>
        <w:t>本项目已经取得芦山县自然资源和规划局颁发的《中华人民共和国建设用地规划许可证》（地字第</w:t>
      </w:r>
      <w:r>
        <w:rPr>
          <w:rFonts w:ascii="Arial" w:hAnsi="Arial" w:eastAsia="仿宋" w:cs="Arial"/>
          <w:sz w:val="28"/>
          <w:szCs w:val="28"/>
        </w:rPr>
        <w:t>513127202004270018</w:t>
      </w:r>
      <w:r>
        <w:rPr>
          <w:rFonts w:hint="eastAsia" w:ascii="仿宋" w:hAnsi="仿宋" w:eastAsia="仿宋"/>
          <w:sz w:val="28"/>
          <w:szCs w:val="28"/>
        </w:rPr>
        <w:t>号），建设用地符合用地规划。</w:t>
      </w:r>
    </w:p>
    <w:p>
      <w:pPr>
        <w:pStyle w:val="21"/>
        <w:spacing w:line="576" w:lineRule="exact"/>
        <w:ind w:firstLine="714" w:firstLineChars="255"/>
        <w:rPr>
          <w:rFonts w:ascii="仿宋" w:hAnsi="仿宋" w:eastAsia="仿宋"/>
          <w:sz w:val="28"/>
          <w:szCs w:val="28"/>
        </w:rPr>
      </w:pPr>
      <w:r>
        <w:rPr>
          <w:rFonts w:hint="eastAsia" w:ascii="仿宋" w:hAnsi="仿宋" w:eastAsia="仿宋"/>
          <w:sz w:val="28"/>
          <w:szCs w:val="28"/>
        </w:rPr>
        <w:t>④根据雅安市芦山生态环境局出具的《建设项目环境影响登记表》（备案号：</w:t>
      </w:r>
      <w:r>
        <w:rPr>
          <w:rFonts w:ascii="Arial" w:hAnsi="Arial" w:eastAsia="仿宋" w:cs="Arial"/>
          <w:sz w:val="28"/>
          <w:szCs w:val="28"/>
        </w:rPr>
        <w:t>202051182600000019</w:t>
      </w:r>
      <w:r>
        <w:rPr>
          <w:rFonts w:hint="eastAsia" w:ascii="仿宋" w:hAnsi="仿宋" w:eastAsia="仿宋"/>
          <w:sz w:val="28"/>
          <w:szCs w:val="28"/>
        </w:rPr>
        <w:t>），本项目环境影响登记表已完成备案。</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3</w:t>
      </w:r>
      <w:r>
        <w:rPr>
          <w:rFonts w:hint="eastAsia" w:ascii="仿宋" w:hAnsi="仿宋" w:eastAsia="仿宋"/>
          <w:kern w:val="2"/>
          <w:sz w:val="28"/>
          <w:szCs w:val="28"/>
          <w:lang w:val="en-US"/>
        </w:rPr>
        <w:t>）项目产出说明</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本项目建设区域位于芦山县城区，杨家坝片区东至迎宾大道、西至平安路、南至</w:t>
      </w:r>
      <w:r>
        <w:rPr>
          <w:rFonts w:ascii="Arial" w:hAnsi="Arial" w:eastAsia="仿宋" w:cs="Arial"/>
          <w:kern w:val="2"/>
          <w:sz w:val="28"/>
          <w:szCs w:val="28"/>
          <w:lang w:val="en-US"/>
        </w:rPr>
        <w:t>5</w:t>
      </w:r>
      <w:r>
        <w:rPr>
          <w:rFonts w:hint="eastAsia" w:ascii="仿宋" w:hAnsi="仿宋" w:eastAsia="仿宋"/>
          <w:kern w:val="2"/>
          <w:sz w:val="28"/>
          <w:szCs w:val="28"/>
          <w:lang w:val="en-US"/>
        </w:rPr>
        <w:t>号路，北至水电路，任坝片区东至</w:t>
      </w:r>
      <w:r>
        <w:rPr>
          <w:rFonts w:ascii="仿宋" w:hAnsi="仿宋" w:eastAsia="仿宋"/>
          <w:kern w:val="2"/>
          <w:sz w:val="28"/>
          <w:szCs w:val="28"/>
          <w:lang w:val="en-US"/>
        </w:rPr>
        <w:t>S</w:t>
      </w:r>
      <w:r>
        <w:rPr>
          <w:rFonts w:ascii="Arial" w:hAnsi="Arial" w:eastAsia="仿宋" w:cs="Arial"/>
          <w:kern w:val="2"/>
          <w:sz w:val="28"/>
          <w:szCs w:val="28"/>
          <w:lang w:val="en-US"/>
        </w:rPr>
        <w:t>210</w:t>
      </w:r>
      <w:r>
        <w:rPr>
          <w:rFonts w:hint="eastAsia" w:ascii="仿宋" w:hAnsi="仿宋" w:eastAsia="仿宋"/>
          <w:kern w:val="2"/>
          <w:sz w:val="28"/>
          <w:szCs w:val="28"/>
          <w:lang w:val="en-US"/>
        </w:rPr>
        <w:t>线，西至迎宾大道、南至根雕一条街，北至友谊路。并计划通过产权调换安置为主的方式对该范围内棚户区进行拆迁改造。本项目占地</w:t>
      </w:r>
      <w:r>
        <w:rPr>
          <w:rFonts w:ascii="Arial" w:hAnsi="Arial" w:eastAsia="仿宋" w:cs="Arial"/>
          <w:kern w:val="2"/>
          <w:sz w:val="28"/>
          <w:szCs w:val="28"/>
          <w:lang w:val="en-US"/>
        </w:rPr>
        <w:t>174</w:t>
      </w:r>
      <w:r>
        <w:rPr>
          <w:rFonts w:ascii="仿宋" w:hAnsi="仿宋" w:eastAsia="仿宋"/>
          <w:kern w:val="2"/>
          <w:sz w:val="28"/>
          <w:szCs w:val="28"/>
          <w:lang w:val="en-US"/>
        </w:rPr>
        <w:t>.</w:t>
      </w:r>
      <w:r>
        <w:rPr>
          <w:rFonts w:ascii="Arial" w:hAnsi="Arial" w:eastAsia="仿宋" w:cs="Arial"/>
          <w:kern w:val="2"/>
          <w:sz w:val="28"/>
          <w:szCs w:val="28"/>
          <w:lang w:val="en-US"/>
        </w:rPr>
        <w:t>04</w:t>
      </w:r>
      <w:r>
        <w:rPr>
          <w:rFonts w:hint="eastAsia" w:ascii="仿宋" w:hAnsi="仿宋" w:eastAsia="仿宋"/>
          <w:kern w:val="2"/>
          <w:sz w:val="28"/>
          <w:szCs w:val="28"/>
          <w:lang w:val="en-US"/>
        </w:rPr>
        <w:t>亩，拆迁</w:t>
      </w:r>
      <w:r>
        <w:rPr>
          <w:rFonts w:ascii="Arial" w:hAnsi="Arial" w:eastAsia="仿宋" w:cs="Arial"/>
          <w:kern w:val="2"/>
          <w:sz w:val="28"/>
          <w:szCs w:val="28"/>
          <w:lang w:val="en-US"/>
        </w:rPr>
        <w:t>224</w:t>
      </w:r>
      <w:r>
        <w:rPr>
          <w:rFonts w:hint="eastAsia" w:ascii="仿宋" w:hAnsi="仿宋" w:eastAsia="仿宋"/>
          <w:kern w:val="2"/>
          <w:sz w:val="28"/>
          <w:szCs w:val="28"/>
          <w:lang w:val="en-US"/>
        </w:rPr>
        <w:t>户，拆迁面积</w:t>
      </w:r>
      <w:r>
        <w:rPr>
          <w:rFonts w:ascii="Arial" w:hAnsi="Arial" w:eastAsia="仿宋" w:cs="Arial"/>
          <w:kern w:val="2"/>
          <w:sz w:val="28"/>
          <w:szCs w:val="28"/>
          <w:lang w:val="en-US"/>
        </w:rPr>
        <w:t>45024</w:t>
      </w:r>
      <w:r>
        <w:rPr>
          <w:rFonts w:hint="eastAsia" w:ascii="仿宋" w:hAnsi="仿宋" w:eastAsia="仿宋"/>
          <w:kern w:val="2"/>
          <w:sz w:val="28"/>
          <w:szCs w:val="28"/>
          <w:lang w:val="en-US"/>
        </w:rPr>
        <w:t>平方米。</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本项目配套基础设施建设内容主要包括：道路工程</w:t>
      </w:r>
      <w:r>
        <w:rPr>
          <w:rFonts w:ascii="仿宋" w:hAnsi="仿宋" w:eastAsia="仿宋"/>
          <w:kern w:val="2"/>
          <w:sz w:val="28"/>
          <w:szCs w:val="28"/>
          <w:lang w:val="en-US"/>
        </w:rPr>
        <w:t>(</w:t>
      </w:r>
      <w:r>
        <w:rPr>
          <w:rFonts w:hint="eastAsia" w:ascii="仿宋" w:hAnsi="仿宋" w:eastAsia="仿宋"/>
          <w:kern w:val="2"/>
          <w:sz w:val="28"/>
          <w:szCs w:val="28"/>
          <w:lang w:val="en-US"/>
        </w:rPr>
        <w:t>含路灯、道路两侧绿化带、路牌标识、交通标志等</w:t>
      </w:r>
      <w:r>
        <w:rPr>
          <w:rFonts w:ascii="仿宋" w:hAnsi="仿宋" w:eastAsia="仿宋"/>
          <w:kern w:val="2"/>
          <w:sz w:val="28"/>
          <w:szCs w:val="28"/>
          <w:lang w:val="en-US"/>
        </w:rPr>
        <w:t>)</w:t>
      </w:r>
      <w:r>
        <w:rPr>
          <w:rFonts w:hint="eastAsia" w:ascii="仿宋" w:hAnsi="仿宋" w:eastAsia="仿宋"/>
          <w:kern w:val="2"/>
          <w:sz w:val="28"/>
          <w:szCs w:val="28"/>
          <w:lang w:val="en-US"/>
        </w:rPr>
        <w:t>与污、雨水管网工程、公共绿化工程、环卫设施等市政配套设施工程和水、电、气、通讯等专业管线建设以及征地拆迁安置工程。</w:t>
      </w:r>
      <w:r>
        <w:rPr>
          <w:rFonts w:ascii="仿宋" w:hAnsi="仿宋" w:eastAsia="仿宋"/>
          <w:kern w:val="2"/>
          <w:sz w:val="28"/>
          <w:szCs w:val="28"/>
          <w:lang w:val="en-US"/>
        </w:rPr>
        <w:br w:type="textWrapping"/>
      </w:r>
      <w:r>
        <w:rPr>
          <w:rFonts w:hint="eastAsia" w:ascii="仿宋" w:hAnsi="仿宋" w:eastAsia="仿宋"/>
          <w:kern w:val="2"/>
          <w:sz w:val="28"/>
          <w:szCs w:val="28"/>
          <w:lang w:val="en-US"/>
        </w:rPr>
        <w:t>供水、电力、通讯、燃气等管网由有关经营性专业部门按规划要求随道路工程和其他市政管网工程建设同步实施。</w:t>
      </w:r>
      <w:r>
        <w:rPr>
          <w:rFonts w:ascii="仿宋" w:hAnsi="仿宋" w:eastAsia="仿宋"/>
          <w:kern w:val="2"/>
          <w:sz w:val="28"/>
          <w:szCs w:val="28"/>
          <w:lang w:val="en-US"/>
        </w:rPr>
        <w:br w:type="textWrapping"/>
      </w:r>
      <w:r>
        <w:rPr>
          <w:rFonts w:hint="eastAsia" w:ascii="仿宋" w:hAnsi="仿宋" w:eastAsia="仿宋"/>
          <w:kern w:val="2"/>
          <w:sz w:val="28"/>
          <w:szCs w:val="28"/>
          <w:lang w:val="en-US"/>
        </w:rPr>
        <w:t>①道路工程</w:t>
      </w:r>
      <w:r>
        <w:rPr>
          <w:rFonts w:ascii="仿宋" w:hAnsi="仿宋" w:eastAsia="仿宋"/>
          <w:kern w:val="2"/>
          <w:sz w:val="28"/>
          <w:szCs w:val="28"/>
          <w:lang w:val="en-US"/>
        </w:rPr>
        <w:br w:type="textWrapping"/>
      </w:r>
      <w:r>
        <w:rPr>
          <w:rFonts w:hint="eastAsia" w:ascii="仿宋" w:hAnsi="仿宋" w:eastAsia="仿宋"/>
          <w:kern w:val="2"/>
          <w:sz w:val="28"/>
          <w:szCs w:val="28"/>
          <w:lang w:val="en-US"/>
        </w:rPr>
        <w:t>据用地性质、道路功能和规划要求，区域内将重点建设住宅和商业用地，并建设其他市政配套公用设施和服务设施。</w:t>
      </w:r>
      <w:r>
        <w:rPr>
          <w:rFonts w:ascii="仿宋" w:hAnsi="仿宋" w:eastAsia="仿宋"/>
          <w:kern w:val="2"/>
          <w:sz w:val="28"/>
          <w:szCs w:val="28"/>
          <w:lang w:val="en-US"/>
        </w:rPr>
        <w:br w:type="textWrapping"/>
      </w:r>
      <w:r>
        <w:rPr>
          <w:rFonts w:hint="eastAsia" w:ascii="仿宋" w:hAnsi="仿宋" w:eastAsia="仿宋"/>
          <w:kern w:val="2"/>
          <w:sz w:val="28"/>
          <w:szCs w:val="28"/>
          <w:lang w:val="en-US"/>
        </w:rPr>
        <w:t>区域内拟建设道路</w:t>
      </w:r>
      <w:r>
        <w:rPr>
          <w:rFonts w:ascii="Arial" w:hAnsi="Arial" w:eastAsia="仿宋" w:cs="Arial"/>
          <w:kern w:val="2"/>
          <w:sz w:val="28"/>
          <w:szCs w:val="28"/>
          <w:lang w:val="en-US"/>
        </w:rPr>
        <w:t>3</w:t>
      </w:r>
      <w:r>
        <w:rPr>
          <w:rFonts w:hint="eastAsia" w:ascii="仿宋" w:hAnsi="仿宋" w:eastAsia="仿宋"/>
          <w:kern w:val="2"/>
          <w:sz w:val="28"/>
          <w:szCs w:val="28"/>
          <w:lang w:val="en-US"/>
        </w:rPr>
        <w:t>条，包括主干道</w:t>
      </w:r>
      <w:r>
        <w:rPr>
          <w:rFonts w:ascii="Arial" w:hAnsi="Arial" w:eastAsia="仿宋" w:cs="Arial"/>
          <w:kern w:val="2"/>
          <w:sz w:val="28"/>
          <w:szCs w:val="28"/>
          <w:lang w:val="en-US"/>
        </w:rPr>
        <w:t>1</w:t>
      </w:r>
      <w:r>
        <w:rPr>
          <w:rFonts w:hint="eastAsia" w:ascii="仿宋" w:hAnsi="仿宋" w:eastAsia="仿宋"/>
          <w:kern w:val="2"/>
          <w:sz w:val="28"/>
          <w:szCs w:val="28"/>
          <w:lang w:val="en-US"/>
        </w:rPr>
        <w:t>条，长</w:t>
      </w:r>
      <w:r>
        <w:rPr>
          <w:rFonts w:ascii="Arial" w:hAnsi="Arial" w:eastAsia="仿宋" w:cs="Arial"/>
          <w:kern w:val="2"/>
          <w:sz w:val="28"/>
          <w:szCs w:val="28"/>
          <w:lang w:val="en-US"/>
        </w:rPr>
        <w:t>335</w:t>
      </w:r>
      <w:r>
        <w:rPr>
          <w:rFonts w:hint="eastAsia" w:ascii="仿宋" w:hAnsi="仿宋" w:eastAsia="仿宋"/>
          <w:kern w:val="2"/>
          <w:sz w:val="28"/>
          <w:szCs w:val="28"/>
          <w:lang w:val="en-US"/>
        </w:rPr>
        <w:t>米，宽</w:t>
      </w:r>
      <w:r>
        <w:rPr>
          <w:rFonts w:ascii="Arial" w:hAnsi="Arial" w:eastAsia="仿宋" w:cs="Arial"/>
          <w:kern w:val="2"/>
          <w:sz w:val="28"/>
          <w:szCs w:val="28"/>
          <w:lang w:val="en-US"/>
        </w:rPr>
        <w:t>18</w:t>
      </w:r>
      <w:r>
        <w:rPr>
          <w:rFonts w:hint="eastAsia" w:ascii="仿宋" w:hAnsi="仿宋" w:eastAsia="仿宋"/>
          <w:kern w:val="2"/>
          <w:sz w:val="28"/>
          <w:szCs w:val="28"/>
          <w:lang w:val="en-US"/>
        </w:rPr>
        <w:t>米；支路</w:t>
      </w:r>
      <w:r>
        <w:rPr>
          <w:rFonts w:ascii="Arial" w:hAnsi="Arial" w:eastAsia="仿宋" w:cs="Arial"/>
          <w:kern w:val="2"/>
          <w:sz w:val="28"/>
          <w:szCs w:val="28"/>
          <w:lang w:val="en-US"/>
        </w:rPr>
        <w:t>2</w:t>
      </w:r>
      <w:r>
        <w:rPr>
          <w:rFonts w:hint="eastAsia" w:ascii="仿宋" w:hAnsi="仿宋" w:eastAsia="仿宋"/>
          <w:kern w:val="2"/>
          <w:sz w:val="28"/>
          <w:szCs w:val="28"/>
          <w:lang w:val="en-US"/>
        </w:rPr>
        <w:t>条，长度</w:t>
      </w:r>
      <w:r>
        <w:rPr>
          <w:rFonts w:ascii="Arial" w:hAnsi="Arial" w:eastAsia="仿宋" w:cs="Arial"/>
          <w:kern w:val="2"/>
          <w:sz w:val="28"/>
          <w:szCs w:val="28"/>
          <w:lang w:val="en-US"/>
        </w:rPr>
        <w:t>83</w:t>
      </w:r>
      <w:r>
        <w:rPr>
          <w:rFonts w:hint="eastAsia" w:ascii="仿宋" w:hAnsi="仿宋" w:eastAsia="仿宋"/>
          <w:kern w:val="2"/>
          <w:sz w:val="28"/>
          <w:szCs w:val="28"/>
          <w:lang w:val="en-US"/>
        </w:rPr>
        <w:t>米。</w:t>
      </w:r>
      <w:r>
        <w:rPr>
          <w:rFonts w:ascii="仿宋" w:hAnsi="仿宋" w:eastAsia="仿宋"/>
          <w:kern w:val="2"/>
          <w:sz w:val="28"/>
          <w:szCs w:val="28"/>
          <w:lang w:val="en-US"/>
        </w:rPr>
        <w:br w:type="textWrapping"/>
      </w:r>
      <w:r>
        <w:rPr>
          <w:rFonts w:hint="eastAsia" w:ascii="仿宋" w:hAnsi="仿宋" w:eastAsia="仿宋"/>
          <w:kern w:val="2"/>
          <w:sz w:val="28"/>
          <w:szCs w:val="28"/>
          <w:lang w:val="en-US"/>
        </w:rPr>
        <w:t>对机动车行车道和非机动车道路基采用标准横断面设计，为保证路基的强度和稳定性，路基填筑前必须清除淤泥，表土等不易压实物。</w:t>
      </w:r>
      <w:r>
        <w:rPr>
          <w:rFonts w:ascii="仿宋" w:hAnsi="仿宋" w:eastAsia="仿宋"/>
          <w:kern w:val="2"/>
          <w:sz w:val="28"/>
          <w:szCs w:val="28"/>
          <w:lang w:val="en-US"/>
        </w:rPr>
        <w:br w:type="textWrapping"/>
      </w:r>
      <w:r>
        <w:rPr>
          <w:rFonts w:hint="eastAsia" w:ascii="仿宋" w:hAnsi="仿宋" w:eastAsia="仿宋"/>
          <w:kern w:val="2"/>
          <w:sz w:val="28"/>
          <w:szCs w:val="28"/>
          <w:lang w:val="en-US"/>
        </w:rPr>
        <w:t>全线路面排水采用雨水管排水，路面横向坡度为</w:t>
      </w:r>
      <w:r>
        <w:rPr>
          <w:rFonts w:ascii="Arial" w:hAnsi="Arial" w:eastAsia="仿宋" w:cs="Arial"/>
          <w:kern w:val="2"/>
          <w:sz w:val="28"/>
          <w:szCs w:val="28"/>
          <w:lang w:val="en-US"/>
        </w:rPr>
        <w:t>1</w:t>
      </w:r>
      <w:r>
        <w:rPr>
          <w:rFonts w:ascii="仿宋" w:hAnsi="仿宋" w:eastAsia="仿宋"/>
          <w:kern w:val="2"/>
          <w:sz w:val="28"/>
          <w:szCs w:val="28"/>
          <w:lang w:val="en-US"/>
        </w:rPr>
        <w:t>.</w:t>
      </w:r>
      <w:r>
        <w:rPr>
          <w:rFonts w:ascii="Arial" w:hAnsi="Arial" w:eastAsia="仿宋" w:cs="Arial"/>
          <w:kern w:val="2"/>
          <w:sz w:val="28"/>
          <w:szCs w:val="28"/>
          <w:lang w:val="en-US"/>
        </w:rPr>
        <w:t>5</w:t>
      </w:r>
      <w:r>
        <w:rPr>
          <w:rFonts w:ascii="仿宋" w:hAnsi="仿宋" w:eastAsia="仿宋"/>
          <w:kern w:val="2"/>
          <w:sz w:val="28"/>
          <w:szCs w:val="28"/>
          <w:lang w:val="en-US"/>
        </w:rPr>
        <w:t>%</w:t>
      </w:r>
      <w:r>
        <w:rPr>
          <w:rFonts w:hint="eastAsia" w:ascii="仿宋" w:hAnsi="仿宋" w:eastAsia="仿宋"/>
          <w:kern w:val="2"/>
          <w:sz w:val="28"/>
          <w:szCs w:val="28"/>
          <w:lang w:val="en-US"/>
        </w:rPr>
        <w:t>，人行道横向坡度为</w:t>
      </w: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，一般地段雨水口采用单蓖，特殊地段雨水口采用双蓖，雨水口连接管径</w:t>
      </w:r>
      <w:r>
        <w:rPr>
          <w:rFonts w:ascii="Arial" w:hAnsi="Arial" w:eastAsia="仿宋" w:cs="Arial"/>
          <w:kern w:val="2"/>
          <w:sz w:val="28"/>
          <w:szCs w:val="28"/>
          <w:lang w:val="en-US"/>
        </w:rPr>
        <w:t>300</w:t>
      </w:r>
      <w:r>
        <w:rPr>
          <w:rFonts w:ascii="仿宋" w:hAnsi="仿宋" w:eastAsia="仿宋"/>
          <w:kern w:val="2"/>
          <w:sz w:val="28"/>
          <w:szCs w:val="28"/>
          <w:lang w:val="en-US"/>
        </w:rPr>
        <w:t>mm</w:t>
      </w:r>
      <w:r>
        <w:rPr>
          <w:rFonts w:hint="eastAsia" w:ascii="仿宋" w:hAnsi="仿宋" w:eastAsia="仿宋"/>
          <w:kern w:val="2"/>
          <w:sz w:val="28"/>
          <w:szCs w:val="28"/>
          <w:lang w:val="en-US"/>
        </w:rPr>
        <w:t>。</w:t>
      </w:r>
      <w:r>
        <w:rPr>
          <w:rFonts w:ascii="仿宋" w:hAnsi="仿宋" w:eastAsia="仿宋"/>
          <w:kern w:val="2"/>
          <w:sz w:val="28"/>
          <w:szCs w:val="28"/>
          <w:lang w:val="en-US"/>
        </w:rPr>
        <w:br w:type="textWrapping"/>
      </w:r>
      <w:r>
        <w:rPr>
          <w:rFonts w:hint="eastAsia" w:ascii="仿宋" w:hAnsi="仿宋" w:eastAsia="仿宋"/>
          <w:kern w:val="2"/>
          <w:sz w:val="28"/>
          <w:szCs w:val="28"/>
          <w:lang w:val="en-US"/>
        </w:rPr>
        <w:t>②排水工程</w:t>
      </w:r>
      <w:r>
        <w:rPr>
          <w:rFonts w:ascii="仿宋" w:hAnsi="仿宋" w:eastAsia="仿宋"/>
          <w:kern w:val="2"/>
          <w:sz w:val="28"/>
          <w:szCs w:val="28"/>
          <w:lang w:val="en-US"/>
        </w:rPr>
        <w:br w:type="textWrapping"/>
      </w:r>
      <w:r>
        <w:rPr>
          <w:rFonts w:hint="eastAsia" w:ascii="仿宋" w:hAnsi="仿宋" w:eastAsia="仿宋"/>
          <w:kern w:val="2"/>
          <w:sz w:val="28"/>
          <w:szCs w:val="28"/>
          <w:lang w:val="en-US"/>
        </w:rPr>
        <w:t>项目区的排水工程包括雨水干管工程、污水干管工程，沿各地块周边道路工程布置，不包括建设地块内的排水管网系统。规划考虑到雨水管网应尽量收集周边地块的全部雨水，并为其它管线埋地留足适当空间，局部节点为了保证污水管整体埋深不至过大，将雨水局部管段埋深下跌至</w:t>
      </w:r>
      <w:r>
        <w:rPr>
          <w:rFonts w:ascii="Arial" w:hAnsi="Arial" w:eastAsia="仿宋" w:cs="Arial"/>
          <w:kern w:val="2"/>
          <w:sz w:val="28"/>
          <w:szCs w:val="28"/>
          <w:lang w:val="en-US"/>
        </w:rPr>
        <w:t>2</w:t>
      </w:r>
      <w:r>
        <w:rPr>
          <w:rFonts w:hint="eastAsia" w:ascii="仿宋" w:hAnsi="仿宋" w:eastAsia="仿宋"/>
          <w:kern w:val="2"/>
          <w:sz w:val="28"/>
          <w:szCs w:val="28"/>
          <w:lang w:val="en-US"/>
        </w:rPr>
        <w:t>米左右，仍能保证其顺利排出。雨水以就近排放为原则，充分利用现状河流沟渠，经整治后作为片区排水主要通道，同时在主要道路两侧埋雨水干管，次要道路下单侧布置雨水次干管，雨水管管径</w:t>
      </w:r>
      <w:r>
        <w:rPr>
          <w:rFonts w:ascii="Arial" w:hAnsi="Arial" w:eastAsia="仿宋" w:cs="Arial"/>
          <w:kern w:val="2"/>
          <w:sz w:val="28"/>
          <w:szCs w:val="28"/>
          <w:lang w:val="en-US"/>
        </w:rPr>
        <w:t>400</w:t>
      </w:r>
      <w:r>
        <w:rPr>
          <w:rFonts w:ascii="仿宋" w:hAnsi="仿宋" w:eastAsia="仿宋"/>
          <w:kern w:val="2"/>
          <w:sz w:val="28"/>
          <w:szCs w:val="28"/>
          <w:lang w:val="en-US"/>
        </w:rPr>
        <w:t>-</w:t>
      </w:r>
      <w:r>
        <w:rPr>
          <w:rFonts w:ascii="Arial" w:hAnsi="Arial" w:eastAsia="仿宋" w:cs="Arial"/>
          <w:kern w:val="2"/>
          <w:sz w:val="28"/>
          <w:szCs w:val="28"/>
          <w:lang w:val="en-US"/>
        </w:rPr>
        <w:t>1200</w:t>
      </w:r>
      <w:r>
        <w:rPr>
          <w:rFonts w:ascii="仿宋" w:hAnsi="仿宋" w:eastAsia="仿宋"/>
          <w:kern w:val="2"/>
          <w:sz w:val="28"/>
          <w:szCs w:val="28"/>
          <w:lang w:val="en-US"/>
        </w:rPr>
        <w:t>mm</w:t>
      </w:r>
      <w:r>
        <w:rPr>
          <w:rFonts w:hint="eastAsia" w:ascii="仿宋" w:hAnsi="仿宋" w:eastAsia="仿宋"/>
          <w:kern w:val="2"/>
          <w:sz w:val="28"/>
          <w:szCs w:val="28"/>
          <w:lang w:val="en-US"/>
        </w:rPr>
        <w:t>。</w:t>
      </w:r>
      <w:r>
        <w:rPr>
          <w:rFonts w:ascii="仿宋" w:hAnsi="仿宋" w:eastAsia="仿宋"/>
          <w:kern w:val="2"/>
          <w:sz w:val="28"/>
          <w:szCs w:val="28"/>
          <w:lang w:val="en-US"/>
        </w:rPr>
        <w:br w:type="textWrapping"/>
      </w:r>
      <w:r>
        <w:rPr>
          <w:rFonts w:hint="eastAsia" w:ascii="仿宋" w:hAnsi="仿宋" w:eastAsia="仿宋"/>
          <w:kern w:val="2"/>
          <w:sz w:val="28"/>
          <w:szCs w:val="28"/>
          <w:lang w:val="en-US"/>
        </w:rPr>
        <w:t>③绿化工程</w:t>
      </w:r>
      <w:r>
        <w:rPr>
          <w:rFonts w:ascii="仿宋" w:hAnsi="仿宋" w:eastAsia="仿宋"/>
          <w:kern w:val="2"/>
          <w:sz w:val="28"/>
          <w:szCs w:val="28"/>
          <w:lang w:val="en-US"/>
        </w:rPr>
        <w:br w:type="textWrapping"/>
      </w:r>
      <w:r>
        <w:rPr>
          <w:rFonts w:hint="eastAsia" w:ascii="仿宋" w:hAnsi="仿宋" w:eastAsia="仿宋"/>
          <w:kern w:val="2"/>
          <w:sz w:val="28"/>
          <w:szCs w:val="28"/>
          <w:lang w:val="en-US"/>
        </w:rPr>
        <w:t>项目区绿地系统由主要道路两侧绿地、沿路绿带和区内其他集中景观绿地组成，以主干道路为绿化主轴，干道绿化带和集中块状绿化为辅，形成整个片区良好的生态景观。</w:t>
      </w:r>
      <w:r>
        <w:rPr>
          <w:rFonts w:ascii="宋体" w:hAnsi="宋体" w:eastAsia="宋体" w:cs="宋体"/>
          <w:kern w:val="2"/>
          <w:sz w:val="28"/>
          <w:szCs w:val="28"/>
          <w:lang w:val="en-US"/>
        </w:rPr>
        <w:t> </w:t>
      </w:r>
      <w:r>
        <w:rPr>
          <w:rFonts w:ascii="仿宋" w:hAnsi="仿宋" w:eastAsia="仿宋"/>
          <w:kern w:val="2"/>
          <w:sz w:val="28"/>
          <w:szCs w:val="28"/>
          <w:lang w:val="en-US"/>
        </w:rPr>
        <w:br w:type="textWrapping"/>
      </w:r>
      <w:r>
        <w:rPr>
          <w:rFonts w:hint="eastAsia" w:ascii="仿宋" w:hAnsi="仿宋" w:eastAsia="仿宋"/>
          <w:kern w:val="2"/>
          <w:sz w:val="28"/>
          <w:szCs w:val="28"/>
          <w:lang w:val="en-US"/>
        </w:rPr>
        <w:t>绿化景观主要是沿城市干道和次干道路两侧的绿带和防护绿地，作为项目区街景的重要组成部分，达到隔离噪声和防尘的作用，绿带设计应在考虑防护功能的同时，加强美化设计，并与其两侧建设相结合。阆中市周边大面积绿地为主，区内以主要道路交叉口花园、社区景观绿地为主，主要景观轴线沿主要道路和沿河岸绿化带，次要景观轴线沿次干道绿带。</w:t>
      </w:r>
      <w:r>
        <w:rPr>
          <w:rFonts w:ascii="仿宋" w:hAnsi="仿宋" w:eastAsia="仿宋"/>
          <w:kern w:val="2"/>
          <w:sz w:val="28"/>
          <w:szCs w:val="28"/>
          <w:lang w:val="en-US"/>
        </w:rPr>
        <w:br w:type="textWrapping"/>
      </w:r>
      <w:r>
        <w:rPr>
          <w:rFonts w:hint="eastAsia" w:ascii="仿宋" w:hAnsi="仿宋" w:eastAsia="仿宋"/>
          <w:kern w:val="2"/>
          <w:sz w:val="28"/>
          <w:szCs w:val="28"/>
          <w:lang w:val="en-US"/>
        </w:rPr>
        <w:t>④专业管线工程</w:t>
      </w:r>
      <w:r>
        <w:rPr>
          <w:rFonts w:ascii="仿宋" w:hAnsi="仿宋" w:eastAsia="仿宋"/>
          <w:kern w:val="2"/>
          <w:sz w:val="28"/>
          <w:szCs w:val="28"/>
          <w:lang w:val="en-US"/>
        </w:rPr>
        <w:br w:type="textWrapping"/>
      </w:r>
      <w:r>
        <w:rPr>
          <w:rFonts w:hint="eastAsia" w:ascii="仿宋" w:hAnsi="仿宋" w:eastAsia="仿宋"/>
          <w:kern w:val="2"/>
          <w:sz w:val="28"/>
          <w:szCs w:val="28"/>
          <w:lang w:val="en-US"/>
        </w:rPr>
        <w:t>自来水、电力、燃气、通讯等专业管线工程由各专业部门按照总体规划随道路工程同步实施。</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4</w:t>
      </w:r>
      <w:r>
        <w:rPr>
          <w:rFonts w:hint="eastAsia" w:ascii="仿宋" w:hAnsi="仿宋" w:eastAsia="仿宋"/>
          <w:kern w:val="2"/>
          <w:sz w:val="28"/>
          <w:szCs w:val="28"/>
          <w:lang w:val="en-US"/>
        </w:rPr>
        <w:t>）</w:t>
      </w:r>
      <w:r>
        <w:rPr>
          <w:rFonts w:hint="eastAsia" w:ascii="Times New Roman" w:hAnsi="Times New Roman" w:eastAsia="仿宋"/>
          <w:sz w:val="28"/>
          <w:szCs w:val="28"/>
        </w:rPr>
        <w:t>建设期限</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项目建设期：</w:t>
      </w:r>
      <w:r>
        <w:rPr>
          <w:rFonts w:ascii="Arial" w:hAnsi="Arial" w:eastAsia="仿宋" w:cs="Arial"/>
          <w:kern w:val="2"/>
          <w:sz w:val="28"/>
          <w:szCs w:val="28"/>
          <w:lang w:val="en-US"/>
        </w:rPr>
        <w:t>2020</w:t>
      </w:r>
      <w:r>
        <w:rPr>
          <w:rFonts w:hint="eastAsia" w:ascii="仿宋" w:hAnsi="仿宋" w:eastAsia="仿宋"/>
          <w:kern w:val="2"/>
          <w:sz w:val="28"/>
          <w:szCs w:val="28"/>
          <w:lang w:val="en-US"/>
        </w:rPr>
        <w:t>年</w:t>
      </w:r>
      <w:r>
        <w:rPr>
          <w:rFonts w:ascii="Arial" w:hAnsi="Arial" w:eastAsia="仿宋" w:cs="Arial"/>
          <w:kern w:val="2"/>
          <w:sz w:val="28"/>
          <w:szCs w:val="28"/>
          <w:lang w:val="en-US"/>
        </w:rPr>
        <w:t>5</w:t>
      </w:r>
      <w:r>
        <w:rPr>
          <w:rFonts w:hint="eastAsia" w:ascii="仿宋" w:hAnsi="仿宋" w:eastAsia="仿宋"/>
          <w:kern w:val="2"/>
          <w:sz w:val="28"/>
          <w:szCs w:val="28"/>
          <w:lang w:val="en-US"/>
        </w:rPr>
        <w:t>月</w:t>
      </w:r>
      <w:r>
        <w:rPr>
          <w:rFonts w:ascii="仿宋" w:hAnsi="仿宋" w:eastAsia="仿宋"/>
          <w:kern w:val="2"/>
          <w:sz w:val="28"/>
          <w:szCs w:val="28"/>
          <w:lang w:val="en-US"/>
        </w:rPr>
        <w:t>-</w:t>
      </w:r>
      <w:r>
        <w:rPr>
          <w:rFonts w:ascii="Arial" w:hAnsi="Arial" w:eastAsia="仿宋" w:cs="Arial"/>
          <w:kern w:val="2"/>
          <w:sz w:val="28"/>
          <w:szCs w:val="28"/>
          <w:lang w:val="en-US"/>
        </w:rPr>
        <w:t>2022</w:t>
      </w:r>
      <w:r>
        <w:rPr>
          <w:rFonts w:hint="eastAsia" w:ascii="仿宋" w:hAnsi="仿宋" w:eastAsia="仿宋"/>
          <w:kern w:val="2"/>
          <w:sz w:val="28"/>
          <w:szCs w:val="28"/>
          <w:lang w:val="en-US"/>
        </w:rPr>
        <w:t>年</w:t>
      </w:r>
      <w:r>
        <w:rPr>
          <w:rFonts w:ascii="Arial" w:hAnsi="Arial" w:eastAsia="仿宋" w:cs="Arial"/>
          <w:kern w:val="2"/>
          <w:sz w:val="28"/>
          <w:szCs w:val="28"/>
          <w:lang w:val="en-US"/>
        </w:rPr>
        <w:t>5</w:t>
      </w:r>
      <w:r>
        <w:rPr>
          <w:rFonts w:hint="eastAsia" w:ascii="仿宋" w:hAnsi="仿宋" w:eastAsia="仿宋"/>
          <w:kern w:val="2"/>
          <w:sz w:val="28"/>
          <w:szCs w:val="28"/>
          <w:lang w:val="en-US"/>
        </w:rPr>
        <w:t>月。</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5</w:t>
      </w:r>
      <w:r>
        <w:rPr>
          <w:rFonts w:hint="eastAsia" w:ascii="仿宋" w:hAnsi="仿宋" w:eastAsia="仿宋"/>
          <w:kern w:val="2"/>
          <w:sz w:val="28"/>
          <w:szCs w:val="28"/>
          <w:lang w:val="en-US"/>
        </w:rPr>
        <w:t>）项目建设管理方案</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本项目在建设过程中涉及以下五个方面的建设管理工作。</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①项目建设前期准备工作</w:t>
      </w:r>
      <w:r>
        <w:rPr>
          <w:rFonts w:ascii="仿宋" w:hAnsi="仿宋" w:eastAsia="仿宋"/>
          <w:kern w:val="2"/>
          <w:sz w:val="28"/>
          <w:szCs w:val="28"/>
          <w:lang w:val="en-US"/>
        </w:rPr>
        <w:t>(</w:t>
      </w:r>
      <w:r>
        <w:rPr>
          <w:rFonts w:hint="eastAsia" w:ascii="仿宋" w:hAnsi="仿宋" w:eastAsia="仿宋"/>
          <w:kern w:val="2"/>
          <w:sz w:val="28"/>
          <w:szCs w:val="28"/>
          <w:lang w:val="en-US"/>
        </w:rPr>
        <w:t>包括但不限于临建搭设、图纸会审、施工组织设计编制等</w:t>
      </w:r>
      <w:r>
        <w:rPr>
          <w:rFonts w:ascii="仿宋" w:hAnsi="仿宋" w:eastAsia="仿宋"/>
          <w:kern w:val="2"/>
          <w:sz w:val="28"/>
          <w:szCs w:val="28"/>
          <w:lang w:val="en-US"/>
        </w:rPr>
        <w:t>);</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②项目建设的施工方案与技术措施</w:t>
      </w:r>
      <w:r>
        <w:rPr>
          <w:rFonts w:ascii="仿宋" w:hAnsi="仿宋" w:eastAsia="仿宋"/>
          <w:kern w:val="2"/>
          <w:sz w:val="28"/>
          <w:szCs w:val="28"/>
          <w:lang w:val="en-US"/>
        </w:rPr>
        <w:t>(</w:t>
      </w:r>
      <w:r>
        <w:rPr>
          <w:rFonts w:hint="eastAsia" w:ascii="仿宋" w:hAnsi="仿宋" w:eastAsia="仿宋"/>
          <w:kern w:val="2"/>
          <w:sz w:val="28"/>
          <w:szCs w:val="28"/>
          <w:lang w:val="en-US"/>
        </w:rPr>
        <w:t>包括但不限于各项主要内容的措施、流水段的划分、各项交叉作业、施工期间的保通措施、扬尘治理措施等</w:t>
      </w:r>
      <w:r>
        <w:rPr>
          <w:rFonts w:ascii="仿宋" w:hAnsi="仿宋" w:eastAsia="仿宋"/>
          <w:kern w:val="2"/>
          <w:sz w:val="28"/>
          <w:szCs w:val="28"/>
          <w:lang w:val="en-US"/>
        </w:rPr>
        <w:t>);</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③项目建设实施阶段的工程进度控制、工程质量控制、工程投资控制措施</w:t>
      </w:r>
      <w:r>
        <w:rPr>
          <w:rFonts w:ascii="仿宋" w:hAnsi="仿宋" w:eastAsia="仿宋"/>
          <w:kern w:val="2"/>
          <w:sz w:val="28"/>
          <w:szCs w:val="28"/>
          <w:lang w:val="en-US"/>
        </w:rPr>
        <w:t>;</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④项目建设过程中的安全管理体系与措施、文明及环境保护管理体系与措施</w:t>
      </w:r>
      <w:r>
        <w:rPr>
          <w:rFonts w:ascii="仿宋" w:hAnsi="仿宋" w:eastAsia="仿宋"/>
          <w:kern w:val="2"/>
          <w:sz w:val="28"/>
          <w:szCs w:val="28"/>
          <w:lang w:val="en-US"/>
        </w:rPr>
        <w:t>;</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⑤项目建设过程中的合同管理、信息管理。</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6</w:t>
      </w:r>
      <w:r>
        <w:rPr>
          <w:rFonts w:hint="eastAsia" w:ascii="仿宋" w:hAnsi="仿宋" w:eastAsia="仿宋"/>
          <w:kern w:val="2"/>
          <w:sz w:val="28"/>
          <w:szCs w:val="28"/>
          <w:lang w:val="en-US"/>
        </w:rPr>
        <w:t>）运营维护方案</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①针对运营维护范围，制定运营质量目标，制定项目土地的维护等保障措施</w:t>
      </w:r>
      <w:r>
        <w:rPr>
          <w:rFonts w:ascii="仿宋" w:hAnsi="仿宋" w:eastAsia="仿宋"/>
          <w:kern w:val="2"/>
          <w:sz w:val="28"/>
          <w:szCs w:val="28"/>
          <w:lang w:val="en-US"/>
        </w:rPr>
        <w:t>;</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②项目公司运营管理组织机构、岗位要求及职责、拟配备的各专业负责人的编配方案</w:t>
      </w:r>
      <w:r>
        <w:rPr>
          <w:rFonts w:ascii="仿宋" w:hAnsi="仿宋" w:eastAsia="仿宋"/>
          <w:kern w:val="2"/>
          <w:sz w:val="28"/>
          <w:szCs w:val="28"/>
          <w:lang w:val="en-US"/>
        </w:rPr>
        <w:t>,</w:t>
      </w:r>
      <w:r>
        <w:rPr>
          <w:rFonts w:hint="eastAsia" w:ascii="仿宋" w:hAnsi="仿宋" w:eastAsia="仿宋"/>
          <w:kern w:val="2"/>
          <w:sz w:val="28"/>
          <w:szCs w:val="28"/>
          <w:lang w:val="en-US"/>
        </w:rPr>
        <w:t>经营期内人力资源管理、激励机制设计方案</w:t>
      </w:r>
      <w:r>
        <w:rPr>
          <w:rFonts w:ascii="仿宋" w:hAnsi="仿宋" w:eastAsia="仿宋"/>
          <w:kern w:val="2"/>
          <w:sz w:val="28"/>
          <w:szCs w:val="28"/>
          <w:lang w:val="en-US"/>
        </w:rPr>
        <w:t>;</w:t>
      </w:r>
    </w:p>
    <w:p>
      <w:pPr>
        <w:pStyle w:val="2"/>
        <w:spacing w:beforeLines="50" w:after="156" w:line="576" w:lineRule="exact"/>
        <w:rPr>
          <w:rFonts w:ascii="Times New Roman" w:hAnsi="Times New Roman"/>
        </w:rPr>
      </w:pPr>
      <w:bookmarkStart w:id="13" w:name="_Toc32848139"/>
      <w:bookmarkStart w:id="14" w:name="_Toc7693"/>
      <w:bookmarkStart w:id="15" w:name="_Toc498385053"/>
      <w:bookmarkStart w:id="16" w:name="_Toc498385721"/>
      <w:r>
        <w:rPr>
          <w:rFonts w:hint="eastAsia" w:ascii="Times New Roman" w:hAnsi="Times New Roman"/>
        </w:rPr>
        <w:t>经济社会效益分析</w:t>
      </w:r>
      <w:bookmarkEnd w:id="13"/>
      <w:bookmarkEnd w:id="14"/>
      <w:bookmarkEnd w:id="15"/>
      <w:bookmarkEnd w:id="16"/>
    </w:p>
    <w:p>
      <w:pPr>
        <w:pStyle w:val="3"/>
        <w:spacing w:beforeLines="50" w:after="156" w:line="576" w:lineRule="exact"/>
        <w:rPr>
          <w:rFonts w:ascii="仿宋" w:hAnsi="仿宋" w:eastAsia="仿宋"/>
          <w:sz w:val="30"/>
          <w:szCs w:val="30"/>
        </w:rPr>
      </w:pPr>
      <w:bookmarkStart w:id="17" w:name="_Toc31474"/>
      <w:bookmarkStart w:id="18" w:name="_Toc395013281"/>
      <w:bookmarkStart w:id="19" w:name="_Toc32848140"/>
      <w:bookmarkStart w:id="20" w:name="_Toc516711858"/>
      <w:bookmarkStart w:id="21" w:name="_Toc498385723"/>
      <w:bookmarkStart w:id="22" w:name="_Toc498385055"/>
      <w:r>
        <w:rPr>
          <w:rFonts w:hint="eastAsia" w:ascii="仿宋" w:hAnsi="仿宋" w:eastAsia="仿宋"/>
          <w:sz w:val="30"/>
          <w:szCs w:val="30"/>
        </w:rPr>
        <w:t>经济效益分析</w:t>
      </w:r>
      <w:bookmarkEnd w:id="17"/>
      <w:bookmarkEnd w:id="18"/>
      <w:bookmarkEnd w:id="19"/>
      <w:bookmarkEnd w:id="20"/>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本项目总投资</w:t>
      </w:r>
      <w:r>
        <w:rPr>
          <w:rFonts w:ascii="Arial" w:hAnsi="Arial" w:eastAsia="仿宋" w:cs="Arial"/>
          <w:kern w:val="2"/>
          <w:sz w:val="28"/>
          <w:szCs w:val="28"/>
          <w:lang w:val="en-US"/>
        </w:rPr>
        <w:t>23</w:t>
      </w:r>
      <w:r>
        <w:rPr>
          <w:rFonts w:ascii="仿宋" w:hAnsi="仿宋" w:eastAsia="仿宋"/>
          <w:kern w:val="2"/>
          <w:sz w:val="28"/>
          <w:szCs w:val="28"/>
          <w:lang w:val="en-US"/>
        </w:rPr>
        <w:t>,</w:t>
      </w:r>
      <w:r>
        <w:rPr>
          <w:rFonts w:ascii="Arial" w:hAnsi="Arial" w:eastAsia="仿宋" w:cs="Arial"/>
          <w:kern w:val="2"/>
          <w:sz w:val="28"/>
          <w:szCs w:val="28"/>
          <w:lang w:val="en-US"/>
        </w:rPr>
        <w:t>072</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万元，不仅直接拉动了建筑业、建材业发展，也带动了运输业、金融业、家电业、服务业多个相关产业发展。棚户区改造可以带动土地增值，使百姓获得了财产性增值。同时可以促进社会就业，为从事建筑施工、物业管理、社区服务等方面的人员提供了就业机会，扩大了就业范围，具有良好的经济效益，产业效益比较可观。</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棚户区改造作为重要的民生和城市发展工程之一，将对人民生活水平的提高，对新型城镇化进程以及资源节约型、环境友好型社会的建设，做出极大贡献。</w:t>
      </w:r>
    </w:p>
    <w:p>
      <w:pPr>
        <w:pStyle w:val="3"/>
        <w:spacing w:beforeLines="50" w:after="156" w:line="576" w:lineRule="exact"/>
        <w:rPr>
          <w:rFonts w:ascii="仿宋" w:hAnsi="仿宋" w:eastAsia="仿宋"/>
          <w:sz w:val="30"/>
          <w:szCs w:val="30"/>
        </w:rPr>
      </w:pPr>
      <w:bookmarkStart w:id="23" w:name="_Toc516711859"/>
      <w:bookmarkStart w:id="24" w:name="_Toc418"/>
      <w:bookmarkStart w:id="25" w:name="_Toc1116260890"/>
      <w:bookmarkStart w:id="26" w:name="_Toc32848141"/>
      <w:r>
        <w:rPr>
          <w:rFonts w:hint="eastAsia" w:ascii="仿宋" w:hAnsi="仿宋" w:eastAsia="仿宋"/>
          <w:sz w:val="30"/>
          <w:szCs w:val="30"/>
        </w:rPr>
        <w:t>社会效益分析</w:t>
      </w:r>
      <w:bookmarkEnd w:id="23"/>
      <w:bookmarkEnd w:id="24"/>
      <w:bookmarkEnd w:id="25"/>
      <w:bookmarkEnd w:id="26"/>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促进城乡统筹，改善居住环境</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《四川省保障性安居工程协调小组办公室关于做好</w:t>
      </w:r>
      <w:r>
        <w:rPr>
          <w:rFonts w:ascii="仿宋" w:hAnsi="仿宋" w:eastAsia="仿宋"/>
          <w:kern w:val="2"/>
          <w:sz w:val="28"/>
          <w:szCs w:val="28"/>
          <w:lang w:val="en-US"/>
        </w:rPr>
        <w:t>2020</w:t>
      </w:r>
      <w:r>
        <w:rPr>
          <w:rFonts w:hint="eastAsia" w:ascii="仿宋" w:hAnsi="仿宋" w:eastAsia="仿宋"/>
          <w:kern w:val="2"/>
          <w:sz w:val="28"/>
          <w:szCs w:val="28"/>
          <w:lang w:val="en-US"/>
        </w:rPr>
        <w:t>年城镇保障性安居工程项目的函》（川保协调办〔</w:t>
      </w:r>
      <w:r>
        <w:rPr>
          <w:rFonts w:ascii="仿宋" w:hAnsi="仿宋" w:eastAsia="仿宋"/>
          <w:kern w:val="2"/>
          <w:sz w:val="28"/>
          <w:szCs w:val="28"/>
          <w:lang w:val="en-US"/>
        </w:rPr>
        <w:t>2020</w:t>
      </w:r>
      <w:r>
        <w:rPr>
          <w:rFonts w:hint="eastAsia" w:ascii="仿宋" w:hAnsi="仿宋" w:eastAsia="仿宋"/>
          <w:kern w:val="2"/>
          <w:sz w:val="28"/>
          <w:szCs w:val="28"/>
          <w:lang w:val="en-US"/>
        </w:rPr>
        <w:t>〕</w:t>
      </w:r>
      <w:r>
        <w:rPr>
          <w:rFonts w:ascii="仿宋" w:hAnsi="仿宋" w:eastAsia="仿宋"/>
          <w:kern w:val="2"/>
          <w:sz w:val="28"/>
          <w:szCs w:val="28"/>
          <w:lang w:val="en-US"/>
        </w:rPr>
        <w:t>1</w:t>
      </w:r>
      <w:r>
        <w:rPr>
          <w:rFonts w:hint="eastAsia" w:ascii="仿宋" w:hAnsi="仿宋" w:eastAsia="仿宋"/>
          <w:kern w:val="2"/>
          <w:sz w:val="28"/>
          <w:szCs w:val="28"/>
          <w:lang w:val="en-US"/>
        </w:rPr>
        <w:t>号）中指出：省委省政府高度重视城镇保障性安居工程建设，已将城镇棚户区住房改造列入</w:t>
      </w:r>
      <w:r>
        <w:rPr>
          <w:rFonts w:ascii="仿宋" w:hAnsi="仿宋" w:eastAsia="仿宋"/>
          <w:kern w:val="2"/>
          <w:sz w:val="28"/>
          <w:szCs w:val="28"/>
          <w:lang w:val="en-US"/>
        </w:rPr>
        <w:t>2020</w:t>
      </w:r>
      <w:r>
        <w:rPr>
          <w:rFonts w:hint="eastAsia" w:ascii="仿宋" w:hAnsi="仿宋" w:eastAsia="仿宋"/>
          <w:kern w:val="2"/>
          <w:sz w:val="28"/>
          <w:szCs w:val="28"/>
          <w:lang w:val="en-US"/>
        </w:rPr>
        <w:t>年全省</w:t>
      </w:r>
      <w:r>
        <w:rPr>
          <w:rFonts w:ascii="仿宋" w:hAnsi="仿宋" w:eastAsia="仿宋"/>
          <w:kern w:val="2"/>
          <w:sz w:val="28"/>
          <w:szCs w:val="28"/>
          <w:lang w:val="en-US"/>
        </w:rPr>
        <w:t>30</w:t>
      </w:r>
      <w:r>
        <w:rPr>
          <w:rFonts w:hint="eastAsia" w:ascii="仿宋" w:hAnsi="仿宋" w:eastAsia="仿宋"/>
          <w:kern w:val="2"/>
          <w:sz w:val="28"/>
          <w:szCs w:val="28"/>
          <w:lang w:val="en-US"/>
        </w:rPr>
        <w:t>件民生实事，并纳入全省重点项目管理。</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项目实施后，将有力支持实施雅安城市总体规划，改善雅安市芦山县（城中村）棚户区群众的居住条件</w:t>
      </w:r>
      <w:r>
        <w:rPr>
          <w:rFonts w:ascii="仿宋" w:hAnsi="仿宋" w:eastAsia="仿宋"/>
          <w:kern w:val="2"/>
          <w:sz w:val="28"/>
          <w:szCs w:val="28"/>
          <w:lang w:val="en-US"/>
        </w:rPr>
        <w:t>,</w:t>
      </w:r>
      <w:r>
        <w:rPr>
          <w:rFonts w:hint="eastAsia" w:ascii="仿宋" w:hAnsi="仿宋" w:eastAsia="仿宋"/>
          <w:kern w:val="2"/>
          <w:sz w:val="28"/>
          <w:szCs w:val="28"/>
          <w:lang w:val="en-US"/>
        </w:rPr>
        <w:t>为顺利推动城乡统筹发展与和谐发展，缩短城乡发展差距，实现城乡一体化创造了条件和打下了坚实的基础，有利于提高城乡低收入人群的生活幸福指数。对居住密度过高、基础设施薄弱的棚户区改造，将改善这部分群众的居住条件。</w:t>
      </w:r>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改善城市投资环境</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通过棚户区改造，可节省建设用地指标用于城乡建设，能满足雅安市城市发展的部分用地需求。根据发展目标，“十三五”末雅安市的城镇化水平达到</w:t>
      </w:r>
      <w:r>
        <w:rPr>
          <w:rFonts w:ascii="Arial" w:hAnsi="Arial" w:eastAsia="仿宋" w:cs="Arial"/>
          <w:kern w:val="2"/>
          <w:sz w:val="28"/>
          <w:szCs w:val="28"/>
          <w:lang w:val="en-US"/>
        </w:rPr>
        <w:t>48</w:t>
      </w:r>
      <w:r>
        <w:rPr>
          <w:rFonts w:ascii="仿宋" w:hAnsi="仿宋" w:eastAsia="仿宋"/>
          <w:kern w:val="2"/>
          <w:sz w:val="28"/>
          <w:szCs w:val="28"/>
          <w:lang w:val="en-US"/>
        </w:rPr>
        <w:t>.</w:t>
      </w:r>
      <w:r>
        <w:rPr>
          <w:rFonts w:ascii="Arial" w:hAnsi="Arial" w:eastAsia="仿宋" w:cs="Arial"/>
          <w:kern w:val="2"/>
          <w:sz w:val="28"/>
          <w:szCs w:val="28"/>
          <w:lang w:val="en-US"/>
        </w:rPr>
        <w:t>55</w:t>
      </w:r>
      <w:r>
        <w:rPr>
          <w:rFonts w:ascii="仿宋" w:hAnsi="仿宋" w:eastAsia="仿宋"/>
          <w:kern w:val="2"/>
          <w:sz w:val="28"/>
          <w:szCs w:val="28"/>
          <w:lang w:val="en-US"/>
        </w:rPr>
        <w:t>%</w:t>
      </w:r>
      <w:r>
        <w:rPr>
          <w:rFonts w:hint="eastAsia" w:ascii="仿宋" w:hAnsi="仿宋" w:eastAsia="仿宋"/>
          <w:kern w:val="2"/>
          <w:sz w:val="28"/>
          <w:szCs w:val="28"/>
          <w:lang w:val="en-US"/>
        </w:rPr>
        <w:t>，将吸收大量的人员到城镇工作和居住。项目实施可以为公共绿地、城市道路、配套管网等城市基础设施和公共服务设施提供空间，因此项目的建设对实现上述目标意义重大。</w:t>
      </w:r>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3</w:t>
      </w:r>
      <w:r>
        <w:rPr>
          <w:rFonts w:ascii="仿宋" w:hAnsi="仿宋" w:eastAsia="仿宋"/>
          <w:kern w:val="2"/>
          <w:sz w:val="28"/>
          <w:szCs w:val="28"/>
          <w:lang w:val="en-US"/>
        </w:rPr>
        <w:t xml:space="preserve">. </w:t>
      </w:r>
      <w:r>
        <w:rPr>
          <w:rFonts w:hint="eastAsia" w:ascii="仿宋" w:hAnsi="仿宋" w:eastAsia="仿宋"/>
          <w:kern w:val="2"/>
          <w:sz w:val="28"/>
          <w:szCs w:val="28"/>
          <w:lang w:val="en-US"/>
        </w:rPr>
        <w:t>可以整治人居环境，提高卫生健康条件</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在近期爆发的新型冠状病毒肺炎疫情，对人居环境整治提出了挑战和反思。做好疫情防控，环境整治很重要。和城市其他区域相比，棚户区发展相对滞后，卫生医疗条件相对差，在疫情防控方面硬件条件和软件条件都不足，这对棚户区的人居环境整治，改善环境卫生提出了更高的要求。通过棚户区改造，对人居环境的整治，不仅仅可以极大的改善环境，也为卫生健康做出了极大的贡献。</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可持续发展的核心是发展，但要求在严格控制人口、提高人口素质和</w:t>
      </w:r>
      <w:r>
        <w:fldChar w:fldCharType="begin"/>
      </w:r>
      <w:r>
        <w:instrText xml:space="preserve"> HYPERLINK "http://baike.baidu.com/view/583373.htm" \t "_blank" </w:instrText>
      </w:r>
      <w:r>
        <w:fldChar w:fldCharType="separate"/>
      </w:r>
      <w:r>
        <w:rPr>
          <w:rFonts w:hint="eastAsia" w:ascii="仿宋" w:hAnsi="仿宋" w:eastAsia="仿宋"/>
          <w:kern w:val="2"/>
          <w:sz w:val="28"/>
          <w:szCs w:val="28"/>
          <w:lang w:val="en-US"/>
        </w:rPr>
        <w:t>保护环境</w:t>
      </w:r>
      <w:r>
        <w:rPr>
          <w:rFonts w:hint="eastAsia" w:ascii="仿宋" w:hAnsi="仿宋" w:eastAsia="仿宋"/>
          <w:kern w:val="2"/>
          <w:sz w:val="28"/>
          <w:szCs w:val="28"/>
          <w:lang w:val="en-US"/>
        </w:rPr>
        <w:fldChar w:fldCharType="end"/>
      </w:r>
      <w:r>
        <w:rPr>
          <w:rFonts w:hint="eastAsia" w:ascii="仿宋" w:hAnsi="仿宋" w:eastAsia="仿宋"/>
          <w:kern w:val="2"/>
          <w:sz w:val="28"/>
          <w:szCs w:val="28"/>
          <w:lang w:val="en-US"/>
        </w:rPr>
        <w:t>、资源永续利用的前提下进行经济和社会的发展。发展是可持续发展的前提；人是可持续发展的中心体；通过对人口密度过高的棚户区居民逐步外迁疏散，是生态与环境的可持续发展一大助力。棚户区居住状况的改善带来的社会稳定，极大程度上支持了社会可持续发展。</w:t>
      </w:r>
    </w:p>
    <w:p>
      <w:pPr>
        <w:keepNext/>
        <w:keepLines/>
        <w:spacing w:beforeLines="50" w:afterLines="50" w:line="576" w:lineRule="exact"/>
        <w:ind w:firstLine="566" w:firstLineChars="188"/>
        <w:outlineLvl w:val="1"/>
        <w:rPr>
          <w:rFonts w:eastAsia="仿宋"/>
          <w:b/>
          <w:bCs/>
          <w:sz w:val="30"/>
          <w:szCs w:val="30"/>
        </w:rPr>
      </w:pPr>
      <w:bookmarkStart w:id="27" w:name="_Toc37676136"/>
      <w:r>
        <w:rPr>
          <w:rFonts w:hint="eastAsia" w:eastAsia="仿宋"/>
          <w:b/>
          <w:bCs/>
          <w:sz w:val="30"/>
          <w:szCs w:val="30"/>
        </w:rPr>
        <w:t>（三）</w:t>
      </w:r>
      <w:r>
        <w:rPr>
          <w:rFonts w:hint="eastAsia" w:ascii="仿宋" w:hAnsi="仿宋" w:eastAsia="仿宋"/>
          <w:b/>
          <w:kern w:val="0"/>
          <w:sz w:val="30"/>
          <w:szCs w:val="30"/>
          <w:lang w:val="en-GB"/>
        </w:rPr>
        <w:t>项目公益性论证</w:t>
      </w:r>
      <w:bookmarkEnd w:id="27"/>
    </w:p>
    <w:p>
      <w:pPr>
        <w:pStyle w:val="5"/>
        <w:spacing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《财政部发展改革委人民银行银监会关于贯彻国务院关于加强地方政府融资平台公司管理有关问题的通知相关事项的通知》（财预</w:t>
      </w:r>
      <w:r>
        <w:rPr>
          <w:rFonts w:ascii="仿宋" w:hAnsi="仿宋" w:eastAsia="仿宋"/>
          <w:kern w:val="2"/>
          <w:sz w:val="28"/>
          <w:szCs w:val="28"/>
          <w:lang w:val="en-US"/>
        </w:rPr>
        <w:t>[</w:t>
      </w:r>
      <w:r>
        <w:rPr>
          <w:rFonts w:ascii="Arial" w:hAnsi="Arial" w:eastAsia="仿宋" w:cs="Arial"/>
          <w:kern w:val="2"/>
          <w:sz w:val="28"/>
          <w:szCs w:val="28"/>
          <w:lang w:val="en-US"/>
        </w:rPr>
        <w:t>2010</w:t>
      </w:r>
      <w:r>
        <w:rPr>
          <w:rFonts w:ascii="仿宋" w:hAnsi="仿宋" w:eastAsia="仿宋"/>
          <w:kern w:val="2"/>
          <w:sz w:val="28"/>
          <w:szCs w:val="28"/>
          <w:lang w:val="en-US"/>
        </w:rPr>
        <w:t>]</w:t>
      </w:r>
      <w:r>
        <w:rPr>
          <w:rFonts w:ascii="Arial" w:hAnsi="Arial" w:eastAsia="仿宋" w:cs="Arial"/>
          <w:kern w:val="2"/>
          <w:sz w:val="28"/>
          <w:szCs w:val="28"/>
          <w:lang w:val="en-US"/>
        </w:rPr>
        <w:t>412</w:t>
      </w:r>
      <w:r>
        <w:rPr>
          <w:rFonts w:hint="eastAsia" w:ascii="仿宋" w:hAnsi="仿宋" w:eastAsia="仿宋"/>
          <w:kern w:val="2"/>
          <w:sz w:val="28"/>
          <w:szCs w:val="28"/>
          <w:lang w:val="en-US"/>
        </w:rPr>
        <w:t>号）规定，“公益性项目”是指为社会公共利益服务、不以盈利为目的，且不能或不宜通过市场化方式运作的政府投资项目，如市政道路、公共交通等基础设施项目，以及公共卫生、基础科研、义务教育、保障性安居工程等基本建设项目。</w:t>
      </w:r>
    </w:p>
    <w:p>
      <w:pPr>
        <w:pStyle w:val="5"/>
        <w:spacing w:before="0" w:after="0" w:line="576" w:lineRule="exact"/>
        <w:ind w:firstLine="560" w:firstLineChars="200"/>
        <w:rPr>
          <w:rFonts w:ascii="仿宋" w:hAnsi="仿宋" w:eastAsia="仿宋"/>
          <w:color w:val="000000" w:themeColor="text1"/>
          <w:kern w:val="2"/>
          <w:sz w:val="28"/>
          <w:szCs w:val="28"/>
          <w:lang w:val="en-US"/>
          <w14:textFill>
            <w14:solidFill>
              <w14:schemeClr w14:val="tx1"/>
            </w14:solidFill>
          </w14:textFill>
        </w:rPr>
      </w:pPr>
      <w:r>
        <w:rPr>
          <w:rFonts w:hint="eastAsia" w:ascii="仿宋" w:hAnsi="仿宋" w:eastAsia="仿宋"/>
          <w:color w:val="000000" w:themeColor="text1"/>
          <w:kern w:val="2"/>
          <w:sz w:val="28"/>
          <w:szCs w:val="28"/>
          <w:lang w:val="en-US"/>
          <w14:textFill>
            <w14:solidFill>
              <w14:schemeClr w14:val="tx1"/>
            </w14:solidFill>
          </w14:textFill>
        </w:rPr>
        <w:t>本项目为芦山县（城中村）棚户区改造项目，项目属于棚户区改造领域、为社会公共利益服务、不以盈利为目的且不宜通过市场化方式运作；故本项目符合上述文件对“公益性项目”的定义。</w:t>
      </w:r>
      <w:bookmarkEnd w:id="21"/>
      <w:bookmarkEnd w:id="22"/>
      <w:bookmarkStart w:id="28" w:name="_Toc498385762"/>
      <w:bookmarkStart w:id="29" w:name="_Toc498385094"/>
    </w:p>
    <w:p>
      <w:pPr>
        <w:pStyle w:val="2"/>
        <w:spacing w:beforeLines="50" w:after="156" w:line="576" w:lineRule="exact"/>
        <w:rPr>
          <w:rFonts w:ascii="Times New Roman" w:hAnsi="Times New Roman"/>
        </w:rPr>
      </w:pPr>
      <w:bookmarkStart w:id="30" w:name="_Toc13481"/>
      <w:bookmarkStart w:id="31" w:name="_Toc32848142"/>
      <w:r>
        <w:rPr>
          <w:rFonts w:hint="eastAsia" w:ascii="Times New Roman" w:hAnsi="Times New Roman"/>
        </w:rPr>
        <w:t>项目投资估算及资金筹措方案</w:t>
      </w:r>
      <w:bookmarkEnd w:id="30"/>
      <w:bookmarkEnd w:id="31"/>
    </w:p>
    <w:p>
      <w:pPr>
        <w:pStyle w:val="3"/>
        <w:spacing w:beforeLines="50" w:after="156" w:line="576" w:lineRule="exact"/>
        <w:rPr>
          <w:rFonts w:ascii="仿宋" w:hAnsi="仿宋" w:eastAsia="仿宋"/>
          <w:sz w:val="30"/>
          <w:szCs w:val="30"/>
        </w:rPr>
      </w:pPr>
      <w:bookmarkStart w:id="32" w:name="_Toc497498364"/>
      <w:bookmarkStart w:id="33" w:name="_Toc498385056"/>
      <w:bookmarkStart w:id="34" w:name="_Toc32848143"/>
      <w:bookmarkStart w:id="35" w:name="_Toc10435"/>
      <w:bookmarkStart w:id="36" w:name="_Toc498385724"/>
      <w:r>
        <w:rPr>
          <w:rFonts w:hint="eastAsia" w:ascii="仿宋" w:hAnsi="仿宋" w:eastAsia="仿宋"/>
          <w:sz w:val="30"/>
          <w:szCs w:val="30"/>
        </w:rPr>
        <w:t>投资估算</w:t>
      </w:r>
      <w:bookmarkEnd w:id="32"/>
      <w:bookmarkEnd w:id="33"/>
      <w:bookmarkEnd w:id="34"/>
      <w:bookmarkEnd w:id="35"/>
      <w:bookmarkEnd w:id="36"/>
    </w:p>
    <w:p>
      <w:pPr>
        <w:pStyle w:val="5"/>
        <w:spacing w:beforeLines="50" w:afterLines="50" w:line="576" w:lineRule="exact"/>
        <w:ind w:firstLine="560" w:firstLineChars="200"/>
        <w:outlineLvl w:val="2"/>
        <w:rPr>
          <w:rFonts w:ascii="仿宋" w:hAnsi="仿宋" w:eastAsia="仿宋"/>
          <w:kern w:val="2"/>
          <w:sz w:val="28"/>
          <w:szCs w:val="28"/>
          <w:lang w:val="en-US"/>
        </w:rPr>
      </w:pPr>
      <w:bookmarkStart w:id="37" w:name="_Toc498385725"/>
      <w:bookmarkStart w:id="38" w:name="_Toc498385057"/>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编制依据及原则</w:t>
      </w:r>
      <w:bookmarkEnd w:id="37"/>
      <w:bookmarkEnd w:id="38"/>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w:t>
      </w:r>
      <w:r>
        <w:rPr>
          <w:rFonts w:hint="eastAsia" w:ascii="仿宋" w:hAnsi="仿宋" w:eastAsia="仿宋"/>
          <w:sz w:val="28"/>
          <w:szCs w:val="28"/>
        </w:rPr>
        <w:t>）《中华人民共和国国民经济和社会发展第十三个五年规划纲要》；</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2</w:t>
      </w:r>
      <w:r>
        <w:rPr>
          <w:rFonts w:hint="eastAsia" w:ascii="仿宋" w:hAnsi="仿宋" w:eastAsia="仿宋"/>
          <w:sz w:val="28"/>
          <w:szCs w:val="28"/>
        </w:rPr>
        <w:t>）《中华人民共和国城乡规划法》；</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3</w:t>
      </w:r>
      <w:r>
        <w:rPr>
          <w:rFonts w:hint="eastAsia" w:ascii="仿宋" w:hAnsi="仿宋" w:eastAsia="仿宋"/>
          <w:sz w:val="28"/>
          <w:szCs w:val="28"/>
        </w:rPr>
        <w:t>）《中华人民共和国环境保护法》；</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4</w:t>
      </w:r>
      <w:r>
        <w:rPr>
          <w:rFonts w:hint="eastAsia" w:ascii="仿宋" w:hAnsi="仿宋" w:eastAsia="仿宋"/>
          <w:sz w:val="28"/>
          <w:szCs w:val="28"/>
        </w:rPr>
        <w:t>）《中华人民共和国土地管理法》；</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5</w:t>
      </w:r>
      <w:r>
        <w:rPr>
          <w:rFonts w:hint="eastAsia" w:ascii="仿宋" w:hAnsi="仿宋" w:eastAsia="仿宋"/>
          <w:sz w:val="28"/>
          <w:szCs w:val="28"/>
        </w:rPr>
        <w:t>）《关于做好城市和国有工矿棚户区改造规划编制工作的通知》（建保〔</w:t>
      </w:r>
      <w:r>
        <w:rPr>
          <w:rFonts w:ascii="Arial" w:hAnsi="Arial" w:eastAsia="仿宋" w:cs="Arial"/>
          <w:sz w:val="28"/>
          <w:szCs w:val="28"/>
        </w:rPr>
        <w:t>2010</w:t>
      </w:r>
      <w:r>
        <w:rPr>
          <w:rFonts w:hint="eastAsia" w:ascii="仿宋" w:hAnsi="仿宋" w:eastAsia="仿宋"/>
          <w:sz w:val="28"/>
          <w:szCs w:val="28"/>
        </w:rPr>
        <w:t>〕</w:t>
      </w:r>
      <w:r>
        <w:rPr>
          <w:rFonts w:ascii="Arial" w:hAnsi="Arial" w:eastAsia="仿宋" w:cs="Arial"/>
          <w:sz w:val="28"/>
          <w:szCs w:val="28"/>
        </w:rPr>
        <w:t>58</w:t>
      </w:r>
      <w:r>
        <w:rPr>
          <w:rFonts w:hint="eastAsia" w:ascii="仿宋" w:hAnsi="仿宋" w:eastAsia="仿宋"/>
          <w:sz w:val="28"/>
          <w:szCs w:val="28"/>
        </w:rPr>
        <w:t>号）；</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6</w:t>
      </w:r>
      <w:r>
        <w:rPr>
          <w:rFonts w:hint="eastAsia" w:ascii="仿宋" w:hAnsi="仿宋" w:eastAsia="仿宋"/>
          <w:sz w:val="28"/>
          <w:szCs w:val="28"/>
        </w:rPr>
        <w:t>）《关于推进城市和国有工矿棚户区改造工作的指导意见》（建保〔</w:t>
      </w:r>
      <w:r>
        <w:rPr>
          <w:rFonts w:ascii="Arial" w:hAnsi="Arial" w:eastAsia="仿宋" w:cs="Arial"/>
          <w:sz w:val="28"/>
          <w:szCs w:val="28"/>
        </w:rPr>
        <w:t>2009</w:t>
      </w:r>
      <w:r>
        <w:rPr>
          <w:rFonts w:hint="eastAsia" w:ascii="仿宋" w:hAnsi="仿宋" w:eastAsia="仿宋"/>
          <w:sz w:val="28"/>
          <w:szCs w:val="28"/>
        </w:rPr>
        <w:t>〕</w:t>
      </w:r>
      <w:r>
        <w:rPr>
          <w:rFonts w:ascii="Arial" w:hAnsi="Arial" w:eastAsia="仿宋" w:cs="Arial"/>
          <w:sz w:val="28"/>
          <w:szCs w:val="28"/>
        </w:rPr>
        <w:t>295</w:t>
      </w:r>
      <w:r>
        <w:rPr>
          <w:rFonts w:hint="eastAsia" w:ascii="仿宋" w:hAnsi="仿宋" w:eastAsia="仿宋"/>
          <w:sz w:val="28"/>
          <w:szCs w:val="28"/>
        </w:rPr>
        <w:t>号）；</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7</w:t>
      </w:r>
      <w:r>
        <w:rPr>
          <w:rFonts w:hint="eastAsia" w:ascii="仿宋" w:hAnsi="仿宋" w:eastAsia="仿宋"/>
          <w:sz w:val="28"/>
          <w:szCs w:val="28"/>
        </w:rPr>
        <w:t>）《四川省国民经济和社会发展第十三个五年规划纲要</w:t>
      </w:r>
      <w:r>
        <w:rPr>
          <w:rFonts w:ascii="仿宋" w:hAnsi="仿宋" w:eastAsia="仿宋"/>
          <w:sz w:val="28"/>
          <w:szCs w:val="28"/>
        </w:rPr>
        <w:t>(</w:t>
      </w:r>
      <w:r>
        <w:rPr>
          <w:rFonts w:ascii="Arial" w:hAnsi="Arial" w:eastAsia="仿宋" w:cs="Arial"/>
          <w:sz w:val="28"/>
          <w:szCs w:val="28"/>
        </w:rPr>
        <w:t>2016</w:t>
      </w:r>
      <w:r>
        <w:rPr>
          <w:rFonts w:ascii="仿宋" w:hAnsi="仿宋" w:eastAsia="仿宋"/>
          <w:sz w:val="28"/>
          <w:szCs w:val="28"/>
        </w:rPr>
        <w:t>-</w:t>
      </w:r>
      <w:r>
        <w:rPr>
          <w:rFonts w:ascii="Arial" w:hAnsi="Arial" w:eastAsia="仿宋" w:cs="Arial"/>
          <w:sz w:val="28"/>
          <w:szCs w:val="28"/>
        </w:rPr>
        <w:t>2020</w:t>
      </w:r>
      <w:r>
        <w:rPr>
          <w:rFonts w:hint="eastAsia" w:ascii="仿宋" w:hAnsi="仿宋" w:eastAsia="仿宋"/>
          <w:sz w:val="28"/>
          <w:szCs w:val="28"/>
        </w:rPr>
        <w:t>年</w:t>
      </w:r>
      <w:r>
        <w:rPr>
          <w:rFonts w:ascii="仿宋" w:hAnsi="仿宋" w:eastAsia="仿宋"/>
          <w:sz w:val="28"/>
          <w:szCs w:val="28"/>
        </w:rPr>
        <w:t>)</w:t>
      </w:r>
      <w:r>
        <w:rPr>
          <w:rFonts w:hint="eastAsia" w:ascii="仿宋" w:hAnsi="仿宋" w:eastAsia="仿宋"/>
          <w:sz w:val="28"/>
          <w:szCs w:val="28"/>
        </w:rPr>
        <w:t>》；</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8</w:t>
      </w:r>
      <w:r>
        <w:rPr>
          <w:rFonts w:hint="eastAsia" w:ascii="仿宋" w:hAnsi="仿宋" w:eastAsia="仿宋"/>
          <w:sz w:val="28"/>
          <w:szCs w:val="28"/>
        </w:rPr>
        <w:t>）《雅安市地方志事业第十三个五年发展规划（</w:t>
      </w:r>
      <w:r>
        <w:rPr>
          <w:rFonts w:ascii="Arial" w:hAnsi="Arial" w:eastAsia="仿宋" w:cs="Arial"/>
          <w:sz w:val="28"/>
          <w:szCs w:val="28"/>
        </w:rPr>
        <w:t>2016</w:t>
      </w:r>
      <w:r>
        <w:rPr>
          <w:rFonts w:ascii="仿宋" w:hAnsi="仿宋" w:eastAsia="仿宋"/>
          <w:sz w:val="28"/>
          <w:szCs w:val="28"/>
        </w:rPr>
        <w:t>-</w:t>
      </w:r>
      <w:r>
        <w:rPr>
          <w:rFonts w:ascii="Arial" w:hAnsi="Arial" w:eastAsia="仿宋" w:cs="Arial"/>
          <w:sz w:val="28"/>
          <w:szCs w:val="28"/>
        </w:rPr>
        <w:t>2020</w:t>
      </w:r>
      <w:r>
        <w:rPr>
          <w:rFonts w:hint="eastAsia" w:ascii="仿宋" w:hAnsi="仿宋" w:eastAsia="仿宋"/>
          <w:sz w:val="28"/>
          <w:szCs w:val="28"/>
        </w:rPr>
        <w:t>年）》（雅办发〔</w:t>
      </w:r>
      <w:r>
        <w:rPr>
          <w:rFonts w:ascii="Arial" w:hAnsi="Arial" w:eastAsia="仿宋" w:cs="Arial"/>
          <w:sz w:val="28"/>
          <w:szCs w:val="28"/>
        </w:rPr>
        <w:t>2016</w:t>
      </w:r>
      <w:r>
        <w:rPr>
          <w:rFonts w:hint="eastAsia" w:ascii="仿宋" w:hAnsi="仿宋" w:eastAsia="仿宋"/>
          <w:sz w:val="28"/>
          <w:szCs w:val="28"/>
        </w:rPr>
        <w:t>〕</w:t>
      </w:r>
      <w:r>
        <w:rPr>
          <w:rFonts w:ascii="Arial" w:hAnsi="Arial" w:eastAsia="仿宋" w:cs="Arial"/>
          <w:sz w:val="28"/>
          <w:szCs w:val="28"/>
        </w:rPr>
        <w:t>46</w:t>
      </w:r>
      <w:r>
        <w:rPr>
          <w:rFonts w:hint="eastAsia" w:ascii="仿宋" w:hAnsi="仿宋" w:eastAsia="仿宋"/>
          <w:sz w:val="28"/>
          <w:szCs w:val="28"/>
        </w:rPr>
        <w:t>号）；</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9</w:t>
      </w:r>
      <w:r>
        <w:rPr>
          <w:rFonts w:hint="eastAsia" w:ascii="仿宋" w:hAnsi="仿宋" w:eastAsia="仿宋"/>
          <w:sz w:val="28"/>
          <w:szCs w:val="28"/>
        </w:rPr>
        <w:t>）《四川省国有土地上房屋征收与补偿条例》；</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10</w:t>
      </w:r>
      <w:r>
        <w:rPr>
          <w:rFonts w:hint="eastAsia" w:ascii="仿宋" w:hAnsi="仿宋" w:eastAsia="仿宋"/>
          <w:sz w:val="28"/>
          <w:szCs w:val="28"/>
        </w:rPr>
        <w:t>）《国务院关于支持芦山地震灾后恢复重建政策措施的意见》（国发〔</w:t>
      </w:r>
      <w:r>
        <w:rPr>
          <w:rFonts w:ascii="Arial" w:hAnsi="Arial" w:eastAsia="仿宋" w:cs="Arial"/>
          <w:sz w:val="28"/>
          <w:szCs w:val="28"/>
        </w:rPr>
        <w:t>2013</w:t>
      </w:r>
      <w:r>
        <w:rPr>
          <w:rFonts w:hint="eastAsia" w:ascii="仿宋" w:hAnsi="仿宋" w:eastAsia="仿宋"/>
          <w:sz w:val="28"/>
          <w:szCs w:val="28"/>
        </w:rPr>
        <w:t>〕</w:t>
      </w:r>
      <w:r>
        <w:rPr>
          <w:rFonts w:ascii="Arial" w:hAnsi="Arial" w:eastAsia="仿宋" w:cs="Arial"/>
          <w:sz w:val="28"/>
          <w:szCs w:val="28"/>
        </w:rPr>
        <w:t>28</w:t>
      </w:r>
      <w:r>
        <w:rPr>
          <w:rFonts w:hint="eastAsia" w:ascii="仿宋" w:hAnsi="仿宋" w:eastAsia="仿宋"/>
          <w:sz w:val="28"/>
          <w:szCs w:val="28"/>
        </w:rPr>
        <w:t>号）；</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11</w:t>
      </w:r>
      <w:r>
        <w:rPr>
          <w:rFonts w:hint="eastAsia" w:ascii="仿宋" w:hAnsi="仿宋" w:eastAsia="仿宋"/>
          <w:sz w:val="28"/>
          <w:szCs w:val="28"/>
        </w:rPr>
        <w:t>）《国土资源部关于实行芦山地震灾后恢复重建特殊支持政策措施的通知》（国土资发〔</w:t>
      </w:r>
      <w:r>
        <w:rPr>
          <w:rFonts w:ascii="Arial" w:hAnsi="Arial" w:eastAsia="仿宋" w:cs="Arial"/>
          <w:sz w:val="28"/>
          <w:szCs w:val="28"/>
        </w:rPr>
        <w:t>2013</w:t>
      </w:r>
      <w:r>
        <w:rPr>
          <w:rFonts w:hint="eastAsia" w:ascii="仿宋" w:hAnsi="仿宋" w:eastAsia="仿宋"/>
          <w:sz w:val="28"/>
          <w:szCs w:val="28"/>
        </w:rPr>
        <w:t>〕</w:t>
      </w:r>
      <w:r>
        <w:rPr>
          <w:rFonts w:ascii="Arial" w:hAnsi="Arial" w:eastAsia="仿宋" w:cs="Arial"/>
          <w:sz w:val="28"/>
          <w:szCs w:val="28"/>
        </w:rPr>
        <w:t>55</w:t>
      </w:r>
      <w:r>
        <w:rPr>
          <w:rFonts w:hint="eastAsia" w:ascii="仿宋" w:hAnsi="仿宋" w:eastAsia="仿宋"/>
          <w:sz w:val="28"/>
          <w:szCs w:val="28"/>
        </w:rPr>
        <w:t>号）；</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12</w:t>
      </w:r>
      <w:r>
        <w:rPr>
          <w:rFonts w:hint="eastAsia" w:ascii="仿宋" w:hAnsi="仿宋" w:eastAsia="仿宋"/>
          <w:sz w:val="28"/>
          <w:szCs w:val="28"/>
        </w:rPr>
        <w:t>）《</w:t>
      </w:r>
      <w:r>
        <w:fldChar w:fldCharType="begin"/>
      </w:r>
      <w:r>
        <w:instrText xml:space="preserve"> HYPERLINK "https://sichuan.tuliu.com/gongying/" \t "_blank" </w:instrText>
      </w:r>
      <w:r>
        <w:fldChar w:fldCharType="separate"/>
      </w:r>
      <w:r>
        <w:rPr>
          <w:rFonts w:hint="eastAsia" w:ascii="仿宋" w:hAnsi="仿宋" w:eastAsia="仿宋"/>
          <w:sz w:val="28"/>
          <w:szCs w:val="28"/>
        </w:rPr>
        <w:t>四川省</w:t>
      </w:r>
      <w:r>
        <w:rPr>
          <w:rFonts w:hint="eastAsia" w:ascii="仿宋" w:hAnsi="仿宋" w:eastAsia="仿宋"/>
          <w:sz w:val="28"/>
          <w:szCs w:val="28"/>
        </w:rPr>
        <w:fldChar w:fldCharType="end"/>
      </w:r>
      <w:r>
        <w:rPr>
          <w:rFonts w:hint="eastAsia" w:ascii="仿宋" w:hAnsi="仿宋" w:eastAsia="仿宋"/>
          <w:sz w:val="28"/>
          <w:szCs w:val="28"/>
        </w:rPr>
        <w:t>发展和改革委员会关于印发芦山地震灾后恢复重建总体规划实施项目的通知》（川发改</w:t>
      </w:r>
      <w:r>
        <w:fldChar w:fldCharType="begin"/>
      </w:r>
      <w:r>
        <w:instrText xml:space="preserve"> HYPERLINK "https://www.tuliu.com/news/list-c129" \t "_blank" </w:instrText>
      </w:r>
      <w:r>
        <w:fldChar w:fldCharType="separate"/>
      </w:r>
      <w:r>
        <w:rPr>
          <w:rFonts w:hint="eastAsia" w:ascii="仿宋" w:hAnsi="仿宋" w:eastAsia="仿宋"/>
          <w:sz w:val="28"/>
          <w:szCs w:val="28"/>
        </w:rPr>
        <w:t>投资</w:t>
      </w:r>
      <w:r>
        <w:rPr>
          <w:rFonts w:hint="eastAsia" w:ascii="仿宋" w:hAnsi="仿宋" w:eastAsia="仿宋"/>
          <w:sz w:val="28"/>
          <w:szCs w:val="28"/>
        </w:rPr>
        <w:fldChar w:fldCharType="end"/>
      </w:r>
      <w:r>
        <w:rPr>
          <w:rFonts w:hint="eastAsia" w:ascii="仿宋" w:hAnsi="仿宋" w:eastAsia="仿宋"/>
          <w:sz w:val="28"/>
          <w:szCs w:val="28"/>
        </w:rPr>
        <w:t>〔</w:t>
      </w:r>
      <w:r>
        <w:rPr>
          <w:rFonts w:ascii="Arial" w:hAnsi="Arial" w:eastAsia="仿宋" w:cs="Arial"/>
          <w:sz w:val="28"/>
          <w:szCs w:val="28"/>
        </w:rPr>
        <w:t>2013</w:t>
      </w:r>
      <w:r>
        <w:rPr>
          <w:rFonts w:hint="eastAsia" w:ascii="仿宋" w:hAnsi="仿宋" w:eastAsia="仿宋"/>
          <w:sz w:val="28"/>
          <w:szCs w:val="28"/>
        </w:rPr>
        <w:t>〕</w:t>
      </w:r>
      <w:r>
        <w:rPr>
          <w:rFonts w:ascii="Arial" w:hAnsi="Arial" w:eastAsia="仿宋" w:cs="Arial"/>
          <w:sz w:val="28"/>
          <w:szCs w:val="28"/>
        </w:rPr>
        <w:t>989</w:t>
      </w:r>
      <w:r>
        <w:rPr>
          <w:rFonts w:hint="eastAsia" w:ascii="仿宋" w:hAnsi="仿宋" w:eastAsia="仿宋"/>
          <w:sz w:val="28"/>
          <w:szCs w:val="28"/>
        </w:rPr>
        <w:t>号）；</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13</w:t>
      </w:r>
      <w:r>
        <w:rPr>
          <w:rFonts w:hint="eastAsia" w:ascii="仿宋" w:hAnsi="仿宋" w:eastAsia="仿宋"/>
          <w:sz w:val="28"/>
          <w:szCs w:val="28"/>
        </w:rPr>
        <w:t>）《四川省发展和改革委员会关于印发芦山地震灾后恢复重建总体规划实施项目的通知》（川发改投资〔</w:t>
      </w:r>
      <w:r>
        <w:rPr>
          <w:rFonts w:ascii="Arial" w:hAnsi="Arial" w:eastAsia="仿宋" w:cs="Arial"/>
          <w:sz w:val="28"/>
          <w:szCs w:val="28"/>
        </w:rPr>
        <w:t>2013</w:t>
      </w:r>
      <w:r>
        <w:rPr>
          <w:rFonts w:hint="eastAsia" w:ascii="仿宋" w:hAnsi="仿宋" w:eastAsia="仿宋"/>
          <w:sz w:val="28"/>
          <w:szCs w:val="28"/>
        </w:rPr>
        <w:t>〕</w:t>
      </w:r>
      <w:r>
        <w:rPr>
          <w:rFonts w:ascii="Arial" w:hAnsi="Arial" w:eastAsia="仿宋" w:cs="Arial"/>
          <w:sz w:val="28"/>
          <w:szCs w:val="28"/>
        </w:rPr>
        <w:t>989</w:t>
      </w:r>
      <w:r>
        <w:rPr>
          <w:rFonts w:hint="eastAsia" w:ascii="仿宋" w:hAnsi="仿宋" w:eastAsia="仿宋"/>
          <w:sz w:val="28"/>
          <w:szCs w:val="28"/>
        </w:rPr>
        <w:t>号）；</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14</w:t>
      </w:r>
      <w:r>
        <w:rPr>
          <w:rFonts w:hint="eastAsia" w:ascii="仿宋" w:hAnsi="仿宋" w:eastAsia="仿宋"/>
          <w:sz w:val="28"/>
          <w:szCs w:val="28"/>
        </w:rPr>
        <w:t>）《关于印发《芦山县“</w:t>
      </w:r>
      <w:r>
        <w:rPr>
          <w:rFonts w:ascii="Arial" w:hAnsi="Arial" w:eastAsia="仿宋" w:cs="Arial"/>
          <w:sz w:val="28"/>
          <w:szCs w:val="28"/>
        </w:rPr>
        <w:t>4</w:t>
      </w:r>
      <w:r>
        <w:rPr>
          <w:rFonts w:hint="eastAsia" w:ascii="仿宋" w:hAnsi="仿宋" w:eastAsia="仿宋"/>
          <w:sz w:val="28"/>
          <w:szCs w:val="28"/>
        </w:rPr>
        <w:t>·</w:t>
      </w:r>
      <w:r>
        <w:rPr>
          <w:rFonts w:ascii="Arial" w:hAnsi="Arial" w:eastAsia="仿宋" w:cs="Arial"/>
          <w:sz w:val="28"/>
          <w:szCs w:val="28"/>
        </w:rPr>
        <w:t>20</w:t>
      </w:r>
      <w:r>
        <w:rPr>
          <w:rFonts w:hint="eastAsia" w:ascii="仿宋" w:hAnsi="仿宋" w:eastAsia="仿宋"/>
          <w:sz w:val="28"/>
          <w:szCs w:val="28"/>
        </w:rPr>
        <w:t>”强烈地震灾后科学重建县城规划区内集体土地征收和房屋拆迁补偿安置办法》等六个办法的通知》（芦府办〔</w:t>
      </w:r>
      <w:r>
        <w:rPr>
          <w:rFonts w:ascii="Arial" w:hAnsi="Arial" w:eastAsia="仿宋" w:cs="Arial"/>
          <w:sz w:val="28"/>
          <w:szCs w:val="28"/>
        </w:rPr>
        <w:t>2013</w:t>
      </w:r>
      <w:r>
        <w:rPr>
          <w:rFonts w:hint="eastAsia" w:ascii="仿宋" w:hAnsi="仿宋" w:eastAsia="仿宋"/>
          <w:sz w:val="28"/>
          <w:szCs w:val="28"/>
        </w:rPr>
        <w:t>〕</w:t>
      </w:r>
      <w:r>
        <w:rPr>
          <w:rFonts w:ascii="Arial" w:hAnsi="Arial" w:eastAsia="仿宋" w:cs="Arial"/>
          <w:sz w:val="28"/>
          <w:szCs w:val="28"/>
        </w:rPr>
        <w:t>67</w:t>
      </w:r>
      <w:r>
        <w:rPr>
          <w:rFonts w:hint="eastAsia" w:ascii="仿宋" w:hAnsi="仿宋" w:eastAsia="仿宋"/>
          <w:sz w:val="28"/>
          <w:szCs w:val="28"/>
        </w:rPr>
        <w:t>号）</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15</w:t>
      </w:r>
      <w:r>
        <w:rPr>
          <w:rFonts w:hint="eastAsia" w:ascii="仿宋" w:hAnsi="仿宋" w:eastAsia="仿宋"/>
          <w:sz w:val="28"/>
          <w:szCs w:val="28"/>
        </w:rPr>
        <w:t>）《建设项目经济评价方法与参数》（第三版）；</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16</w:t>
      </w:r>
      <w:r>
        <w:rPr>
          <w:rFonts w:hint="eastAsia" w:ascii="仿宋" w:hAnsi="仿宋" w:eastAsia="仿宋"/>
          <w:sz w:val="28"/>
          <w:szCs w:val="28"/>
        </w:rPr>
        <w:t>）《投资项目可行性研究指南》（计办投资〔</w:t>
      </w:r>
      <w:r>
        <w:rPr>
          <w:rFonts w:ascii="Arial" w:hAnsi="Arial" w:eastAsia="仿宋" w:cs="Arial"/>
          <w:sz w:val="28"/>
          <w:szCs w:val="28"/>
        </w:rPr>
        <w:t>2002</w:t>
      </w:r>
      <w:r>
        <w:rPr>
          <w:rFonts w:hint="eastAsia" w:ascii="仿宋" w:hAnsi="仿宋" w:eastAsia="仿宋"/>
          <w:sz w:val="28"/>
          <w:szCs w:val="28"/>
        </w:rPr>
        <w:t>〕</w:t>
      </w:r>
      <w:r>
        <w:rPr>
          <w:rFonts w:ascii="Arial" w:hAnsi="Arial" w:eastAsia="仿宋" w:cs="Arial"/>
          <w:sz w:val="28"/>
          <w:szCs w:val="28"/>
        </w:rPr>
        <w:t>15</w:t>
      </w:r>
      <w:r>
        <w:rPr>
          <w:rFonts w:hint="eastAsia" w:ascii="仿宋" w:hAnsi="仿宋" w:eastAsia="仿宋"/>
          <w:sz w:val="28"/>
          <w:szCs w:val="28"/>
        </w:rPr>
        <w:t>号）；</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17</w:t>
      </w:r>
      <w:r>
        <w:rPr>
          <w:rFonts w:hint="eastAsia" w:ascii="仿宋" w:hAnsi="仿宋" w:eastAsia="仿宋"/>
          <w:sz w:val="28"/>
          <w:szCs w:val="28"/>
        </w:rPr>
        <w:t>）《芦山县城市总体规划（</w:t>
      </w:r>
      <w:r>
        <w:rPr>
          <w:rFonts w:ascii="Arial" w:hAnsi="Arial" w:eastAsia="仿宋" w:cs="Arial"/>
          <w:sz w:val="28"/>
          <w:szCs w:val="28"/>
        </w:rPr>
        <w:t>2017</w:t>
      </w:r>
      <w:r>
        <w:rPr>
          <w:rFonts w:ascii="仿宋" w:hAnsi="仿宋" w:eastAsia="仿宋"/>
          <w:sz w:val="28"/>
          <w:szCs w:val="28"/>
        </w:rPr>
        <w:t>-</w:t>
      </w:r>
      <w:r>
        <w:rPr>
          <w:rFonts w:ascii="Arial" w:hAnsi="Arial" w:eastAsia="仿宋" w:cs="Arial"/>
          <w:sz w:val="28"/>
          <w:szCs w:val="28"/>
        </w:rPr>
        <w:t>2035</w:t>
      </w:r>
      <w:r>
        <w:rPr>
          <w:rFonts w:hint="eastAsia" w:ascii="仿宋" w:hAnsi="仿宋" w:eastAsia="仿宋"/>
          <w:sz w:val="28"/>
          <w:szCs w:val="28"/>
        </w:rPr>
        <w:t>年）》；</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18</w:t>
      </w:r>
      <w:r>
        <w:rPr>
          <w:rFonts w:hint="eastAsia" w:ascii="仿宋" w:hAnsi="仿宋" w:eastAsia="仿宋"/>
          <w:sz w:val="28"/>
          <w:szCs w:val="28"/>
        </w:rPr>
        <w:t>）国家及地方其他有关的法律、法规、规定和建设标准；</w:t>
      </w:r>
    </w:p>
    <w:p>
      <w:pPr>
        <w:spacing w:line="576" w:lineRule="exact"/>
        <w:ind w:firstLine="561"/>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19</w:t>
      </w:r>
      <w:r>
        <w:rPr>
          <w:rFonts w:hint="eastAsia" w:ascii="仿宋" w:hAnsi="仿宋" w:eastAsia="仿宋"/>
          <w:sz w:val="28"/>
          <w:szCs w:val="28"/>
        </w:rPr>
        <w:t>）项目业主提供的其他相关资料。</w:t>
      </w:r>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编制说明</w:t>
      </w:r>
    </w:p>
    <w:p>
      <w:pPr>
        <w:spacing w:line="576" w:lineRule="exact"/>
        <w:ind w:left="480"/>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1</w:t>
      </w:r>
      <w:r>
        <w:rPr>
          <w:rFonts w:hint="eastAsia" w:ascii="仿宋" w:hAnsi="仿宋" w:eastAsia="仿宋"/>
          <w:sz w:val="28"/>
          <w:szCs w:val="28"/>
        </w:rPr>
        <w:t>）《国有土地上房屋征收与补偿条例》（国务院令第</w:t>
      </w:r>
      <w:r>
        <w:rPr>
          <w:rFonts w:ascii="Arial" w:hAnsi="Arial" w:eastAsia="仿宋" w:cs="Arial"/>
          <w:sz w:val="28"/>
          <w:szCs w:val="28"/>
        </w:rPr>
        <w:t>590</w:t>
      </w:r>
      <w:r>
        <w:rPr>
          <w:rFonts w:hint="eastAsia" w:ascii="仿宋" w:hAnsi="仿宋" w:eastAsia="仿宋"/>
          <w:sz w:val="28"/>
          <w:szCs w:val="28"/>
        </w:rPr>
        <w:t>号）</w:t>
      </w:r>
    </w:p>
    <w:p>
      <w:pPr>
        <w:spacing w:line="576" w:lineRule="exact"/>
        <w:ind w:left="480"/>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2</w:t>
      </w:r>
      <w:r>
        <w:rPr>
          <w:rFonts w:hint="eastAsia" w:ascii="仿宋" w:hAnsi="仿宋" w:eastAsia="仿宋"/>
          <w:sz w:val="28"/>
          <w:szCs w:val="28"/>
        </w:rPr>
        <w:t>）《四川省国有土地上房屋征收与补偿条例》</w:t>
      </w:r>
    </w:p>
    <w:p>
      <w:pPr>
        <w:spacing w:line="576" w:lineRule="exact"/>
        <w:ind w:left="480"/>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3</w:t>
      </w:r>
      <w:r>
        <w:rPr>
          <w:rFonts w:hint="eastAsia" w:ascii="仿宋" w:hAnsi="仿宋" w:eastAsia="仿宋"/>
          <w:sz w:val="28"/>
          <w:szCs w:val="28"/>
        </w:rPr>
        <w:t>）《建设项目经济评价方法与参数》第三版</w:t>
      </w:r>
    </w:p>
    <w:p>
      <w:pPr>
        <w:spacing w:line="576" w:lineRule="exact"/>
        <w:ind w:left="480"/>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4</w:t>
      </w:r>
      <w:r>
        <w:rPr>
          <w:rFonts w:hint="eastAsia" w:ascii="仿宋" w:hAnsi="仿宋" w:eastAsia="仿宋"/>
          <w:sz w:val="28"/>
          <w:szCs w:val="28"/>
        </w:rPr>
        <w:t>）《投资项目可行性研究指南》（</w:t>
      </w:r>
      <w:r>
        <w:rPr>
          <w:rFonts w:ascii="Arial" w:hAnsi="Arial" w:eastAsia="仿宋" w:cs="Arial"/>
          <w:sz w:val="28"/>
          <w:szCs w:val="28"/>
        </w:rPr>
        <w:t>2005</w:t>
      </w:r>
      <w:r>
        <w:rPr>
          <w:rFonts w:hint="eastAsia" w:ascii="仿宋" w:hAnsi="仿宋" w:eastAsia="仿宋"/>
          <w:sz w:val="28"/>
          <w:szCs w:val="28"/>
        </w:rPr>
        <w:t>年）</w:t>
      </w:r>
    </w:p>
    <w:p>
      <w:pPr>
        <w:spacing w:line="576" w:lineRule="exact"/>
        <w:ind w:firstLine="560"/>
        <w:rPr>
          <w:rFonts w:ascii="仿宋" w:hAnsi="仿宋" w:eastAsia="仿宋"/>
          <w:sz w:val="28"/>
          <w:szCs w:val="28"/>
        </w:rPr>
      </w:pPr>
      <w:r>
        <w:rPr>
          <w:rFonts w:hint="eastAsia" w:ascii="仿宋" w:hAnsi="仿宋" w:eastAsia="仿宋"/>
          <w:sz w:val="28"/>
          <w:szCs w:val="28"/>
        </w:rPr>
        <w:t>（</w:t>
      </w:r>
      <w:r>
        <w:rPr>
          <w:rFonts w:ascii="Arial" w:hAnsi="Arial" w:eastAsia="仿宋" w:cs="Arial"/>
          <w:sz w:val="28"/>
          <w:szCs w:val="28"/>
        </w:rPr>
        <w:t>5</w:t>
      </w:r>
      <w:r>
        <w:rPr>
          <w:rFonts w:hint="eastAsia" w:ascii="仿宋" w:hAnsi="仿宋" w:eastAsia="仿宋"/>
          <w:sz w:val="28"/>
          <w:szCs w:val="28"/>
        </w:rPr>
        <w:t>）项目业主提供的相关资料</w:t>
      </w:r>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3</w:t>
      </w:r>
      <w:r>
        <w:rPr>
          <w:rFonts w:ascii="仿宋" w:hAnsi="仿宋" w:eastAsia="仿宋"/>
          <w:kern w:val="2"/>
          <w:sz w:val="28"/>
          <w:szCs w:val="28"/>
          <w:lang w:val="en-US"/>
        </w:rPr>
        <w:t>.</w:t>
      </w:r>
      <w:r>
        <w:rPr>
          <w:rFonts w:hint="eastAsia" w:ascii="仿宋" w:hAnsi="仿宋" w:eastAsia="仿宋"/>
          <w:kern w:val="2"/>
          <w:sz w:val="28"/>
          <w:szCs w:val="28"/>
          <w:lang w:val="en-US"/>
        </w:rPr>
        <w:t>项目总投资</w:t>
      </w:r>
    </w:p>
    <w:p>
      <w:pPr>
        <w:spacing w:line="576" w:lineRule="exact"/>
        <w:ind w:firstLine="560" w:firstLineChars="200"/>
        <w:rPr>
          <w:rFonts w:ascii="仿宋" w:hAnsi="仿宋" w:eastAsia="仿宋" w:cs="宋体"/>
          <w:b/>
          <w:bCs/>
          <w:color w:val="000000"/>
          <w:kern w:val="0"/>
          <w:szCs w:val="21"/>
        </w:rPr>
      </w:pPr>
      <w:bookmarkStart w:id="39" w:name="_Toc497498365"/>
      <w:bookmarkStart w:id="40" w:name="_Toc498385727"/>
      <w:bookmarkStart w:id="41" w:name="_Toc498385059"/>
      <w:r>
        <w:rPr>
          <w:rFonts w:hint="eastAsia" w:ascii="仿宋" w:hAnsi="仿宋" w:eastAsia="仿宋"/>
          <w:sz w:val="28"/>
          <w:szCs w:val="28"/>
        </w:rPr>
        <w:t>经测算，本项目总投资为</w:t>
      </w:r>
      <w:r>
        <w:rPr>
          <w:rFonts w:ascii="Arial" w:hAnsi="Arial" w:eastAsia="仿宋" w:cs="Arial"/>
          <w:sz w:val="28"/>
          <w:szCs w:val="28"/>
        </w:rPr>
        <w:t>23</w:t>
      </w:r>
      <w:r>
        <w:rPr>
          <w:rFonts w:ascii="仿宋" w:hAnsi="仿宋" w:eastAsia="仿宋"/>
          <w:sz w:val="28"/>
          <w:szCs w:val="28"/>
        </w:rPr>
        <w:t>,</w:t>
      </w:r>
      <w:r>
        <w:rPr>
          <w:rFonts w:ascii="Arial" w:hAnsi="Arial" w:eastAsia="仿宋" w:cs="Arial"/>
          <w:sz w:val="28"/>
          <w:szCs w:val="28"/>
        </w:rPr>
        <w:t>072</w:t>
      </w:r>
      <w:r>
        <w:rPr>
          <w:rFonts w:ascii="仿宋" w:hAnsi="仿宋" w:eastAsia="仿宋"/>
          <w:sz w:val="28"/>
          <w:szCs w:val="28"/>
        </w:rPr>
        <w:t>.</w:t>
      </w:r>
      <w:r>
        <w:rPr>
          <w:rFonts w:ascii="Arial" w:hAnsi="Arial" w:eastAsia="仿宋" w:cs="Arial"/>
          <w:sz w:val="28"/>
          <w:szCs w:val="28"/>
        </w:rPr>
        <w:t>00</w:t>
      </w:r>
      <w:r>
        <w:rPr>
          <w:rFonts w:hint="eastAsia" w:ascii="仿宋" w:hAnsi="仿宋" w:eastAsia="仿宋"/>
          <w:sz w:val="28"/>
          <w:szCs w:val="28"/>
        </w:rPr>
        <w:t>万元，其中</w:t>
      </w:r>
      <w:r>
        <w:rPr>
          <w:rFonts w:ascii="仿宋" w:hAnsi="仿宋" w:eastAsia="仿宋"/>
          <w:sz w:val="28"/>
          <w:szCs w:val="28"/>
        </w:rPr>
        <w:t>:</w:t>
      </w:r>
      <w:r>
        <w:rPr>
          <w:rFonts w:hint="eastAsia" w:ascii="仿宋" w:hAnsi="仿宋" w:eastAsia="仿宋"/>
          <w:sz w:val="28"/>
          <w:szCs w:val="28"/>
        </w:rPr>
        <w:t>第一部分拆迁补偿费用</w:t>
      </w:r>
      <w:r>
        <w:rPr>
          <w:rFonts w:ascii="Arial" w:hAnsi="Arial" w:eastAsia="仿宋" w:cs="Arial"/>
          <w:sz w:val="28"/>
          <w:szCs w:val="28"/>
        </w:rPr>
        <w:t>20,298.33</w:t>
      </w:r>
      <w:r>
        <w:rPr>
          <w:rFonts w:hint="eastAsia" w:ascii="仿宋" w:hAnsi="仿宋" w:eastAsia="仿宋"/>
          <w:sz w:val="28"/>
          <w:szCs w:val="28"/>
        </w:rPr>
        <w:t>万元，占总投资的</w:t>
      </w:r>
      <w:r>
        <w:rPr>
          <w:rFonts w:ascii="Arial" w:hAnsi="Arial" w:eastAsia="仿宋" w:cs="Arial"/>
          <w:sz w:val="28"/>
          <w:szCs w:val="28"/>
        </w:rPr>
        <w:t>87.98</w:t>
      </w:r>
      <w:r>
        <w:rPr>
          <w:rFonts w:ascii="仿宋" w:hAnsi="仿宋" w:eastAsia="仿宋"/>
          <w:sz w:val="28"/>
          <w:szCs w:val="28"/>
        </w:rPr>
        <w:t>%</w:t>
      </w:r>
      <w:r>
        <w:rPr>
          <w:rFonts w:hint="eastAsia" w:ascii="仿宋" w:hAnsi="仿宋" w:eastAsia="仿宋"/>
          <w:sz w:val="28"/>
          <w:szCs w:val="28"/>
        </w:rPr>
        <w:t>；第二部分土地平整费用</w:t>
      </w:r>
      <w:r>
        <w:rPr>
          <w:rFonts w:ascii="Arial" w:hAnsi="Arial" w:eastAsia="仿宋" w:cs="Arial"/>
          <w:sz w:val="28"/>
          <w:szCs w:val="28"/>
        </w:rPr>
        <w:t>533</w:t>
      </w:r>
      <w:r>
        <w:rPr>
          <w:rFonts w:ascii="仿宋" w:hAnsi="仿宋" w:eastAsia="仿宋"/>
          <w:sz w:val="28"/>
          <w:szCs w:val="28"/>
        </w:rPr>
        <w:t>.</w:t>
      </w:r>
      <w:r>
        <w:rPr>
          <w:rFonts w:ascii="Arial" w:hAnsi="Arial" w:eastAsia="仿宋" w:cs="Arial"/>
          <w:sz w:val="28"/>
          <w:szCs w:val="28"/>
        </w:rPr>
        <w:t>71</w:t>
      </w:r>
      <w:r>
        <w:rPr>
          <w:rFonts w:hint="eastAsia" w:ascii="仿宋" w:hAnsi="仿宋" w:eastAsia="仿宋"/>
          <w:sz w:val="28"/>
          <w:szCs w:val="28"/>
        </w:rPr>
        <w:t>万元，占总投资的</w:t>
      </w:r>
      <w:r>
        <w:rPr>
          <w:rFonts w:ascii="Arial" w:hAnsi="Arial" w:eastAsia="仿宋" w:cs="Arial"/>
          <w:sz w:val="28"/>
          <w:szCs w:val="28"/>
        </w:rPr>
        <w:t>2</w:t>
      </w:r>
      <w:r>
        <w:rPr>
          <w:rFonts w:ascii="仿宋" w:hAnsi="仿宋" w:eastAsia="仿宋"/>
          <w:sz w:val="28"/>
          <w:szCs w:val="28"/>
        </w:rPr>
        <w:t>.</w:t>
      </w:r>
      <w:r>
        <w:rPr>
          <w:rFonts w:ascii="Arial" w:hAnsi="Arial" w:eastAsia="仿宋" w:cs="Arial"/>
          <w:sz w:val="28"/>
          <w:szCs w:val="28"/>
        </w:rPr>
        <w:t>31</w:t>
      </w:r>
      <w:r>
        <w:rPr>
          <w:rFonts w:ascii="仿宋" w:hAnsi="仿宋" w:eastAsia="仿宋"/>
          <w:sz w:val="28"/>
          <w:szCs w:val="28"/>
        </w:rPr>
        <w:t>%</w:t>
      </w:r>
      <w:r>
        <w:rPr>
          <w:rFonts w:hint="eastAsia" w:ascii="仿宋" w:hAnsi="仿宋" w:eastAsia="仿宋"/>
          <w:sz w:val="28"/>
          <w:szCs w:val="28"/>
        </w:rPr>
        <w:t>；第三部分预备费</w:t>
      </w:r>
      <w:r>
        <w:rPr>
          <w:rFonts w:ascii="Arial" w:hAnsi="Arial" w:eastAsia="仿宋" w:cs="Arial"/>
          <w:sz w:val="28"/>
          <w:szCs w:val="28"/>
        </w:rPr>
        <w:t>1,041.60</w:t>
      </w:r>
      <w:r>
        <w:rPr>
          <w:rFonts w:hint="eastAsia" w:ascii="仿宋" w:hAnsi="仿宋" w:eastAsia="仿宋"/>
          <w:sz w:val="28"/>
          <w:szCs w:val="28"/>
        </w:rPr>
        <w:t>万元，占总投资的</w:t>
      </w:r>
      <w:r>
        <w:rPr>
          <w:rFonts w:ascii="Arial" w:hAnsi="Arial" w:eastAsia="仿宋" w:cs="Arial"/>
          <w:sz w:val="28"/>
          <w:szCs w:val="28"/>
        </w:rPr>
        <w:t>4</w:t>
      </w:r>
      <w:r>
        <w:rPr>
          <w:rFonts w:ascii="仿宋" w:hAnsi="仿宋" w:eastAsia="仿宋"/>
          <w:sz w:val="28"/>
          <w:szCs w:val="28"/>
        </w:rPr>
        <w:t>.</w:t>
      </w:r>
      <w:r>
        <w:rPr>
          <w:rFonts w:ascii="Arial" w:hAnsi="Arial" w:eastAsia="仿宋" w:cs="Arial"/>
          <w:sz w:val="28"/>
          <w:szCs w:val="28"/>
        </w:rPr>
        <w:t>51</w:t>
      </w:r>
      <w:r>
        <w:rPr>
          <w:rFonts w:ascii="仿宋" w:hAnsi="仿宋" w:eastAsia="仿宋"/>
          <w:sz w:val="28"/>
          <w:szCs w:val="28"/>
        </w:rPr>
        <w:t>%</w:t>
      </w:r>
      <w:r>
        <w:rPr>
          <w:rFonts w:hint="eastAsia" w:ascii="仿宋" w:hAnsi="仿宋" w:eastAsia="仿宋"/>
          <w:sz w:val="28"/>
          <w:szCs w:val="28"/>
        </w:rPr>
        <w:t>；第四部分其他费用</w:t>
      </w:r>
      <w:r>
        <w:rPr>
          <w:rFonts w:ascii="Arial" w:hAnsi="Arial" w:eastAsia="仿宋" w:cs="Arial"/>
          <w:sz w:val="28"/>
          <w:szCs w:val="28"/>
        </w:rPr>
        <w:t>208.32</w:t>
      </w:r>
      <w:r>
        <w:rPr>
          <w:rFonts w:hint="eastAsia" w:ascii="仿宋" w:hAnsi="仿宋" w:eastAsia="仿宋"/>
          <w:sz w:val="28"/>
          <w:szCs w:val="28"/>
        </w:rPr>
        <w:t>万元</w:t>
      </w:r>
      <w:r>
        <w:rPr>
          <w:rFonts w:ascii="仿宋" w:hAnsi="仿宋" w:eastAsia="仿宋"/>
          <w:sz w:val="28"/>
          <w:szCs w:val="28"/>
        </w:rPr>
        <w:t>,</w:t>
      </w:r>
      <w:r>
        <w:rPr>
          <w:rFonts w:hint="eastAsia" w:ascii="仿宋" w:hAnsi="仿宋" w:eastAsia="仿宋"/>
          <w:sz w:val="28"/>
          <w:szCs w:val="28"/>
        </w:rPr>
        <w:t>占总投资的</w:t>
      </w:r>
      <w:r>
        <w:rPr>
          <w:rFonts w:ascii="Arial" w:hAnsi="Arial" w:eastAsia="仿宋" w:cs="Arial"/>
          <w:sz w:val="28"/>
          <w:szCs w:val="28"/>
        </w:rPr>
        <w:t>0</w:t>
      </w:r>
      <w:r>
        <w:rPr>
          <w:rFonts w:ascii="仿宋" w:hAnsi="仿宋" w:eastAsia="仿宋"/>
          <w:sz w:val="28"/>
          <w:szCs w:val="28"/>
        </w:rPr>
        <w:t>.</w:t>
      </w:r>
      <w:r>
        <w:rPr>
          <w:rFonts w:ascii="Arial" w:hAnsi="Arial" w:eastAsia="仿宋" w:cs="Arial"/>
          <w:sz w:val="28"/>
          <w:szCs w:val="28"/>
        </w:rPr>
        <w:t>92</w:t>
      </w:r>
      <w:r>
        <w:rPr>
          <w:rFonts w:ascii="仿宋" w:hAnsi="仿宋" w:eastAsia="仿宋"/>
          <w:sz w:val="28"/>
          <w:szCs w:val="28"/>
        </w:rPr>
        <w:t>%</w:t>
      </w:r>
      <w:r>
        <w:rPr>
          <w:rFonts w:hint="eastAsia" w:ascii="仿宋" w:hAnsi="仿宋" w:eastAsia="仿宋"/>
          <w:sz w:val="28"/>
          <w:szCs w:val="28"/>
        </w:rPr>
        <w:t>；第五部分建设期利息</w:t>
      </w:r>
      <w:r>
        <w:rPr>
          <w:rFonts w:ascii="Arial" w:hAnsi="Arial" w:eastAsia="仿宋" w:cs="Arial"/>
          <w:sz w:val="28"/>
          <w:szCs w:val="28"/>
        </w:rPr>
        <w:t>990.04</w:t>
      </w:r>
      <w:r>
        <w:rPr>
          <w:rFonts w:hint="eastAsia" w:ascii="仿宋" w:hAnsi="仿宋" w:eastAsia="仿宋"/>
          <w:sz w:val="28"/>
          <w:szCs w:val="28"/>
        </w:rPr>
        <w:t>万元（建设期</w:t>
      </w:r>
      <w:r>
        <w:rPr>
          <w:rFonts w:ascii="Arial" w:hAnsi="Arial" w:eastAsia="仿宋" w:cs="Arial"/>
          <w:sz w:val="28"/>
          <w:szCs w:val="28"/>
        </w:rPr>
        <w:t>2</w:t>
      </w:r>
      <w:r>
        <w:rPr>
          <w:rFonts w:hint="eastAsia" w:ascii="仿宋" w:hAnsi="仿宋" w:eastAsia="仿宋"/>
          <w:sz w:val="28"/>
          <w:szCs w:val="28"/>
        </w:rPr>
        <w:t>年，利息按照年利率</w:t>
      </w:r>
      <w:r>
        <w:rPr>
          <w:rFonts w:ascii="Arial" w:hAnsi="Arial" w:eastAsia="仿宋" w:cs="Arial"/>
          <w:sz w:val="28"/>
          <w:szCs w:val="28"/>
        </w:rPr>
        <w:t>4</w:t>
      </w:r>
      <w:r>
        <w:rPr>
          <w:rFonts w:ascii="仿宋" w:hAnsi="仿宋" w:eastAsia="仿宋"/>
          <w:sz w:val="28"/>
          <w:szCs w:val="28"/>
        </w:rPr>
        <w:t>.</w:t>
      </w:r>
      <w:r>
        <w:rPr>
          <w:rFonts w:ascii="Arial" w:hAnsi="Arial" w:eastAsia="仿宋" w:cs="Arial"/>
          <w:sz w:val="28"/>
          <w:szCs w:val="28"/>
        </w:rPr>
        <w:t>00</w:t>
      </w:r>
      <w:r>
        <w:rPr>
          <w:rFonts w:ascii="仿宋" w:hAnsi="仿宋" w:eastAsia="仿宋"/>
          <w:sz w:val="28"/>
          <w:szCs w:val="28"/>
        </w:rPr>
        <w:t>%</w:t>
      </w:r>
      <w:r>
        <w:rPr>
          <w:rFonts w:hint="eastAsia" w:ascii="仿宋" w:hAnsi="仿宋" w:eastAsia="仿宋"/>
          <w:sz w:val="28"/>
          <w:szCs w:val="28"/>
        </w:rPr>
        <w:t>计算），占总投资的</w:t>
      </w:r>
      <w:r>
        <w:rPr>
          <w:rFonts w:ascii="Arial" w:hAnsi="Arial" w:eastAsia="仿宋" w:cs="Arial"/>
          <w:sz w:val="28"/>
          <w:szCs w:val="28"/>
        </w:rPr>
        <w:t>4.29</w:t>
      </w:r>
      <w:r>
        <w:rPr>
          <w:rFonts w:ascii="仿宋" w:hAnsi="仿宋" w:eastAsia="仿宋"/>
          <w:sz w:val="28"/>
          <w:szCs w:val="28"/>
        </w:rPr>
        <w:t>%</w:t>
      </w:r>
      <w:r>
        <w:rPr>
          <w:rFonts w:hint="eastAsia" w:ascii="仿宋" w:hAnsi="仿宋" w:eastAsia="仿宋"/>
          <w:sz w:val="28"/>
          <w:szCs w:val="28"/>
        </w:rPr>
        <w:t>。项目总投资构成明细如下表：</w:t>
      </w:r>
    </w:p>
    <w:p>
      <w:pPr>
        <w:spacing w:beforeLines="50" w:afterLines="50" w:line="576" w:lineRule="exact"/>
        <w:jc w:val="center"/>
        <w:rPr>
          <w:rFonts w:ascii="仿宋" w:hAnsi="仿宋" w:eastAsia="仿宋"/>
          <w:sz w:val="24"/>
        </w:rPr>
      </w:pPr>
      <w:r>
        <w:rPr>
          <w:rFonts w:hint="eastAsia" w:ascii="仿宋" w:hAnsi="仿宋" w:eastAsia="仿宋"/>
          <w:sz w:val="24"/>
        </w:rPr>
        <w:t>表</w:t>
      </w:r>
      <w:r>
        <w:rPr>
          <w:rFonts w:ascii="Arial" w:hAnsi="Arial" w:eastAsia="仿宋" w:cs="Arial"/>
          <w:sz w:val="24"/>
        </w:rPr>
        <w:t>3</w:t>
      </w:r>
      <w:r>
        <w:rPr>
          <w:rFonts w:ascii="仿宋" w:hAnsi="仿宋" w:eastAsia="仿宋"/>
          <w:sz w:val="24"/>
        </w:rPr>
        <w:t>-</w:t>
      </w:r>
      <w:r>
        <w:rPr>
          <w:rFonts w:ascii="Arial" w:hAnsi="Arial" w:eastAsia="仿宋" w:cs="Arial"/>
          <w:sz w:val="24"/>
        </w:rPr>
        <w:t>1</w:t>
      </w:r>
      <w:r>
        <w:rPr>
          <w:rFonts w:hint="eastAsia" w:ascii="仿宋" w:hAnsi="仿宋" w:eastAsia="仿宋"/>
          <w:sz w:val="24"/>
        </w:rPr>
        <w:t>芦山县（城中村）棚户区改造项目投资表</w:t>
      </w:r>
    </w:p>
    <w:tbl>
      <w:tblPr>
        <w:tblStyle w:val="26"/>
        <w:tblW w:w="8160" w:type="dxa"/>
        <w:tblInd w:w="80" w:type="dxa"/>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672"/>
        <w:gridCol w:w="1766"/>
        <w:gridCol w:w="1612"/>
        <w:gridCol w:w="1365"/>
        <w:gridCol w:w="1559"/>
        <w:gridCol w:w="1186"/>
      </w:tblGrid>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40" w:hRule="atLeast"/>
          <w:tblHeader/>
        </w:trPr>
        <w:tc>
          <w:tcPr>
            <w:tcW w:w="672" w:type="dxa"/>
            <w:tcBorders>
              <w:top w:val="single" w:color="000000"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仿宋"/>
                <w:color w:val="000000"/>
                <w:kern w:val="0"/>
                <w:szCs w:val="21"/>
              </w:rPr>
            </w:pPr>
            <w:r>
              <w:rPr>
                <w:rFonts w:hint="eastAsia" w:ascii="仿宋" w:hAnsi="仿宋" w:eastAsia="仿宋" w:cs="仿宋"/>
                <w:color w:val="000000"/>
                <w:kern w:val="0"/>
                <w:szCs w:val="21"/>
              </w:rPr>
              <w:t>序号</w:t>
            </w:r>
          </w:p>
        </w:tc>
        <w:tc>
          <w:tcPr>
            <w:tcW w:w="1766" w:type="dxa"/>
            <w:tcBorders>
              <w:top w:val="single" w:color="000000"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仿宋"/>
                <w:color w:val="000000"/>
                <w:kern w:val="0"/>
                <w:szCs w:val="21"/>
              </w:rPr>
            </w:pPr>
            <w:r>
              <w:rPr>
                <w:rFonts w:hint="eastAsia" w:ascii="仿宋" w:hAnsi="仿宋" w:eastAsia="仿宋" w:cs="仿宋"/>
                <w:color w:val="000000"/>
                <w:kern w:val="0"/>
                <w:szCs w:val="21"/>
              </w:rPr>
              <w:t>名称</w:t>
            </w:r>
          </w:p>
        </w:tc>
        <w:tc>
          <w:tcPr>
            <w:tcW w:w="1612" w:type="dxa"/>
            <w:tcBorders>
              <w:top w:val="single" w:color="000000"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仿宋"/>
                <w:color w:val="000000"/>
                <w:kern w:val="0"/>
                <w:szCs w:val="21"/>
              </w:rPr>
            </w:pPr>
            <w:r>
              <w:rPr>
                <w:rFonts w:hint="eastAsia" w:ascii="仿宋" w:hAnsi="仿宋" w:eastAsia="仿宋" w:cs="仿宋"/>
                <w:color w:val="000000"/>
                <w:kern w:val="0"/>
                <w:szCs w:val="21"/>
              </w:rPr>
              <w:t>数量（面积</w:t>
            </w:r>
            <w:r>
              <w:rPr>
                <w:rFonts w:hint="default" w:ascii="仿宋" w:hAnsi="仿宋" w:eastAsia="仿宋" w:cs="仿宋"/>
                <w:color w:val="000000"/>
                <w:kern w:val="0"/>
                <w:szCs w:val="21"/>
              </w:rPr>
              <w:t>/</w:t>
            </w:r>
            <w:r>
              <w:rPr>
                <w:rFonts w:hint="eastAsia" w:ascii="仿宋" w:hAnsi="仿宋" w:eastAsia="仿宋" w:cs="仿宋"/>
                <w:color w:val="000000"/>
                <w:kern w:val="0"/>
                <w:szCs w:val="21"/>
              </w:rPr>
              <w:t>户数）</w:t>
            </w:r>
          </w:p>
        </w:tc>
        <w:tc>
          <w:tcPr>
            <w:tcW w:w="1365" w:type="dxa"/>
            <w:tcBorders>
              <w:top w:val="single" w:color="000000"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仿宋"/>
                <w:color w:val="000000"/>
                <w:kern w:val="0"/>
                <w:szCs w:val="21"/>
              </w:rPr>
            </w:pPr>
            <w:r>
              <w:rPr>
                <w:rFonts w:hint="eastAsia" w:ascii="仿宋" w:hAnsi="仿宋" w:eastAsia="仿宋" w:cs="仿宋"/>
                <w:color w:val="000000"/>
                <w:kern w:val="0"/>
                <w:szCs w:val="21"/>
              </w:rPr>
              <w:t>单价</w:t>
            </w:r>
            <w:r>
              <w:rPr>
                <w:rFonts w:hint="eastAsia" w:ascii="仿宋" w:hAnsi="仿宋" w:eastAsia="仿宋" w:cs="仿宋"/>
                <w:szCs w:val="21"/>
              </w:rPr>
              <w:t>（元）</w:t>
            </w:r>
          </w:p>
        </w:tc>
        <w:tc>
          <w:tcPr>
            <w:tcW w:w="1559" w:type="dxa"/>
            <w:tcBorders>
              <w:top w:val="single" w:color="000000"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仿宋"/>
                <w:color w:val="000000"/>
                <w:kern w:val="0"/>
                <w:szCs w:val="21"/>
              </w:rPr>
            </w:pPr>
            <w:r>
              <w:rPr>
                <w:rFonts w:hint="eastAsia" w:ascii="仿宋" w:hAnsi="仿宋" w:eastAsia="仿宋" w:cs="仿宋"/>
                <w:color w:val="000000"/>
                <w:kern w:val="0"/>
                <w:szCs w:val="21"/>
              </w:rPr>
              <w:t>金额（元）</w:t>
            </w:r>
          </w:p>
        </w:tc>
        <w:tc>
          <w:tcPr>
            <w:tcW w:w="1186" w:type="dxa"/>
            <w:tcBorders>
              <w:top w:val="single" w:color="000000"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仿宋"/>
                <w:color w:val="000000"/>
                <w:kern w:val="0"/>
                <w:szCs w:val="21"/>
              </w:rPr>
            </w:pPr>
            <w:r>
              <w:rPr>
                <w:rFonts w:hint="eastAsia" w:ascii="仿宋" w:hAnsi="仿宋" w:eastAsia="仿宋" w:cs="仿宋"/>
                <w:color w:val="000000"/>
                <w:kern w:val="0"/>
                <w:szCs w:val="21"/>
              </w:rPr>
              <w:t>占总投资</w:t>
            </w:r>
          </w:p>
          <w:p>
            <w:pPr>
              <w:keepNext w:val="0"/>
              <w:keepLines w:val="0"/>
              <w:widowControl/>
              <w:suppressLineNumbers w:val="0"/>
              <w:spacing w:before="0" w:beforeAutospacing="0" w:after="0" w:afterAutospacing="0" w:line="576" w:lineRule="exact"/>
              <w:ind w:left="0" w:right="0"/>
              <w:jc w:val="center"/>
              <w:rPr>
                <w:rFonts w:hint="default" w:ascii="仿宋" w:hAnsi="仿宋" w:eastAsia="仿宋" w:cs="仿宋"/>
                <w:color w:val="000000"/>
                <w:kern w:val="0"/>
                <w:szCs w:val="21"/>
              </w:rPr>
            </w:pPr>
            <w:r>
              <w:rPr>
                <w:rFonts w:hint="eastAsia" w:ascii="仿宋" w:hAnsi="仿宋" w:eastAsia="仿宋" w:cs="仿宋"/>
                <w:color w:val="000000"/>
                <w:kern w:val="0"/>
                <w:szCs w:val="21"/>
              </w:rPr>
              <w:t>比例</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179"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b/>
                <w:bCs/>
                <w:color w:val="000000"/>
                <w:szCs w:val="21"/>
              </w:rPr>
            </w:pPr>
            <w:r>
              <w:rPr>
                <w:rFonts w:hint="eastAsia" w:ascii="仿宋" w:hAnsi="仿宋" w:eastAsia="仿宋"/>
                <w:b/>
                <w:bCs/>
                <w:color w:val="000000"/>
                <w:szCs w:val="21"/>
              </w:rPr>
              <w:t>一</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bCs/>
                <w:color w:val="000000"/>
                <w:szCs w:val="21"/>
              </w:rPr>
            </w:pPr>
            <w:r>
              <w:rPr>
                <w:rFonts w:hint="eastAsia" w:ascii="仿宋" w:hAnsi="仿宋" w:eastAsia="仿宋"/>
                <w:bCs/>
                <w:color w:val="000000"/>
                <w:szCs w:val="21"/>
              </w:rPr>
              <w:t>拆迁、补偿费用</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45024</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224</w:t>
            </w:r>
          </w:p>
        </w:tc>
        <w:tc>
          <w:tcPr>
            <w:tcW w:w="1365"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　</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20,298.33</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87.98%</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Cs w:val="21"/>
              </w:rPr>
            </w:pPr>
            <w:r>
              <w:rPr>
                <w:rFonts w:hint="default" w:ascii="Arial" w:hAnsi="Arial" w:eastAsia="仿宋" w:cs="Arial"/>
                <w:color w:val="000000"/>
                <w:szCs w:val="21"/>
              </w:rPr>
              <w:t>1</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color w:val="000000"/>
                <w:szCs w:val="21"/>
              </w:rPr>
            </w:pPr>
            <w:r>
              <w:rPr>
                <w:rFonts w:hint="eastAsia" w:ascii="仿宋" w:hAnsi="仿宋" w:eastAsia="仿宋"/>
                <w:color w:val="000000"/>
                <w:szCs w:val="21"/>
              </w:rPr>
              <w:t>安置房成本</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45</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024</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00</w:t>
            </w:r>
          </w:p>
        </w:tc>
        <w:tc>
          <w:tcPr>
            <w:tcW w:w="1365"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 xml:space="preserve">  3,275.81 </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17,698.81</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76.71%</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Cs w:val="21"/>
              </w:rPr>
            </w:pPr>
            <w:r>
              <w:rPr>
                <w:rFonts w:hint="default" w:ascii="Arial" w:hAnsi="Arial" w:eastAsia="仿宋" w:cs="Arial"/>
                <w:color w:val="000000"/>
                <w:szCs w:val="21"/>
              </w:rPr>
              <w:t>2</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color w:val="000000"/>
                <w:szCs w:val="21"/>
              </w:rPr>
            </w:pPr>
            <w:r>
              <w:rPr>
                <w:rFonts w:hint="eastAsia" w:ascii="仿宋" w:hAnsi="仿宋" w:eastAsia="仿宋"/>
                <w:color w:val="000000"/>
                <w:szCs w:val="21"/>
              </w:rPr>
              <w:t>搬迁补助</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224</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00</w:t>
            </w:r>
          </w:p>
        </w:tc>
        <w:tc>
          <w:tcPr>
            <w:tcW w:w="1365"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 xml:space="preserve">  3,000.00 </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67.20</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0.29%</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Cs w:val="21"/>
              </w:rPr>
            </w:pPr>
            <w:r>
              <w:rPr>
                <w:rFonts w:hint="default" w:ascii="Arial" w:hAnsi="Arial" w:eastAsia="仿宋" w:cs="Arial"/>
                <w:color w:val="000000"/>
                <w:szCs w:val="21"/>
              </w:rPr>
              <w:t>3</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color w:val="000000"/>
                <w:szCs w:val="21"/>
              </w:rPr>
            </w:pPr>
            <w:r>
              <w:rPr>
                <w:rFonts w:hint="eastAsia" w:ascii="仿宋" w:hAnsi="仿宋" w:eastAsia="仿宋"/>
                <w:color w:val="000000"/>
                <w:szCs w:val="21"/>
              </w:rPr>
              <w:t>安置补助</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224</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00</w:t>
            </w:r>
          </w:p>
        </w:tc>
        <w:tc>
          <w:tcPr>
            <w:tcW w:w="1365" w:type="dxa"/>
            <w:vAlign w:val="bottom"/>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 xml:space="preserve"> 40,800.00 </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913.92</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3.96%</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Cs w:val="21"/>
              </w:rPr>
            </w:pPr>
            <w:r>
              <w:rPr>
                <w:rFonts w:hint="default" w:ascii="Arial" w:hAnsi="Arial" w:eastAsia="仿宋" w:cs="Arial"/>
                <w:color w:val="000000"/>
                <w:szCs w:val="21"/>
              </w:rPr>
              <w:t>4</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color w:val="000000"/>
                <w:szCs w:val="21"/>
              </w:rPr>
            </w:pPr>
            <w:r>
              <w:rPr>
                <w:rFonts w:hint="eastAsia" w:ascii="仿宋" w:hAnsi="仿宋" w:eastAsia="仿宋"/>
                <w:color w:val="000000"/>
                <w:szCs w:val="21"/>
              </w:rPr>
              <w:t>配套设施补偿</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224</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00</w:t>
            </w:r>
          </w:p>
        </w:tc>
        <w:tc>
          <w:tcPr>
            <w:tcW w:w="1365" w:type="dxa"/>
            <w:vAlign w:val="bottom"/>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 xml:space="preserve">  2,000.00 </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44.80</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0.19%</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Cs w:val="21"/>
              </w:rPr>
            </w:pPr>
            <w:r>
              <w:rPr>
                <w:rFonts w:hint="default" w:ascii="Arial" w:hAnsi="Arial" w:eastAsia="仿宋" w:cs="Arial"/>
                <w:color w:val="000000"/>
                <w:szCs w:val="21"/>
              </w:rPr>
              <w:t>5</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color w:val="000000"/>
                <w:szCs w:val="21"/>
              </w:rPr>
            </w:pPr>
            <w:r>
              <w:rPr>
                <w:rFonts w:hint="eastAsia" w:ascii="仿宋" w:hAnsi="仿宋" w:eastAsia="仿宋"/>
                <w:color w:val="000000"/>
                <w:szCs w:val="21"/>
              </w:rPr>
              <w:t>房屋装修补偿</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45</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024</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00</w:t>
            </w:r>
          </w:p>
        </w:tc>
        <w:tc>
          <w:tcPr>
            <w:tcW w:w="1365" w:type="dxa"/>
            <w:vAlign w:val="bottom"/>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 xml:space="preserve">    250.00 </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1,125.60</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4.88%</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Cs w:val="21"/>
              </w:rPr>
            </w:pPr>
            <w:r>
              <w:rPr>
                <w:rFonts w:hint="default" w:ascii="Arial" w:hAnsi="Arial" w:eastAsia="仿宋" w:cs="Arial"/>
                <w:color w:val="000000"/>
                <w:szCs w:val="21"/>
              </w:rPr>
              <w:t>6</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color w:val="000000"/>
                <w:szCs w:val="21"/>
              </w:rPr>
            </w:pPr>
            <w:r>
              <w:rPr>
                <w:rFonts w:hint="eastAsia" w:ascii="仿宋" w:hAnsi="仿宋" w:eastAsia="仿宋"/>
                <w:color w:val="000000"/>
                <w:szCs w:val="21"/>
              </w:rPr>
              <w:t>提前搬迁奖励</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224</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00</w:t>
            </w:r>
          </w:p>
        </w:tc>
        <w:tc>
          <w:tcPr>
            <w:tcW w:w="1365"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20000</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448.00</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1.94%</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b/>
                <w:bCs/>
                <w:color w:val="000000"/>
                <w:szCs w:val="21"/>
              </w:rPr>
            </w:pPr>
            <w:r>
              <w:rPr>
                <w:rFonts w:hint="eastAsia" w:ascii="仿宋" w:hAnsi="仿宋" w:eastAsia="仿宋"/>
                <w:b/>
                <w:bCs/>
                <w:color w:val="000000"/>
                <w:szCs w:val="21"/>
              </w:rPr>
              <w:t>二</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bCs/>
                <w:color w:val="000000"/>
                <w:szCs w:val="21"/>
              </w:rPr>
            </w:pPr>
            <w:r>
              <w:rPr>
                <w:rFonts w:hint="eastAsia" w:ascii="仿宋" w:hAnsi="仿宋" w:eastAsia="仿宋"/>
                <w:bCs/>
                <w:color w:val="000000"/>
                <w:szCs w:val="21"/>
              </w:rPr>
              <w:t>土地平整费用</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116</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024</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00</w:t>
            </w:r>
          </w:p>
        </w:tc>
        <w:tc>
          <w:tcPr>
            <w:tcW w:w="1365"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46</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533.71</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2.31%</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b/>
                <w:bCs/>
                <w:color w:val="000000"/>
                <w:szCs w:val="21"/>
              </w:rPr>
            </w:pPr>
            <w:r>
              <w:rPr>
                <w:rFonts w:hint="eastAsia" w:ascii="仿宋" w:hAnsi="仿宋" w:eastAsia="仿宋"/>
                <w:b/>
                <w:bCs/>
                <w:color w:val="000000"/>
                <w:szCs w:val="21"/>
              </w:rPr>
              <w:t>三</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bCs/>
                <w:color w:val="000000"/>
                <w:szCs w:val="21"/>
              </w:rPr>
            </w:pPr>
            <w:r>
              <w:rPr>
                <w:rFonts w:hint="eastAsia" w:ascii="仿宋" w:hAnsi="仿宋" w:eastAsia="仿宋"/>
                <w:bCs/>
                <w:color w:val="000000"/>
                <w:szCs w:val="21"/>
              </w:rPr>
              <w:t>预备费</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p>
        </w:tc>
        <w:tc>
          <w:tcPr>
            <w:tcW w:w="1365"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5%</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1,041.60</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4.51%</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b/>
                <w:bCs/>
                <w:color w:val="000000"/>
                <w:szCs w:val="21"/>
              </w:rPr>
            </w:pPr>
            <w:r>
              <w:rPr>
                <w:rFonts w:hint="eastAsia" w:ascii="仿宋" w:hAnsi="仿宋" w:eastAsia="仿宋"/>
                <w:b/>
                <w:bCs/>
                <w:color w:val="000000"/>
                <w:szCs w:val="21"/>
              </w:rPr>
              <w:t>四</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bCs/>
                <w:color w:val="000000"/>
                <w:szCs w:val="21"/>
              </w:rPr>
            </w:pPr>
            <w:r>
              <w:rPr>
                <w:rFonts w:hint="eastAsia" w:ascii="仿宋" w:hAnsi="仿宋" w:eastAsia="仿宋"/>
                <w:bCs/>
                <w:color w:val="000000"/>
                <w:szCs w:val="21"/>
              </w:rPr>
              <w:t>其他费用</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p>
        </w:tc>
        <w:tc>
          <w:tcPr>
            <w:tcW w:w="1365"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1.00%</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208.32</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0.92%</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672" w:type="dxa"/>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b/>
                <w:bCs/>
                <w:color w:val="000000"/>
                <w:szCs w:val="21"/>
              </w:rPr>
            </w:pPr>
            <w:r>
              <w:rPr>
                <w:rFonts w:hint="eastAsia" w:ascii="仿宋" w:hAnsi="仿宋" w:eastAsia="仿宋"/>
                <w:b/>
                <w:bCs/>
                <w:color w:val="000000"/>
                <w:szCs w:val="21"/>
              </w:rPr>
              <w:t>五</w:t>
            </w:r>
          </w:p>
        </w:tc>
        <w:tc>
          <w:tcPr>
            <w:tcW w:w="1766" w:type="dxa"/>
            <w:vAlign w:val="center"/>
          </w:tcPr>
          <w:p>
            <w:pPr>
              <w:keepNext w:val="0"/>
              <w:keepLines w:val="0"/>
              <w:suppressLineNumbers w:val="0"/>
              <w:spacing w:before="0" w:beforeAutospacing="0" w:after="0" w:afterAutospacing="0" w:line="576" w:lineRule="exact"/>
              <w:ind w:left="0" w:right="0"/>
              <w:rPr>
                <w:rFonts w:hint="default" w:ascii="仿宋" w:hAnsi="仿宋" w:eastAsia="仿宋" w:cs="宋体"/>
                <w:bCs/>
                <w:color w:val="000000"/>
                <w:szCs w:val="21"/>
              </w:rPr>
            </w:pPr>
            <w:r>
              <w:rPr>
                <w:rFonts w:hint="eastAsia" w:ascii="仿宋" w:hAnsi="仿宋" w:eastAsia="仿宋"/>
                <w:bCs/>
                <w:color w:val="000000"/>
                <w:szCs w:val="21"/>
              </w:rPr>
              <w:t>建设期利息</w:t>
            </w:r>
          </w:p>
        </w:tc>
        <w:tc>
          <w:tcPr>
            <w:tcW w:w="1612"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p>
        </w:tc>
        <w:tc>
          <w:tcPr>
            <w:tcW w:w="1365"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　</w:t>
            </w:r>
          </w:p>
        </w:tc>
        <w:tc>
          <w:tcPr>
            <w:tcW w:w="1559" w:type="dxa"/>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Arial" w:hAnsi="Arial" w:eastAsia="仿宋" w:cs="Arial"/>
                <w:bCs/>
                <w:color w:val="000000"/>
                <w:kern w:val="0"/>
                <w:sz w:val="18"/>
                <w:szCs w:val="18"/>
              </w:rPr>
            </w:pPr>
            <w:r>
              <w:rPr>
                <w:rFonts w:hint="default" w:ascii="Arial" w:hAnsi="Arial" w:eastAsia="仿宋" w:cs="Arial"/>
                <w:bCs/>
                <w:color w:val="000000"/>
                <w:kern w:val="0"/>
                <w:sz w:val="18"/>
                <w:szCs w:val="18"/>
              </w:rPr>
              <w:t>990.04</w:t>
            </w:r>
          </w:p>
        </w:tc>
        <w:tc>
          <w:tcPr>
            <w:tcW w:w="1186" w:type="dxa"/>
            <w:vAlign w:val="bottom"/>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仿宋" w:hAnsi="仿宋" w:eastAsia="仿宋"/>
                <w:color w:val="000000"/>
                <w:szCs w:val="21"/>
              </w:rPr>
              <w:t>4.29%</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438" w:type="dxa"/>
            <w:gridSpan w:val="2"/>
            <w:tcBorders>
              <w:bottom w:val="single" w:color="000000"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仿宋"/>
                <w:color w:val="000000"/>
                <w:kern w:val="0"/>
                <w:szCs w:val="21"/>
              </w:rPr>
            </w:pPr>
            <w:r>
              <w:rPr>
                <w:rFonts w:hint="eastAsia" w:ascii="仿宋" w:hAnsi="仿宋" w:eastAsia="仿宋" w:cs="仿宋"/>
                <w:color w:val="000000"/>
                <w:kern w:val="0"/>
                <w:szCs w:val="21"/>
              </w:rPr>
              <w:t>总投资</w:t>
            </w:r>
          </w:p>
        </w:tc>
        <w:tc>
          <w:tcPr>
            <w:tcW w:w="1612" w:type="dxa"/>
            <w:tcBorders>
              <w:bottom w:val="single" w:color="000000" w:sz="12" w:space="0"/>
            </w:tcBorders>
            <w:vAlign w:val="center"/>
          </w:tcPr>
          <w:p>
            <w:pPr>
              <w:keepNext w:val="0"/>
              <w:keepLines w:val="0"/>
              <w:widowControl/>
              <w:suppressLineNumbers w:val="0"/>
              <w:spacing w:before="0" w:beforeAutospacing="0" w:after="0" w:afterAutospacing="0" w:line="576" w:lineRule="exact"/>
              <w:ind w:left="0" w:right="0"/>
              <w:jc w:val="center"/>
              <w:textAlignment w:val="bottom"/>
              <w:rPr>
                <w:rFonts w:hint="default" w:ascii="仿宋" w:hAnsi="仿宋" w:eastAsia="仿宋" w:cs="仿宋"/>
                <w:bCs/>
                <w:color w:val="000000"/>
                <w:kern w:val="0"/>
                <w:sz w:val="18"/>
                <w:szCs w:val="18"/>
              </w:rPr>
            </w:pPr>
          </w:p>
        </w:tc>
        <w:tc>
          <w:tcPr>
            <w:tcW w:w="1365" w:type="dxa"/>
            <w:tcBorders>
              <w:bottom w:val="single" w:color="000000" w:sz="12" w:space="0"/>
            </w:tcBorders>
            <w:vAlign w:val="center"/>
          </w:tcPr>
          <w:p>
            <w:pPr>
              <w:keepNext w:val="0"/>
              <w:keepLines w:val="0"/>
              <w:suppressLineNumbers w:val="0"/>
              <w:spacing w:before="0" w:beforeAutospacing="0" w:after="0" w:afterAutospacing="0" w:line="576" w:lineRule="exact"/>
              <w:ind w:left="0" w:right="0"/>
              <w:jc w:val="center"/>
              <w:textAlignment w:val="bottom"/>
              <w:rPr>
                <w:rFonts w:hint="default" w:ascii="仿宋" w:hAnsi="仿宋" w:eastAsia="仿宋" w:cs="仿宋"/>
                <w:bCs/>
                <w:color w:val="000000"/>
                <w:kern w:val="0"/>
                <w:sz w:val="18"/>
                <w:szCs w:val="18"/>
              </w:rPr>
            </w:pPr>
          </w:p>
        </w:tc>
        <w:tc>
          <w:tcPr>
            <w:tcW w:w="1559" w:type="dxa"/>
            <w:tcBorders>
              <w:bottom w:val="single" w:color="000000" w:sz="12" w:space="0"/>
            </w:tcBorders>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23</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072</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00</w:t>
            </w:r>
          </w:p>
        </w:tc>
        <w:tc>
          <w:tcPr>
            <w:tcW w:w="1186" w:type="dxa"/>
            <w:tcBorders>
              <w:bottom w:val="single" w:color="000000" w:sz="12" w:space="0"/>
            </w:tcBorders>
            <w:vAlign w:val="center"/>
          </w:tcPr>
          <w:p>
            <w:pPr>
              <w:keepNext w:val="0"/>
              <w:keepLines w:val="0"/>
              <w:widowControl/>
              <w:suppressLineNumbers w:val="0"/>
              <w:spacing w:before="0" w:beforeAutospacing="0" w:after="0" w:afterAutospacing="0" w:line="576" w:lineRule="exact"/>
              <w:ind w:left="0" w:right="0"/>
              <w:jc w:val="right"/>
              <w:textAlignment w:val="bottom"/>
              <w:rPr>
                <w:rFonts w:hint="default" w:ascii="仿宋" w:hAnsi="仿宋" w:eastAsia="仿宋" w:cs="仿宋"/>
                <w:bCs/>
                <w:color w:val="000000"/>
                <w:kern w:val="0"/>
                <w:sz w:val="18"/>
                <w:szCs w:val="18"/>
              </w:rPr>
            </w:pPr>
            <w:r>
              <w:rPr>
                <w:rFonts w:hint="default" w:ascii="Arial" w:hAnsi="Arial" w:eastAsia="仿宋" w:cs="Arial"/>
                <w:bCs/>
                <w:color w:val="000000"/>
                <w:kern w:val="0"/>
                <w:sz w:val="18"/>
                <w:szCs w:val="18"/>
              </w:rPr>
              <w:t>100</w:t>
            </w:r>
            <w:r>
              <w:rPr>
                <w:rFonts w:hint="default" w:ascii="仿宋" w:hAnsi="仿宋" w:eastAsia="仿宋" w:cs="仿宋"/>
                <w:bCs/>
                <w:color w:val="000000"/>
                <w:kern w:val="0"/>
                <w:sz w:val="18"/>
                <w:szCs w:val="18"/>
              </w:rPr>
              <w:t>.</w:t>
            </w:r>
            <w:r>
              <w:rPr>
                <w:rFonts w:hint="default" w:ascii="Arial" w:hAnsi="Arial" w:eastAsia="仿宋" w:cs="Arial"/>
                <w:bCs/>
                <w:color w:val="000000"/>
                <w:kern w:val="0"/>
                <w:sz w:val="18"/>
                <w:szCs w:val="18"/>
              </w:rPr>
              <w:t>00</w:t>
            </w:r>
            <w:r>
              <w:rPr>
                <w:rFonts w:hint="default" w:ascii="仿宋" w:hAnsi="仿宋" w:eastAsia="仿宋" w:cs="仿宋"/>
                <w:bCs/>
                <w:color w:val="000000"/>
                <w:kern w:val="0"/>
                <w:sz w:val="18"/>
                <w:szCs w:val="18"/>
              </w:rPr>
              <w:t>%</w:t>
            </w:r>
          </w:p>
        </w:tc>
      </w:tr>
      <w:bookmarkEnd w:id="39"/>
      <w:bookmarkEnd w:id="40"/>
      <w:bookmarkEnd w:id="41"/>
    </w:tbl>
    <w:p>
      <w:pPr>
        <w:pStyle w:val="5"/>
        <w:spacing w:before="0" w:after="0" w:line="576" w:lineRule="exact"/>
        <w:ind w:firstLine="560" w:firstLineChars="200"/>
        <w:rPr>
          <w:rFonts w:ascii="仿宋" w:hAnsi="仿宋" w:eastAsia="仿宋"/>
          <w:kern w:val="2"/>
          <w:sz w:val="28"/>
          <w:szCs w:val="28"/>
          <w:lang w:val="en-US"/>
        </w:rPr>
      </w:pPr>
      <w:bookmarkStart w:id="42" w:name="_Toc32848144"/>
      <w:bookmarkStart w:id="43" w:name="_Toc15769"/>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拆迁补偿标准为：搬迁补助为</w:t>
      </w:r>
      <w:r>
        <w:rPr>
          <w:rFonts w:ascii="Arial" w:hAnsi="Arial" w:eastAsia="仿宋" w:cs="Arial"/>
          <w:kern w:val="2"/>
          <w:sz w:val="28"/>
          <w:szCs w:val="28"/>
          <w:lang w:val="en-US"/>
        </w:rPr>
        <w:t>500</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w:t>
      </w:r>
      <w:r>
        <w:rPr>
          <w:rFonts w:ascii="仿宋" w:hAnsi="仿宋" w:eastAsia="仿宋"/>
          <w:kern w:val="2"/>
          <w:sz w:val="28"/>
          <w:szCs w:val="28"/>
          <w:lang w:val="en-US"/>
        </w:rPr>
        <w:t>/</w:t>
      </w:r>
      <w:r>
        <w:rPr>
          <w:rFonts w:hint="eastAsia" w:ascii="仿宋" w:hAnsi="仿宋" w:eastAsia="仿宋"/>
          <w:kern w:val="2"/>
          <w:sz w:val="28"/>
          <w:szCs w:val="28"/>
          <w:lang w:val="en-US"/>
        </w:rPr>
        <w:t>人，安置补助为</w:t>
      </w:r>
      <w:r>
        <w:rPr>
          <w:rFonts w:ascii="Arial" w:hAnsi="Arial" w:eastAsia="仿宋" w:cs="Arial"/>
          <w:kern w:val="2"/>
          <w:sz w:val="28"/>
          <w:szCs w:val="28"/>
          <w:lang w:val="en-US"/>
        </w:rPr>
        <w:t>400</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w:t>
      </w:r>
      <w:r>
        <w:rPr>
          <w:rFonts w:ascii="仿宋" w:hAnsi="仿宋" w:eastAsia="仿宋"/>
          <w:kern w:val="2"/>
          <w:sz w:val="28"/>
          <w:szCs w:val="28"/>
          <w:lang w:val="en-US"/>
        </w:rPr>
        <w:t>/</w:t>
      </w:r>
      <w:r>
        <w:rPr>
          <w:rFonts w:hint="eastAsia" w:ascii="仿宋" w:hAnsi="仿宋" w:eastAsia="仿宋"/>
          <w:kern w:val="2"/>
          <w:sz w:val="28"/>
          <w:szCs w:val="28"/>
          <w:lang w:val="en-US"/>
        </w:rPr>
        <w:t>人</w:t>
      </w:r>
      <w:r>
        <w:rPr>
          <w:rFonts w:ascii="仿宋" w:hAnsi="仿宋" w:eastAsia="仿宋"/>
          <w:kern w:val="2"/>
          <w:sz w:val="28"/>
          <w:szCs w:val="28"/>
          <w:lang w:val="en-US"/>
        </w:rPr>
        <w:t>•</w:t>
      </w:r>
      <w:r>
        <w:rPr>
          <w:rFonts w:hint="eastAsia" w:ascii="仿宋" w:hAnsi="仿宋" w:eastAsia="仿宋"/>
          <w:kern w:val="2"/>
          <w:sz w:val="28"/>
          <w:szCs w:val="28"/>
          <w:lang w:val="en-US"/>
        </w:rPr>
        <w:t>月，电话、水、电、气、闭路电视的室内管线设施补偿标准为</w:t>
      </w:r>
      <w:r>
        <w:rPr>
          <w:rFonts w:ascii="Arial" w:hAnsi="Arial" w:eastAsia="仿宋" w:cs="Arial"/>
          <w:kern w:val="2"/>
          <w:sz w:val="28"/>
          <w:szCs w:val="28"/>
          <w:lang w:val="en-US"/>
        </w:rPr>
        <w:t>400</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w:t>
      </w:r>
      <w:r>
        <w:rPr>
          <w:rFonts w:ascii="仿宋" w:hAnsi="仿宋" w:eastAsia="仿宋"/>
          <w:kern w:val="2"/>
          <w:sz w:val="28"/>
          <w:szCs w:val="28"/>
          <w:lang w:val="en-US"/>
        </w:rPr>
        <w:t>/</w:t>
      </w:r>
      <w:r>
        <w:rPr>
          <w:rFonts w:hint="eastAsia" w:ascii="仿宋" w:hAnsi="仿宋" w:eastAsia="仿宋"/>
          <w:kern w:val="2"/>
          <w:sz w:val="28"/>
          <w:szCs w:val="28"/>
          <w:lang w:val="en-US"/>
        </w:rPr>
        <w:t>每项，装修补偿标准为精装修</w:t>
      </w:r>
      <w:r>
        <w:rPr>
          <w:rFonts w:ascii="Arial" w:hAnsi="Arial" w:eastAsia="仿宋" w:cs="Arial"/>
          <w:kern w:val="2"/>
          <w:sz w:val="28"/>
          <w:szCs w:val="28"/>
          <w:lang w:val="en-US"/>
        </w:rPr>
        <w:t>500</w:t>
      </w:r>
      <w:r>
        <w:rPr>
          <w:rFonts w:hint="eastAsia" w:ascii="仿宋" w:hAnsi="仿宋" w:eastAsia="仿宋"/>
          <w:kern w:val="2"/>
          <w:sz w:val="28"/>
          <w:szCs w:val="28"/>
          <w:lang w:val="en-US"/>
        </w:rPr>
        <w:t>元</w:t>
      </w:r>
      <w:r>
        <w:rPr>
          <w:rFonts w:ascii="仿宋" w:hAnsi="仿宋" w:eastAsia="仿宋"/>
          <w:kern w:val="2"/>
          <w:sz w:val="28"/>
          <w:szCs w:val="28"/>
          <w:lang w:val="en-US"/>
        </w:rPr>
        <w:t>/</w:t>
      </w:r>
      <w:r>
        <w:rPr>
          <w:rFonts w:hint="eastAsia" w:ascii="仿宋" w:hAnsi="仿宋" w:eastAsia="仿宋"/>
          <w:kern w:val="2"/>
          <w:sz w:val="28"/>
          <w:szCs w:val="28"/>
          <w:lang w:val="en-US"/>
        </w:rPr>
        <w:t>平方米、中等装修</w:t>
      </w:r>
      <w:r>
        <w:rPr>
          <w:rFonts w:ascii="Arial" w:hAnsi="Arial" w:eastAsia="仿宋" w:cs="Arial"/>
          <w:kern w:val="2"/>
          <w:sz w:val="28"/>
          <w:szCs w:val="28"/>
          <w:lang w:val="en-US"/>
        </w:rPr>
        <w:t>300</w:t>
      </w:r>
      <w:r>
        <w:rPr>
          <w:rFonts w:hint="eastAsia" w:ascii="仿宋" w:hAnsi="仿宋" w:eastAsia="仿宋"/>
          <w:kern w:val="2"/>
          <w:sz w:val="28"/>
          <w:szCs w:val="28"/>
          <w:lang w:val="en-US"/>
        </w:rPr>
        <w:t>元</w:t>
      </w:r>
      <w:r>
        <w:rPr>
          <w:rFonts w:ascii="仿宋" w:hAnsi="仿宋" w:eastAsia="仿宋"/>
          <w:kern w:val="2"/>
          <w:sz w:val="28"/>
          <w:szCs w:val="28"/>
          <w:lang w:val="en-US"/>
        </w:rPr>
        <w:t>/</w:t>
      </w:r>
      <w:r>
        <w:rPr>
          <w:rFonts w:hint="eastAsia" w:ascii="仿宋" w:hAnsi="仿宋" w:eastAsia="仿宋"/>
          <w:kern w:val="2"/>
          <w:sz w:val="28"/>
          <w:szCs w:val="28"/>
          <w:lang w:val="en-US"/>
        </w:rPr>
        <w:t>平方米、一般装修</w:t>
      </w:r>
      <w:r>
        <w:rPr>
          <w:rFonts w:ascii="Arial" w:hAnsi="Arial" w:eastAsia="仿宋" w:cs="Arial"/>
          <w:kern w:val="2"/>
          <w:sz w:val="28"/>
          <w:szCs w:val="28"/>
          <w:lang w:val="en-US"/>
        </w:rPr>
        <w:t>200</w:t>
      </w:r>
      <w:r>
        <w:rPr>
          <w:rFonts w:hint="eastAsia" w:ascii="仿宋" w:hAnsi="仿宋" w:eastAsia="仿宋"/>
          <w:kern w:val="2"/>
          <w:sz w:val="28"/>
          <w:szCs w:val="28"/>
          <w:lang w:val="en-US"/>
        </w:rPr>
        <w:t>元</w:t>
      </w:r>
      <w:r>
        <w:rPr>
          <w:rFonts w:ascii="仿宋" w:hAnsi="仿宋" w:eastAsia="仿宋"/>
          <w:kern w:val="2"/>
          <w:sz w:val="28"/>
          <w:szCs w:val="28"/>
          <w:lang w:val="en-US"/>
        </w:rPr>
        <w:t>/</w:t>
      </w:r>
      <w:r>
        <w:rPr>
          <w:rFonts w:hint="eastAsia" w:ascii="仿宋" w:hAnsi="仿宋" w:eastAsia="仿宋"/>
          <w:kern w:val="2"/>
          <w:sz w:val="28"/>
          <w:szCs w:val="28"/>
          <w:lang w:val="en-US"/>
        </w:rPr>
        <w:t>平方米，提前搬迁奖励为</w:t>
      </w:r>
      <w:r>
        <w:rPr>
          <w:rFonts w:ascii="Arial" w:hAnsi="Arial" w:eastAsia="仿宋" w:cs="Arial"/>
          <w:kern w:val="2"/>
          <w:sz w:val="28"/>
          <w:szCs w:val="28"/>
          <w:lang w:val="en-US"/>
        </w:rPr>
        <w:t>20</w:t>
      </w:r>
      <w:r>
        <w:rPr>
          <w:rFonts w:ascii="仿宋" w:hAnsi="仿宋" w:eastAsia="仿宋"/>
          <w:kern w:val="2"/>
          <w:sz w:val="28"/>
          <w:szCs w:val="28"/>
          <w:lang w:val="en-US"/>
        </w:rPr>
        <w:t>,</w:t>
      </w:r>
      <w:r>
        <w:rPr>
          <w:rFonts w:ascii="Arial" w:hAnsi="Arial" w:eastAsia="仿宋" w:cs="Arial"/>
          <w:kern w:val="2"/>
          <w:sz w:val="28"/>
          <w:szCs w:val="28"/>
          <w:lang w:val="en-US"/>
        </w:rPr>
        <w:t>000</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元</w:t>
      </w:r>
      <w:r>
        <w:rPr>
          <w:rFonts w:ascii="仿宋" w:hAnsi="仿宋" w:eastAsia="仿宋"/>
          <w:kern w:val="2"/>
          <w:sz w:val="28"/>
          <w:szCs w:val="28"/>
          <w:lang w:val="en-US"/>
        </w:rPr>
        <w:t>/</w:t>
      </w:r>
      <w:r>
        <w:rPr>
          <w:rFonts w:hint="eastAsia" w:ascii="仿宋" w:hAnsi="仿宋" w:eastAsia="仿宋"/>
          <w:kern w:val="2"/>
          <w:sz w:val="28"/>
          <w:szCs w:val="28"/>
          <w:lang w:val="en-US"/>
        </w:rPr>
        <w:t>户。</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产权置换安置标准为：在县城指定规划区域内购买商品房的，自建房以认定可安置住房面积按</w:t>
      </w:r>
      <w:r>
        <w:rPr>
          <w:rFonts w:ascii="Arial" w:hAnsi="Arial" w:eastAsia="仿宋" w:cs="Arial"/>
          <w:kern w:val="2"/>
          <w:sz w:val="28"/>
          <w:szCs w:val="28"/>
          <w:lang w:val="en-US"/>
        </w:rPr>
        <w:t>1</w:t>
      </w:r>
      <w:r>
        <w:rPr>
          <w:rFonts w:hint="eastAsia" w:ascii="仿宋" w:hAnsi="仿宋" w:eastAsia="仿宋"/>
          <w:kern w:val="2"/>
          <w:sz w:val="28"/>
          <w:szCs w:val="28"/>
          <w:lang w:val="en-US"/>
        </w:rPr>
        <w:t>：</w:t>
      </w:r>
      <w:r>
        <w:rPr>
          <w:rFonts w:ascii="Arial" w:hAnsi="Arial" w:eastAsia="仿宋" w:cs="Arial"/>
          <w:kern w:val="2"/>
          <w:sz w:val="28"/>
          <w:szCs w:val="28"/>
          <w:lang w:val="en-US"/>
        </w:rPr>
        <w:t>1</w:t>
      </w:r>
      <w:r>
        <w:rPr>
          <w:rFonts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置换产权；单元房以认定可安置住房面积按</w:t>
      </w:r>
      <w:r>
        <w:rPr>
          <w:rFonts w:ascii="Arial" w:hAnsi="Arial" w:eastAsia="仿宋" w:cs="Arial"/>
          <w:kern w:val="2"/>
          <w:sz w:val="28"/>
          <w:szCs w:val="28"/>
          <w:lang w:val="en-US"/>
        </w:rPr>
        <w:t>1</w:t>
      </w:r>
      <w:r>
        <w:rPr>
          <w:rFonts w:hint="eastAsia" w:ascii="仿宋" w:hAnsi="仿宋" w:eastAsia="仿宋"/>
          <w:kern w:val="2"/>
          <w:sz w:val="28"/>
          <w:szCs w:val="28"/>
          <w:lang w:val="en-US"/>
        </w:rPr>
        <w:t>：</w:t>
      </w:r>
      <w:r>
        <w:rPr>
          <w:rFonts w:ascii="Arial" w:hAnsi="Arial" w:eastAsia="仿宋" w:cs="Arial"/>
          <w:kern w:val="2"/>
          <w:sz w:val="28"/>
          <w:szCs w:val="28"/>
          <w:lang w:val="en-US"/>
        </w:rPr>
        <w:t>1</w:t>
      </w:r>
      <w:r>
        <w:rPr>
          <w:rFonts w:ascii="仿宋" w:hAnsi="仿宋" w:eastAsia="仿宋"/>
          <w:kern w:val="2"/>
          <w:sz w:val="28"/>
          <w:szCs w:val="28"/>
          <w:lang w:val="en-US"/>
        </w:rPr>
        <w:t>.</w:t>
      </w:r>
      <w:r>
        <w:rPr>
          <w:rFonts w:ascii="Arial" w:hAnsi="Arial" w:eastAsia="仿宋" w:cs="Arial"/>
          <w:kern w:val="2"/>
          <w:sz w:val="28"/>
          <w:szCs w:val="28"/>
          <w:lang w:val="en-US"/>
        </w:rPr>
        <w:t>1</w:t>
      </w:r>
      <w:r>
        <w:rPr>
          <w:rFonts w:hint="eastAsia" w:ascii="仿宋" w:hAnsi="仿宋" w:eastAsia="仿宋"/>
          <w:kern w:val="2"/>
          <w:sz w:val="28"/>
          <w:szCs w:val="28"/>
          <w:lang w:val="en-US"/>
        </w:rPr>
        <w:t>进行置换产权。</w:t>
      </w:r>
    </w:p>
    <w:p>
      <w:pPr>
        <w:pStyle w:val="5"/>
        <w:spacing w:line="576" w:lineRule="exact"/>
      </w:pPr>
    </w:p>
    <w:p>
      <w:pPr>
        <w:pStyle w:val="3"/>
        <w:spacing w:beforeLines="50" w:after="156" w:line="576" w:lineRule="exact"/>
        <w:rPr>
          <w:rFonts w:ascii="仿宋" w:hAnsi="仿宋" w:eastAsia="仿宋"/>
          <w:sz w:val="30"/>
          <w:szCs w:val="30"/>
        </w:rPr>
      </w:pPr>
      <w:r>
        <w:rPr>
          <w:rFonts w:hint="eastAsia" w:ascii="仿宋" w:hAnsi="仿宋" w:eastAsia="仿宋"/>
          <w:sz w:val="30"/>
          <w:szCs w:val="30"/>
        </w:rPr>
        <w:t>资金筹措方案</w:t>
      </w:r>
      <w:bookmarkEnd w:id="42"/>
      <w:bookmarkEnd w:id="43"/>
    </w:p>
    <w:p>
      <w:pPr>
        <w:pStyle w:val="5"/>
        <w:spacing w:beforeLines="50" w:afterLines="50" w:line="576" w:lineRule="exact"/>
        <w:ind w:firstLine="560" w:firstLineChars="200"/>
        <w:outlineLvl w:val="2"/>
        <w:rPr>
          <w:rFonts w:ascii="仿宋" w:hAnsi="仿宋" w:eastAsia="仿宋"/>
          <w:kern w:val="2"/>
          <w:sz w:val="28"/>
          <w:szCs w:val="28"/>
          <w:lang w:val="en-US"/>
        </w:rPr>
      </w:pPr>
      <w:bookmarkStart w:id="44" w:name="_Toc498385729"/>
      <w:bookmarkStart w:id="45" w:name="_Toc498385061"/>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资金来源</w:t>
      </w:r>
      <w:bookmarkEnd w:id="44"/>
      <w:bookmarkEnd w:id="45"/>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本项目总投资为</w:t>
      </w:r>
      <w:r>
        <w:rPr>
          <w:rFonts w:ascii="Arial" w:hAnsi="Arial" w:eastAsia="仿宋" w:cs="Arial"/>
          <w:kern w:val="2"/>
          <w:sz w:val="28"/>
          <w:szCs w:val="28"/>
          <w:lang w:val="en-US"/>
        </w:rPr>
        <w:t>23</w:t>
      </w:r>
      <w:r>
        <w:rPr>
          <w:rFonts w:ascii="仿宋" w:hAnsi="仿宋" w:eastAsia="仿宋"/>
          <w:kern w:val="2"/>
          <w:sz w:val="28"/>
          <w:szCs w:val="28"/>
          <w:lang w:val="en-US"/>
        </w:rPr>
        <w:t>,</w:t>
      </w:r>
      <w:r>
        <w:rPr>
          <w:rFonts w:ascii="Arial" w:hAnsi="Arial" w:eastAsia="仿宋" w:cs="Arial"/>
          <w:kern w:val="2"/>
          <w:sz w:val="28"/>
          <w:szCs w:val="28"/>
          <w:lang w:val="en-US"/>
        </w:rPr>
        <w:t>072</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万元，其中发行专项债券筹集资金</w:t>
      </w:r>
      <w:r>
        <w:rPr>
          <w:rFonts w:ascii="Arial" w:hAnsi="Arial" w:eastAsia="仿宋" w:cs="Arial"/>
          <w:kern w:val="2"/>
          <w:sz w:val="28"/>
          <w:szCs w:val="28"/>
          <w:lang w:val="en-US"/>
        </w:rPr>
        <w:t>18</w:t>
      </w:r>
      <w:r>
        <w:rPr>
          <w:rFonts w:ascii="仿宋" w:hAnsi="仿宋" w:eastAsia="仿宋"/>
          <w:kern w:val="2"/>
          <w:sz w:val="28"/>
          <w:szCs w:val="28"/>
          <w:lang w:val="en-US"/>
        </w:rPr>
        <w:t>,</w:t>
      </w:r>
      <w:r>
        <w:rPr>
          <w:rFonts w:ascii="Arial" w:hAnsi="Arial" w:eastAsia="仿宋" w:cs="Arial"/>
          <w:kern w:val="2"/>
          <w:sz w:val="28"/>
          <w:szCs w:val="28"/>
          <w:lang w:val="en-US"/>
        </w:rPr>
        <w:t>172</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万元，占</w:t>
      </w:r>
      <w:r>
        <w:rPr>
          <w:rFonts w:ascii="Arial" w:hAnsi="Arial" w:eastAsia="仿宋" w:cs="Arial"/>
          <w:kern w:val="2"/>
          <w:sz w:val="28"/>
          <w:szCs w:val="28"/>
          <w:lang w:val="en-US"/>
        </w:rPr>
        <w:t>78</w:t>
      </w:r>
      <w:r>
        <w:rPr>
          <w:rFonts w:ascii="仿宋" w:hAnsi="仿宋" w:eastAsia="仿宋"/>
          <w:kern w:val="2"/>
          <w:sz w:val="28"/>
          <w:szCs w:val="28"/>
          <w:lang w:val="en-US"/>
        </w:rPr>
        <w:t>.</w:t>
      </w:r>
      <w:r>
        <w:rPr>
          <w:rFonts w:ascii="Arial" w:hAnsi="Arial" w:eastAsia="仿宋" w:cs="Arial"/>
          <w:kern w:val="2"/>
          <w:sz w:val="28"/>
          <w:szCs w:val="28"/>
          <w:lang w:val="en-US"/>
        </w:rPr>
        <w:t>76</w:t>
      </w:r>
      <w:r>
        <w:rPr>
          <w:rFonts w:ascii="仿宋" w:hAnsi="仿宋" w:eastAsia="仿宋"/>
          <w:kern w:val="2"/>
          <w:sz w:val="28"/>
          <w:szCs w:val="28"/>
          <w:lang w:val="en-US"/>
        </w:rPr>
        <w:t>%</w:t>
      </w:r>
      <w:r>
        <w:rPr>
          <w:rFonts w:hint="eastAsia" w:ascii="仿宋" w:hAnsi="仿宋" w:eastAsia="仿宋"/>
          <w:kern w:val="2"/>
          <w:sz w:val="28"/>
          <w:szCs w:val="28"/>
          <w:lang w:val="en-US"/>
        </w:rPr>
        <w:t>，项目资本金</w:t>
      </w:r>
      <w:r>
        <w:rPr>
          <w:rFonts w:ascii="Arial" w:hAnsi="Arial" w:eastAsia="仿宋" w:cs="Arial"/>
          <w:kern w:val="2"/>
          <w:sz w:val="28"/>
          <w:szCs w:val="28"/>
          <w:lang w:val="en-US"/>
        </w:rPr>
        <w:t>4</w:t>
      </w:r>
      <w:r>
        <w:rPr>
          <w:rFonts w:ascii="仿宋" w:hAnsi="仿宋" w:eastAsia="仿宋"/>
          <w:kern w:val="2"/>
          <w:sz w:val="28"/>
          <w:szCs w:val="28"/>
          <w:lang w:val="en-US"/>
        </w:rPr>
        <w:t>,</w:t>
      </w:r>
      <w:r>
        <w:rPr>
          <w:rFonts w:ascii="Arial" w:hAnsi="Arial" w:eastAsia="仿宋" w:cs="Arial"/>
          <w:kern w:val="2"/>
          <w:sz w:val="28"/>
          <w:szCs w:val="28"/>
          <w:lang w:val="en-US"/>
        </w:rPr>
        <w:t>900</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万元，占比</w:t>
      </w:r>
      <w:r>
        <w:rPr>
          <w:rFonts w:ascii="Arial" w:hAnsi="Arial" w:eastAsia="仿宋" w:cs="Arial"/>
          <w:kern w:val="2"/>
          <w:sz w:val="28"/>
          <w:szCs w:val="28"/>
          <w:lang w:val="en-US"/>
        </w:rPr>
        <w:t>21</w:t>
      </w:r>
      <w:r>
        <w:rPr>
          <w:rFonts w:ascii="仿宋" w:hAnsi="仿宋" w:eastAsia="仿宋"/>
          <w:kern w:val="2"/>
          <w:sz w:val="28"/>
          <w:szCs w:val="28"/>
          <w:lang w:val="en-US"/>
        </w:rPr>
        <w:t>.</w:t>
      </w:r>
      <w:r>
        <w:rPr>
          <w:rFonts w:ascii="Arial" w:hAnsi="Arial" w:eastAsia="仿宋" w:cs="Arial"/>
          <w:kern w:val="2"/>
          <w:sz w:val="28"/>
          <w:szCs w:val="28"/>
          <w:lang w:val="en-US"/>
        </w:rPr>
        <w:t>24</w:t>
      </w:r>
      <w:r>
        <w:rPr>
          <w:rFonts w:ascii="仿宋" w:hAnsi="仿宋" w:eastAsia="仿宋"/>
          <w:kern w:val="2"/>
          <w:sz w:val="28"/>
          <w:szCs w:val="28"/>
          <w:lang w:val="en-US"/>
        </w:rPr>
        <w:t>%</w:t>
      </w:r>
      <w:r>
        <w:rPr>
          <w:rFonts w:hint="eastAsia" w:ascii="仿宋" w:hAnsi="仿宋" w:eastAsia="仿宋"/>
          <w:kern w:val="2"/>
          <w:sz w:val="28"/>
          <w:szCs w:val="28"/>
          <w:lang w:val="en-US"/>
        </w:rPr>
        <w:t>，由项目业主单位自行筹措。</w:t>
      </w:r>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项目实施计划</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1</w:t>
      </w:r>
      <w:r>
        <w:rPr>
          <w:rFonts w:hint="eastAsia" w:ascii="仿宋" w:hAnsi="仿宋" w:eastAsia="仿宋"/>
          <w:kern w:val="2"/>
          <w:sz w:val="28"/>
          <w:szCs w:val="28"/>
          <w:lang w:val="en-US"/>
        </w:rPr>
        <w:t>）开发方式</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采取“一片一片”滚动开发方式。征地拆迁安置一片，规划一片，配套基础设施建设一片，土地升值进入交易市场，通过招标、拍卖、挂牌出让国有土地使用权，使土地资产运作步入良性循环轨道。</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）实施进度安排</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本次拆迁改造区域涉及杨家坝、任坝两个片区，预计</w:t>
      </w:r>
      <w:r>
        <w:rPr>
          <w:rFonts w:ascii="Arial" w:hAnsi="Arial" w:eastAsia="仿宋" w:cs="Arial"/>
          <w:kern w:val="2"/>
          <w:sz w:val="28"/>
          <w:szCs w:val="28"/>
          <w:lang w:val="en-US"/>
        </w:rPr>
        <w:t>2020</w:t>
      </w:r>
      <w:r>
        <w:rPr>
          <w:rFonts w:hint="eastAsia" w:ascii="仿宋" w:hAnsi="仿宋" w:eastAsia="仿宋"/>
          <w:kern w:val="2"/>
          <w:sz w:val="28"/>
          <w:szCs w:val="28"/>
          <w:lang w:val="en-US"/>
        </w:rPr>
        <w:t>年</w:t>
      </w:r>
      <w:r>
        <w:rPr>
          <w:rFonts w:ascii="Arial" w:hAnsi="Arial" w:eastAsia="仿宋" w:cs="Arial"/>
          <w:kern w:val="2"/>
          <w:sz w:val="28"/>
          <w:szCs w:val="28"/>
          <w:lang w:val="en-US"/>
        </w:rPr>
        <w:t>5</w:t>
      </w:r>
      <w:r>
        <w:rPr>
          <w:rFonts w:hint="eastAsia" w:ascii="仿宋" w:hAnsi="仿宋" w:eastAsia="仿宋"/>
          <w:kern w:val="2"/>
          <w:sz w:val="28"/>
          <w:szCs w:val="28"/>
          <w:lang w:val="en-US"/>
        </w:rPr>
        <w:t>月开始开发工作，</w:t>
      </w:r>
      <w:r>
        <w:rPr>
          <w:rFonts w:ascii="Arial" w:hAnsi="Arial" w:eastAsia="仿宋" w:cs="Arial"/>
          <w:kern w:val="2"/>
          <w:sz w:val="28"/>
          <w:szCs w:val="28"/>
          <w:lang w:val="en-US"/>
        </w:rPr>
        <w:t>2022</w:t>
      </w:r>
      <w:r>
        <w:rPr>
          <w:rFonts w:hint="eastAsia" w:ascii="仿宋" w:hAnsi="仿宋" w:eastAsia="仿宋"/>
          <w:kern w:val="2"/>
          <w:sz w:val="28"/>
          <w:szCs w:val="28"/>
          <w:lang w:val="en-US"/>
        </w:rPr>
        <w:t>年</w:t>
      </w:r>
      <w:r>
        <w:rPr>
          <w:rFonts w:ascii="Arial" w:hAnsi="Arial" w:eastAsia="仿宋" w:cs="Arial"/>
          <w:kern w:val="2"/>
          <w:sz w:val="28"/>
          <w:szCs w:val="28"/>
          <w:lang w:val="en-US"/>
        </w:rPr>
        <w:t>5</w:t>
      </w:r>
      <w:r>
        <w:rPr>
          <w:rFonts w:hint="eastAsia" w:ascii="仿宋" w:hAnsi="仿宋" w:eastAsia="仿宋"/>
          <w:kern w:val="2"/>
          <w:sz w:val="28"/>
          <w:szCs w:val="28"/>
          <w:lang w:val="en-US"/>
        </w:rPr>
        <w:t>月完成开发工作。</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本项目土地开发总量为</w:t>
      </w:r>
      <w:r>
        <w:rPr>
          <w:rFonts w:ascii="Arial" w:hAnsi="Arial" w:eastAsia="仿宋" w:cs="Arial"/>
          <w:kern w:val="2"/>
          <w:sz w:val="28"/>
          <w:szCs w:val="28"/>
          <w:lang w:val="en-US"/>
        </w:rPr>
        <w:t>174</w:t>
      </w:r>
      <w:r>
        <w:rPr>
          <w:rFonts w:ascii="仿宋" w:hAnsi="仿宋" w:eastAsia="仿宋"/>
          <w:kern w:val="2"/>
          <w:sz w:val="28"/>
          <w:szCs w:val="28"/>
          <w:lang w:val="en-US"/>
        </w:rPr>
        <w:t>.</w:t>
      </w:r>
      <w:r>
        <w:rPr>
          <w:rFonts w:ascii="Arial" w:hAnsi="Arial" w:eastAsia="仿宋" w:cs="Arial"/>
          <w:kern w:val="2"/>
          <w:sz w:val="28"/>
          <w:szCs w:val="28"/>
          <w:lang w:val="en-US"/>
        </w:rPr>
        <w:t>04</w:t>
      </w:r>
      <w:r>
        <w:rPr>
          <w:rFonts w:hint="eastAsia" w:ascii="仿宋" w:hAnsi="仿宋" w:eastAsia="仿宋"/>
          <w:kern w:val="2"/>
          <w:sz w:val="28"/>
          <w:szCs w:val="28"/>
          <w:lang w:val="en-US"/>
        </w:rPr>
        <w:t>亩，计划分</w:t>
      </w:r>
      <w:r>
        <w:rPr>
          <w:rFonts w:ascii="Arial" w:hAnsi="Arial" w:eastAsia="仿宋" w:cs="Arial"/>
          <w:kern w:val="2"/>
          <w:sz w:val="28"/>
          <w:szCs w:val="28"/>
          <w:lang w:val="en-US"/>
        </w:rPr>
        <w:t>2</w:t>
      </w:r>
      <w:r>
        <w:rPr>
          <w:rFonts w:hint="eastAsia" w:ascii="仿宋" w:hAnsi="仿宋" w:eastAsia="仿宋"/>
          <w:kern w:val="2"/>
          <w:sz w:val="28"/>
          <w:szCs w:val="28"/>
          <w:lang w:val="en-US"/>
        </w:rPr>
        <w:t>年开发完成，形成可出让土地</w:t>
      </w:r>
      <w:r>
        <w:rPr>
          <w:rFonts w:ascii="Arial" w:hAnsi="Arial" w:eastAsia="仿宋" w:cs="Arial"/>
          <w:kern w:val="2"/>
          <w:sz w:val="28"/>
          <w:szCs w:val="28"/>
          <w:lang w:val="en-US"/>
        </w:rPr>
        <w:t>165</w:t>
      </w:r>
      <w:r>
        <w:rPr>
          <w:rFonts w:ascii="仿宋" w:hAnsi="仿宋" w:eastAsia="仿宋"/>
          <w:kern w:val="2"/>
          <w:sz w:val="28"/>
          <w:szCs w:val="28"/>
          <w:lang w:val="en-US"/>
        </w:rPr>
        <w:t>.</w:t>
      </w:r>
      <w:r>
        <w:rPr>
          <w:rFonts w:ascii="Arial" w:hAnsi="Arial" w:eastAsia="仿宋" w:cs="Arial"/>
          <w:kern w:val="2"/>
          <w:sz w:val="28"/>
          <w:szCs w:val="28"/>
          <w:lang w:val="en-US"/>
        </w:rPr>
        <w:t>33</w:t>
      </w:r>
      <w:r>
        <w:rPr>
          <w:rFonts w:hint="eastAsia" w:ascii="仿宋" w:hAnsi="仿宋" w:eastAsia="仿宋"/>
          <w:kern w:val="2"/>
          <w:sz w:val="28"/>
          <w:szCs w:val="28"/>
          <w:lang w:val="en-US"/>
        </w:rPr>
        <w:t>亩。具体安排如下：</w:t>
      </w:r>
    </w:p>
    <w:p>
      <w:pPr>
        <w:pStyle w:val="51"/>
        <w:numPr>
          <w:ilvl w:val="0"/>
          <w:numId w:val="2"/>
        </w:numPr>
        <w:spacing w:line="576" w:lineRule="exact"/>
        <w:ind w:firstLineChars="0"/>
        <w:rPr>
          <w:rFonts w:eastAsia="仿宋"/>
          <w:sz w:val="28"/>
          <w:szCs w:val="28"/>
        </w:rPr>
      </w:pPr>
      <w:r>
        <w:rPr>
          <w:rFonts w:hint="eastAsia" w:eastAsia="仿宋"/>
          <w:sz w:val="28"/>
          <w:szCs w:val="28"/>
        </w:rPr>
        <w:t>项目前期准备</w:t>
      </w:r>
      <w:r>
        <w:rPr>
          <w:rFonts w:hint="eastAsia" w:ascii="仿宋" w:hAnsi="仿宋" w:eastAsia="仿宋"/>
          <w:sz w:val="28"/>
          <w:szCs w:val="28"/>
        </w:rPr>
        <w:t>阶段（</w:t>
      </w:r>
      <w:r>
        <w:rPr>
          <w:rFonts w:ascii="Arial" w:hAnsi="Arial" w:eastAsia="仿宋" w:cs="Arial"/>
          <w:sz w:val="28"/>
          <w:szCs w:val="28"/>
        </w:rPr>
        <w:t>2020</w:t>
      </w:r>
      <w:r>
        <w:rPr>
          <w:rFonts w:hint="eastAsia" w:ascii="仿宋" w:hAnsi="仿宋" w:eastAsia="仿宋"/>
          <w:sz w:val="28"/>
          <w:szCs w:val="28"/>
        </w:rPr>
        <w:t>年</w:t>
      </w:r>
      <w:r>
        <w:rPr>
          <w:rFonts w:ascii="Arial" w:hAnsi="Arial" w:eastAsia="仿宋" w:cs="Arial"/>
          <w:sz w:val="28"/>
          <w:szCs w:val="28"/>
        </w:rPr>
        <w:t>5</w:t>
      </w:r>
      <w:r>
        <w:rPr>
          <w:rFonts w:hint="eastAsia" w:ascii="仿宋" w:hAnsi="仿宋" w:eastAsia="仿宋"/>
          <w:sz w:val="28"/>
          <w:szCs w:val="28"/>
        </w:rPr>
        <w:t>月前）</w:t>
      </w:r>
    </w:p>
    <w:p>
      <w:pPr>
        <w:spacing w:line="576" w:lineRule="exact"/>
        <w:ind w:firstLine="560" w:firstLineChars="200"/>
        <w:rPr>
          <w:rFonts w:eastAsia="仿宋"/>
          <w:sz w:val="28"/>
          <w:szCs w:val="28"/>
        </w:rPr>
      </w:pPr>
      <w:r>
        <w:rPr>
          <w:rFonts w:hint="eastAsia" w:eastAsia="仿宋"/>
          <w:sz w:val="28"/>
          <w:szCs w:val="28"/>
        </w:rPr>
        <w:t>该阶段开展前期筹备工作，包括项目现状调查分析、前期立项、可行性研究报告编制、环境评价、工程勘察设计、招投标和建设手续报批工作。</w:t>
      </w:r>
    </w:p>
    <w:p>
      <w:pPr>
        <w:pStyle w:val="5"/>
        <w:numPr>
          <w:ilvl w:val="0"/>
          <w:numId w:val="2"/>
        </w:numPr>
        <w:spacing w:before="0" w:after="0" w:line="576" w:lineRule="exact"/>
        <w:rPr>
          <w:rFonts w:ascii="Times New Roman" w:hAnsi="Times New Roman" w:eastAsia="仿宋"/>
          <w:sz w:val="28"/>
          <w:szCs w:val="28"/>
        </w:rPr>
      </w:pPr>
      <w:r>
        <w:rPr>
          <w:rFonts w:hint="eastAsia" w:ascii="Times New Roman" w:hAnsi="Times New Roman" w:eastAsia="仿宋"/>
          <w:sz w:val="28"/>
          <w:szCs w:val="28"/>
        </w:rPr>
        <w:t>现场施工阶段</w:t>
      </w:r>
      <w:r>
        <w:rPr>
          <w:rFonts w:hint="eastAsia" w:ascii="仿宋" w:hAnsi="仿宋" w:eastAsia="仿宋"/>
          <w:kern w:val="2"/>
          <w:sz w:val="28"/>
          <w:szCs w:val="28"/>
          <w:lang w:val="en-US"/>
        </w:rPr>
        <w:t>（</w:t>
      </w:r>
      <w:r>
        <w:rPr>
          <w:rFonts w:ascii="Arial" w:hAnsi="Arial" w:eastAsia="仿宋" w:cs="Arial"/>
          <w:kern w:val="2"/>
          <w:sz w:val="28"/>
          <w:szCs w:val="28"/>
          <w:lang w:val="en-US"/>
        </w:rPr>
        <w:t>2020</w:t>
      </w:r>
      <w:r>
        <w:rPr>
          <w:rFonts w:hint="eastAsia" w:ascii="仿宋" w:hAnsi="仿宋" w:eastAsia="仿宋"/>
          <w:kern w:val="2"/>
          <w:sz w:val="28"/>
          <w:szCs w:val="28"/>
          <w:lang w:val="en-US"/>
        </w:rPr>
        <w:t>年</w:t>
      </w:r>
      <w:r>
        <w:rPr>
          <w:rFonts w:ascii="Arial" w:hAnsi="Arial" w:eastAsia="仿宋" w:cs="Arial"/>
          <w:kern w:val="2"/>
          <w:sz w:val="28"/>
          <w:szCs w:val="28"/>
          <w:lang w:val="en-US"/>
        </w:rPr>
        <w:t>5</w:t>
      </w:r>
      <w:r>
        <w:rPr>
          <w:rFonts w:hint="eastAsia" w:ascii="仿宋" w:hAnsi="仿宋" w:eastAsia="仿宋"/>
          <w:kern w:val="2"/>
          <w:sz w:val="28"/>
          <w:szCs w:val="28"/>
          <w:lang w:val="en-US"/>
        </w:rPr>
        <w:t>月至</w:t>
      </w:r>
      <w:r>
        <w:rPr>
          <w:rFonts w:ascii="Arial" w:hAnsi="Arial" w:eastAsia="仿宋" w:cs="Arial"/>
          <w:kern w:val="2"/>
          <w:sz w:val="28"/>
          <w:szCs w:val="28"/>
          <w:lang w:val="en-US"/>
        </w:rPr>
        <w:t>2022</w:t>
      </w:r>
      <w:r>
        <w:rPr>
          <w:rFonts w:hint="eastAsia" w:ascii="仿宋" w:hAnsi="仿宋" w:eastAsia="仿宋"/>
          <w:kern w:val="2"/>
          <w:sz w:val="28"/>
          <w:szCs w:val="28"/>
          <w:lang w:val="en-US"/>
        </w:rPr>
        <w:t>年</w:t>
      </w:r>
      <w:r>
        <w:rPr>
          <w:rFonts w:ascii="Arial" w:hAnsi="Arial" w:eastAsia="仿宋" w:cs="Arial"/>
          <w:kern w:val="2"/>
          <w:sz w:val="28"/>
          <w:szCs w:val="28"/>
          <w:lang w:val="en-US"/>
        </w:rPr>
        <w:t>4</w:t>
      </w:r>
      <w:r>
        <w:rPr>
          <w:rFonts w:hint="eastAsia" w:ascii="仿宋" w:hAnsi="仿宋" w:eastAsia="仿宋"/>
          <w:kern w:val="2"/>
          <w:sz w:val="28"/>
          <w:szCs w:val="28"/>
          <w:lang w:val="en-US"/>
        </w:rPr>
        <w:t>月）</w:t>
      </w:r>
    </w:p>
    <w:p>
      <w:pPr>
        <w:pStyle w:val="5"/>
        <w:spacing w:before="0" w:after="0" w:line="576" w:lineRule="exact"/>
        <w:ind w:firstLine="560" w:firstLineChars="200"/>
        <w:rPr>
          <w:rFonts w:ascii="Times New Roman" w:hAnsi="Times New Roman" w:eastAsia="仿宋"/>
          <w:sz w:val="28"/>
          <w:szCs w:val="28"/>
        </w:rPr>
      </w:pPr>
      <w:r>
        <w:rPr>
          <w:rFonts w:hint="eastAsia" w:ascii="Times New Roman" w:hAnsi="Times New Roman" w:eastAsia="仿宋"/>
          <w:sz w:val="28"/>
          <w:szCs w:val="28"/>
        </w:rPr>
        <w:t>该阶段开展项目施工前期准备工作及现场施工工作，包括场地清理、材料设施准备、人员准备和进场施工。</w:t>
      </w:r>
    </w:p>
    <w:p>
      <w:pPr>
        <w:pStyle w:val="5"/>
        <w:spacing w:before="0" w:after="0" w:line="576" w:lineRule="exact"/>
        <w:ind w:left="920" w:firstLine="0"/>
        <w:rPr>
          <w:rFonts w:ascii="Times New Roman" w:hAnsi="Times New Roman" w:eastAsia="仿宋"/>
          <w:sz w:val="28"/>
          <w:szCs w:val="28"/>
        </w:rPr>
      </w:pPr>
      <w:r>
        <w:rPr>
          <w:rFonts w:hint="eastAsia" w:eastAsia="仿宋"/>
          <w:sz w:val="28"/>
          <w:szCs w:val="28"/>
        </w:rPr>
        <w:t>③</w:t>
      </w:r>
      <w:r>
        <w:rPr>
          <w:rFonts w:hint="eastAsia" w:ascii="Times New Roman" w:hAnsi="Times New Roman" w:eastAsia="仿宋"/>
          <w:sz w:val="28"/>
          <w:szCs w:val="28"/>
        </w:rPr>
        <w:t>项目竣工验收工</w:t>
      </w:r>
      <w:r>
        <w:rPr>
          <w:rFonts w:hint="eastAsia" w:ascii="仿宋" w:hAnsi="仿宋" w:eastAsia="仿宋"/>
          <w:kern w:val="2"/>
          <w:sz w:val="28"/>
          <w:szCs w:val="28"/>
          <w:lang w:val="en-US"/>
        </w:rPr>
        <w:t>作（</w:t>
      </w:r>
      <w:r>
        <w:rPr>
          <w:rFonts w:ascii="Arial" w:hAnsi="Arial" w:eastAsia="仿宋" w:cs="Arial"/>
          <w:kern w:val="2"/>
          <w:sz w:val="28"/>
          <w:szCs w:val="28"/>
          <w:lang w:val="en-US"/>
        </w:rPr>
        <w:t>2022</w:t>
      </w:r>
      <w:r>
        <w:rPr>
          <w:rFonts w:hint="eastAsia" w:ascii="仿宋" w:hAnsi="仿宋" w:eastAsia="仿宋"/>
          <w:kern w:val="2"/>
          <w:sz w:val="28"/>
          <w:szCs w:val="28"/>
          <w:lang w:val="en-US"/>
        </w:rPr>
        <w:t>年</w:t>
      </w:r>
      <w:r>
        <w:rPr>
          <w:rFonts w:ascii="Arial" w:hAnsi="Arial" w:eastAsia="仿宋" w:cs="Arial"/>
          <w:kern w:val="2"/>
          <w:sz w:val="28"/>
          <w:szCs w:val="28"/>
          <w:lang w:val="en-US"/>
        </w:rPr>
        <w:t>5</w:t>
      </w:r>
      <w:r>
        <w:rPr>
          <w:rFonts w:hint="eastAsia" w:ascii="仿宋" w:hAnsi="仿宋" w:eastAsia="仿宋"/>
          <w:kern w:val="2"/>
          <w:sz w:val="28"/>
          <w:szCs w:val="28"/>
          <w:lang w:val="en-US"/>
        </w:rPr>
        <w:t>月）</w:t>
      </w:r>
    </w:p>
    <w:p>
      <w:pPr>
        <w:pStyle w:val="5"/>
        <w:spacing w:before="0" w:after="0" w:line="576" w:lineRule="exact"/>
        <w:ind w:firstLine="560" w:firstLineChars="200"/>
        <w:rPr>
          <w:rFonts w:ascii="Times New Roman" w:hAnsi="Times New Roman" w:eastAsia="仿宋"/>
          <w:sz w:val="28"/>
          <w:szCs w:val="28"/>
        </w:rPr>
      </w:pPr>
      <w:r>
        <w:rPr>
          <w:rFonts w:hint="eastAsia" w:ascii="Times New Roman" w:hAnsi="Times New Roman" w:eastAsia="仿宋"/>
          <w:sz w:val="28"/>
          <w:szCs w:val="28"/>
        </w:rPr>
        <w:t>该阶段开展各单位、单项工程的全面竣工验收工作，为后续土地出让做好准备。</w:t>
      </w:r>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3</w:t>
      </w:r>
      <w:r>
        <w:rPr>
          <w:rFonts w:ascii="仿宋" w:hAnsi="仿宋" w:eastAsia="仿宋"/>
          <w:kern w:val="2"/>
          <w:sz w:val="28"/>
          <w:szCs w:val="28"/>
          <w:lang w:val="en-US"/>
        </w:rPr>
        <w:t>.</w:t>
      </w:r>
      <w:r>
        <w:rPr>
          <w:rFonts w:hint="eastAsia" w:ascii="仿宋" w:hAnsi="仿宋" w:eastAsia="仿宋"/>
          <w:kern w:val="2"/>
          <w:sz w:val="28"/>
          <w:szCs w:val="28"/>
          <w:lang w:val="en-US"/>
        </w:rPr>
        <w:t>资金使用计划</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本项目总投资为</w:t>
      </w:r>
      <w:r>
        <w:rPr>
          <w:rFonts w:ascii="Arial" w:hAnsi="Arial" w:eastAsia="仿宋" w:cs="Arial"/>
          <w:kern w:val="2"/>
          <w:sz w:val="28"/>
          <w:szCs w:val="28"/>
          <w:lang w:val="en-US"/>
        </w:rPr>
        <w:t>23</w:t>
      </w:r>
      <w:r>
        <w:rPr>
          <w:rFonts w:ascii="仿宋" w:hAnsi="仿宋" w:eastAsia="仿宋"/>
          <w:kern w:val="2"/>
          <w:sz w:val="28"/>
          <w:szCs w:val="28"/>
          <w:lang w:val="en-US"/>
        </w:rPr>
        <w:t>,</w:t>
      </w:r>
      <w:r>
        <w:rPr>
          <w:rFonts w:ascii="Arial" w:hAnsi="Arial" w:eastAsia="仿宋" w:cs="Arial"/>
          <w:kern w:val="2"/>
          <w:sz w:val="28"/>
          <w:szCs w:val="28"/>
          <w:lang w:val="en-US"/>
        </w:rPr>
        <w:t>072</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万元，建设期</w:t>
      </w:r>
      <w:r>
        <w:rPr>
          <w:rFonts w:ascii="Arial" w:hAnsi="Arial" w:eastAsia="仿宋" w:cs="Arial"/>
          <w:kern w:val="2"/>
          <w:sz w:val="28"/>
          <w:szCs w:val="28"/>
          <w:lang w:val="en-US"/>
        </w:rPr>
        <w:t>2</w:t>
      </w:r>
      <w:r>
        <w:rPr>
          <w:rFonts w:hint="eastAsia" w:ascii="仿宋" w:hAnsi="仿宋" w:eastAsia="仿宋"/>
          <w:kern w:val="2"/>
          <w:sz w:val="28"/>
          <w:szCs w:val="28"/>
          <w:lang w:val="en-US"/>
        </w:rPr>
        <w:t>年。在保证项目投资资金充足的情况下，充分利用且不浪费当年度专项债券融资额度。结合本项目建设计划，后续项目资金使用计划如下表所示：</w:t>
      </w:r>
    </w:p>
    <w:p>
      <w:pPr>
        <w:spacing w:beforeLines="50" w:afterLines="50" w:line="576" w:lineRule="exact"/>
        <w:jc w:val="center"/>
        <w:rPr>
          <w:rFonts w:ascii="仿宋" w:hAnsi="仿宋" w:eastAsia="仿宋"/>
          <w:sz w:val="24"/>
        </w:rPr>
      </w:pPr>
      <w:r>
        <w:rPr>
          <w:rFonts w:hint="eastAsia" w:ascii="仿宋" w:hAnsi="仿宋" w:eastAsia="仿宋"/>
          <w:sz w:val="24"/>
        </w:rPr>
        <w:t>表</w:t>
      </w:r>
      <w:r>
        <w:rPr>
          <w:rFonts w:ascii="Arial" w:hAnsi="Arial" w:eastAsia="仿宋" w:cs="Arial"/>
          <w:sz w:val="24"/>
        </w:rPr>
        <w:t>3</w:t>
      </w:r>
      <w:r>
        <w:rPr>
          <w:rFonts w:ascii="仿宋" w:hAnsi="仿宋" w:eastAsia="仿宋"/>
          <w:sz w:val="24"/>
        </w:rPr>
        <w:t>-</w:t>
      </w:r>
      <w:r>
        <w:rPr>
          <w:rFonts w:ascii="Arial" w:hAnsi="Arial" w:eastAsia="仿宋" w:cs="Arial"/>
          <w:sz w:val="24"/>
        </w:rPr>
        <w:t>2</w:t>
      </w:r>
      <w:r>
        <w:rPr>
          <w:rFonts w:hint="eastAsia" w:ascii="仿宋" w:hAnsi="仿宋" w:eastAsia="仿宋"/>
          <w:sz w:val="24"/>
        </w:rPr>
        <w:t>芦山县（城中村）棚户区改造项目资金使用计划表</w:t>
      </w:r>
    </w:p>
    <w:tbl>
      <w:tblPr>
        <w:tblStyle w:val="2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809"/>
        <w:gridCol w:w="1985"/>
        <w:gridCol w:w="2410"/>
        <w:gridCol w:w="231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809" w:type="dxa"/>
            <w:vMerge w:val="restar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Arial"/>
                <w:szCs w:val="21"/>
              </w:rPr>
            </w:pPr>
            <w:r>
              <w:rPr>
                <w:rFonts w:hint="eastAsia" w:ascii="仿宋" w:hAnsi="仿宋" w:eastAsia="仿宋" w:cs="Arial"/>
                <w:szCs w:val="21"/>
              </w:rPr>
              <w:t>时间</w:t>
            </w:r>
          </w:p>
        </w:tc>
        <w:tc>
          <w:tcPr>
            <w:tcW w:w="1985" w:type="dxa"/>
            <w:vMerge w:val="restar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Arial"/>
                <w:szCs w:val="21"/>
              </w:rPr>
            </w:pPr>
            <w:r>
              <w:rPr>
                <w:rFonts w:hint="eastAsia" w:ascii="仿宋" w:hAnsi="仿宋" w:eastAsia="仿宋" w:cs="Arial"/>
                <w:szCs w:val="21"/>
              </w:rPr>
              <w:t>资金使用计划（万元）</w:t>
            </w:r>
          </w:p>
        </w:tc>
        <w:tc>
          <w:tcPr>
            <w:tcW w:w="4728" w:type="dxa"/>
            <w:gridSpan w:val="2"/>
            <w:tcBorders>
              <w:top w:val="single" w:color="auto" w:sz="12" w:space="0"/>
            </w:tcBorders>
          </w:tcPr>
          <w:p>
            <w:pPr>
              <w:keepNext w:val="0"/>
              <w:keepLines w:val="0"/>
              <w:suppressLineNumbers w:val="0"/>
              <w:spacing w:before="0" w:beforeAutospacing="0" w:after="0" w:afterAutospacing="0" w:line="576" w:lineRule="exact"/>
              <w:ind w:left="0" w:right="0"/>
              <w:jc w:val="center"/>
              <w:rPr>
                <w:rFonts w:hint="default" w:ascii="仿宋" w:hAnsi="仿宋" w:eastAsia="仿宋" w:cs="Arial"/>
                <w:szCs w:val="21"/>
              </w:rPr>
            </w:pPr>
            <w:r>
              <w:rPr>
                <w:rFonts w:hint="eastAsia" w:ascii="仿宋" w:hAnsi="仿宋" w:eastAsia="仿宋" w:cs="Arial"/>
                <w:szCs w:val="21"/>
              </w:rPr>
              <w:t>资金来源</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809" w:type="dxa"/>
            <w:vMerge w:val="continue"/>
          </w:tcPr>
          <w:p>
            <w:pPr>
              <w:keepNext w:val="0"/>
              <w:keepLines w:val="0"/>
              <w:suppressLineNumbers w:val="0"/>
              <w:spacing w:before="0" w:beforeAutospacing="0" w:after="0" w:afterAutospacing="0" w:line="576" w:lineRule="exact"/>
              <w:ind w:left="0" w:right="0"/>
              <w:jc w:val="center"/>
              <w:rPr>
                <w:rFonts w:hint="default" w:ascii="仿宋" w:hAnsi="仿宋" w:eastAsia="仿宋" w:cs="Arial"/>
                <w:szCs w:val="21"/>
              </w:rPr>
            </w:pPr>
          </w:p>
        </w:tc>
        <w:tc>
          <w:tcPr>
            <w:tcW w:w="1985" w:type="dxa"/>
            <w:vMerge w:val="continue"/>
          </w:tcPr>
          <w:p>
            <w:pPr>
              <w:keepNext w:val="0"/>
              <w:keepLines w:val="0"/>
              <w:suppressLineNumbers w:val="0"/>
              <w:spacing w:before="0" w:beforeAutospacing="0" w:after="0" w:afterAutospacing="0" w:line="576" w:lineRule="exact"/>
              <w:ind w:left="0" w:right="0"/>
              <w:jc w:val="center"/>
              <w:rPr>
                <w:rFonts w:hint="default" w:ascii="仿宋" w:hAnsi="仿宋" w:eastAsia="仿宋" w:cs="Arial"/>
                <w:szCs w:val="21"/>
              </w:rPr>
            </w:pPr>
          </w:p>
        </w:tc>
        <w:tc>
          <w:tcPr>
            <w:tcW w:w="2410" w:type="dxa"/>
          </w:tcPr>
          <w:p>
            <w:pPr>
              <w:keepNext w:val="0"/>
              <w:keepLines w:val="0"/>
              <w:suppressLineNumbers w:val="0"/>
              <w:spacing w:before="0" w:beforeAutospacing="0" w:after="0" w:afterAutospacing="0" w:line="576" w:lineRule="exact"/>
              <w:ind w:left="0" w:right="0"/>
              <w:jc w:val="center"/>
              <w:rPr>
                <w:rFonts w:hint="default" w:ascii="仿宋" w:hAnsi="仿宋" w:eastAsia="仿宋" w:cs="Arial"/>
                <w:szCs w:val="21"/>
              </w:rPr>
            </w:pPr>
            <w:r>
              <w:rPr>
                <w:rFonts w:hint="eastAsia" w:ascii="仿宋" w:hAnsi="仿宋" w:eastAsia="仿宋" w:cs="Arial"/>
                <w:szCs w:val="21"/>
              </w:rPr>
              <w:t>项目资本金（万元）</w:t>
            </w:r>
          </w:p>
        </w:tc>
        <w:tc>
          <w:tcPr>
            <w:tcW w:w="2318" w:type="dxa"/>
          </w:tcPr>
          <w:p>
            <w:pPr>
              <w:keepNext w:val="0"/>
              <w:keepLines w:val="0"/>
              <w:suppressLineNumbers w:val="0"/>
              <w:spacing w:before="0" w:beforeAutospacing="0" w:after="0" w:afterAutospacing="0" w:line="576" w:lineRule="exact"/>
              <w:ind w:left="0" w:right="0"/>
              <w:jc w:val="center"/>
              <w:rPr>
                <w:rFonts w:hint="default" w:ascii="仿宋" w:hAnsi="仿宋" w:eastAsia="仿宋" w:cs="Arial"/>
                <w:szCs w:val="21"/>
              </w:rPr>
            </w:pPr>
            <w:r>
              <w:rPr>
                <w:rFonts w:hint="eastAsia" w:ascii="仿宋" w:hAnsi="仿宋" w:eastAsia="仿宋" w:cs="Arial"/>
                <w:szCs w:val="21"/>
              </w:rPr>
              <w:t>本次债券融资（万元）</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809" w:type="dxa"/>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Arial"/>
                <w:color w:val="000000"/>
                <w:kern w:val="0"/>
                <w:szCs w:val="21"/>
              </w:rPr>
            </w:pPr>
            <w:r>
              <w:rPr>
                <w:rFonts w:hint="default" w:ascii="Arial" w:hAnsi="Arial" w:eastAsia="仿宋" w:cs="Arial"/>
                <w:color w:val="000000"/>
                <w:kern w:val="0"/>
                <w:szCs w:val="21"/>
              </w:rPr>
              <w:t>2020</w:t>
            </w:r>
            <w:r>
              <w:rPr>
                <w:rFonts w:hint="eastAsia" w:ascii="仿宋" w:hAnsi="仿宋" w:eastAsia="仿宋" w:cs="Arial"/>
                <w:color w:val="000000"/>
                <w:kern w:val="0"/>
                <w:szCs w:val="21"/>
              </w:rPr>
              <w:t>年</w:t>
            </w:r>
          </w:p>
        </w:tc>
        <w:tc>
          <w:tcPr>
            <w:tcW w:w="1985" w:type="dxa"/>
            <w:vAlign w:val="center"/>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Arial" w:hAnsi="Arial" w:eastAsia="仿宋" w:cs="Arial"/>
                <w:color w:val="000000"/>
                <w:szCs w:val="21"/>
              </w:rPr>
              <w:t>8,327.00</w:t>
            </w:r>
          </w:p>
        </w:tc>
        <w:tc>
          <w:tcPr>
            <w:tcW w:w="2410" w:type="dxa"/>
            <w:vAlign w:val="center"/>
          </w:tcPr>
          <w:p>
            <w:pPr>
              <w:keepNext w:val="0"/>
              <w:keepLines w:val="0"/>
              <w:widowControl/>
              <w:suppressLineNumbers w:val="0"/>
              <w:spacing w:before="0" w:beforeAutospacing="0" w:after="0" w:afterAutospacing="0" w:line="576" w:lineRule="exact"/>
              <w:ind w:left="0" w:right="0"/>
              <w:jc w:val="right"/>
              <w:rPr>
                <w:rFonts w:hint="default" w:ascii="仿宋" w:hAnsi="仿宋" w:eastAsia="仿宋" w:cs="Arial"/>
                <w:color w:val="000000"/>
                <w:kern w:val="0"/>
                <w:szCs w:val="21"/>
              </w:rPr>
            </w:pPr>
            <w:r>
              <w:rPr>
                <w:rFonts w:hint="default" w:ascii="Arial" w:hAnsi="Arial" w:eastAsia="仿宋" w:cs="Arial"/>
                <w:color w:val="000000"/>
                <w:kern w:val="0"/>
                <w:szCs w:val="21"/>
              </w:rPr>
              <w:t xml:space="preserve">1,748.00 </w:t>
            </w:r>
          </w:p>
        </w:tc>
        <w:tc>
          <w:tcPr>
            <w:tcW w:w="2318" w:type="dxa"/>
            <w:vAlign w:val="center"/>
          </w:tcPr>
          <w:p>
            <w:pPr>
              <w:keepNext w:val="0"/>
              <w:keepLines w:val="0"/>
              <w:suppressLineNumbers w:val="0"/>
              <w:spacing w:before="0" w:beforeAutospacing="0" w:after="0" w:afterAutospacing="0" w:line="576" w:lineRule="exact"/>
              <w:ind w:left="0" w:right="0"/>
              <w:jc w:val="right"/>
              <w:rPr>
                <w:rFonts w:hint="default" w:ascii="仿宋" w:hAnsi="仿宋" w:eastAsia="仿宋" w:cs="Arial"/>
                <w:color w:val="000000"/>
                <w:kern w:val="0"/>
                <w:szCs w:val="21"/>
              </w:rPr>
            </w:pPr>
            <w:r>
              <w:rPr>
                <w:rFonts w:hint="default" w:ascii="Arial" w:hAnsi="Arial" w:eastAsia="仿宋" w:cs="Arial"/>
                <w:color w:val="000000"/>
                <w:kern w:val="0"/>
                <w:szCs w:val="21"/>
              </w:rPr>
              <w:t>6</w:t>
            </w:r>
            <w:r>
              <w:rPr>
                <w:rFonts w:hint="default" w:ascii="仿宋" w:hAnsi="仿宋" w:eastAsia="仿宋" w:cs="Arial"/>
                <w:color w:val="000000"/>
                <w:kern w:val="0"/>
                <w:szCs w:val="21"/>
              </w:rPr>
              <w:t>,</w:t>
            </w:r>
            <w:r>
              <w:rPr>
                <w:rFonts w:hint="default" w:ascii="Arial" w:hAnsi="Arial" w:eastAsia="仿宋" w:cs="Arial"/>
                <w:color w:val="000000"/>
                <w:kern w:val="0"/>
                <w:szCs w:val="21"/>
              </w:rPr>
              <w:t>579</w:t>
            </w:r>
            <w:r>
              <w:rPr>
                <w:rFonts w:hint="default" w:ascii="仿宋" w:hAnsi="仿宋" w:eastAsia="仿宋" w:cs="Arial"/>
                <w:color w:val="000000"/>
                <w:kern w:val="0"/>
                <w:szCs w:val="21"/>
              </w:rPr>
              <w:t>.</w:t>
            </w:r>
            <w:r>
              <w:rPr>
                <w:rFonts w:hint="default" w:ascii="Arial" w:hAnsi="Arial" w:eastAsia="仿宋" w:cs="Arial"/>
                <w:color w:val="000000"/>
                <w:kern w:val="0"/>
                <w:szCs w:val="21"/>
              </w:rPr>
              <w:t>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809" w:type="dxa"/>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Arial"/>
                <w:color w:val="000000"/>
                <w:kern w:val="0"/>
                <w:szCs w:val="21"/>
              </w:rPr>
            </w:pPr>
            <w:r>
              <w:rPr>
                <w:rFonts w:hint="default" w:ascii="Arial" w:hAnsi="Arial" w:eastAsia="仿宋" w:cs="Arial"/>
                <w:color w:val="000000"/>
                <w:kern w:val="0"/>
                <w:szCs w:val="21"/>
              </w:rPr>
              <w:t>2021</w:t>
            </w:r>
            <w:r>
              <w:rPr>
                <w:rFonts w:hint="eastAsia" w:ascii="仿宋" w:hAnsi="仿宋" w:eastAsia="仿宋" w:cs="Arial"/>
                <w:color w:val="000000"/>
                <w:kern w:val="0"/>
                <w:szCs w:val="21"/>
              </w:rPr>
              <w:t>年</w:t>
            </w:r>
          </w:p>
        </w:tc>
        <w:tc>
          <w:tcPr>
            <w:tcW w:w="1985" w:type="dxa"/>
            <w:vAlign w:val="center"/>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Arial" w:hAnsi="Arial" w:eastAsia="仿宋" w:cs="Arial"/>
                <w:color w:val="000000"/>
                <w:szCs w:val="21"/>
              </w:rPr>
              <w:t>14,745.00</w:t>
            </w:r>
          </w:p>
        </w:tc>
        <w:tc>
          <w:tcPr>
            <w:tcW w:w="2410" w:type="dxa"/>
            <w:vAlign w:val="center"/>
          </w:tcPr>
          <w:p>
            <w:pPr>
              <w:keepNext w:val="0"/>
              <w:keepLines w:val="0"/>
              <w:widowControl/>
              <w:suppressLineNumbers w:val="0"/>
              <w:spacing w:before="0" w:beforeAutospacing="0" w:after="0" w:afterAutospacing="0" w:line="576" w:lineRule="exact"/>
              <w:ind w:left="0" w:right="0"/>
              <w:jc w:val="right"/>
              <w:rPr>
                <w:rFonts w:hint="default" w:ascii="仿宋" w:hAnsi="仿宋" w:eastAsia="仿宋" w:cs="Arial"/>
                <w:color w:val="000000"/>
                <w:kern w:val="0"/>
                <w:szCs w:val="21"/>
              </w:rPr>
            </w:pPr>
            <w:r>
              <w:rPr>
                <w:rFonts w:hint="default" w:ascii="Arial" w:hAnsi="Arial" w:eastAsia="仿宋" w:cs="Arial"/>
                <w:color w:val="000000"/>
                <w:kern w:val="0"/>
                <w:szCs w:val="21"/>
              </w:rPr>
              <w:t xml:space="preserve">3,152.00 </w:t>
            </w:r>
          </w:p>
        </w:tc>
        <w:tc>
          <w:tcPr>
            <w:tcW w:w="2318" w:type="dxa"/>
            <w:vAlign w:val="center"/>
          </w:tcPr>
          <w:p>
            <w:pPr>
              <w:keepNext w:val="0"/>
              <w:keepLines w:val="0"/>
              <w:suppressLineNumbers w:val="0"/>
              <w:spacing w:before="0" w:beforeAutospacing="0" w:after="0" w:afterAutospacing="0" w:line="576" w:lineRule="exact"/>
              <w:ind w:left="0" w:right="0"/>
              <w:jc w:val="right"/>
              <w:rPr>
                <w:rFonts w:hint="default" w:ascii="仿宋" w:hAnsi="仿宋" w:eastAsia="仿宋" w:cs="Arial"/>
                <w:color w:val="000000"/>
                <w:kern w:val="0"/>
                <w:szCs w:val="21"/>
              </w:rPr>
            </w:pPr>
            <w:r>
              <w:rPr>
                <w:rFonts w:hint="default" w:ascii="Arial" w:hAnsi="Arial" w:eastAsia="仿宋" w:cs="Arial"/>
                <w:color w:val="000000"/>
                <w:kern w:val="0"/>
                <w:szCs w:val="21"/>
              </w:rPr>
              <w:t>11</w:t>
            </w:r>
            <w:r>
              <w:rPr>
                <w:rFonts w:hint="default" w:ascii="仿宋" w:hAnsi="仿宋" w:eastAsia="仿宋" w:cs="Arial"/>
                <w:color w:val="000000"/>
                <w:kern w:val="0"/>
                <w:szCs w:val="21"/>
              </w:rPr>
              <w:t>,</w:t>
            </w:r>
            <w:r>
              <w:rPr>
                <w:rFonts w:hint="default" w:ascii="Arial" w:hAnsi="Arial" w:eastAsia="仿宋" w:cs="Arial"/>
                <w:color w:val="000000"/>
                <w:kern w:val="0"/>
                <w:szCs w:val="21"/>
              </w:rPr>
              <w:t>593</w:t>
            </w:r>
            <w:r>
              <w:rPr>
                <w:rFonts w:hint="default" w:ascii="仿宋" w:hAnsi="仿宋" w:eastAsia="仿宋" w:cs="Arial"/>
                <w:color w:val="000000"/>
                <w:kern w:val="0"/>
                <w:szCs w:val="21"/>
              </w:rPr>
              <w:t>.</w:t>
            </w:r>
            <w:r>
              <w:rPr>
                <w:rFonts w:hint="default" w:ascii="Arial" w:hAnsi="Arial" w:eastAsia="仿宋" w:cs="Arial"/>
                <w:color w:val="000000"/>
                <w:kern w:val="0"/>
                <w:szCs w:val="21"/>
              </w:rPr>
              <w:t>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jc w:val="center"/>
        </w:trPr>
        <w:tc>
          <w:tcPr>
            <w:tcW w:w="1809" w:type="dxa"/>
            <w:tcBorders>
              <w:bottom w:val="single" w:color="auto"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Arial"/>
                <w:color w:val="000000"/>
                <w:kern w:val="0"/>
                <w:szCs w:val="21"/>
              </w:rPr>
            </w:pPr>
            <w:r>
              <w:rPr>
                <w:rFonts w:hint="eastAsia" w:ascii="仿宋" w:hAnsi="仿宋" w:eastAsia="仿宋" w:cs="Arial"/>
                <w:color w:val="000000"/>
                <w:kern w:val="0"/>
                <w:szCs w:val="21"/>
              </w:rPr>
              <w:t>合计</w:t>
            </w:r>
          </w:p>
        </w:tc>
        <w:tc>
          <w:tcPr>
            <w:tcW w:w="1985"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Arial" w:hAnsi="Arial" w:eastAsia="仿宋" w:cs="Arial"/>
                <w:color w:val="000000"/>
                <w:szCs w:val="21"/>
              </w:rPr>
              <w:t>23</w:t>
            </w:r>
            <w:r>
              <w:rPr>
                <w:rFonts w:hint="default" w:ascii="仿宋" w:hAnsi="仿宋" w:eastAsia="仿宋"/>
                <w:color w:val="000000"/>
                <w:szCs w:val="21"/>
              </w:rPr>
              <w:t>,</w:t>
            </w:r>
            <w:r>
              <w:rPr>
                <w:rFonts w:hint="default" w:ascii="Arial" w:hAnsi="Arial" w:eastAsia="仿宋" w:cs="Arial"/>
                <w:color w:val="000000"/>
                <w:szCs w:val="21"/>
              </w:rPr>
              <w:t>072</w:t>
            </w:r>
            <w:r>
              <w:rPr>
                <w:rFonts w:hint="default" w:ascii="仿宋" w:hAnsi="仿宋" w:eastAsia="仿宋"/>
                <w:color w:val="000000"/>
                <w:szCs w:val="21"/>
              </w:rPr>
              <w:t>.</w:t>
            </w:r>
            <w:r>
              <w:rPr>
                <w:rFonts w:hint="default" w:ascii="Arial" w:hAnsi="Arial" w:eastAsia="仿宋" w:cs="Arial"/>
                <w:color w:val="000000"/>
                <w:szCs w:val="21"/>
              </w:rPr>
              <w:t>00</w:t>
            </w:r>
          </w:p>
        </w:tc>
        <w:tc>
          <w:tcPr>
            <w:tcW w:w="2410" w:type="dxa"/>
            <w:tcBorders>
              <w:bottom w:val="single" w:color="auto" w:sz="12" w:space="0"/>
            </w:tcBorders>
            <w:vAlign w:val="center"/>
          </w:tcPr>
          <w:p>
            <w:pPr>
              <w:keepNext w:val="0"/>
              <w:keepLines w:val="0"/>
              <w:widowControl/>
              <w:suppressLineNumbers w:val="0"/>
              <w:spacing w:before="0" w:beforeAutospacing="0" w:after="0" w:afterAutospacing="0" w:line="576" w:lineRule="exact"/>
              <w:ind w:left="0" w:right="0"/>
              <w:jc w:val="right"/>
              <w:rPr>
                <w:rFonts w:hint="default" w:ascii="仿宋" w:hAnsi="仿宋" w:eastAsia="仿宋" w:cs="Arial"/>
                <w:color w:val="000000"/>
                <w:kern w:val="0"/>
                <w:szCs w:val="21"/>
              </w:rPr>
            </w:pPr>
            <w:r>
              <w:rPr>
                <w:rFonts w:hint="default" w:ascii="Arial" w:hAnsi="Arial" w:eastAsia="仿宋" w:cs="Arial"/>
                <w:color w:val="000000"/>
                <w:kern w:val="0"/>
                <w:szCs w:val="21"/>
              </w:rPr>
              <w:t>4</w:t>
            </w:r>
            <w:r>
              <w:rPr>
                <w:rFonts w:hint="default" w:ascii="仿宋" w:hAnsi="仿宋" w:eastAsia="仿宋" w:cs="Arial"/>
                <w:color w:val="000000"/>
                <w:kern w:val="0"/>
                <w:szCs w:val="21"/>
              </w:rPr>
              <w:t>,</w:t>
            </w:r>
            <w:r>
              <w:rPr>
                <w:rFonts w:hint="default" w:ascii="Arial" w:hAnsi="Arial" w:eastAsia="仿宋" w:cs="Arial"/>
                <w:color w:val="000000"/>
                <w:kern w:val="0"/>
                <w:szCs w:val="21"/>
              </w:rPr>
              <w:t>900</w:t>
            </w:r>
            <w:r>
              <w:rPr>
                <w:rFonts w:hint="default" w:ascii="仿宋" w:hAnsi="仿宋" w:eastAsia="仿宋" w:cs="Arial"/>
                <w:color w:val="000000"/>
                <w:kern w:val="0"/>
                <w:szCs w:val="21"/>
              </w:rPr>
              <w:t>.</w:t>
            </w:r>
            <w:r>
              <w:rPr>
                <w:rFonts w:hint="default" w:ascii="Arial" w:hAnsi="Arial" w:eastAsia="仿宋" w:cs="Arial"/>
                <w:color w:val="000000"/>
                <w:kern w:val="0"/>
                <w:szCs w:val="21"/>
              </w:rPr>
              <w:t>00</w:t>
            </w:r>
          </w:p>
        </w:tc>
        <w:tc>
          <w:tcPr>
            <w:tcW w:w="2318"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right"/>
              <w:rPr>
                <w:rFonts w:hint="default" w:ascii="仿宋" w:hAnsi="仿宋" w:eastAsia="仿宋" w:cs="Arial"/>
                <w:color w:val="000000"/>
                <w:kern w:val="0"/>
                <w:szCs w:val="21"/>
              </w:rPr>
            </w:pPr>
            <w:r>
              <w:rPr>
                <w:rFonts w:hint="default" w:ascii="Arial" w:hAnsi="Arial" w:eastAsia="仿宋" w:cs="Arial"/>
                <w:color w:val="000000"/>
                <w:kern w:val="0"/>
                <w:szCs w:val="21"/>
              </w:rPr>
              <w:t>18</w:t>
            </w:r>
            <w:r>
              <w:rPr>
                <w:rFonts w:hint="default" w:ascii="仿宋" w:hAnsi="仿宋" w:eastAsia="仿宋" w:cs="Arial"/>
                <w:color w:val="000000"/>
                <w:kern w:val="0"/>
                <w:szCs w:val="21"/>
              </w:rPr>
              <w:t>,</w:t>
            </w:r>
            <w:r>
              <w:rPr>
                <w:rFonts w:hint="default" w:ascii="Arial" w:hAnsi="Arial" w:eastAsia="仿宋" w:cs="Arial"/>
                <w:color w:val="000000"/>
                <w:kern w:val="0"/>
                <w:szCs w:val="21"/>
              </w:rPr>
              <w:t>172</w:t>
            </w:r>
            <w:r>
              <w:rPr>
                <w:rFonts w:hint="default" w:ascii="仿宋" w:hAnsi="仿宋" w:eastAsia="仿宋" w:cs="Arial"/>
                <w:color w:val="000000"/>
                <w:kern w:val="0"/>
                <w:szCs w:val="21"/>
              </w:rPr>
              <w:t>.</w:t>
            </w:r>
            <w:r>
              <w:rPr>
                <w:rFonts w:hint="default" w:ascii="Arial" w:hAnsi="Arial" w:eastAsia="仿宋" w:cs="Arial"/>
                <w:color w:val="000000"/>
                <w:kern w:val="0"/>
                <w:szCs w:val="21"/>
              </w:rPr>
              <w:t>00</w:t>
            </w:r>
          </w:p>
        </w:tc>
      </w:tr>
    </w:tbl>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4</w:t>
      </w:r>
      <w:r>
        <w:rPr>
          <w:rFonts w:ascii="仿宋" w:hAnsi="仿宋" w:eastAsia="仿宋"/>
          <w:kern w:val="2"/>
          <w:sz w:val="28"/>
          <w:szCs w:val="28"/>
          <w:lang w:val="en-US"/>
        </w:rPr>
        <w:t>.</w:t>
      </w:r>
      <w:r>
        <w:rPr>
          <w:rFonts w:hint="eastAsia" w:ascii="仿宋" w:hAnsi="仿宋" w:eastAsia="仿宋"/>
          <w:kern w:val="2"/>
          <w:sz w:val="28"/>
          <w:szCs w:val="28"/>
          <w:lang w:val="en-US"/>
        </w:rPr>
        <w:t>项目资金管理方案及保障措施</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1</w:t>
      </w:r>
      <w:r>
        <w:rPr>
          <w:rFonts w:hint="eastAsia" w:ascii="仿宋" w:hAnsi="仿宋" w:eastAsia="仿宋"/>
          <w:kern w:val="2"/>
          <w:sz w:val="28"/>
          <w:szCs w:val="28"/>
          <w:lang w:val="en-US"/>
        </w:rPr>
        <w:t>）</w:t>
      </w:r>
      <w:r>
        <w:rPr>
          <w:rFonts w:hint="eastAsia" w:ascii="Times New Roman" w:hAnsi="Times New Roman" w:eastAsia="仿宋"/>
          <w:bCs/>
          <w:kern w:val="2"/>
          <w:sz w:val="28"/>
          <w:szCs w:val="28"/>
          <w:lang w:val="en-US"/>
        </w:rPr>
        <w:t>项目资金管理方案</w:t>
      </w:r>
    </w:p>
    <w:p>
      <w:pPr>
        <w:pStyle w:val="5"/>
        <w:spacing w:before="0" w:after="0" w:line="576" w:lineRule="exact"/>
        <w:ind w:firstLine="560" w:firstLineChars="200"/>
        <w:rPr>
          <w:rFonts w:ascii="仿宋" w:hAnsi="仿宋" w:eastAsia="仿宋"/>
          <w:kern w:val="2"/>
          <w:sz w:val="28"/>
          <w:szCs w:val="28"/>
          <w:lang w:val="en-US"/>
        </w:rPr>
      </w:pPr>
      <w:r>
        <w:rPr>
          <w:rFonts w:hint="eastAsia" w:ascii="Times New Roman" w:hAnsi="Times New Roman" w:eastAsia="仿宋"/>
          <w:bCs/>
          <w:kern w:val="2"/>
          <w:sz w:val="28"/>
          <w:szCs w:val="28"/>
          <w:lang w:val="en-US"/>
        </w:rPr>
        <w:t>本项目申请债券资金使用需严格按照《地方政府专项债务预算管理办法》（财预</w:t>
      </w:r>
      <w:r>
        <w:rPr>
          <w:rFonts w:ascii="Times New Roman" w:hAnsi="Times New Roman" w:eastAsia="仿宋"/>
          <w:bCs/>
          <w:kern w:val="2"/>
          <w:sz w:val="28"/>
          <w:szCs w:val="28"/>
          <w:lang w:val="en-US"/>
        </w:rPr>
        <w:t>[</w:t>
      </w:r>
      <w:r>
        <w:rPr>
          <w:rFonts w:ascii="Arial" w:hAnsi="Arial" w:eastAsia="仿宋" w:cs="Arial"/>
          <w:bCs/>
          <w:kern w:val="2"/>
          <w:sz w:val="28"/>
          <w:szCs w:val="28"/>
          <w:lang w:val="en-US"/>
        </w:rPr>
        <w:t>2016</w:t>
      </w:r>
      <w:r>
        <w:rPr>
          <w:rFonts w:ascii="Times New Roman" w:hAnsi="Times New Roman" w:eastAsia="仿宋"/>
          <w:bCs/>
          <w:kern w:val="2"/>
          <w:sz w:val="28"/>
          <w:szCs w:val="28"/>
          <w:lang w:val="en-US"/>
        </w:rPr>
        <w:t>]</w:t>
      </w:r>
      <w:r>
        <w:rPr>
          <w:rFonts w:ascii="Arial" w:hAnsi="Arial" w:eastAsia="仿宋" w:cs="Arial"/>
          <w:bCs/>
          <w:kern w:val="2"/>
          <w:sz w:val="28"/>
          <w:szCs w:val="28"/>
          <w:lang w:val="en-US"/>
        </w:rPr>
        <w:t>155</w:t>
      </w:r>
      <w:r>
        <w:rPr>
          <w:rFonts w:hint="eastAsia" w:ascii="Times New Roman" w:hAnsi="Times New Roman" w:eastAsia="仿宋"/>
          <w:bCs/>
          <w:kern w:val="2"/>
          <w:sz w:val="28"/>
          <w:szCs w:val="28"/>
          <w:lang w:val="en-US"/>
        </w:rPr>
        <w:t>号）文件规定执行，专项用于本项目资本性支出，任何单位和个人都不得截留、挤占和挪用，不得用于经常性支出。严格限制项目资金的使用范围，用于项目建设相关支出。详细说明资金使用计划的具体保障措施，包括与建设进度相匹配的计划安排、资金管理、应急方案等，保证资金使用效率及安全。</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w:t>
      </w:r>
      <w:r>
        <w:rPr>
          <w:rFonts w:hint="eastAsia" w:ascii="Times New Roman" w:hAnsi="Times New Roman" w:eastAsia="仿宋"/>
          <w:bCs/>
          <w:kern w:val="2"/>
          <w:sz w:val="28"/>
          <w:szCs w:val="28"/>
          <w:lang w:val="en-US"/>
        </w:rPr>
        <w:t>项目资金保障措施</w:t>
      </w:r>
    </w:p>
    <w:p>
      <w:pPr>
        <w:pStyle w:val="5"/>
        <w:spacing w:line="576" w:lineRule="exact"/>
        <w:ind w:firstLine="560" w:firstLineChars="200"/>
        <w:rPr>
          <w:rFonts w:ascii="Times New Roman" w:hAnsi="Times New Roman" w:eastAsia="仿宋"/>
          <w:bCs/>
          <w:kern w:val="2"/>
          <w:sz w:val="28"/>
          <w:szCs w:val="28"/>
          <w:lang w:val="en-US"/>
        </w:rPr>
      </w:pPr>
      <w:r>
        <w:rPr>
          <w:rFonts w:hint="eastAsia" w:ascii="Times New Roman" w:hAnsi="Times New Roman" w:eastAsia="仿宋"/>
          <w:bCs/>
          <w:kern w:val="2"/>
          <w:sz w:val="28"/>
          <w:szCs w:val="28"/>
          <w:lang w:val="en-US"/>
        </w:rPr>
        <w:t>①政府保障措施</w:t>
      </w:r>
    </w:p>
    <w:p>
      <w:pPr>
        <w:pStyle w:val="5"/>
        <w:spacing w:line="576" w:lineRule="exact"/>
        <w:ind w:firstLine="560" w:firstLineChars="200"/>
        <w:rPr>
          <w:rFonts w:ascii="Times New Roman" w:hAnsi="Times New Roman" w:eastAsia="仿宋"/>
          <w:bCs/>
          <w:kern w:val="2"/>
          <w:sz w:val="28"/>
          <w:szCs w:val="28"/>
          <w:lang w:val="en-US"/>
        </w:rPr>
      </w:pPr>
      <w:r>
        <w:rPr>
          <w:rFonts w:hint="eastAsia" w:ascii="Times New Roman" w:hAnsi="Times New Roman" w:eastAsia="仿宋"/>
          <w:bCs/>
          <w:kern w:val="2"/>
          <w:sz w:val="28"/>
          <w:szCs w:val="28"/>
          <w:lang w:val="en-US"/>
        </w:rPr>
        <w:t>第一，强化职责、认真履职。</w:t>
      </w:r>
    </w:p>
    <w:p>
      <w:pPr>
        <w:pStyle w:val="5"/>
        <w:spacing w:line="576" w:lineRule="exact"/>
        <w:ind w:firstLine="560" w:firstLineChars="200"/>
        <w:rPr>
          <w:rFonts w:ascii="Times New Roman" w:hAnsi="Times New Roman" w:eastAsia="仿宋"/>
          <w:bCs/>
          <w:kern w:val="2"/>
          <w:sz w:val="28"/>
          <w:szCs w:val="28"/>
          <w:lang w:val="en-US"/>
        </w:rPr>
      </w:pPr>
      <w:r>
        <w:rPr>
          <w:rFonts w:hint="eastAsia" w:ascii="Times New Roman" w:hAnsi="Times New Roman" w:eastAsia="仿宋"/>
          <w:bCs/>
          <w:kern w:val="2"/>
          <w:sz w:val="28"/>
          <w:szCs w:val="28"/>
          <w:lang w:val="en-US"/>
        </w:rPr>
        <w:t>各成员单位按照职能职责，强化协调服务，积极支持配合，齐心协力抓好项目建设。</w:t>
      </w:r>
    </w:p>
    <w:p>
      <w:pPr>
        <w:pStyle w:val="5"/>
        <w:spacing w:line="576" w:lineRule="exact"/>
        <w:ind w:firstLine="560" w:firstLineChars="200"/>
        <w:rPr>
          <w:rFonts w:ascii="Times New Roman" w:hAnsi="Times New Roman" w:eastAsia="仿宋"/>
          <w:bCs/>
          <w:kern w:val="2"/>
          <w:sz w:val="28"/>
          <w:szCs w:val="28"/>
          <w:lang w:val="en-US"/>
        </w:rPr>
      </w:pPr>
      <w:r>
        <w:rPr>
          <w:rFonts w:hint="eastAsia" w:ascii="Times New Roman" w:hAnsi="Times New Roman" w:eastAsia="仿宋"/>
          <w:bCs/>
          <w:kern w:val="2"/>
          <w:sz w:val="28"/>
          <w:szCs w:val="28"/>
          <w:lang w:val="en-US"/>
        </w:rPr>
        <w:t>第二，大力宣传，营造氛围。</w:t>
      </w:r>
    </w:p>
    <w:p>
      <w:pPr>
        <w:pStyle w:val="5"/>
        <w:spacing w:line="576" w:lineRule="exact"/>
        <w:ind w:firstLine="560" w:firstLineChars="200"/>
        <w:rPr>
          <w:rFonts w:ascii="Times New Roman" w:hAnsi="Times New Roman" w:eastAsia="仿宋"/>
          <w:bCs/>
          <w:kern w:val="2"/>
          <w:sz w:val="28"/>
          <w:szCs w:val="28"/>
          <w:lang w:val="en-US"/>
        </w:rPr>
      </w:pPr>
      <w:r>
        <w:rPr>
          <w:rFonts w:hint="eastAsia" w:ascii="Times New Roman" w:hAnsi="Times New Roman" w:eastAsia="仿宋"/>
          <w:bCs/>
          <w:kern w:val="2"/>
          <w:sz w:val="28"/>
          <w:szCs w:val="28"/>
          <w:lang w:val="en-US"/>
        </w:rPr>
        <w:t>充分发挥舆论引导作用，让人民群众充分认识项目建设的重要意义，了解有关政策措施，使项目建设真正得到人民群众的理解和支持；同时，要及时召开群众会议，公布实施方案等政策措施，提高透明度，营造良好舆论氛围和环境。</w:t>
      </w:r>
    </w:p>
    <w:p>
      <w:pPr>
        <w:pStyle w:val="5"/>
        <w:spacing w:line="576" w:lineRule="exact"/>
        <w:ind w:firstLine="560" w:firstLineChars="200"/>
        <w:rPr>
          <w:rFonts w:ascii="Times New Roman" w:hAnsi="Times New Roman" w:eastAsia="仿宋"/>
          <w:bCs/>
          <w:kern w:val="2"/>
          <w:sz w:val="28"/>
          <w:szCs w:val="28"/>
          <w:lang w:val="en-US"/>
        </w:rPr>
      </w:pPr>
      <w:r>
        <w:rPr>
          <w:rFonts w:hint="eastAsia" w:ascii="Times New Roman" w:hAnsi="Times New Roman" w:eastAsia="仿宋"/>
          <w:bCs/>
          <w:kern w:val="2"/>
          <w:sz w:val="28"/>
          <w:szCs w:val="28"/>
          <w:lang w:val="en-US"/>
        </w:rPr>
        <w:t>②对项目进行周密的安排，促进现金回流</w:t>
      </w:r>
    </w:p>
    <w:p>
      <w:pPr>
        <w:pStyle w:val="5"/>
        <w:spacing w:line="576" w:lineRule="exact"/>
        <w:ind w:firstLine="560" w:firstLineChars="200"/>
        <w:rPr>
          <w:rFonts w:ascii="Times New Roman" w:hAnsi="Times New Roman" w:eastAsia="仿宋"/>
          <w:bCs/>
          <w:kern w:val="2"/>
          <w:sz w:val="28"/>
          <w:szCs w:val="28"/>
          <w:lang w:val="en-US"/>
        </w:rPr>
      </w:pPr>
      <w:r>
        <w:rPr>
          <w:rFonts w:hint="eastAsia" w:ascii="Times New Roman" w:hAnsi="Times New Roman" w:eastAsia="仿宋"/>
          <w:bCs/>
          <w:kern w:val="2"/>
          <w:sz w:val="28"/>
          <w:szCs w:val="28"/>
          <w:lang w:val="en-US"/>
        </w:rPr>
        <w:t>充分考虑项目建设的特点，对项目区征地拆迁安置和配套基础设施建设进行周密的安排，保证按期完工，充分落实建设所需资金。加快招商引资工作和土地出让步伐，促进现金回流。</w:t>
      </w:r>
    </w:p>
    <w:p>
      <w:pPr>
        <w:pStyle w:val="5"/>
        <w:spacing w:line="576" w:lineRule="exact"/>
        <w:ind w:firstLine="560" w:firstLineChars="200"/>
        <w:rPr>
          <w:rFonts w:ascii="Times New Roman" w:hAnsi="Times New Roman" w:eastAsia="仿宋"/>
          <w:bCs/>
          <w:kern w:val="2"/>
          <w:sz w:val="28"/>
          <w:szCs w:val="28"/>
          <w:lang w:val="en-US"/>
        </w:rPr>
      </w:pPr>
      <w:r>
        <w:rPr>
          <w:rFonts w:hint="eastAsia" w:ascii="Times New Roman" w:hAnsi="Times New Roman" w:eastAsia="仿宋"/>
          <w:bCs/>
          <w:kern w:val="2"/>
          <w:sz w:val="28"/>
          <w:szCs w:val="28"/>
          <w:lang w:val="en-US"/>
        </w:rPr>
        <w:t>③定期审核投资估算</w:t>
      </w:r>
    </w:p>
    <w:p>
      <w:pPr>
        <w:pStyle w:val="5"/>
        <w:spacing w:before="0" w:after="0" w:line="576" w:lineRule="exact"/>
        <w:ind w:firstLine="560" w:firstLineChars="200"/>
        <w:rPr>
          <w:rFonts w:ascii="仿宋" w:hAnsi="仿宋" w:eastAsia="仿宋"/>
          <w:kern w:val="2"/>
          <w:sz w:val="28"/>
          <w:szCs w:val="28"/>
          <w:lang w:val="en-US"/>
        </w:rPr>
      </w:pPr>
      <w:r>
        <w:rPr>
          <w:rFonts w:hint="eastAsia" w:ascii="Times New Roman" w:hAnsi="Times New Roman" w:eastAsia="仿宋"/>
          <w:bCs/>
          <w:kern w:val="2"/>
          <w:sz w:val="28"/>
          <w:szCs w:val="28"/>
          <w:lang w:val="en-US"/>
        </w:rPr>
        <w:t>根据稳健性原则，在进行投资估算时，适当考虑计入一定比例的不可预见费；在实施过程中，定期（一般按年）对估算投资进行审核验证，如发现对估算投资产生重大影响的变化，及时对估算投资进行调整。</w:t>
      </w:r>
    </w:p>
    <w:p>
      <w:pPr>
        <w:pStyle w:val="2"/>
        <w:spacing w:beforeLines="50" w:after="156" w:line="576" w:lineRule="exact"/>
        <w:rPr>
          <w:rFonts w:ascii="Times New Roman" w:hAnsi="Times New Roman"/>
        </w:rPr>
      </w:pPr>
      <w:bookmarkStart w:id="46" w:name="_Toc498385730"/>
      <w:bookmarkStart w:id="47" w:name="_Toc498385062"/>
      <w:bookmarkStart w:id="48" w:name="_Toc8600"/>
      <w:bookmarkStart w:id="49" w:name="_Toc32848145"/>
      <w:r>
        <w:rPr>
          <w:rFonts w:hint="eastAsia" w:ascii="Times New Roman" w:hAnsi="Times New Roman"/>
        </w:rPr>
        <w:t>项目预期收益、成本及融资平衡情况</w:t>
      </w:r>
      <w:bookmarkEnd w:id="46"/>
      <w:bookmarkEnd w:id="47"/>
      <w:bookmarkEnd w:id="48"/>
      <w:bookmarkEnd w:id="49"/>
    </w:p>
    <w:p>
      <w:pPr>
        <w:pStyle w:val="3"/>
        <w:spacing w:beforeLines="50" w:after="156" w:line="576" w:lineRule="exact"/>
        <w:rPr>
          <w:rFonts w:ascii="仿宋" w:hAnsi="仿宋" w:eastAsia="仿宋"/>
          <w:sz w:val="30"/>
          <w:szCs w:val="30"/>
        </w:rPr>
      </w:pPr>
      <w:bookmarkStart w:id="50" w:name="_Toc27717"/>
      <w:bookmarkStart w:id="51" w:name="_Toc32848146"/>
      <w:r>
        <w:rPr>
          <w:rFonts w:hint="eastAsia" w:ascii="仿宋" w:hAnsi="仿宋" w:eastAsia="仿宋"/>
          <w:sz w:val="30"/>
          <w:szCs w:val="30"/>
        </w:rPr>
        <w:t>预期收益</w:t>
      </w:r>
      <w:bookmarkEnd w:id="50"/>
      <w:bookmarkEnd w:id="51"/>
    </w:p>
    <w:p>
      <w:pPr>
        <w:pStyle w:val="5"/>
        <w:spacing w:beforeLines="50" w:afterLines="50" w:line="576" w:lineRule="exact"/>
        <w:ind w:firstLine="560" w:firstLineChars="200"/>
        <w:outlineLvl w:val="2"/>
        <w:rPr>
          <w:rFonts w:ascii="仿宋" w:hAnsi="仿宋" w:eastAsia="仿宋"/>
          <w:kern w:val="2"/>
          <w:sz w:val="28"/>
          <w:szCs w:val="28"/>
          <w:lang w:val="en-US"/>
        </w:rPr>
      </w:pPr>
      <w:bookmarkStart w:id="52" w:name="_Toc498385732"/>
      <w:bookmarkStart w:id="53" w:name="_Toc498385064"/>
      <w:bookmarkStart w:id="54" w:name="_Toc497498368"/>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项目收入</w:t>
      </w:r>
      <w:bookmarkEnd w:id="52"/>
      <w:bookmarkEnd w:id="53"/>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1</w:t>
      </w:r>
      <w:r>
        <w:rPr>
          <w:rFonts w:hint="eastAsia" w:ascii="仿宋" w:hAnsi="仿宋" w:eastAsia="仿宋"/>
          <w:kern w:val="2"/>
          <w:sz w:val="28"/>
          <w:szCs w:val="28"/>
          <w:lang w:val="en-US"/>
        </w:rPr>
        <w:t>）项目收入可行性</w:t>
      </w:r>
    </w:p>
    <w:bookmarkEnd w:id="54"/>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根据财政部《关于试点发展项目收益与融资自求平衡的地方政府专项债券品种的通知》（财预〔</w:t>
      </w:r>
      <w:r>
        <w:rPr>
          <w:rFonts w:ascii="Arial" w:hAnsi="Arial" w:eastAsia="仿宋" w:cs="Arial"/>
          <w:kern w:val="2"/>
          <w:sz w:val="28"/>
          <w:szCs w:val="28"/>
          <w:lang w:val="en-US"/>
        </w:rPr>
        <w:t>2017</w:t>
      </w:r>
      <w:r>
        <w:rPr>
          <w:rFonts w:hint="eastAsia" w:ascii="仿宋" w:hAnsi="仿宋" w:eastAsia="仿宋"/>
          <w:kern w:val="2"/>
          <w:sz w:val="28"/>
          <w:szCs w:val="28"/>
          <w:lang w:val="en-US"/>
        </w:rPr>
        <w:t>〕</w:t>
      </w:r>
      <w:r>
        <w:rPr>
          <w:rFonts w:ascii="Arial" w:hAnsi="Arial" w:eastAsia="仿宋" w:cs="Arial"/>
          <w:kern w:val="2"/>
          <w:sz w:val="28"/>
          <w:szCs w:val="28"/>
          <w:lang w:val="en-US"/>
        </w:rPr>
        <w:t>89</w:t>
      </w:r>
      <w:r>
        <w:rPr>
          <w:rFonts w:hint="eastAsia" w:ascii="仿宋" w:hAnsi="仿宋" w:eastAsia="仿宋"/>
          <w:kern w:val="2"/>
          <w:sz w:val="28"/>
          <w:szCs w:val="28"/>
          <w:lang w:val="en-US"/>
        </w:rPr>
        <w:t>号文），专项债券对应的项目取得的政府性基金或专项收入，应当按照该项目对应的专项债券余额统筹安排资金，专门用于偿还到期债券本金，不得通过其他项目对应的项目收益偿还到期债券本金。</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根据财政部《试点发行地方政府棚户区改造专项债券管理办法》（财预〔</w:t>
      </w:r>
      <w:r>
        <w:rPr>
          <w:rFonts w:ascii="Arial" w:hAnsi="Arial" w:eastAsia="仿宋" w:cs="Arial"/>
          <w:kern w:val="2"/>
          <w:sz w:val="28"/>
          <w:szCs w:val="28"/>
          <w:lang w:val="en-US"/>
        </w:rPr>
        <w:t>2018</w:t>
      </w:r>
      <w:r>
        <w:rPr>
          <w:rFonts w:hint="eastAsia" w:ascii="仿宋" w:hAnsi="仿宋" w:eastAsia="仿宋"/>
          <w:kern w:val="2"/>
          <w:sz w:val="28"/>
          <w:szCs w:val="28"/>
          <w:lang w:val="en-US"/>
        </w:rPr>
        <w:t>〕</w:t>
      </w:r>
      <w:r>
        <w:rPr>
          <w:rFonts w:ascii="Arial" w:hAnsi="Arial" w:eastAsia="仿宋" w:cs="Arial"/>
          <w:kern w:val="2"/>
          <w:sz w:val="28"/>
          <w:szCs w:val="28"/>
          <w:lang w:val="en-US"/>
        </w:rPr>
        <w:t>28</w:t>
      </w:r>
      <w:r>
        <w:rPr>
          <w:rFonts w:hint="eastAsia" w:ascii="仿宋" w:hAnsi="仿宋" w:eastAsia="仿宋"/>
          <w:kern w:val="2"/>
          <w:sz w:val="28"/>
          <w:szCs w:val="28"/>
          <w:lang w:val="en-US"/>
        </w:rPr>
        <w:t>号文），棚户区改造专项债券本息以项目对应并纳入政府性基金预算管理的国有土地使用权出让收入、属于政府的棚改项目配套商业设施销售、租赁收入以及其他收入来偿还。</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芦山县（城中村）棚户区改造项目实施可以产生可靠的收入来源为国有土地使用权出让收入，即：本项目占地</w:t>
      </w:r>
      <w:r>
        <w:rPr>
          <w:rFonts w:ascii="Arial" w:hAnsi="Arial" w:eastAsia="仿宋" w:cs="Arial"/>
          <w:kern w:val="2"/>
          <w:sz w:val="28"/>
          <w:szCs w:val="28"/>
          <w:lang w:val="en-US"/>
        </w:rPr>
        <w:t>174</w:t>
      </w:r>
      <w:r>
        <w:rPr>
          <w:rFonts w:ascii="仿宋" w:hAnsi="仿宋" w:eastAsia="仿宋"/>
          <w:kern w:val="2"/>
          <w:sz w:val="28"/>
          <w:szCs w:val="28"/>
          <w:lang w:val="en-US"/>
        </w:rPr>
        <w:t>.</w:t>
      </w:r>
      <w:r>
        <w:rPr>
          <w:rFonts w:ascii="Arial" w:hAnsi="Arial" w:eastAsia="仿宋" w:cs="Arial"/>
          <w:kern w:val="2"/>
          <w:sz w:val="28"/>
          <w:szCs w:val="28"/>
          <w:lang w:val="en-US"/>
        </w:rPr>
        <w:t>04</w:t>
      </w:r>
      <w:r>
        <w:rPr>
          <w:rFonts w:hint="eastAsia" w:ascii="仿宋" w:hAnsi="仿宋" w:eastAsia="仿宋"/>
          <w:kern w:val="2"/>
          <w:sz w:val="28"/>
          <w:szCs w:val="28"/>
          <w:lang w:val="en-US"/>
        </w:rPr>
        <w:t>亩，其中</w:t>
      </w:r>
      <w:r>
        <w:rPr>
          <w:rFonts w:ascii="Arial" w:hAnsi="Arial" w:eastAsia="仿宋" w:cs="Arial"/>
          <w:kern w:val="2"/>
          <w:sz w:val="28"/>
          <w:szCs w:val="28"/>
          <w:lang w:val="en-US"/>
        </w:rPr>
        <w:t>5</w:t>
      </w:r>
      <w:r>
        <w:rPr>
          <w:rFonts w:ascii="仿宋" w:hAnsi="仿宋" w:eastAsia="仿宋"/>
          <w:kern w:val="2"/>
          <w:sz w:val="28"/>
          <w:szCs w:val="28"/>
          <w:lang w:val="en-US"/>
        </w:rPr>
        <w:t>.</w:t>
      </w:r>
      <w:r>
        <w:rPr>
          <w:rFonts w:ascii="Arial" w:hAnsi="Arial" w:eastAsia="仿宋" w:cs="Arial"/>
          <w:kern w:val="2"/>
          <w:sz w:val="28"/>
          <w:szCs w:val="28"/>
          <w:lang w:val="en-US"/>
        </w:rPr>
        <w:t>00</w:t>
      </w:r>
      <w:r>
        <w:rPr>
          <w:rFonts w:ascii="仿宋" w:hAnsi="仿宋" w:eastAsia="仿宋"/>
          <w:kern w:val="2"/>
          <w:sz w:val="28"/>
          <w:szCs w:val="28"/>
          <w:lang w:val="en-US"/>
        </w:rPr>
        <w:t>%</w:t>
      </w:r>
      <w:r>
        <w:rPr>
          <w:rFonts w:hint="eastAsia" w:ascii="仿宋" w:hAnsi="仿宋" w:eastAsia="仿宋"/>
          <w:kern w:val="2"/>
          <w:sz w:val="28"/>
          <w:szCs w:val="28"/>
          <w:lang w:val="en-US"/>
        </w:rPr>
        <w:t>作为规划道路、绿化等市政设施用地，剩余</w:t>
      </w:r>
      <w:r>
        <w:rPr>
          <w:rFonts w:ascii="Arial" w:hAnsi="Arial" w:eastAsia="仿宋" w:cs="Arial"/>
          <w:kern w:val="2"/>
          <w:sz w:val="28"/>
          <w:szCs w:val="28"/>
          <w:lang w:val="en-US"/>
        </w:rPr>
        <w:t>95</w:t>
      </w:r>
      <w:r>
        <w:rPr>
          <w:rFonts w:ascii="仿宋" w:hAnsi="仿宋" w:eastAsia="仿宋"/>
          <w:kern w:val="2"/>
          <w:sz w:val="28"/>
          <w:szCs w:val="28"/>
          <w:lang w:val="en-US"/>
        </w:rPr>
        <w:t>.</w:t>
      </w:r>
      <w:r>
        <w:rPr>
          <w:rFonts w:ascii="Arial" w:hAnsi="Arial" w:eastAsia="仿宋" w:cs="Arial"/>
          <w:kern w:val="2"/>
          <w:sz w:val="28"/>
          <w:szCs w:val="28"/>
          <w:lang w:val="en-US"/>
        </w:rPr>
        <w:t>00</w:t>
      </w:r>
      <w:r>
        <w:rPr>
          <w:rFonts w:ascii="仿宋" w:hAnsi="仿宋" w:eastAsia="仿宋"/>
          <w:kern w:val="2"/>
          <w:sz w:val="28"/>
          <w:szCs w:val="28"/>
          <w:lang w:val="en-US"/>
        </w:rPr>
        <w:t>%</w:t>
      </w:r>
      <w:r>
        <w:rPr>
          <w:rFonts w:hint="eastAsia" w:ascii="仿宋" w:hAnsi="仿宋" w:eastAsia="仿宋"/>
          <w:kern w:val="2"/>
          <w:sz w:val="28"/>
          <w:szCs w:val="28"/>
          <w:lang w:val="en-US"/>
        </w:rPr>
        <w:t>（</w:t>
      </w:r>
      <w:r>
        <w:rPr>
          <w:rFonts w:ascii="Arial" w:hAnsi="Arial" w:eastAsia="仿宋" w:cs="Arial"/>
          <w:kern w:val="2"/>
          <w:sz w:val="28"/>
          <w:szCs w:val="28"/>
          <w:lang w:val="en-US"/>
        </w:rPr>
        <w:t>165</w:t>
      </w:r>
      <w:r>
        <w:rPr>
          <w:rFonts w:ascii="仿宋" w:hAnsi="仿宋" w:eastAsia="仿宋"/>
          <w:kern w:val="2"/>
          <w:sz w:val="28"/>
          <w:szCs w:val="28"/>
          <w:lang w:val="en-US"/>
        </w:rPr>
        <w:t>.</w:t>
      </w:r>
      <w:r>
        <w:rPr>
          <w:rFonts w:ascii="Arial" w:hAnsi="Arial" w:eastAsia="仿宋" w:cs="Arial"/>
          <w:kern w:val="2"/>
          <w:sz w:val="28"/>
          <w:szCs w:val="28"/>
          <w:lang w:val="en-US"/>
        </w:rPr>
        <w:t>33</w:t>
      </w:r>
      <w:r>
        <w:rPr>
          <w:rFonts w:hint="eastAsia" w:ascii="仿宋" w:hAnsi="仿宋" w:eastAsia="仿宋"/>
          <w:kern w:val="2"/>
          <w:sz w:val="28"/>
          <w:szCs w:val="28"/>
          <w:lang w:val="en-US"/>
        </w:rPr>
        <w:t>亩）可整理土地供拍卖出售。</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）项目收入的分类</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本次芦山县（城中村）棚户区改造项目收入来自土地出让收入，列入政府性基金收入。根据财预〔</w:t>
      </w:r>
      <w:r>
        <w:rPr>
          <w:rFonts w:ascii="Arial" w:hAnsi="Arial" w:eastAsia="仿宋" w:cs="Arial"/>
          <w:kern w:val="2"/>
          <w:sz w:val="28"/>
          <w:szCs w:val="28"/>
          <w:lang w:val="en-US"/>
        </w:rPr>
        <w:t>2017</w:t>
      </w:r>
      <w:r>
        <w:rPr>
          <w:rFonts w:hint="eastAsia" w:ascii="仿宋" w:hAnsi="仿宋" w:eastAsia="仿宋"/>
          <w:kern w:val="2"/>
          <w:sz w:val="28"/>
          <w:szCs w:val="28"/>
          <w:lang w:val="en-US"/>
        </w:rPr>
        <w:t>〕</w:t>
      </w:r>
      <w:r>
        <w:rPr>
          <w:rFonts w:ascii="Arial" w:hAnsi="Arial" w:eastAsia="仿宋" w:cs="Arial"/>
          <w:kern w:val="2"/>
          <w:sz w:val="28"/>
          <w:szCs w:val="28"/>
          <w:lang w:val="en-US"/>
        </w:rPr>
        <w:t>89</w:t>
      </w:r>
      <w:r>
        <w:rPr>
          <w:rFonts w:hint="eastAsia" w:ascii="仿宋" w:hAnsi="仿宋" w:eastAsia="仿宋"/>
          <w:kern w:val="2"/>
          <w:sz w:val="28"/>
          <w:szCs w:val="28"/>
          <w:lang w:val="en-US"/>
        </w:rPr>
        <w:t>号文和财预〔</w:t>
      </w:r>
      <w:r>
        <w:rPr>
          <w:rFonts w:ascii="Arial" w:hAnsi="Arial" w:eastAsia="仿宋" w:cs="Arial"/>
          <w:kern w:val="2"/>
          <w:sz w:val="28"/>
          <w:szCs w:val="28"/>
          <w:lang w:val="en-US"/>
        </w:rPr>
        <w:t>2018</w:t>
      </w:r>
      <w:r>
        <w:rPr>
          <w:rFonts w:hint="eastAsia" w:ascii="仿宋" w:hAnsi="仿宋" w:eastAsia="仿宋"/>
          <w:kern w:val="2"/>
          <w:sz w:val="28"/>
          <w:szCs w:val="28"/>
          <w:lang w:val="en-US"/>
        </w:rPr>
        <w:t>〕</w:t>
      </w:r>
      <w:r>
        <w:rPr>
          <w:rFonts w:ascii="Arial" w:hAnsi="Arial" w:eastAsia="仿宋" w:cs="Arial"/>
          <w:kern w:val="2"/>
          <w:sz w:val="28"/>
          <w:szCs w:val="28"/>
          <w:lang w:val="en-US"/>
        </w:rPr>
        <w:t>28</w:t>
      </w:r>
      <w:r>
        <w:rPr>
          <w:rFonts w:hint="eastAsia" w:ascii="仿宋" w:hAnsi="仿宋" w:eastAsia="仿宋"/>
          <w:kern w:val="2"/>
          <w:sz w:val="28"/>
          <w:szCs w:val="28"/>
          <w:lang w:val="en-US"/>
        </w:rPr>
        <w:t>号文要求，芦山县财政局将上述土地出让收入纳入财政专户进行管理，专门用于偿还本次专项债券本息。</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3</w:t>
      </w:r>
      <w:r>
        <w:rPr>
          <w:rFonts w:hint="eastAsia" w:ascii="仿宋" w:hAnsi="仿宋" w:eastAsia="仿宋"/>
          <w:kern w:val="2"/>
          <w:sz w:val="28"/>
          <w:szCs w:val="28"/>
          <w:lang w:val="en-US"/>
        </w:rPr>
        <w:t>）项目收入预测</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近年来，雅安市政府陆续出台多项政策，满足灾后恢复重建和城市建设总体规划需要，加强市场供需调控，采用加大购房补贴，鼓励农民进城购房等措施，房地产去库存成效明显，区域房地产市场呈现企稳回暖态势，土地出让面积及价款亦呈现稳中有升的态势。</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本项目可用于出让的土地面积为</w:t>
      </w:r>
      <w:r>
        <w:rPr>
          <w:rFonts w:ascii="Arial" w:hAnsi="Arial" w:eastAsia="仿宋" w:cs="Arial"/>
          <w:kern w:val="2"/>
          <w:sz w:val="28"/>
          <w:szCs w:val="28"/>
          <w:lang w:val="en-US"/>
        </w:rPr>
        <w:t>165</w:t>
      </w:r>
      <w:r>
        <w:rPr>
          <w:rFonts w:ascii="仿宋" w:hAnsi="仿宋" w:eastAsia="仿宋"/>
          <w:kern w:val="2"/>
          <w:sz w:val="28"/>
          <w:szCs w:val="28"/>
          <w:lang w:val="en-US"/>
        </w:rPr>
        <w:t>.</w:t>
      </w:r>
      <w:r>
        <w:rPr>
          <w:rFonts w:ascii="Arial" w:hAnsi="Arial" w:eastAsia="仿宋" w:cs="Arial"/>
          <w:kern w:val="2"/>
          <w:sz w:val="28"/>
          <w:szCs w:val="28"/>
          <w:lang w:val="en-US"/>
        </w:rPr>
        <w:t>33</w:t>
      </w:r>
      <w:r>
        <w:rPr>
          <w:rFonts w:hint="eastAsia" w:ascii="仿宋" w:hAnsi="仿宋" w:eastAsia="仿宋"/>
          <w:kern w:val="2"/>
          <w:sz w:val="28"/>
          <w:szCs w:val="28"/>
          <w:lang w:val="en-US"/>
        </w:rPr>
        <w:t>亩，秉着谨慎性原则，本项目地块出售单价拟参考芦山县近年土地成交价格</w:t>
      </w:r>
      <w:r>
        <w:rPr>
          <w:rFonts w:ascii="Arial" w:hAnsi="Arial" w:eastAsia="仿宋" w:cs="Arial"/>
          <w:kern w:val="2"/>
          <w:sz w:val="28"/>
          <w:szCs w:val="28"/>
          <w:lang w:val="en-US"/>
        </w:rPr>
        <w:t>211</w:t>
      </w:r>
      <w:r>
        <w:rPr>
          <w:rFonts w:ascii="仿宋" w:hAnsi="仿宋" w:eastAsia="仿宋"/>
          <w:kern w:val="2"/>
          <w:sz w:val="28"/>
          <w:szCs w:val="28"/>
          <w:lang w:val="en-US"/>
        </w:rPr>
        <w:t>.</w:t>
      </w:r>
      <w:r>
        <w:rPr>
          <w:rFonts w:ascii="Arial" w:hAnsi="Arial" w:eastAsia="仿宋" w:cs="Arial"/>
          <w:kern w:val="2"/>
          <w:sz w:val="28"/>
          <w:szCs w:val="28"/>
          <w:lang w:val="en-US"/>
        </w:rPr>
        <w:t>57</w:t>
      </w:r>
      <w:r>
        <w:rPr>
          <w:rFonts w:hint="eastAsia" w:ascii="仿宋" w:hAnsi="仿宋" w:eastAsia="仿宋"/>
          <w:kern w:val="2"/>
          <w:sz w:val="28"/>
          <w:szCs w:val="28"/>
          <w:lang w:val="en-US"/>
        </w:rPr>
        <w:t>万元</w:t>
      </w:r>
      <w:r>
        <w:rPr>
          <w:rFonts w:ascii="仿宋" w:hAnsi="仿宋" w:eastAsia="仿宋"/>
          <w:kern w:val="2"/>
          <w:sz w:val="28"/>
          <w:szCs w:val="28"/>
          <w:lang w:val="en-US"/>
        </w:rPr>
        <w:t>/</w:t>
      </w:r>
      <w:r>
        <w:rPr>
          <w:rFonts w:hint="eastAsia" w:ascii="仿宋" w:hAnsi="仿宋" w:eastAsia="仿宋"/>
          <w:kern w:val="2"/>
          <w:sz w:val="28"/>
          <w:szCs w:val="28"/>
          <w:lang w:val="en-US"/>
        </w:rPr>
        <w:t>亩进行估算。近期芦山县成交的土地价格如下所示：</w:t>
      </w:r>
    </w:p>
    <w:p>
      <w:pPr>
        <w:pStyle w:val="52"/>
        <w:spacing w:line="576" w:lineRule="exact"/>
        <w:jc w:val="center"/>
        <w:rPr>
          <w:rFonts w:ascii="仿宋" w:hAnsi="仿宋" w:eastAsia="仿宋" w:cs="Times New Roman"/>
          <w:color w:val="auto"/>
          <w:kern w:val="2"/>
        </w:rPr>
      </w:pPr>
      <w:r>
        <w:rPr>
          <w:rFonts w:hint="eastAsia" w:ascii="仿宋" w:hAnsi="仿宋" w:eastAsia="仿宋" w:cs="Times New Roman"/>
          <w:color w:val="auto"/>
          <w:kern w:val="2"/>
        </w:rPr>
        <w:t>表</w:t>
      </w:r>
      <w:r>
        <w:rPr>
          <w:rFonts w:ascii="Arial" w:hAnsi="Arial" w:eastAsia="仿宋" w:cs="Arial"/>
          <w:color w:val="auto"/>
          <w:kern w:val="2"/>
        </w:rPr>
        <w:t>4</w:t>
      </w:r>
      <w:r>
        <w:rPr>
          <w:rFonts w:ascii="仿宋" w:hAnsi="仿宋" w:eastAsia="仿宋" w:cs="Times New Roman"/>
          <w:color w:val="auto"/>
          <w:kern w:val="2"/>
        </w:rPr>
        <w:t>-</w:t>
      </w:r>
      <w:r>
        <w:rPr>
          <w:rFonts w:ascii="Arial" w:hAnsi="Arial" w:eastAsia="仿宋" w:cs="Arial"/>
          <w:color w:val="auto"/>
          <w:kern w:val="2"/>
        </w:rPr>
        <w:t>1</w:t>
      </w:r>
      <w:r>
        <w:rPr>
          <w:rFonts w:hint="eastAsia" w:ascii="仿宋" w:hAnsi="仿宋" w:eastAsia="仿宋" w:cs="Times New Roman"/>
          <w:color w:val="auto"/>
          <w:kern w:val="2"/>
        </w:rPr>
        <w:t>近期土地使用权出让成交情况统计表</w:t>
      </w:r>
    </w:p>
    <w:tbl>
      <w:tblPr>
        <w:tblStyle w:val="26"/>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899"/>
        <w:gridCol w:w="895"/>
        <w:gridCol w:w="866"/>
        <w:gridCol w:w="629"/>
        <w:gridCol w:w="746"/>
        <w:gridCol w:w="747"/>
        <w:gridCol w:w="996"/>
        <w:gridCol w:w="1535"/>
        <w:gridCol w:w="1209"/>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883" w:hRule="atLeast"/>
          <w:tblHeader/>
          <w:jc w:val="center"/>
        </w:trPr>
        <w:tc>
          <w:tcPr>
            <w:tcW w:w="899" w:type="dxa"/>
            <w:tcBorders>
              <w:top w:val="single" w:color="auto" w:sz="12"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电子监管号</w:t>
            </w:r>
          </w:p>
        </w:tc>
        <w:tc>
          <w:tcPr>
            <w:tcW w:w="895" w:type="dxa"/>
            <w:tcBorders>
              <w:top w:val="single" w:color="auto" w:sz="12"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供地位置</w:t>
            </w:r>
          </w:p>
        </w:tc>
        <w:tc>
          <w:tcPr>
            <w:tcW w:w="866" w:type="dxa"/>
            <w:tcBorders>
              <w:top w:val="single" w:color="auto" w:sz="12"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供地面积</w:t>
            </w:r>
          </w:p>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（亩）</w:t>
            </w:r>
          </w:p>
        </w:tc>
        <w:tc>
          <w:tcPr>
            <w:tcW w:w="629" w:type="dxa"/>
            <w:tcBorders>
              <w:top w:val="single" w:color="auto" w:sz="12"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供地方式</w:t>
            </w:r>
          </w:p>
        </w:tc>
        <w:tc>
          <w:tcPr>
            <w:tcW w:w="746" w:type="dxa"/>
            <w:tcBorders>
              <w:top w:val="single" w:color="auto" w:sz="12"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批准用途</w:t>
            </w:r>
          </w:p>
        </w:tc>
        <w:tc>
          <w:tcPr>
            <w:tcW w:w="747" w:type="dxa"/>
            <w:tcBorders>
              <w:top w:val="single" w:color="auto" w:sz="12"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使用年限（年）</w:t>
            </w:r>
          </w:p>
        </w:tc>
        <w:tc>
          <w:tcPr>
            <w:tcW w:w="996" w:type="dxa"/>
            <w:tcBorders>
              <w:top w:val="single" w:color="auto" w:sz="12"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单位地价（万元</w:t>
            </w:r>
            <w:r>
              <w:rPr>
                <w:rFonts w:hint="default" w:ascii="仿宋" w:hAnsi="仿宋" w:eastAsia="仿宋" w:cs="仿宋"/>
                <w:bCs/>
                <w:szCs w:val="21"/>
              </w:rPr>
              <w:t>/</w:t>
            </w:r>
            <w:r>
              <w:rPr>
                <w:rFonts w:hint="eastAsia" w:ascii="仿宋" w:hAnsi="仿宋" w:eastAsia="仿宋" w:cs="仿宋"/>
                <w:bCs/>
                <w:szCs w:val="21"/>
              </w:rPr>
              <w:t>亩）</w:t>
            </w:r>
          </w:p>
        </w:tc>
        <w:tc>
          <w:tcPr>
            <w:tcW w:w="1535" w:type="dxa"/>
            <w:tcBorders>
              <w:top w:val="single" w:color="auto" w:sz="12"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合同</w:t>
            </w:r>
            <w:r>
              <w:rPr>
                <w:rFonts w:hint="default" w:ascii="仿宋" w:hAnsi="仿宋" w:eastAsia="仿宋" w:cs="仿宋"/>
                <w:bCs/>
                <w:szCs w:val="21"/>
              </w:rPr>
              <w:t>/</w:t>
            </w:r>
            <w:r>
              <w:rPr>
                <w:rFonts w:hint="eastAsia" w:ascii="仿宋" w:hAnsi="仿宋" w:eastAsia="仿宋" w:cs="仿宋"/>
                <w:bCs/>
                <w:szCs w:val="21"/>
              </w:rPr>
              <w:t>划拨编号</w:t>
            </w:r>
          </w:p>
        </w:tc>
        <w:tc>
          <w:tcPr>
            <w:tcW w:w="1209" w:type="dxa"/>
            <w:tcBorders>
              <w:top w:val="single" w:color="auto" w:sz="12"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bCs/>
                <w:szCs w:val="21"/>
              </w:rPr>
            </w:pPr>
            <w:r>
              <w:rPr>
                <w:rFonts w:hint="eastAsia" w:ascii="仿宋" w:hAnsi="仿宋" w:eastAsia="仿宋" w:cs="仿宋"/>
                <w:bCs/>
                <w:szCs w:val="21"/>
              </w:rPr>
              <w:t>招拍挂时间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18" w:hRule="atLeast"/>
          <w:tblHeader/>
          <w:jc w:val="center"/>
        </w:trPr>
        <w:tc>
          <w:tcPr>
            <w:tcW w:w="899"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仿宋"/>
                <w:color w:val="000000"/>
                <w:szCs w:val="21"/>
              </w:rPr>
            </w:pPr>
            <w:r>
              <w:rPr>
                <w:rFonts w:hint="default" w:ascii="Arial" w:hAnsi="Arial" w:eastAsia="仿宋" w:cs="Arial"/>
                <w:color w:val="000000"/>
                <w:szCs w:val="21"/>
              </w:rPr>
              <w:t>5118262013B00039</w:t>
            </w:r>
          </w:p>
        </w:tc>
        <w:tc>
          <w:tcPr>
            <w:tcW w:w="895"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仿宋"/>
                <w:color w:val="000000"/>
                <w:szCs w:val="21"/>
              </w:rPr>
            </w:pPr>
            <w:r>
              <w:rPr>
                <w:rFonts w:hint="eastAsia" w:ascii="仿宋" w:hAnsi="仿宋" w:eastAsia="仿宋" w:cs="仿宋"/>
                <w:color w:val="000000"/>
                <w:szCs w:val="21"/>
              </w:rPr>
              <w:t>芦山县</w:t>
            </w:r>
          </w:p>
        </w:tc>
        <w:tc>
          <w:tcPr>
            <w:tcW w:w="866"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color w:val="000000"/>
                <w:szCs w:val="21"/>
              </w:rPr>
            </w:pPr>
            <w:r>
              <w:rPr>
                <w:rFonts w:hint="default" w:ascii="Arial" w:hAnsi="Arial" w:eastAsia="仿宋" w:cs="Arial"/>
                <w:color w:val="000000"/>
                <w:szCs w:val="21"/>
              </w:rPr>
              <w:t>15</w:t>
            </w:r>
            <w:r>
              <w:rPr>
                <w:rFonts w:hint="default" w:ascii="仿宋" w:hAnsi="仿宋" w:eastAsia="仿宋"/>
                <w:color w:val="000000"/>
                <w:szCs w:val="21"/>
              </w:rPr>
              <w:t>.</w:t>
            </w:r>
            <w:r>
              <w:rPr>
                <w:rFonts w:hint="default" w:ascii="Arial" w:hAnsi="Arial" w:eastAsia="仿宋" w:cs="Arial"/>
                <w:color w:val="000000"/>
                <w:szCs w:val="21"/>
              </w:rPr>
              <w:t>13</w:t>
            </w:r>
          </w:p>
        </w:tc>
        <w:tc>
          <w:tcPr>
            <w:tcW w:w="629"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color w:val="000000"/>
                <w:szCs w:val="21"/>
              </w:rPr>
            </w:pPr>
            <w:r>
              <w:rPr>
                <w:rFonts w:hint="eastAsia" w:ascii="仿宋" w:hAnsi="仿宋" w:eastAsia="仿宋"/>
                <w:color w:val="000000"/>
                <w:szCs w:val="21"/>
              </w:rPr>
              <w:t>拍卖</w:t>
            </w:r>
          </w:p>
        </w:tc>
        <w:tc>
          <w:tcPr>
            <w:tcW w:w="746"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color w:val="000000"/>
                <w:szCs w:val="21"/>
              </w:rPr>
            </w:pPr>
            <w:r>
              <w:rPr>
                <w:rFonts w:hint="eastAsia" w:ascii="仿宋" w:hAnsi="仿宋" w:eastAsia="仿宋"/>
                <w:color w:val="000000"/>
                <w:szCs w:val="21"/>
              </w:rPr>
              <w:t>其他普通商品住房用地</w:t>
            </w:r>
          </w:p>
        </w:tc>
        <w:tc>
          <w:tcPr>
            <w:tcW w:w="747"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color w:val="000000"/>
                <w:szCs w:val="21"/>
              </w:rPr>
            </w:pPr>
            <w:r>
              <w:rPr>
                <w:rFonts w:hint="default" w:ascii="Arial" w:hAnsi="Arial" w:eastAsia="仿宋" w:cs="Arial"/>
                <w:color w:val="000000"/>
                <w:szCs w:val="21"/>
              </w:rPr>
              <w:t>70</w:t>
            </w:r>
          </w:p>
        </w:tc>
        <w:tc>
          <w:tcPr>
            <w:tcW w:w="996"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color w:val="000000"/>
                <w:szCs w:val="21"/>
              </w:rPr>
            </w:pPr>
            <w:r>
              <w:rPr>
                <w:rFonts w:hint="default" w:ascii="Arial" w:hAnsi="Arial" w:eastAsia="仿宋" w:cs="Arial"/>
                <w:color w:val="000000"/>
                <w:szCs w:val="21"/>
              </w:rPr>
              <w:t>211</w:t>
            </w:r>
            <w:r>
              <w:rPr>
                <w:rFonts w:hint="default" w:ascii="仿宋" w:hAnsi="仿宋" w:eastAsia="仿宋"/>
                <w:color w:val="000000"/>
                <w:szCs w:val="21"/>
              </w:rPr>
              <w:t>.</w:t>
            </w:r>
            <w:r>
              <w:rPr>
                <w:rFonts w:hint="default" w:ascii="Arial" w:hAnsi="Arial" w:eastAsia="仿宋" w:cs="Arial"/>
                <w:color w:val="000000"/>
                <w:szCs w:val="21"/>
              </w:rPr>
              <w:t>57</w:t>
            </w:r>
          </w:p>
        </w:tc>
        <w:tc>
          <w:tcPr>
            <w:tcW w:w="1535"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Cs w:val="21"/>
              </w:rPr>
            </w:pPr>
            <w:r>
              <w:rPr>
                <w:rFonts w:hint="default" w:ascii="Arial" w:hAnsi="Arial" w:eastAsia="仿宋" w:cs="Arial"/>
                <w:color w:val="000000"/>
                <w:szCs w:val="21"/>
              </w:rPr>
              <w:t>511826-2013-B-0001</w:t>
            </w:r>
          </w:p>
        </w:tc>
        <w:tc>
          <w:tcPr>
            <w:tcW w:w="1209" w:type="dxa"/>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color w:val="000000"/>
                <w:szCs w:val="21"/>
              </w:rPr>
            </w:pPr>
            <w:r>
              <w:rPr>
                <w:rFonts w:hint="default" w:ascii="Arial" w:hAnsi="Arial" w:eastAsia="仿宋" w:cs="Arial"/>
                <w:color w:val="000000"/>
                <w:szCs w:val="21"/>
              </w:rPr>
              <w:t>2013</w:t>
            </w:r>
            <w:r>
              <w:rPr>
                <w:rFonts w:hint="default" w:ascii="仿宋" w:hAnsi="仿宋" w:eastAsia="仿宋"/>
                <w:color w:val="000000"/>
                <w:szCs w:val="21"/>
              </w:rPr>
              <w:t>/</w:t>
            </w:r>
            <w:r>
              <w:rPr>
                <w:rFonts w:hint="default" w:ascii="Arial" w:hAnsi="Arial" w:eastAsia="仿宋" w:cs="Arial"/>
                <w:color w:val="000000"/>
                <w:szCs w:val="21"/>
              </w:rPr>
              <w:t>6</w:t>
            </w:r>
            <w:r>
              <w:rPr>
                <w:rFonts w:hint="default" w:ascii="仿宋" w:hAnsi="仿宋" w:eastAsia="仿宋"/>
                <w:color w:val="000000"/>
                <w:szCs w:val="21"/>
              </w:rPr>
              <w:t>/</w:t>
            </w:r>
            <w:r>
              <w:rPr>
                <w:rFonts w:hint="default" w:ascii="Arial" w:hAnsi="Arial" w:eastAsia="仿宋" w:cs="Arial"/>
                <w:color w:val="000000"/>
                <w:szCs w:val="21"/>
              </w:rPr>
              <w:t>5</w:t>
            </w:r>
          </w:p>
        </w:tc>
      </w:tr>
    </w:tbl>
    <w:p>
      <w:pPr>
        <w:pStyle w:val="5"/>
        <w:spacing w:beforeLines="5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本项目完成土地平整后，运营期</w:t>
      </w:r>
      <w:r>
        <w:rPr>
          <w:rFonts w:ascii="Arial" w:hAnsi="Arial" w:eastAsia="仿宋" w:cs="Arial"/>
          <w:kern w:val="2"/>
          <w:sz w:val="28"/>
          <w:szCs w:val="28"/>
          <w:lang w:val="en-US"/>
        </w:rPr>
        <w:t>2022</w:t>
      </w:r>
      <w:r>
        <w:rPr>
          <w:rFonts w:hint="eastAsia" w:ascii="仿宋" w:hAnsi="仿宋" w:eastAsia="仿宋"/>
          <w:kern w:val="2"/>
          <w:sz w:val="28"/>
          <w:szCs w:val="28"/>
          <w:lang w:val="en-US"/>
        </w:rPr>
        <w:t>年</w:t>
      </w:r>
      <w:r>
        <w:rPr>
          <w:rFonts w:ascii="仿宋" w:hAnsi="仿宋" w:eastAsia="仿宋"/>
          <w:kern w:val="2"/>
          <w:sz w:val="28"/>
          <w:szCs w:val="28"/>
          <w:lang w:val="en-US"/>
        </w:rPr>
        <w:t>-</w:t>
      </w:r>
      <w:r>
        <w:rPr>
          <w:rFonts w:ascii="Arial" w:hAnsi="Arial" w:eastAsia="仿宋" w:cs="Arial"/>
          <w:kern w:val="2"/>
          <w:sz w:val="28"/>
          <w:szCs w:val="28"/>
          <w:lang w:val="en-US"/>
        </w:rPr>
        <w:t>2035</w:t>
      </w:r>
      <w:r>
        <w:rPr>
          <w:rFonts w:hint="eastAsia" w:ascii="仿宋" w:hAnsi="仿宋" w:eastAsia="仿宋"/>
          <w:kern w:val="2"/>
          <w:sz w:val="28"/>
          <w:szCs w:val="28"/>
          <w:lang w:val="en-US"/>
        </w:rPr>
        <w:t>年对外出让，拟按照</w:t>
      </w:r>
      <w:r>
        <w:rPr>
          <w:rFonts w:ascii="Arial" w:hAnsi="Arial" w:eastAsia="仿宋" w:cs="Arial"/>
          <w:kern w:val="2"/>
          <w:sz w:val="28"/>
          <w:szCs w:val="28"/>
          <w:lang w:val="en-US"/>
        </w:rPr>
        <w:t>2022</w:t>
      </w:r>
      <w:r>
        <w:rPr>
          <w:rFonts w:hint="eastAsia" w:ascii="仿宋" w:hAnsi="仿宋" w:eastAsia="仿宋"/>
          <w:kern w:val="2"/>
          <w:sz w:val="28"/>
          <w:szCs w:val="28"/>
          <w:lang w:val="en-US"/>
        </w:rPr>
        <w:t>年</w:t>
      </w:r>
      <w:r>
        <w:rPr>
          <w:rFonts w:ascii="Arial" w:hAnsi="Arial" w:eastAsia="仿宋" w:cs="Arial"/>
          <w:kern w:val="2"/>
          <w:sz w:val="28"/>
          <w:szCs w:val="28"/>
          <w:lang w:val="en-US"/>
        </w:rPr>
        <w:t>9</w:t>
      </w:r>
      <w:r>
        <w:rPr>
          <w:rFonts w:ascii="仿宋" w:hAnsi="仿宋" w:eastAsia="仿宋"/>
          <w:kern w:val="2"/>
          <w:sz w:val="28"/>
          <w:szCs w:val="28"/>
          <w:lang w:val="en-US"/>
        </w:rPr>
        <w:t>%</w:t>
      </w:r>
      <w:r>
        <w:rPr>
          <w:rFonts w:hint="eastAsia" w:ascii="仿宋" w:hAnsi="仿宋" w:eastAsia="仿宋"/>
          <w:kern w:val="2"/>
          <w:sz w:val="28"/>
          <w:szCs w:val="28"/>
          <w:lang w:val="en-US"/>
        </w:rPr>
        <w:t>、</w:t>
      </w:r>
      <w:r>
        <w:rPr>
          <w:rFonts w:ascii="Arial" w:hAnsi="Arial" w:eastAsia="仿宋" w:cs="Arial"/>
          <w:kern w:val="2"/>
          <w:sz w:val="28"/>
          <w:szCs w:val="28"/>
          <w:lang w:val="en-US"/>
        </w:rPr>
        <w:t>2023</w:t>
      </w:r>
      <w:r>
        <w:rPr>
          <w:rFonts w:hint="eastAsia" w:ascii="仿宋" w:hAnsi="仿宋" w:eastAsia="仿宋"/>
          <w:kern w:val="2"/>
          <w:sz w:val="28"/>
          <w:szCs w:val="28"/>
          <w:lang w:val="en-US"/>
        </w:rPr>
        <w:t>年</w:t>
      </w:r>
      <w:r>
        <w:rPr>
          <w:rFonts w:ascii="仿宋" w:hAnsi="仿宋" w:eastAsia="仿宋"/>
          <w:kern w:val="2"/>
          <w:sz w:val="28"/>
          <w:szCs w:val="28"/>
          <w:lang w:val="en-US"/>
        </w:rPr>
        <w:t>-</w:t>
      </w:r>
      <w:r>
        <w:rPr>
          <w:rFonts w:ascii="Arial" w:hAnsi="Arial" w:eastAsia="仿宋" w:cs="Arial"/>
          <w:kern w:val="2"/>
          <w:sz w:val="28"/>
          <w:szCs w:val="28"/>
          <w:lang w:val="en-US"/>
        </w:rPr>
        <w:t>2035</w:t>
      </w:r>
      <w:r>
        <w:rPr>
          <w:rFonts w:hint="eastAsia" w:ascii="仿宋" w:hAnsi="仿宋" w:eastAsia="仿宋"/>
          <w:kern w:val="2"/>
          <w:sz w:val="28"/>
          <w:szCs w:val="28"/>
          <w:lang w:val="en-US"/>
        </w:rPr>
        <w:t>年每年</w:t>
      </w:r>
      <w:r>
        <w:rPr>
          <w:rFonts w:ascii="Arial" w:hAnsi="Arial" w:eastAsia="仿宋" w:cs="Arial"/>
          <w:kern w:val="2"/>
          <w:sz w:val="28"/>
          <w:szCs w:val="28"/>
          <w:lang w:val="en-US"/>
        </w:rPr>
        <w:t>7</w:t>
      </w:r>
      <w:r>
        <w:rPr>
          <w:rFonts w:ascii="仿宋" w:hAnsi="仿宋" w:eastAsia="仿宋"/>
          <w:kern w:val="2"/>
          <w:sz w:val="28"/>
          <w:szCs w:val="28"/>
          <w:lang w:val="en-US"/>
        </w:rPr>
        <w:t>%</w:t>
      </w:r>
      <w:r>
        <w:rPr>
          <w:rFonts w:hint="eastAsia" w:ascii="仿宋" w:hAnsi="仿宋" w:eastAsia="仿宋"/>
          <w:kern w:val="2"/>
          <w:sz w:val="28"/>
          <w:szCs w:val="28"/>
          <w:lang w:val="en-US"/>
        </w:rPr>
        <w:t>的比例进行。经估算，本项目土地出让收入为</w:t>
      </w:r>
      <w:r>
        <w:rPr>
          <w:rFonts w:ascii="Arial" w:hAnsi="Arial" w:eastAsia="仿宋" w:cs="Arial"/>
          <w:kern w:val="2"/>
          <w:sz w:val="28"/>
          <w:szCs w:val="28"/>
          <w:lang w:val="en-US"/>
        </w:rPr>
        <w:t>34</w:t>
      </w:r>
      <w:r>
        <w:rPr>
          <w:rFonts w:ascii="仿宋" w:hAnsi="仿宋" w:eastAsia="仿宋"/>
          <w:kern w:val="2"/>
          <w:sz w:val="28"/>
          <w:szCs w:val="28"/>
          <w:lang w:val="en-US"/>
        </w:rPr>
        <w:t>,</w:t>
      </w:r>
      <w:r>
        <w:rPr>
          <w:rFonts w:ascii="Arial" w:hAnsi="Arial" w:eastAsia="仿宋" w:cs="Arial"/>
          <w:kern w:val="2"/>
          <w:sz w:val="28"/>
          <w:szCs w:val="28"/>
          <w:lang w:val="en-US"/>
        </w:rPr>
        <w:t>978</w:t>
      </w:r>
      <w:r>
        <w:rPr>
          <w:rFonts w:ascii="仿宋" w:hAnsi="仿宋" w:eastAsia="仿宋"/>
          <w:kern w:val="2"/>
          <w:sz w:val="28"/>
          <w:szCs w:val="28"/>
          <w:lang w:val="en-US"/>
        </w:rPr>
        <w:t>.</w:t>
      </w:r>
      <w:r>
        <w:rPr>
          <w:rFonts w:ascii="Arial" w:hAnsi="Arial" w:eastAsia="仿宋" w:cs="Arial"/>
          <w:kern w:val="2"/>
          <w:sz w:val="28"/>
          <w:szCs w:val="28"/>
          <w:lang w:val="en-US"/>
        </w:rPr>
        <w:t>86</w:t>
      </w:r>
      <w:r>
        <w:rPr>
          <w:rFonts w:hint="eastAsia" w:ascii="仿宋" w:hAnsi="仿宋" w:eastAsia="仿宋"/>
          <w:kern w:val="2"/>
          <w:sz w:val="28"/>
          <w:szCs w:val="28"/>
          <w:lang w:val="en-US"/>
        </w:rPr>
        <w:t>万元，全部优先用于偿还债券本息，完全符合项目需要。</w:t>
      </w:r>
    </w:p>
    <w:p>
      <w:pPr>
        <w:pStyle w:val="52"/>
        <w:spacing w:line="576" w:lineRule="exact"/>
        <w:jc w:val="center"/>
        <w:rPr>
          <w:rFonts w:ascii="仿宋" w:hAnsi="仿宋" w:eastAsia="仿宋" w:cs="Times New Roman"/>
          <w:color w:val="auto"/>
          <w:kern w:val="2"/>
        </w:rPr>
      </w:pPr>
      <w:r>
        <w:rPr>
          <w:rFonts w:hint="eastAsia" w:ascii="仿宋" w:hAnsi="仿宋" w:eastAsia="仿宋" w:cs="Times New Roman"/>
          <w:color w:val="auto"/>
          <w:kern w:val="2"/>
        </w:rPr>
        <w:t>表</w:t>
      </w:r>
      <w:r>
        <w:rPr>
          <w:rFonts w:ascii="Arial" w:hAnsi="Arial" w:eastAsia="仿宋" w:cs="Arial"/>
          <w:color w:val="auto"/>
          <w:kern w:val="2"/>
        </w:rPr>
        <w:t>4</w:t>
      </w:r>
      <w:r>
        <w:rPr>
          <w:rFonts w:ascii="仿宋" w:hAnsi="仿宋" w:eastAsia="仿宋" w:cs="Times New Roman"/>
          <w:color w:val="auto"/>
          <w:kern w:val="2"/>
        </w:rPr>
        <w:t>-</w:t>
      </w:r>
      <w:r>
        <w:rPr>
          <w:rFonts w:ascii="Arial" w:hAnsi="Arial" w:eastAsia="仿宋" w:cs="Arial"/>
          <w:color w:val="auto"/>
          <w:kern w:val="2"/>
        </w:rPr>
        <w:t>2</w:t>
      </w:r>
      <w:r>
        <w:rPr>
          <w:rFonts w:hint="eastAsia" w:ascii="仿宋" w:hAnsi="仿宋" w:eastAsia="仿宋" w:cs="Times New Roman"/>
          <w:color w:val="auto"/>
          <w:kern w:val="2"/>
        </w:rPr>
        <w:t>芦山县（城中村）棚户区改造项目收入预测表（单位：万元）</w:t>
      </w:r>
    </w:p>
    <w:tbl>
      <w:tblPr>
        <w:tblStyle w:val="26"/>
        <w:tblpPr w:leftFromText="180" w:rightFromText="180" w:vertAnchor="text" w:horzAnchor="page" w:tblpX="2113" w:tblpY="37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759"/>
        <w:gridCol w:w="1617"/>
        <w:gridCol w:w="1229"/>
        <w:gridCol w:w="1229"/>
        <w:gridCol w:w="1229"/>
        <w:gridCol w:w="1229"/>
        <w:gridCol w:w="1230"/>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20" w:hRule="atLeast"/>
        </w:trPr>
        <w:tc>
          <w:tcPr>
            <w:tcW w:w="2376" w:type="dxa"/>
            <w:gridSpan w:val="2"/>
            <w:tcBorders>
              <w:top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宋体"/>
                <w:color w:val="000000"/>
                <w:kern w:val="0"/>
                <w:sz w:val="20"/>
                <w:szCs w:val="20"/>
              </w:rPr>
            </w:pPr>
            <w:bookmarkStart w:id="55" w:name="_Toc498385065"/>
            <w:bookmarkStart w:id="56" w:name="_Toc498385733"/>
            <w:r>
              <w:rPr>
                <w:rFonts w:hint="eastAsia" w:ascii="仿宋" w:hAnsi="仿宋" w:eastAsia="仿宋" w:cs="宋体"/>
                <w:color w:val="000000"/>
                <w:kern w:val="0"/>
                <w:sz w:val="20"/>
                <w:szCs w:val="20"/>
              </w:rPr>
              <w:t>项目　</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2022</w:t>
            </w:r>
            <w:r>
              <w:rPr>
                <w:rFonts w:hint="eastAsia"/>
                <w:color w:val="000000"/>
                <w:sz w:val="20"/>
                <w:szCs w:val="20"/>
              </w:rPr>
              <w:t>年度</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2023</w:t>
            </w:r>
            <w:r>
              <w:rPr>
                <w:rFonts w:hint="eastAsia"/>
                <w:color w:val="000000"/>
                <w:sz w:val="20"/>
                <w:szCs w:val="20"/>
              </w:rPr>
              <w:t>年度</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2024</w:t>
            </w:r>
            <w:r>
              <w:rPr>
                <w:rFonts w:hint="eastAsia"/>
                <w:color w:val="000000"/>
                <w:sz w:val="20"/>
                <w:szCs w:val="20"/>
              </w:rPr>
              <w:t>年度</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2025</w:t>
            </w:r>
            <w:r>
              <w:rPr>
                <w:rFonts w:hint="eastAsia"/>
                <w:color w:val="000000"/>
                <w:sz w:val="20"/>
                <w:szCs w:val="20"/>
              </w:rPr>
              <w:t>年</w:t>
            </w:r>
          </w:p>
        </w:tc>
        <w:tc>
          <w:tcPr>
            <w:tcW w:w="1230" w:type="dxa"/>
            <w:tcBorders>
              <w:top w:val="single" w:color="auto" w:sz="12" w:space="0"/>
            </w:tcBorders>
            <w:noWrap/>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2026</w:t>
            </w:r>
            <w:r>
              <w:rPr>
                <w:rFonts w:hint="eastAsia"/>
                <w:color w:val="000000"/>
                <w:sz w:val="20"/>
                <w:szCs w:val="20"/>
              </w:rPr>
              <w:t>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759" w:type="dxa"/>
            <w:vMerge w:val="restart"/>
            <w:noWrap/>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土地出让收入</w:t>
            </w:r>
          </w:p>
        </w:tc>
        <w:tc>
          <w:tcPr>
            <w:tcW w:w="1617" w:type="dxa"/>
            <w:noWrap/>
            <w:vAlign w:val="bottom"/>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出让土地量（亩）</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14.88</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11.57</w:t>
            </w:r>
          </w:p>
        </w:tc>
        <w:tc>
          <w:tcPr>
            <w:tcW w:w="1230"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11.57</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759" w:type="dxa"/>
            <w:vMerge w:val="continue"/>
            <w:vAlign w:val="center"/>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p>
        </w:tc>
        <w:tc>
          <w:tcPr>
            <w:tcW w:w="1617" w:type="dxa"/>
            <w:noWrap/>
            <w:vAlign w:val="bottom"/>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单价（万元</w:t>
            </w:r>
            <w:r>
              <w:rPr>
                <w:rFonts w:hint="default" w:ascii="仿宋" w:hAnsi="仿宋" w:eastAsia="仿宋" w:cs="宋体"/>
                <w:color w:val="000000"/>
                <w:kern w:val="0"/>
                <w:sz w:val="20"/>
                <w:szCs w:val="20"/>
              </w:rPr>
              <w:t>/</w:t>
            </w:r>
            <w:r>
              <w:rPr>
                <w:rFonts w:hint="eastAsia" w:ascii="仿宋" w:hAnsi="仿宋" w:eastAsia="仿宋" w:cs="宋体"/>
                <w:color w:val="000000"/>
                <w:kern w:val="0"/>
                <w:sz w:val="20"/>
                <w:szCs w:val="20"/>
              </w:rPr>
              <w:t>亩）</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30"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759" w:type="dxa"/>
            <w:vMerge w:val="continue"/>
            <w:tcBorders>
              <w:bottom w:val="single" w:color="auto" w:sz="12" w:space="0"/>
            </w:tcBorders>
            <w:vAlign w:val="center"/>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p>
        </w:tc>
        <w:tc>
          <w:tcPr>
            <w:tcW w:w="1617" w:type="dxa"/>
            <w:tcBorders>
              <w:bottom w:val="single" w:color="auto" w:sz="12" w:space="0"/>
            </w:tcBorders>
            <w:noWrap/>
            <w:vAlign w:val="bottom"/>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bCs/>
                <w:color w:val="000000"/>
                <w:kern w:val="0"/>
                <w:sz w:val="20"/>
                <w:szCs w:val="20"/>
              </w:rPr>
            </w:pPr>
            <w:r>
              <w:rPr>
                <w:rFonts w:hint="eastAsia" w:ascii="仿宋" w:hAnsi="仿宋" w:eastAsia="仿宋" w:cs="宋体"/>
                <w:bCs/>
                <w:color w:val="000000"/>
                <w:kern w:val="0"/>
                <w:sz w:val="20"/>
                <w:szCs w:val="20"/>
              </w:rPr>
              <w:t>收入合计</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3,148.16</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2,447.86</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2,447.86</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2,447.86</w:t>
            </w:r>
          </w:p>
        </w:tc>
        <w:tc>
          <w:tcPr>
            <w:tcW w:w="1230"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2,447.86</w:t>
            </w:r>
          </w:p>
        </w:tc>
      </w:tr>
    </w:tbl>
    <w:p>
      <w:pPr>
        <w:pStyle w:val="5"/>
        <w:spacing w:beforeLines="50" w:afterLines="50" w:line="576" w:lineRule="exact"/>
        <w:ind w:firstLine="480" w:firstLineChars="200"/>
        <w:outlineLvl w:val="2"/>
      </w:pPr>
      <w:r>
        <w:rPr>
          <w:rFonts w:hint="eastAsia"/>
        </w:rPr>
        <w:t>（续）：</w:t>
      </w:r>
    </w:p>
    <w:tbl>
      <w:tblPr>
        <w:tblStyle w:val="26"/>
        <w:tblpPr w:leftFromText="180" w:rightFromText="180" w:vertAnchor="text" w:horzAnchor="page" w:tblpX="2113" w:tblpY="37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759"/>
        <w:gridCol w:w="1617"/>
        <w:gridCol w:w="1229"/>
        <w:gridCol w:w="1229"/>
        <w:gridCol w:w="1229"/>
        <w:gridCol w:w="1229"/>
        <w:gridCol w:w="1230"/>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20" w:hRule="atLeast"/>
        </w:trPr>
        <w:tc>
          <w:tcPr>
            <w:tcW w:w="2376" w:type="dxa"/>
            <w:gridSpan w:val="2"/>
            <w:tcBorders>
              <w:top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项目　</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2027</w:t>
            </w:r>
            <w:r>
              <w:rPr>
                <w:rFonts w:hint="eastAsia"/>
                <w:color w:val="000000"/>
                <w:sz w:val="20"/>
                <w:szCs w:val="20"/>
              </w:rPr>
              <w:t>年</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2028</w:t>
            </w:r>
            <w:r>
              <w:rPr>
                <w:rFonts w:hint="eastAsia"/>
                <w:color w:val="000000"/>
                <w:sz w:val="20"/>
                <w:szCs w:val="20"/>
              </w:rPr>
              <w:t>年</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2029</w:t>
            </w:r>
            <w:r>
              <w:rPr>
                <w:rFonts w:hint="eastAsia"/>
                <w:color w:val="000000"/>
                <w:sz w:val="20"/>
                <w:szCs w:val="20"/>
              </w:rPr>
              <w:t>年</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2030</w:t>
            </w:r>
            <w:r>
              <w:rPr>
                <w:rFonts w:hint="eastAsia"/>
                <w:color w:val="000000"/>
                <w:sz w:val="20"/>
                <w:szCs w:val="20"/>
              </w:rPr>
              <w:t>年</w:t>
            </w:r>
          </w:p>
        </w:tc>
        <w:tc>
          <w:tcPr>
            <w:tcW w:w="1230" w:type="dxa"/>
            <w:tcBorders>
              <w:top w:val="single" w:color="auto" w:sz="12" w:space="0"/>
            </w:tcBorders>
            <w:noWrap/>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2031</w:t>
            </w:r>
            <w:r>
              <w:rPr>
                <w:rFonts w:hint="eastAsia"/>
                <w:color w:val="000000"/>
                <w:sz w:val="20"/>
                <w:szCs w:val="20"/>
              </w:rPr>
              <w:t>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759" w:type="dxa"/>
            <w:vMerge w:val="restart"/>
            <w:noWrap/>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土地出让收入</w:t>
            </w:r>
          </w:p>
        </w:tc>
        <w:tc>
          <w:tcPr>
            <w:tcW w:w="1617" w:type="dxa"/>
            <w:noWrap/>
            <w:vAlign w:val="bottom"/>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出让土地量（亩）</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11.57</w:t>
            </w:r>
          </w:p>
        </w:tc>
        <w:tc>
          <w:tcPr>
            <w:tcW w:w="1230"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11.57</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759" w:type="dxa"/>
            <w:vMerge w:val="continue"/>
            <w:vAlign w:val="center"/>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p>
        </w:tc>
        <w:tc>
          <w:tcPr>
            <w:tcW w:w="1617" w:type="dxa"/>
            <w:noWrap/>
            <w:vAlign w:val="bottom"/>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单价（万元</w:t>
            </w:r>
            <w:r>
              <w:rPr>
                <w:rFonts w:hint="default" w:ascii="仿宋" w:hAnsi="仿宋" w:eastAsia="仿宋" w:cs="宋体"/>
                <w:color w:val="000000"/>
                <w:kern w:val="0"/>
                <w:sz w:val="20"/>
                <w:szCs w:val="20"/>
              </w:rPr>
              <w:t>/</w:t>
            </w:r>
            <w:r>
              <w:rPr>
                <w:rFonts w:hint="eastAsia" w:ascii="仿宋" w:hAnsi="仿宋" w:eastAsia="仿宋" w:cs="宋体"/>
                <w:color w:val="000000"/>
                <w:kern w:val="0"/>
                <w:sz w:val="20"/>
                <w:szCs w:val="20"/>
              </w:rPr>
              <w:t>亩）</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30"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759" w:type="dxa"/>
            <w:vMerge w:val="continue"/>
            <w:tcBorders>
              <w:bottom w:val="single" w:color="auto" w:sz="12" w:space="0"/>
            </w:tcBorders>
            <w:vAlign w:val="center"/>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p>
        </w:tc>
        <w:tc>
          <w:tcPr>
            <w:tcW w:w="1617" w:type="dxa"/>
            <w:tcBorders>
              <w:bottom w:val="single" w:color="auto" w:sz="12" w:space="0"/>
            </w:tcBorders>
            <w:noWrap/>
            <w:vAlign w:val="bottom"/>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bCs/>
                <w:color w:val="000000"/>
                <w:kern w:val="0"/>
                <w:sz w:val="20"/>
                <w:szCs w:val="20"/>
              </w:rPr>
            </w:pPr>
            <w:r>
              <w:rPr>
                <w:rFonts w:hint="eastAsia" w:ascii="仿宋" w:hAnsi="仿宋" w:eastAsia="仿宋" w:cs="宋体"/>
                <w:bCs/>
                <w:color w:val="000000"/>
                <w:kern w:val="0"/>
                <w:sz w:val="20"/>
                <w:szCs w:val="20"/>
              </w:rPr>
              <w:t>收入合计</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2,447.86</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2,447.86</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2,447.86</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2,447.86</w:t>
            </w:r>
          </w:p>
        </w:tc>
        <w:tc>
          <w:tcPr>
            <w:tcW w:w="1230"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2,447.86</w:t>
            </w:r>
          </w:p>
        </w:tc>
      </w:tr>
    </w:tbl>
    <w:p>
      <w:pPr>
        <w:pStyle w:val="5"/>
        <w:spacing w:beforeLines="50" w:afterLines="50" w:line="576" w:lineRule="exact"/>
        <w:ind w:firstLine="480" w:firstLineChars="200"/>
        <w:outlineLvl w:val="2"/>
      </w:pPr>
      <w:r>
        <w:rPr>
          <w:rFonts w:hint="eastAsia"/>
        </w:rPr>
        <w:t>（续）：</w:t>
      </w:r>
    </w:p>
    <w:tbl>
      <w:tblPr>
        <w:tblStyle w:val="26"/>
        <w:tblpPr w:leftFromText="180" w:rightFromText="180" w:vertAnchor="text" w:horzAnchor="page" w:tblpX="2113" w:tblpY="376"/>
        <w:tblW w:w="8522"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759"/>
        <w:gridCol w:w="1617"/>
        <w:gridCol w:w="1229"/>
        <w:gridCol w:w="1229"/>
        <w:gridCol w:w="1229"/>
        <w:gridCol w:w="1229"/>
        <w:gridCol w:w="1230"/>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20" w:hRule="atLeast"/>
        </w:trPr>
        <w:tc>
          <w:tcPr>
            <w:tcW w:w="2376" w:type="dxa"/>
            <w:gridSpan w:val="2"/>
            <w:tcBorders>
              <w:top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项目　</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2032</w:t>
            </w:r>
            <w:r>
              <w:rPr>
                <w:rFonts w:hint="eastAsia"/>
                <w:color w:val="000000"/>
                <w:sz w:val="20"/>
                <w:szCs w:val="20"/>
              </w:rPr>
              <w:t>年</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2033</w:t>
            </w:r>
            <w:r>
              <w:rPr>
                <w:rFonts w:hint="eastAsia"/>
                <w:color w:val="000000"/>
                <w:sz w:val="20"/>
                <w:szCs w:val="20"/>
              </w:rPr>
              <w:t>年</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2034</w:t>
            </w:r>
            <w:r>
              <w:rPr>
                <w:rFonts w:hint="eastAsia"/>
                <w:color w:val="000000"/>
                <w:sz w:val="20"/>
                <w:szCs w:val="20"/>
              </w:rPr>
              <w:t>年</w:t>
            </w:r>
          </w:p>
        </w:tc>
        <w:tc>
          <w:tcPr>
            <w:tcW w:w="1229" w:type="dxa"/>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2035</w:t>
            </w:r>
            <w:r>
              <w:rPr>
                <w:rFonts w:hint="eastAsia"/>
                <w:color w:val="000000"/>
                <w:sz w:val="20"/>
                <w:szCs w:val="20"/>
              </w:rPr>
              <w:t>年</w:t>
            </w:r>
          </w:p>
        </w:tc>
        <w:tc>
          <w:tcPr>
            <w:tcW w:w="1230" w:type="dxa"/>
            <w:tcBorders>
              <w:top w:val="single" w:color="auto" w:sz="12" w:space="0"/>
            </w:tcBorders>
            <w:noWrap/>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eastAsia"/>
                <w:color w:val="000000"/>
                <w:sz w:val="20"/>
                <w:szCs w:val="20"/>
              </w:rPr>
              <w:t>合计</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759" w:type="dxa"/>
            <w:vMerge w:val="restart"/>
            <w:noWrap/>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土地出让收入</w:t>
            </w:r>
          </w:p>
        </w:tc>
        <w:tc>
          <w:tcPr>
            <w:tcW w:w="1617" w:type="dxa"/>
            <w:noWrap/>
            <w:vAlign w:val="bottom"/>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出让土地量（亩）</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11.58</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11.58</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11.58</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11.58</w:t>
            </w:r>
          </w:p>
        </w:tc>
        <w:tc>
          <w:tcPr>
            <w:tcW w:w="1230"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165.33</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759" w:type="dxa"/>
            <w:vMerge w:val="continue"/>
            <w:vAlign w:val="center"/>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p>
        </w:tc>
        <w:tc>
          <w:tcPr>
            <w:tcW w:w="1617" w:type="dxa"/>
            <w:noWrap/>
            <w:vAlign w:val="bottom"/>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r>
              <w:rPr>
                <w:rFonts w:hint="eastAsia" w:ascii="仿宋" w:hAnsi="仿宋" w:eastAsia="仿宋" w:cs="宋体"/>
                <w:color w:val="000000"/>
                <w:kern w:val="0"/>
                <w:sz w:val="20"/>
                <w:szCs w:val="20"/>
              </w:rPr>
              <w:t>单价（万元</w:t>
            </w:r>
            <w:r>
              <w:rPr>
                <w:rFonts w:hint="default" w:ascii="仿宋" w:hAnsi="仿宋" w:eastAsia="仿宋" w:cs="宋体"/>
                <w:color w:val="000000"/>
                <w:kern w:val="0"/>
                <w:sz w:val="20"/>
                <w:szCs w:val="20"/>
              </w:rPr>
              <w:t>/</w:t>
            </w:r>
            <w:r>
              <w:rPr>
                <w:rFonts w:hint="eastAsia" w:ascii="仿宋" w:hAnsi="仿宋" w:eastAsia="仿宋" w:cs="宋体"/>
                <w:color w:val="000000"/>
                <w:kern w:val="0"/>
                <w:sz w:val="20"/>
                <w:szCs w:val="20"/>
              </w:rPr>
              <w:t>亩）</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29"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211.57</w:t>
            </w:r>
          </w:p>
        </w:tc>
        <w:tc>
          <w:tcPr>
            <w:tcW w:w="1230" w:type="dxa"/>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759" w:type="dxa"/>
            <w:vMerge w:val="continue"/>
            <w:tcBorders>
              <w:bottom w:val="single" w:color="auto" w:sz="12" w:space="0"/>
            </w:tcBorders>
            <w:vAlign w:val="center"/>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color w:val="000000"/>
                <w:kern w:val="0"/>
                <w:sz w:val="20"/>
                <w:szCs w:val="20"/>
              </w:rPr>
            </w:pPr>
          </w:p>
        </w:tc>
        <w:tc>
          <w:tcPr>
            <w:tcW w:w="1617" w:type="dxa"/>
            <w:tcBorders>
              <w:bottom w:val="single" w:color="auto" w:sz="12" w:space="0"/>
            </w:tcBorders>
            <w:noWrap/>
            <w:vAlign w:val="bottom"/>
          </w:tcPr>
          <w:p>
            <w:pPr>
              <w:keepNext w:val="0"/>
              <w:keepLines w:val="0"/>
              <w:widowControl/>
              <w:suppressLineNumbers w:val="0"/>
              <w:spacing w:before="0" w:beforeAutospacing="0" w:after="0" w:afterAutospacing="0" w:line="576" w:lineRule="exact"/>
              <w:ind w:left="0" w:right="0"/>
              <w:jc w:val="left"/>
              <w:rPr>
                <w:rFonts w:hint="default" w:ascii="仿宋" w:hAnsi="仿宋" w:eastAsia="仿宋" w:cs="宋体"/>
                <w:bCs/>
                <w:color w:val="000000"/>
                <w:kern w:val="0"/>
                <w:sz w:val="20"/>
                <w:szCs w:val="20"/>
              </w:rPr>
            </w:pPr>
            <w:r>
              <w:rPr>
                <w:rFonts w:hint="eastAsia" w:ascii="仿宋" w:hAnsi="仿宋" w:eastAsia="仿宋" w:cs="宋体"/>
                <w:bCs/>
                <w:color w:val="000000"/>
                <w:kern w:val="0"/>
                <w:sz w:val="20"/>
                <w:szCs w:val="20"/>
              </w:rPr>
              <w:t>收入合计</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2,449.99</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2,449.99</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2,449.99</w:t>
            </w:r>
          </w:p>
        </w:tc>
        <w:tc>
          <w:tcPr>
            <w:tcW w:w="1229"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2,449.99</w:t>
            </w:r>
          </w:p>
        </w:tc>
        <w:tc>
          <w:tcPr>
            <w:tcW w:w="1230" w:type="dxa"/>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34,978.86</w:t>
            </w:r>
          </w:p>
        </w:tc>
      </w:tr>
    </w:tbl>
    <w:p>
      <w:pPr>
        <w:pStyle w:val="5"/>
        <w:spacing w:beforeLines="50" w:afterLines="50" w:line="576" w:lineRule="exact"/>
        <w:ind w:firstLine="560" w:firstLineChars="200"/>
        <w:outlineLvl w:val="2"/>
        <w:rPr>
          <w:rFonts w:ascii="Arial" w:hAnsi="Arial" w:eastAsia="仿宋" w:cs="Arial"/>
          <w:kern w:val="2"/>
          <w:sz w:val="28"/>
          <w:szCs w:val="28"/>
          <w:lang w:val="en-US"/>
        </w:rPr>
      </w:pPr>
    </w:p>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项目</w:t>
      </w:r>
      <w:bookmarkEnd w:id="55"/>
      <w:bookmarkEnd w:id="56"/>
      <w:r>
        <w:rPr>
          <w:rFonts w:hint="eastAsia" w:ascii="仿宋" w:hAnsi="仿宋" w:eastAsia="仿宋"/>
          <w:kern w:val="2"/>
          <w:sz w:val="28"/>
          <w:szCs w:val="28"/>
          <w:lang w:val="en-US"/>
        </w:rPr>
        <w:t>成本</w:t>
      </w:r>
    </w:p>
    <w:p>
      <w:pPr>
        <w:pStyle w:val="5"/>
        <w:spacing w:before="0" w:after="0" w:line="576" w:lineRule="exact"/>
        <w:ind w:firstLine="560" w:firstLineChars="200"/>
        <w:rPr>
          <w:rFonts w:ascii="仿宋" w:hAnsi="仿宋" w:eastAsia="仿宋"/>
          <w:kern w:val="2"/>
          <w:sz w:val="28"/>
          <w:szCs w:val="28"/>
          <w:lang w:val="en-US"/>
        </w:rPr>
      </w:pPr>
      <w:bookmarkStart w:id="57" w:name="_Hlk532215268"/>
      <w:r>
        <w:rPr>
          <w:rFonts w:hint="eastAsia" w:ascii="仿宋" w:hAnsi="仿宋" w:eastAsia="仿宋"/>
          <w:kern w:val="2"/>
          <w:sz w:val="28"/>
          <w:szCs w:val="28"/>
          <w:lang w:val="en-US"/>
        </w:rPr>
        <w:t>本项目成本主要包括经营成本、财务费用。</w:t>
      </w:r>
    </w:p>
    <w:bookmarkEnd w:id="57"/>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1</w:t>
      </w:r>
      <w:r>
        <w:rPr>
          <w:rFonts w:hint="eastAsia" w:ascii="仿宋" w:hAnsi="仿宋" w:eastAsia="仿宋"/>
          <w:kern w:val="2"/>
          <w:sz w:val="28"/>
          <w:szCs w:val="28"/>
          <w:lang w:val="en-US"/>
        </w:rPr>
        <w:t>）经营成本</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经营成本主要系土地出让过程中的各项管理费用，按土地出让净收入的</w:t>
      </w:r>
      <w:r>
        <w:rPr>
          <w:rFonts w:ascii="Arial" w:hAnsi="Arial" w:eastAsia="仿宋" w:cs="Arial"/>
          <w:kern w:val="2"/>
          <w:sz w:val="28"/>
          <w:szCs w:val="28"/>
          <w:lang w:val="en-US"/>
        </w:rPr>
        <w:t>5</w:t>
      </w:r>
      <w:r>
        <w:rPr>
          <w:rFonts w:ascii="仿宋" w:hAnsi="仿宋" w:eastAsia="仿宋"/>
          <w:kern w:val="2"/>
          <w:sz w:val="28"/>
          <w:szCs w:val="28"/>
          <w:lang w:val="en-US"/>
        </w:rPr>
        <w:t>.</w:t>
      </w:r>
      <w:r>
        <w:rPr>
          <w:rFonts w:ascii="Arial" w:hAnsi="Arial" w:eastAsia="仿宋" w:cs="Arial"/>
          <w:kern w:val="2"/>
          <w:sz w:val="28"/>
          <w:szCs w:val="28"/>
          <w:lang w:val="en-US"/>
        </w:rPr>
        <w:t>00</w:t>
      </w:r>
      <w:r>
        <w:rPr>
          <w:rFonts w:ascii="仿宋" w:hAnsi="仿宋" w:eastAsia="仿宋"/>
          <w:kern w:val="2"/>
          <w:sz w:val="28"/>
          <w:szCs w:val="28"/>
          <w:lang w:val="en-US"/>
        </w:rPr>
        <w:t>%</w:t>
      </w:r>
      <w:r>
        <w:rPr>
          <w:rFonts w:hint="eastAsia" w:ascii="仿宋" w:hAnsi="仿宋" w:eastAsia="仿宋"/>
          <w:kern w:val="2"/>
          <w:sz w:val="28"/>
          <w:szCs w:val="28"/>
          <w:lang w:val="en-US"/>
        </w:rPr>
        <w:t>测算</w:t>
      </w:r>
      <w:r>
        <w:rPr>
          <w:rFonts w:ascii="仿宋" w:hAnsi="仿宋" w:eastAsia="仿宋"/>
          <w:kern w:val="2"/>
          <w:sz w:val="28"/>
          <w:szCs w:val="28"/>
          <w:lang w:val="en-US"/>
        </w:rPr>
        <w:t>,</w:t>
      </w:r>
      <w:r>
        <w:rPr>
          <w:rFonts w:hint="eastAsia" w:ascii="仿宋" w:hAnsi="仿宋" w:eastAsia="仿宋"/>
          <w:kern w:val="2"/>
          <w:sz w:val="28"/>
          <w:szCs w:val="28"/>
          <w:lang w:val="en-US"/>
        </w:rPr>
        <w:t>预计运营期间的经营成本合计为</w:t>
      </w:r>
      <w:r>
        <w:rPr>
          <w:rFonts w:ascii="Arial" w:hAnsi="Arial" w:eastAsia="仿宋" w:cs="Arial"/>
          <w:kern w:val="2"/>
          <w:sz w:val="28"/>
          <w:szCs w:val="28"/>
          <w:lang w:val="en-US"/>
        </w:rPr>
        <w:t>1</w:t>
      </w:r>
      <w:r>
        <w:rPr>
          <w:rFonts w:ascii="仿宋" w:hAnsi="仿宋" w:eastAsia="仿宋"/>
          <w:kern w:val="2"/>
          <w:sz w:val="28"/>
          <w:szCs w:val="28"/>
          <w:lang w:val="en-US"/>
        </w:rPr>
        <w:t>,</w:t>
      </w:r>
      <w:r>
        <w:rPr>
          <w:rFonts w:ascii="Arial" w:hAnsi="Arial" w:eastAsia="仿宋" w:cs="Arial"/>
          <w:kern w:val="2"/>
          <w:sz w:val="28"/>
          <w:szCs w:val="28"/>
          <w:lang w:val="en-US"/>
        </w:rPr>
        <w:t>748</w:t>
      </w:r>
      <w:r>
        <w:rPr>
          <w:rFonts w:ascii="仿宋" w:hAnsi="仿宋" w:eastAsia="仿宋"/>
          <w:kern w:val="2"/>
          <w:sz w:val="28"/>
          <w:szCs w:val="28"/>
          <w:lang w:val="en-US"/>
        </w:rPr>
        <w:t>.</w:t>
      </w:r>
      <w:r>
        <w:rPr>
          <w:rFonts w:ascii="Arial" w:hAnsi="Arial" w:eastAsia="仿宋" w:cs="Arial"/>
          <w:kern w:val="2"/>
          <w:sz w:val="28"/>
          <w:szCs w:val="28"/>
          <w:lang w:val="en-US"/>
        </w:rPr>
        <w:t>93</w:t>
      </w:r>
      <w:r>
        <w:rPr>
          <w:rFonts w:hint="eastAsia" w:ascii="仿宋" w:hAnsi="仿宋" w:eastAsia="仿宋"/>
          <w:kern w:val="2"/>
          <w:sz w:val="28"/>
          <w:szCs w:val="28"/>
          <w:lang w:val="en-US"/>
        </w:rPr>
        <w:t>万元。</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w:t>
      </w:r>
      <w:r>
        <w:rPr>
          <w:rFonts w:ascii="Arial" w:hAnsi="Arial" w:eastAsia="仿宋" w:cs="Arial"/>
          <w:kern w:val="2"/>
          <w:sz w:val="28"/>
          <w:szCs w:val="28"/>
          <w:lang w:val="en-US"/>
        </w:rPr>
        <w:t>2</w:t>
      </w:r>
      <w:r>
        <w:rPr>
          <w:rFonts w:hint="eastAsia" w:ascii="仿宋" w:hAnsi="仿宋" w:eastAsia="仿宋"/>
          <w:kern w:val="2"/>
          <w:sz w:val="28"/>
          <w:szCs w:val="28"/>
          <w:lang w:val="en-US"/>
        </w:rPr>
        <w:t>）财务费用</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专项债券利息参考近期四川省同品种同期限专项债券发行票面利率</w:t>
      </w:r>
      <w:r>
        <w:rPr>
          <w:rFonts w:ascii="Arial" w:hAnsi="Arial" w:eastAsia="仿宋" w:cs="Arial"/>
          <w:kern w:val="2"/>
          <w:sz w:val="28"/>
          <w:szCs w:val="28"/>
          <w:lang w:val="en-US"/>
        </w:rPr>
        <w:t>4</w:t>
      </w:r>
      <w:r>
        <w:rPr>
          <w:rFonts w:ascii="仿宋" w:hAnsi="仿宋" w:eastAsia="仿宋"/>
          <w:kern w:val="2"/>
          <w:sz w:val="28"/>
          <w:szCs w:val="28"/>
          <w:lang w:val="en-US"/>
        </w:rPr>
        <w:t>.</w:t>
      </w:r>
      <w:r>
        <w:rPr>
          <w:rFonts w:ascii="Arial" w:hAnsi="Arial" w:eastAsia="仿宋" w:cs="Arial"/>
          <w:kern w:val="2"/>
          <w:sz w:val="28"/>
          <w:szCs w:val="28"/>
          <w:lang w:val="en-US"/>
        </w:rPr>
        <w:t>00</w:t>
      </w:r>
      <w:r>
        <w:rPr>
          <w:rFonts w:ascii="仿宋" w:hAnsi="仿宋" w:eastAsia="仿宋"/>
          <w:kern w:val="2"/>
          <w:sz w:val="28"/>
          <w:szCs w:val="28"/>
          <w:lang w:val="en-US"/>
        </w:rPr>
        <w:t>%</w:t>
      </w:r>
      <w:r>
        <w:rPr>
          <w:rFonts w:hint="eastAsia" w:ascii="仿宋" w:hAnsi="仿宋" w:eastAsia="仿宋"/>
          <w:kern w:val="2"/>
          <w:sz w:val="28"/>
          <w:szCs w:val="28"/>
          <w:lang w:val="en-US"/>
        </w:rPr>
        <w:t>计算，根据本次债券发行计划，本次专项债在运营期内利息合计</w:t>
      </w:r>
      <w:r>
        <w:rPr>
          <w:rFonts w:ascii="Arial" w:hAnsi="Arial" w:eastAsia="仿宋" w:cs="Arial"/>
          <w:kern w:val="2"/>
          <w:sz w:val="28"/>
          <w:szCs w:val="28"/>
          <w:lang w:val="en-US"/>
        </w:rPr>
        <w:t>9,913.16</w:t>
      </w:r>
      <w:r>
        <w:rPr>
          <w:rFonts w:hint="eastAsia" w:ascii="仿宋" w:hAnsi="仿宋" w:eastAsia="仿宋"/>
          <w:kern w:val="2"/>
          <w:sz w:val="28"/>
          <w:szCs w:val="28"/>
          <w:lang w:val="en-US"/>
        </w:rPr>
        <w:t>万元（见表</w:t>
      </w:r>
      <w:r>
        <w:rPr>
          <w:rFonts w:ascii="Arial" w:hAnsi="Arial" w:eastAsia="仿宋" w:cs="Arial"/>
          <w:kern w:val="2"/>
          <w:sz w:val="28"/>
          <w:szCs w:val="28"/>
          <w:lang w:val="en-US"/>
        </w:rPr>
        <w:t>4</w:t>
      </w:r>
      <w:r>
        <w:rPr>
          <w:rFonts w:ascii="仿宋" w:hAnsi="仿宋" w:eastAsia="仿宋"/>
          <w:kern w:val="2"/>
          <w:sz w:val="28"/>
          <w:szCs w:val="28"/>
          <w:lang w:val="en-US"/>
        </w:rPr>
        <w:t>-</w:t>
      </w:r>
      <w:r>
        <w:rPr>
          <w:rFonts w:ascii="Arial" w:hAnsi="Arial" w:eastAsia="仿宋" w:cs="Arial"/>
          <w:kern w:val="2"/>
          <w:sz w:val="28"/>
          <w:szCs w:val="28"/>
          <w:lang w:val="en-US"/>
        </w:rPr>
        <w:t>3</w:t>
      </w:r>
      <w:r>
        <w:rPr>
          <w:rFonts w:hint="eastAsia" w:ascii="仿宋" w:hAnsi="仿宋" w:eastAsia="仿宋"/>
          <w:kern w:val="2"/>
          <w:sz w:val="28"/>
          <w:szCs w:val="28"/>
          <w:lang w:val="en-US"/>
        </w:rPr>
        <w:t>）。</w:t>
      </w:r>
    </w:p>
    <w:p>
      <w:pPr>
        <w:spacing w:beforeLines="50" w:afterLines="50" w:line="576" w:lineRule="exact"/>
        <w:jc w:val="center"/>
        <w:rPr>
          <w:rFonts w:ascii="仿宋" w:hAnsi="仿宋" w:eastAsia="仿宋"/>
          <w:szCs w:val="21"/>
        </w:rPr>
      </w:pPr>
      <w:r>
        <w:rPr>
          <w:rFonts w:hint="eastAsia" w:ascii="仿宋" w:hAnsi="仿宋" w:eastAsia="仿宋"/>
          <w:szCs w:val="21"/>
        </w:rPr>
        <w:t>表</w:t>
      </w:r>
      <w:r>
        <w:rPr>
          <w:rFonts w:ascii="Arial" w:hAnsi="Arial" w:eastAsia="仿宋" w:cs="Arial"/>
          <w:szCs w:val="21"/>
        </w:rPr>
        <w:t>4</w:t>
      </w:r>
      <w:r>
        <w:rPr>
          <w:rFonts w:ascii="仿宋" w:hAnsi="仿宋" w:eastAsia="仿宋"/>
          <w:szCs w:val="21"/>
        </w:rPr>
        <w:t>-</w:t>
      </w:r>
      <w:r>
        <w:rPr>
          <w:rFonts w:ascii="Arial" w:hAnsi="Arial" w:eastAsia="仿宋" w:cs="Arial"/>
          <w:szCs w:val="21"/>
        </w:rPr>
        <w:t>3</w:t>
      </w:r>
      <w:r>
        <w:rPr>
          <w:rFonts w:hint="eastAsia" w:ascii="仿宋" w:hAnsi="仿宋" w:eastAsia="仿宋"/>
          <w:szCs w:val="21"/>
        </w:rPr>
        <w:t>芦山县（城中村）棚户区改造项目改造项目财务成本预测表</w:t>
      </w:r>
    </w:p>
    <w:tbl>
      <w:tblPr>
        <w:tblStyle w:val="26"/>
        <w:tblW w:w="5000"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3682"/>
        <w:gridCol w:w="4840"/>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12" w:hRule="atLeast"/>
          <w:jc w:val="center"/>
        </w:trPr>
        <w:tc>
          <w:tcPr>
            <w:tcW w:w="2160" w:type="pct"/>
            <w:tcBorders>
              <w:top w:val="single" w:color="auto"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bCs/>
                <w:kern w:val="0"/>
                <w:szCs w:val="21"/>
              </w:rPr>
            </w:pPr>
            <w:r>
              <w:rPr>
                <w:rFonts w:hint="eastAsia" w:ascii="仿宋" w:hAnsi="仿宋" w:eastAsia="仿宋"/>
                <w:bCs/>
                <w:kern w:val="0"/>
                <w:szCs w:val="21"/>
              </w:rPr>
              <w:t>时间</w:t>
            </w:r>
          </w:p>
        </w:tc>
        <w:tc>
          <w:tcPr>
            <w:tcW w:w="2840" w:type="pct"/>
            <w:tcBorders>
              <w:top w:val="single" w:color="auto"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仿宋" w:hAnsi="仿宋" w:eastAsia="仿宋"/>
                <w:bCs/>
                <w:color w:val="000000"/>
                <w:kern w:val="0"/>
                <w:szCs w:val="21"/>
              </w:rPr>
            </w:pPr>
            <w:r>
              <w:rPr>
                <w:rFonts w:hint="eastAsia" w:ascii="仿宋" w:hAnsi="仿宋" w:eastAsia="仿宋"/>
                <w:bCs/>
                <w:color w:val="000000"/>
                <w:kern w:val="0"/>
                <w:szCs w:val="21"/>
              </w:rPr>
              <w:t>财务成本</w:t>
            </w:r>
            <w:r>
              <w:rPr>
                <w:rFonts w:hint="default" w:ascii="仿宋" w:hAnsi="仿宋" w:eastAsia="仿宋"/>
                <w:bCs/>
                <w:color w:val="000000"/>
                <w:kern w:val="0"/>
                <w:szCs w:val="21"/>
              </w:rPr>
              <w:t>/</w:t>
            </w:r>
            <w:r>
              <w:rPr>
                <w:rFonts w:hint="eastAsia" w:ascii="仿宋" w:hAnsi="仿宋" w:eastAsia="仿宋"/>
                <w:bCs/>
                <w:color w:val="000000"/>
                <w:kern w:val="0"/>
                <w:szCs w:val="21"/>
              </w:rPr>
              <w:t>万元</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55"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2022</w:t>
            </w:r>
            <w:r>
              <w:rPr>
                <w:rFonts w:hint="eastAsia" w:ascii="仿宋" w:hAnsi="仿宋" w:eastAsia="仿宋"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8"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2023</w:t>
            </w:r>
            <w:r>
              <w:rPr>
                <w:rFonts w:hint="eastAsia" w:ascii="仿宋" w:hAnsi="仿宋" w:eastAsia="仿宋"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5"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2024</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2025</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2026</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2027</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2028</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2029</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2030</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2031</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2032</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2033</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2034</w:t>
            </w:r>
            <w:r>
              <w:rPr>
                <w:rFonts w:hint="eastAsia" w:ascii="Arial" w:hAnsi="Arial" w:cs="Arial"/>
                <w:color w:val="000000"/>
                <w:szCs w:val="21"/>
              </w:rPr>
              <w:t>年</w:t>
            </w:r>
          </w:p>
        </w:tc>
        <w:tc>
          <w:tcPr>
            <w:tcW w:w="2840" w:type="pct"/>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4" w:hRule="atLeast"/>
          <w:jc w:val="center"/>
        </w:trPr>
        <w:tc>
          <w:tcPr>
            <w:tcW w:w="2160" w:type="pct"/>
            <w:vAlign w:val="center"/>
          </w:tcPr>
          <w:p>
            <w:pPr>
              <w:keepNext w:val="0"/>
              <w:keepLines w:val="0"/>
              <w:suppressLineNumbers w:val="0"/>
              <w:spacing w:before="0" w:beforeAutospacing="0" w:after="0" w:afterAutospacing="0" w:line="576" w:lineRule="exact"/>
              <w:ind w:left="0" w:right="0"/>
              <w:jc w:val="center"/>
              <w:rPr>
                <w:rFonts w:hint="default" w:ascii="Arial" w:hAnsi="Arial" w:cs="Arial"/>
                <w:color w:val="000000"/>
                <w:szCs w:val="21"/>
              </w:rPr>
            </w:pPr>
            <w:r>
              <w:rPr>
                <w:rFonts w:hint="default" w:ascii="Arial" w:hAnsi="Arial" w:cs="Arial"/>
                <w:color w:val="000000"/>
                <w:szCs w:val="21"/>
              </w:rPr>
              <w:t>2035</w:t>
            </w:r>
            <w:r>
              <w:rPr>
                <w:rFonts w:hint="eastAsia" w:ascii="Arial" w:hAnsi="Arial" w:cs="Arial"/>
                <w:color w:val="000000"/>
                <w:szCs w:val="21"/>
              </w:rPr>
              <w:t>年</w:t>
            </w:r>
          </w:p>
        </w:tc>
        <w:tc>
          <w:tcPr>
            <w:tcW w:w="2840" w:type="pct"/>
            <w:vAlign w:val="center"/>
          </w:tcPr>
          <w:p>
            <w:pPr>
              <w:keepNext w:val="0"/>
              <w:keepLines w:val="0"/>
              <w:widowControl/>
              <w:suppressLineNumbers w:val="0"/>
              <w:spacing w:before="0" w:beforeAutospacing="0" w:after="0" w:afterAutospacing="0" w:line="576" w:lineRule="exact"/>
              <w:ind w:left="0" w:right="0"/>
              <w:jc w:val="right"/>
              <w:rPr>
                <w:rFonts w:hint="default" w:ascii="Arial" w:hAnsi="Arial" w:eastAsia="仿宋" w:cs="Arial"/>
                <w:color w:val="000000"/>
                <w:kern w:val="0"/>
                <w:sz w:val="20"/>
                <w:szCs w:val="20"/>
              </w:rPr>
            </w:pPr>
            <w:r>
              <w:rPr>
                <w:rFonts w:hint="default" w:ascii="Arial" w:hAnsi="Arial" w:eastAsia="仿宋" w:cs="Arial"/>
                <w:color w:val="000000"/>
                <w:kern w:val="0"/>
                <w:sz w:val="20"/>
                <w:szCs w:val="20"/>
              </w:rPr>
              <w:t>463.72</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4" w:hRule="atLeast"/>
          <w:jc w:val="center"/>
        </w:trPr>
        <w:tc>
          <w:tcPr>
            <w:tcW w:w="2160" w:type="pct"/>
            <w:tcBorders>
              <w:bottom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宋体"/>
                <w:color w:val="000000"/>
                <w:szCs w:val="21"/>
              </w:rPr>
            </w:pPr>
            <w:r>
              <w:rPr>
                <w:rFonts w:hint="eastAsia" w:ascii="仿宋" w:hAnsi="仿宋" w:eastAsia="仿宋"/>
                <w:color w:val="000000"/>
                <w:szCs w:val="21"/>
              </w:rPr>
              <w:t>合计</w:t>
            </w:r>
          </w:p>
        </w:tc>
        <w:tc>
          <w:tcPr>
            <w:tcW w:w="2840" w:type="pct"/>
            <w:tcBorders>
              <w:bottom w:val="single" w:color="auto" w:sz="12" w:space="0"/>
            </w:tcBorders>
            <w:vAlign w:val="center"/>
          </w:tcPr>
          <w:p>
            <w:pPr>
              <w:keepNext w:val="0"/>
              <w:keepLines w:val="0"/>
              <w:suppressLineNumbers w:val="0"/>
              <w:spacing w:before="0" w:beforeAutospacing="0" w:after="0" w:afterAutospacing="0" w:line="576" w:lineRule="exact"/>
              <w:ind w:left="0" w:right="0"/>
              <w:jc w:val="right"/>
              <w:rPr>
                <w:rFonts w:hint="default" w:ascii="仿宋" w:hAnsi="仿宋" w:eastAsia="仿宋" w:cs="宋体"/>
                <w:color w:val="000000"/>
                <w:szCs w:val="21"/>
              </w:rPr>
            </w:pPr>
            <w:r>
              <w:rPr>
                <w:rFonts w:hint="default" w:ascii="Arial" w:hAnsi="Arial" w:eastAsia="仿宋" w:cs="Arial"/>
                <w:color w:val="000000"/>
                <w:szCs w:val="21"/>
              </w:rPr>
              <w:t>9,913.16</w:t>
            </w:r>
          </w:p>
        </w:tc>
      </w:tr>
    </w:tbl>
    <w:p>
      <w:pPr>
        <w:pStyle w:val="5"/>
        <w:spacing w:beforeLines="50" w:afterLines="50" w:line="576" w:lineRule="exact"/>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3</w:t>
      </w:r>
      <w:r>
        <w:rPr>
          <w:rFonts w:ascii="仿宋" w:hAnsi="仿宋" w:eastAsia="仿宋"/>
          <w:kern w:val="2"/>
          <w:sz w:val="28"/>
          <w:szCs w:val="28"/>
          <w:lang w:val="en-US"/>
        </w:rPr>
        <w:t>.</w:t>
      </w:r>
      <w:r>
        <w:rPr>
          <w:rFonts w:hint="eastAsia" w:ascii="仿宋" w:hAnsi="仿宋" w:eastAsia="仿宋"/>
          <w:kern w:val="2"/>
          <w:sz w:val="28"/>
          <w:szCs w:val="28"/>
          <w:lang w:val="en-US"/>
        </w:rPr>
        <w:t>项目损益</w:t>
      </w:r>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本次芦山县（城中村）棚户区改造项目专项债券发行规模</w:t>
      </w:r>
      <w:r>
        <w:rPr>
          <w:rFonts w:ascii="Arial" w:hAnsi="Arial" w:eastAsia="仿宋" w:cs="Arial"/>
          <w:kern w:val="2"/>
          <w:sz w:val="28"/>
          <w:szCs w:val="28"/>
          <w:lang w:val="en-US"/>
        </w:rPr>
        <w:t>18</w:t>
      </w:r>
      <w:r>
        <w:rPr>
          <w:rFonts w:ascii="仿宋" w:hAnsi="仿宋" w:eastAsia="仿宋"/>
          <w:kern w:val="2"/>
          <w:sz w:val="28"/>
          <w:szCs w:val="28"/>
          <w:lang w:val="en-US"/>
        </w:rPr>
        <w:t>,</w:t>
      </w:r>
      <w:r>
        <w:rPr>
          <w:rFonts w:ascii="Arial" w:hAnsi="Arial" w:eastAsia="仿宋" w:cs="Arial"/>
          <w:kern w:val="2"/>
          <w:sz w:val="28"/>
          <w:szCs w:val="28"/>
          <w:lang w:val="en-US"/>
        </w:rPr>
        <w:t>172</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万元，分两期发行，其中</w:t>
      </w:r>
      <w:r>
        <w:rPr>
          <w:rFonts w:ascii="Arial" w:hAnsi="Arial" w:eastAsia="仿宋" w:cs="Arial"/>
          <w:kern w:val="2"/>
          <w:sz w:val="28"/>
          <w:szCs w:val="28"/>
          <w:lang w:val="en-US"/>
        </w:rPr>
        <w:t>2020</w:t>
      </w:r>
      <w:r>
        <w:rPr>
          <w:rFonts w:hint="eastAsia" w:ascii="仿宋" w:hAnsi="仿宋" w:eastAsia="仿宋"/>
          <w:kern w:val="2"/>
          <w:sz w:val="28"/>
          <w:szCs w:val="28"/>
          <w:lang w:val="en-US"/>
        </w:rPr>
        <w:t>年发行</w:t>
      </w:r>
      <w:r>
        <w:rPr>
          <w:rFonts w:ascii="Arial" w:hAnsi="Arial" w:eastAsia="仿宋" w:cs="Arial"/>
          <w:kern w:val="2"/>
          <w:sz w:val="28"/>
          <w:szCs w:val="28"/>
          <w:lang w:val="en-US"/>
        </w:rPr>
        <w:t>6</w:t>
      </w:r>
      <w:r>
        <w:rPr>
          <w:rFonts w:ascii="仿宋" w:hAnsi="仿宋" w:eastAsia="仿宋"/>
          <w:kern w:val="2"/>
          <w:sz w:val="28"/>
          <w:szCs w:val="28"/>
          <w:lang w:val="en-US"/>
        </w:rPr>
        <w:t>,</w:t>
      </w:r>
      <w:r>
        <w:rPr>
          <w:rFonts w:ascii="Arial" w:hAnsi="Arial" w:eastAsia="仿宋" w:cs="Arial"/>
          <w:kern w:val="2"/>
          <w:sz w:val="28"/>
          <w:szCs w:val="28"/>
          <w:lang w:val="en-US"/>
        </w:rPr>
        <w:t>579</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万元，</w:t>
      </w:r>
      <w:r>
        <w:rPr>
          <w:rFonts w:ascii="Arial" w:hAnsi="Arial" w:eastAsia="仿宋" w:cs="Arial"/>
          <w:kern w:val="2"/>
          <w:sz w:val="28"/>
          <w:szCs w:val="28"/>
          <w:lang w:val="en-US"/>
        </w:rPr>
        <w:t>2021</w:t>
      </w:r>
      <w:r>
        <w:rPr>
          <w:rFonts w:hint="eastAsia" w:ascii="仿宋" w:hAnsi="仿宋" w:eastAsia="仿宋"/>
          <w:kern w:val="2"/>
          <w:sz w:val="28"/>
          <w:szCs w:val="28"/>
          <w:lang w:val="en-US"/>
        </w:rPr>
        <w:t>年发行</w:t>
      </w:r>
      <w:r>
        <w:rPr>
          <w:rFonts w:ascii="Arial" w:hAnsi="Arial" w:eastAsia="仿宋" w:cs="Arial"/>
          <w:kern w:val="2"/>
          <w:sz w:val="28"/>
          <w:szCs w:val="28"/>
          <w:lang w:val="en-US"/>
        </w:rPr>
        <w:t>11</w:t>
      </w:r>
      <w:r>
        <w:rPr>
          <w:rFonts w:ascii="仿宋" w:hAnsi="仿宋" w:eastAsia="仿宋"/>
          <w:kern w:val="2"/>
          <w:sz w:val="28"/>
          <w:szCs w:val="28"/>
          <w:lang w:val="en-US"/>
        </w:rPr>
        <w:t>,</w:t>
      </w:r>
      <w:r>
        <w:rPr>
          <w:rFonts w:ascii="Arial" w:hAnsi="Arial" w:eastAsia="仿宋" w:cs="Arial"/>
          <w:kern w:val="2"/>
          <w:sz w:val="28"/>
          <w:szCs w:val="28"/>
          <w:lang w:val="en-US"/>
        </w:rPr>
        <w:t>593</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万元，按照每年</w:t>
      </w:r>
      <w:r>
        <w:rPr>
          <w:rFonts w:ascii="Arial" w:hAnsi="Arial" w:eastAsia="仿宋" w:cs="Arial"/>
          <w:kern w:val="2"/>
          <w:sz w:val="28"/>
          <w:szCs w:val="28"/>
          <w:lang w:val="en-US"/>
        </w:rPr>
        <w:t>4</w:t>
      </w:r>
      <w:r>
        <w:rPr>
          <w:rFonts w:ascii="仿宋" w:hAnsi="仿宋" w:eastAsia="仿宋"/>
          <w:kern w:val="2"/>
          <w:sz w:val="28"/>
          <w:szCs w:val="28"/>
          <w:lang w:val="en-US"/>
        </w:rPr>
        <w:t>.</w:t>
      </w:r>
      <w:r>
        <w:rPr>
          <w:rFonts w:ascii="Arial" w:hAnsi="Arial" w:eastAsia="仿宋" w:cs="Arial"/>
          <w:kern w:val="2"/>
          <w:sz w:val="28"/>
          <w:szCs w:val="28"/>
          <w:lang w:val="en-US"/>
        </w:rPr>
        <w:t>00</w:t>
      </w:r>
      <w:r>
        <w:rPr>
          <w:rFonts w:ascii="仿宋" w:hAnsi="仿宋" w:eastAsia="仿宋"/>
          <w:kern w:val="2"/>
          <w:sz w:val="28"/>
          <w:szCs w:val="28"/>
          <w:lang w:val="en-US"/>
        </w:rPr>
        <w:t>%</w:t>
      </w:r>
      <w:r>
        <w:rPr>
          <w:rFonts w:hint="eastAsia" w:ascii="仿宋" w:hAnsi="仿宋" w:eastAsia="仿宋"/>
          <w:kern w:val="2"/>
          <w:sz w:val="28"/>
          <w:szCs w:val="28"/>
          <w:lang w:val="en-US"/>
        </w:rPr>
        <w:t>利率计算，每期期限</w:t>
      </w:r>
      <w:r>
        <w:rPr>
          <w:rFonts w:ascii="Arial" w:hAnsi="Arial" w:eastAsia="仿宋" w:cs="Arial"/>
          <w:kern w:val="2"/>
          <w:sz w:val="28"/>
          <w:szCs w:val="28"/>
          <w:lang w:val="en-US"/>
        </w:rPr>
        <w:t>15</w:t>
      </w:r>
      <w:r>
        <w:rPr>
          <w:rFonts w:hint="eastAsia" w:ascii="仿宋" w:hAnsi="仿宋" w:eastAsia="仿宋"/>
          <w:kern w:val="2"/>
          <w:sz w:val="28"/>
          <w:szCs w:val="28"/>
          <w:lang w:val="en-US"/>
        </w:rPr>
        <w:t>年。</w:t>
      </w:r>
    </w:p>
    <w:p>
      <w:pPr>
        <w:spacing w:line="576" w:lineRule="exact"/>
        <w:rPr>
          <w:rFonts w:ascii="宋体" w:cs="宋体"/>
          <w:color w:val="000000"/>
          <w:kern w:val="0"/>
          <w:sz w:val="22"/>
          <w:szCs w:val="22"/>
        </w:rPr>
      </w:pPr>
      <w:r>
        <w:rPr>
          <w:rFonts w:hint="eastAsia" w:ascii="仿宋" w:hAnsi="仿宋" w:eastAsia="仿宋"/>
          <w:sz w:val="28"/>
          <w:szCs w:val="28"/>
        </w:rPr>
        <w:t>在还款期内可用于偿还专项债券本息的项目收益为</w:t>
      </w:r>
      <w:r>
        <w:rPr>
          <w:rFonts w:ascii="Arial" w:hAnsi="Arial" w:eastAsia="仿宋" w:cs="Arial"/>
          <w:sz w:val="28"/>
          <w:szCs w:val="28"/>
        </w:rPr>
        <w:t>33</w:t>
      </w:r>
      <w:r>
        <w:rPr>
          <w:rFonts w:ascii="仿宋" w:hAnsi="仿宋" w:eastAsia="仿宋"/>
          <w:sz w:val="28"/>
          <w:szCs w:val="28"/>
        </w:rPr>
        <w:t>,</w:t>
      </w:r>
      <w:r>
        <w:rPr>
          <w:rFonts w:ascii="Arial" w:hAnsi="Arial" w:eastAsia="仿宋" w:cs="Arial"/>
          <w:sz w:val="28"/>
          <w:szCs w:val="28"/>
        </w:rPr>
        <w:t>229</w:t>
      </w:r>
      <w:r>
        <w:rPr>
          <w:rFonts w:ascii="仿宋" w:hAnsi="仿宋" w:eastAsia="仿宋"/>
          <w:sz w:val="28"/>
          <w:szCs w:val="28"/>
        </w:rPr>
        <w:t>.</w:t>
      </w:r>
      <w:r>
        <w:rPr>
          <w:rFonts w:ascii="Arial" w:hAnsi="Arial" w:eastAsia="仿宋" w:cs="Arial"/>
          <w:sz w:val="28"/>
          <w:szCs w:val="28"/>
        </w:rPr>
        <w:t>93</w:t>
      </w:r>
      <w:r>
        <w:rPr>
          <w:rFonts w:hint="eastAsia" w:ascii="仿宋" w:hAnsi="仿宋" w:eastAsia="仿宋"/>
          <w:sz w:val="28"/>
          <w:szCs w:val="28"/>
        </w:rPr>
        <w:t>万元，是存续期间专项债券还本付息总额</w:t>
      </w:r>
      <w:r>
        <w:rPr>
          <w:rFonts w:ascii="Arial" w:hAnsi="Arial" w:eastAsia="仿宋" w:cs="Arial"/>
          <w:sz w:val="28"/>
          <w:szCs w:val="28"/>
        </w:rPr>
        <w:t>29,075.20</w:t>
      </w:r>
      <w:r>
        <w:rPr>
          <w:rFonts w:hint="eastAsia" w:ascii="仿宋" w:hAnsi="仿宋" w:eastAsia="仿宋"/>
          <w:sz w:val="28"/>
          <w:szCs w:val="28"/>
        </w:rPr>
        <w:t>万元的</w:t>
      </w:r>
      <w:r>
        <w:rPr>
          <w:rFonts w:ascii="Arial" w:hAnsi="Arial" w:eastAsia="仿宋" w:cs="Arial"/>
          <w:sz w:val="28"/>
          <w:szCs w:val="28"/>
        </w:rPr>
        <w:t>1</w:t>
      </w:r>
      <w:r>
        <w:rPr>
          <w:rFonts w:ascii="仿宋" w:hAnsi="仿宋" w:eastAsia="仿宋"/>
          <w:sz w:val="28"/>
          <w:szCs w:val="28"/>
        </w:rPr>
        <w:t>.</w:t>
      </w:r>
      <w:r>
        <w:rPr>
          <w:rFonts w:ascii="Arial" w:hAnsi="Arial" w:eastAsia="仿宋" w:cs="Arial"/>
          <w:sz w:val="28"/>
          <w:szCs w:val="28"/>
        </w:rPr>
        <w:t>14</w:t>
      </w:r>
      <w:r>
        <w:rPr>
          <w:rFonts w:hint="eastAsia" w:ascii="仿宋" w:hAnsi="仿宋" w:eastAsia="仿宋"/>
          <w:sz w:val="28"/>
          <w:szCs w:val="28"/>
        </w:rPr>
        <w:t>倍，完全能够满足债券还本付息的要求。在还款期内，本金偿还保障率均超过</w:t>
      </w:r>
      <w:r>
        <w:rPr>
          <w:rFonts w:ascii="Arial" w:hAnsi="Arial" w:eastAsia="仿宋" w:cs="Arial"/>
          <w:sz w:val="28"/>
          <w:szCs w:val="28"/>
        </w:rPr>
        <w:t>100</w:t>
      </w:r>
      <w:r>
        <w:rPr>
          <w:rFonts w:ascii="仿宋" w:hAnsi="仿宋" w:eastAsia="仿宋"/>
          <w:sz w:val="28"/>
          <w:szCs w:val="28"/>
        </w:rPr>
        <w:t>.</w:t>
      </w:r>
      <w:r>
        <w:rPr>
          <w:rFonts w:ascii="Arial" w:hAnsi="Arial" w:eastAsia="仿宋" w:cs="Arial"/>
          <w:sz w:val="28"/>
          <w:szCs w:val="28"/>
        </w:rPr>
        <w:t>00</w:t>
      </w:r>
      <w:r>
        <w:rPr>
          <w:rFonts w:ascii="仿宋" w:hAnsi="仿宋" w:eastAsia="仿宋"/>
          <w:sz w:val="28"/>
          <w:szCs w:val="28"/>
        </w:rPr>
        <w:t>%</w:t>
      </w:r>
      <w:r>
        <w:rPr>
          <w:rFonts w:hint="eastAsia" w:ascii="仿宋" w:hAnsi="仿宋" w:eastAsia="仿宋"/>
          <w:sz w:val="28"/>
          <w:szCs w:val="28"/>
        </w:rPr>
        <w:t>，项目本身能够达到自求平衡。</w:t>
      </w:r>
    </w:p>
    <w:p>
      <w:pPr>
        <w:spacing w:beforeLines="50" w:afterLines="50" w:line="576" w:lineRule="exact"/>
        <w:jc w:val="center"/>
        <w:rPr>
          <w:rFonts w:ascii="仿宋" w:hAnsi="仿宋" w:eastAsia="仿宋"/>
          <w:szCs w:val="21"/>
        </w:rPr>
      </w:pPr>
      <w:r>
        <w:rPr>
          <w:rFonts w:hint="eastAsia" w:ascii="仿宋" w:hAnsi="仿宋" w:eastAsia="仿宋"/>
          <w:szCs w:val="21"/>
        </w:rPr>
        <w:t>表</w:t>
      </w:r>
      <w:r>
        <w:rPr>
          <w:rFonts w:ascii="Arial" w:hAnsi="Arial" w:eastAsia="仿宋" w:cs="Arial"/>
          <w:szCs w:val="21"/>
        </w:rPr>
        <w:t>4</w:t>
      </w:r>
      <w:r>
        <w:rPr>
          <w:rFonts w:ascii="仿宋" w:hAnsi="仿宋" w:eastAsia="仿宋"/>
          <w:szCs w:val="21"/>
        </w:rPr>
        <w:t>-</w:t>
      </w:r>
      <w:r>
        <w:rPr>
          <w:rFonts w:ascii="Arial" w:hAnsi="Arial" w:eastAsia="仿宋" w:cs="Arial"/>
          <w:szCs w:val="21"/>
        </w:rPr>
        <w:t>4</w:t>
      </w:r>
      <w:r>
        <w:rPr>
          <w:rFonts w:hint="eastAsia" w:ascii="仿宋" w:hAnsi="仿宋" w:eastAsia="仿宋"/>
          <w:szCs w:val="21"/>
        </w:rPr>
        <w:t>芦山县（城中村）棚户区改造项目项目损益表（单位：万元）</w:t>
      </w:r>
    </w:p>
    <w:tbl>
      <w:tblPr>
        <w:tblStyle w:val="26"/>
        <w:tblW w:w="5000"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2916"/>
        <w:gridCol w:w="1061"/>
        <w:gridCol w:w="1062"/>
        <w:gridCol w:w="1161"/>
        <w:gridCol w:w="1161"/>
        <w:gridCol w:w="116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tcBorders>
              <w:top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center"/>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项目</w:t>
            </w:r>
          </w:p>
        </w:tc>
        <w:tc>
          <w:tcPr>
            <w:tcW w:w="623" w:type="pct"/>
            <w:tcBorders>
              <w:top w:val="single" w:color="auto"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Arial" w:hAnsi="Arial" w:eastAsia="仿宋" w:cs="Arial"/>
                <w:color w:val="000000"/>
                <w:kern w:val="0"/>
                <w:sz w:val="18"/>
                <w:szCs w:val="18"/>
              </w:rPr>
            </w:pPr>
            <w:r>
              <w:rPr>
                <w:rFonts w:hint="default" w:ascii="Arial" w:hAnsi="Arial" w:eastAsia="仿宋" w:cs="Arial"/>
                <w:color w:val="000000"/>
                <w:kern w:val="0"/>
                <w:sz w:val="18"/>
                <w:szCs w:val="18"/>
              </w:rPr>
              <w:t>2022</w:t>
            </w:r>
            <w:r>
              <w:rPr>
                <w:rFonts w:hint="eastAsia" w:ascii="Arial" w:hAnsi="Arial" w:eastAsia="仿宋" w:cs="Arial"/>
                <w:color w:val="000000"/>
                <w:kern w:val="0"/>
                <w:sz w:val="18"/>
                <w:szCs w:val="18"/>
              </w:rPr>
              <w:t>年度</w:t>
            </w:r>
          </w:p>
        </w:tc>
        <w:tc>
          <w:tcPr>
            <w:tcW w:w="623" w:type="pct"/>
            <w:tcBorders>
              <w:top w:val="single" w:color="auto"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Arial" w:hAnsi="Arial" w:eastAsia="仿宋" w:cs="Arial"/>
                <w:color w:val="000000"/>
                <w:kern w:val="0"/>
                <w:sz w:val="18"/>
                <w:szCs w:val="18"/>
              </w:rPr>
            </w:pPr>
            <w:r>
              <w:rPr>
                <w:rFonts w:hint="default" w:ascii="Arial" w:hAnsi="Arial" w:eastAsia="仿宋" w:cs="Arial"/>
                <w:color w:val="000000"/>
                <w:kern w:val="0"/>
                <w:sz w:val="18"/>
                <w:szCs w:val="18"/>
              </w:rPr>
              <w:t>2023</w:t>
            </w:r>
            <w:r>
              <w:rPr>
                <w:rFonts w:hint="eastAsia" w:ascii="Arial" w:hAnsi="Arial" w:eastAsia="仿宋" w:cs="Arial"/>
                <w:color w:val="000000"/>
                <w:kern w:val="0"/>
                <w:sz w:val="18"/>
                <w:szCs w:val="18"/>
              </w:rPr>
              <w:t>年度</w:t>
            </w:r>
          </w:p>
        </w:tc>
        <w:tc>
          <w:tcPr>
            <w:tcW w:w="681" w:type="pct"/>
            <w:tcBorders>
              <w:top w:val="single" w:color="auto"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Arial" w:hAnsi="Arial" w:eastAsia="仿宋" w:cs="Arial"/>
                <w:color w:val="000000"/>
                <w:kern w:val="0"/>
                <w:sz w:val="18"/>
                <w:szCs w:val="18"/>
              </w:rPr>
            </w:pPr>
            <w:r>
              <w:rPr>
                <w:rFonts w:hint="default" w:ascii="Arial" w:hAnsi="Arial" w:eastAsia="仿宋" w:cs="Arial"/>
                <w:color w:val="000000"/>
                <w:kern w:val="0"/>
                <w:sz w:val="18"/>
                <w:szCs w:val="18"/>
              </w:rPr>
              <w:t>2024</w:t>
            </w:r>
            <w:r>
              <w:rPr>
                <w:rFonts w:hint="eastAsia" w:ascii="Arial" w:hAnsi="Arial" w:eastAsia="仿宋" w:cs="Arial"/>
                <w:color w:val="000000"/>
                <w:kern w:val="0"/>
                <w:sz w:val="18"/>
                <w:szCs w:val="18"/>
              </w:rPr>
              <w:t>年度</w:t>
            </w:r>
          </w:p>
        </w:tc>
        <w:tc>
          <w:tcPr>
            <w:tcW w:w="681" w:type="pct"/>
            <w:tcBorders>
              <w:top w:val="single" w:color="auto" w:sz="12" w:space="0"/>
            </w:tcBorders>
            <w:vAlign w:val="center"/>
          </w:tcPr>
          <w:p>
            <w:pPr>
              <w:keepNext w:val="0"/>
              <w:keepLines w:val="0"/>
              <w:widowControl/>
              <w:suppressLineNumbers w:val="0"/>
              <w:spacing w:before="0" w:beforeAutospacing="0" w:after="0" w:afterAutospacing="0" w:line="576" w:lineRule="exact"/>
              <w:ind w:left="0" w:right="0"/>
              <w:jc w:val="center"/>
              <w:rPr>
                <w:rFonts w:hint="default" w:ascii="Arial" w:hAnsi="Arial" w:eastAsia="仿宋" w:cs="Arial"/>
                <w:color w:val="000000"/>
                <w:kern w:val="0"/>
                <w:sz w:val="18"/>
                <w:szCs w:val="18"/>
              </w:rPr>
            </w:pPr>
            <w:r>
              <w:rPr>
                <w:rFonts w:hint="default" w:ascii="Arial" w:hAnsi="Arial" w:eastAsia="仿宋" w:cs="Arial"/>
                <w:color w:val="000000"/>
                <w:kern w:val="0"/>
                <w:sz w:val="18"/>
                <w:szCs w:val="18"/>
              </w:rPr>
              <w:t>2025</w:t>
            </w:r>
            <w:r>
              <w:rPr>
                <w:rFonts w:hint="eastAsia" w:ascii="Arial" w:hAnsi="Arial" w:eastAsia="仿宋" w:cs="Arial"/>
                <w:color w:val="000000"/>
                <w:kern w:val="0"/>
                <w:sz w:val="18"/>
                <w:szCs w:val="18"/>
              </w:rPr>
              <w:t>年度</w:t>
            </w:r>
          </w:p>
        </w:tc>
        <w:tc>
          <w:tcPr>
            <w:tcW w:w="681" w:type="pct"/>
            <w:tcBorders>
              <w:top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center"/>
              <w:rPr>
                <w:rFonts w:hint="default" w:ascii="Arial" w:hAnsi="Arial" w:eastAsia="仿宋" w:cs="Arial"/>
                <w:color w:val="000000"/>
                <w:kern w:val="0"/>
                <w:sz w:val="18"/>
                <w:szCs w:val="18"/>
              </w:rPr>
            </w:pPr>
            <w:r>
              <w:rPr>
                <w:rFonts w:hint="default" w:ascii="Arial" w:hAnsi="Arial" w:eastAsia="仿宋" w:cs="Arial"/>
                <w:color w:val="000000"/>
                <w:kern w:val="0"/>
                <w:sz w:val="18"/>
                <w:szCs w:val="18"/>
              </w:rPr>
              <w:t>2026</w:t>
            </w:r>
            <w:r>
              <w:rPr>
                <w:rFonts w:hint="eastAsia" w:ascii="Arial" w:hAnsi="Arial" w:eastAsia="仿宋" w:cs="Arial"/>
                <w:color w:val="000000"/>
                <w:kern w:val="0"/>
                <w:sz w:val="18"/>
                <w:szCs w:val="18"/>
              </w:rPr>
              <w:t>年度</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一、总收入</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3,148.16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其中：土地出让收入</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3,148.16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二、总成本</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884.30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849.27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849.27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849.27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849.27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其中：经营成本</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157.42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122.39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122.39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122.39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122.39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财务费用（利息支出）</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三、净利润</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2,263.86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1,598.59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1,598.59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1,598.59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1,598.59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四、息税折旧前利润（项目收益）</w:t>
            </w:r>
          </w:p>
        </w:tc>
        <w:tc>
          <w:tcPr>
            <w:tcW w:w="623"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2,990.74 </w:t>
            </w:r>
          </w:p>
        </w:tc>
        <w:tc>
          <w:tcPr>
            <w:tcW w:w="623"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2,325.47 </w:t>
            </w:r>
          </w:p>
        </w:tc>
        <w:tc>
          <w:tcPr>
            <w:tcW w:w="681"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2,325.47 </w:t>
            </w:r>
          </w:p>
        </w:tc>
        <w:tc>
          <w:tcPr>
            <w:tcW w:w="681"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2,325.47 </w:t>
            </w:r>
          </w:p>
        </w:tc>
        <w:tc>
          <w:tcPr>
            <w:tcW w:w="681"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2,325.47 </w:t>
            </w:r>
          </w:p>
        </w:tc>
      </w:tr>
    </w:tbl>
    <w:p>
      <w:pPr>
        <w:spacing w:beforeLines="50" w:afterLines="50" w:line="576" w:lineRule="exact"/>
        <w:jc w:val="left"/>
        <w:rPr>
          <w:rFonts w:ascii="仿宋" w:hAnsi="仿宋" w:eastAsia="仿宋"/>
          <w:szCs w:val="21"/>
        </w:rPr>
      </w:pPr>
      <w:r>
        <w:rPr>
          <w:rFonts w:hint="eastAsia"/>
        </w:rPr>
        <w:t>（续）：</w:t>
      </w:r>
    </w:p>
    <w:tbl>
      <w:tblPr>
        <w:tblStyle w:val="26"/>
        <w:tblW w:w="5000"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2916"/>
        <w:gridCol w:w="1061"/>
        <w:gridCol w:w="1062"/>
        <w:gridCol w:w="1161"/>
        <w:gridCol w:w="1161"/>
        <w:gridCol w:w="116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tcBorders>
              <w:top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center"/>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项目</w:t>
            </w:r>
          </w:p>
        </w:tc>
        <w:tc>
          <w:tcPr>
            <w:tcW w:w="623" w:type="pc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2027</w:t>
            </w:r>
            <w:r>
              <w:rPr>
                <w:rFonts w:hint="eastAsia"/>
                <w:color w:val="000000"/>
                <w:sz w:val="20"/>
                <w:szCs w:val="20"/>
              </w:rPr>
              <w:t>年</w:t>
            </w:r>
          </w:p>
        </w:tc>
        <w:tc>
          <w:tcPr>
            <w:tcW w:w="623" w:type="pc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2028</w:t>
            </w:r>
            <w:r>
              <w:rPr>
                <w:rFonts w:hint="eastAsia"/>
                <w:color w:val="000000"/>
                <w:sz w:val="20"/>
                <w:szCs w:val="20"/>
              </w:rPr>
              <w:t>年</w:t>
            </w:r>
          </w:p>
        </w:tc>
        <w:tc>
          <w:tcPr>
            <w:tcW w:w="681" w:type="pc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2029</w:t>
            </w:r>
            <w:r>
              <w:rPr>
                <w:rFonts w:hint="eastAsia"/>
                <w:color w:val="000000"/>
                <w:sz w:val="20"/>
                <w:szCs w:val="20"/>
              </w:rPr>
              <w:t>年</w:t>
            </w:r>
          </w:p>
        </w:tc>
        <w:tc>
          <w:tcPr>
            <w:tcW w:w="681" w:type="pc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2030</w:t>
            </w:r>
            <w:r>
              <w:rPr>
                <w:rFonts w:hint="eastAsia"/>
                <w:color w:val="000000"/>
                <w:sz w:val="20"/>
                <w:szCs w:val="20"/>
              </w:rPr>
              <w:t>年</w:t>
            </w:r>
          </w:p>
        </w:tc>
        <w:tc>
          <w:tcPr>
            <w:tcW w:w="681" w:type="pct"/>
            <w:tcBorders>
              <w:top w:val="single" w:color="auto" w:sz="12" w:space="0"/>
            </w:tcBorders>
            <w:noWrap/>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2031</w:t>
            </w:r>
            <w:r>
              <w:rPr>
                <w:rFonts w:hint="eastAsia"/>
                <w:color w:val="000000"/>
                <w:sz w:val="20"/>
                <w:szCs w:val="20"/>
              </w:rPr>
              <w:t>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一、总收入</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其中：土地出让收入</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2,447.86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二、总成本</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849.27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849.27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849.27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849.27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849.27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其中：经营成本</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122.39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122.39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122.39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122.39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122.39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财务费用（利息支出）</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三、净利润</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1,598.59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1,598.59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1,598.59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1,598.59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1,598.59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四、息税折旧前利润（项目收益）</w:t>
            </w:r>
          </w:p>
        </w:tc>
        <w:tc>
          <w:tcPr>
            <w:tcW w:w="623"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2,325.47 </w:t>
            </w:r>
          </w:p>
        </w:tc>
        <w:tc>
          <w:tcPr>
            <w:tcW w:w="623"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2,325.47 </w:t>
            </w:r>
          </w:p>
        </w:tc>
        <w:tc>
          <w:tcPr>
            <w:tcW w:w="681"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2,325.47 </w:t>
            </w:r>
          </w:p>
        </w:tc>
        <w:tc>
          <w:tcPr>
            <w:tcW w:w="681"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2,325.47 </w:t>
            </w:r>
          </w:p>
        </w:tc>
        <w:tc>
          <w:tcPr>
            <w:tcW w:w="681"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2,325.47 </w:t>
            </w:r>
          </w:p>
        </w:tc>
      </w:tr>
    </w:tbl>
    <w:p>
      <w:pPr>
        <w:spacing w:beforeLines="50" w:afterLines="50" w:line="576" w:lineRule="exact"/>
        <w:jc w:val="left"/>
        <w:rPr>
          <w:rFonts w:ascii="仿宋" w:hAnsi="仿宋" w:eastAsia="仿宋"/>
          <w:szCs w:val="21"/>
        </w:rPr>
      </w:pPr>
      <w:r>
        <w:rPr>
          <w:rFonts w:hint="eastAsia"/>
        </w:rPr>
        <w:t>（续）：</w:t>
      </w:r>
    </w:p>
    <w:tbl>
      <w:tblPr>
        <w:tblStyle w:val="26"/>
        <w:tblW w:w="5000"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2916"/>
        <w:gridCol w:w="1061"/>
        <w:gridCol w:w="1062"/>
        <w:gridCol w:w="1161"/>
        <w:gridCol w:w="1161"/>
        <w:gridCol w:w="116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tcBorders>
              <w:top w:val="single" w:color="auto" w:sz="12" w:space="0"/>
            </w:tcBorders>
            <w:noWrap/>
            <w:vAlign w:val="center"/>
          </w:tcPr>
          <w:p>
            <w:pPr>
              <w:keepNext w:val="0"/>
              <w:keepLines w:val="0"/>
              <w:widowControl/>
              <w:suppressLineNumbers w:val="0"/>
              <w:spacing w:before="0" w:beforeAutospacing="0" w:after="0" w:afterAutospacing="0" w:line="576" w:lineRule="exact"/>
              <w:ind w:left="0" w:right="0"/>
              <w:jc w:val="center"/>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项目</w:t>
            </w:r>
          </w:p>
        </w:tc>
        <w:tc>
          <w:tcPr>
            <w:tcW w:w="623" w:type="pc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2032</w:t>
            </w:r>
            <w:r>
              <w:rPr>
                <w:rFonts w:hint="eastAsia"/>
                <w:color w:val="000000"/>
                <w:sz w:val="20"/>
                <w:szCs w:val="20"/>
              </w:rPr>
              <w:t>年</w:t>
            </w:r>
          </w:p>
        </w:tc>
        <w:tc>
          <w:tcPr>
            <w:tcW w:w="623" w:type="pc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2033</w:t>
            </w:r>
            <w:r>
              <w:rPr>
                <w:rFonts w:hint="eastAsia"/>
                <w:color w:val="000000"/>
                <w:sz w:val="20"/>
                <w:szCs w:val="20"/>
              </w:rPr>
              <w:t>年</w:t>
            </w:r>
          </w:p>
        </w:tc>
        <w:tc>
          <w:tcPr>
            <w:tcW w:w="681" w:type="pc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2034</w:t>
            </w:r>
            <w:r>
              <w:rPr>
                <w:rFonts w:hint="eastAsia"/>
                <w:color w:val="000000"/>
                <w:sz w:val="20"/>
                <w:szCs w:val="20"/>
              </w:rPr>
              <w:t>年</w:t>
            </w:r>
          </w:p>
        </w:tc>
        <w:tc>
          <w:tcPr>
            <w:tcW w:w="681" w:type="pct"/>
            <w:tcBorders>
              <w:top w:val="single" w:color="auto" w:sz="12"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2035</w:t>
            </w:r>
            <w:r>
              <w:rPr>
                <w:rFonts w:hint="eastAsia"/>
                <w:color w:val="000000"/>
                <w:sz w:val="20"/>
                <w:szCs w:val="20"/>
              </w:rPr>
              <w:t>年</w:t>
            </w:r>
          </w:p>
        </w:tc>
        <w:tc>
          <w:tcPr>
            <w:tcW w:w="681" w:type="pct"/>
            <w:tcBorders>
              <w:top w:val="single" w:color="auto" w:sz="12" w:space="0"/>
            </w:tcBorders>
            <w:noWrap/>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eastAsia"/>
                <w:color w:val="000000"/>
                <w:sz w:val="20"/>
                <w:szCs w:val="20"/>
              </w:rPr>
              <w:t>合计</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一、总收入</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2,449.99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2,449.99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2,449.99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2,449.99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34,978.86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其中：土地出让收入</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2,449.99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2,449.99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2,449.99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2,449.99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34,978.86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二、总成本</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849.38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849.38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849.38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586.22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11,662.09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其中：经营成本</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122.50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122.50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122.50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122.50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1,748.93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color w:val="000000"/>
                <w:kern w:val="0"/>
                <w:sz w:val="18"/>
                <w:szCs w:val="18"/>
              </w:rPr>
            </w:pPr>
            <w:r>
              <w:rPr>
                <w:rFonts w:hint="eastAsia" w:ascii="Arial" w:hAnsi="Arial" w:eastAsia="仿宋" w:cs="Arial"/>
                <w:color w:val="000000"/>
                <w:kern w:val="0"/>
                <w:sz w:val="18"/>
                <w:szCs w:val="18"/>
              </w:rPr>
              <w:t>财务费用（利息支出）</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726.88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463.72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9,913.16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三、净利润</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1,600.61 </w:t>
            </w:r>
          </w:p>
        </w:tc>
        <w:tc>
          <w:tcPr>
            <w:tcW w:w="623"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1,600.61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1,600.61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1,863.77 </w:t>
            </w:r>
          </w:p>
        </w:tc>
        <w:tc>
          <w:tcPr>
            <w:tcW w:w="681" w:type="pct"/>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23,316.77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40" w:hRule="atLeast"/>
        </w:trPr>
        <w:tc>
          <w:tcPr>
            <w:tcW w:w="1711" w:type="pct"/>
            <w:tcBorders>
              <w:bottom w:val="single" w:color="auto" w:sz="12" w:space="0"/>
            </w:tcBorders>
            <w:noWrap/>
            <w:vAlign w:val="center"/>
          </w:tcPr>
          <w:p>
            <w:pPr>
              <w:keepNext w:val="0"/>
              <w:keepLines w:val="0"/>
              <w:widowControl/>
              <w:suppressLineNumbers w:val="0"/>
              <w:spacing w:before="0" w:beforeAutospacing="0" w:after="0" w:afterAutospacing="0" w:line="576" w:lineRule="exact"/>
              <w:ind w:left="0" w:right="0"/>
              <w:rPr>
                <w:rFonts w:hint="default" w:ascii="Arial" w:hAnsi="Arial" w:eastAsia="仿宋" w:cs="Arial"/>
                <w:bCs/>
                <w:color w:val="000000"/>
                <w:kern w:val="0"/>
                <w:sz w:val="18"/>
                <w:szCs w:val="18"/>
              </w:rPr>
            </w:pPr>
            <w:r>
              <w:rPr>
                <w:rFonts w:hint="eastAsia" w:ascii="Arial" w:hAnsi="Arial" w:eastAsia="仿宋" w:cs="Arial"/>
                <w:bCs/>
                <w:color w:val="000000"/>
                <w:kern w:val="0"/>
                <w:sz w:val="18"/>
                <w:szCs w:val="18"/>
              </w:rPr>
              <w:t>四、息税折旧前利润（项目收益）</w:t>
            </w:r>
          </w:p>
        </w:tc>
        <w:tc>
          <w:tcPr>
            <w:tcW w:w="623"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2,327.49 </w:t>
            </w:r>
          </w:p>
        </w:tc>
        <w:tc>
          <w:tcPr>
            <w:tcW w:w="623"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2,327.49 </w:t>
            </w:r>
          </w:p>
        </w:tc>
        <w:tc>
          <w:tcPr>
            <w:tcW w:w="681"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2,327.49 </w:t>
            </w:r>
          </w:p>
        </w:tc>
        <w:tc>
          <w:tcPr>
            <w:tcW w:w="681"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2,327.49 </w:t>
            </w:r>
          </w:p>
        </w:tc>
        <w:tc>
          <w:tcPr>
            <w:tcW w:w="681" w:type="pct"/>
            <w:tcBorders>
              <w:bottom w:val="single" w:color="auto" w:sz="12" w:space="0"/>
            </w:tcBorders>
            <w:noWrap/>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 xml:space="preserve"> 33,229.93 </w:t>
            </w:r>
          </w:p>
        </w:tc>
      </w:tr>
    </w:tbl>
    <w:p>
      <w:pPr>
        <w:pStyle w:val="3"/>
        <w:spacing w:beforeLines="50" w:after="156" w:line="576" w:lineRule="exact"/>
        <w:rPr>
          <w:rFonts w:ascii="仿宋" w:hAnsi="仿宋" w:eastAsia="仿宋"/>
          <w:sz w:val="30"/>
          <w:szCs w:val="30"/>
        </w:rPr>
      </w:pPr>
      <w:bookmarkStart w:id="58" w:name="_Toc19885"/>
      <w:bookmarkStart w:id="59" w:name="_Toc32848147"/>
      <w:r>
        <w:rPr>
          <w:rFonts w:hint="eastAsia" w:ascii="仿宋" w:hAnsi="仿宋" w:eastAsia="仿宋"/>
          <w:sz w:val="30"/>
          <w:szCs w:val="30"/>
        </w:rPr>
        <w:t>资金测算平衡情况</w:t>
      </w:r>
      <w:bookmarkEnd w:id="58"/>
      <w:bookmarkEnd w:id="59"/>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本次芦山县（城中村）棚户区改造项目专项债券发行规模</w:t>
      </w:r>
      <w:r>
        <w:rPr>
          <w:rFonts w:ascii="Arial" w:hAnsi="Arial" w:eastAsia="仿宋" w:cs="Arial"/>
          <w:kern w:val="2"/>
          <w:sz w:val="28"/>
          <w:szCs w:val="28"/>
          <w:lang w:val="en-US"/>
        </w:rPr>
        <w:t>18</w:t>
      </w:r>
      <w:r>
        <w:rPr>
          <w:rFonts w:ascii="仿宋" w:hAnsi="仿宋" w:eastAsia="仿宋"/>
          <w:kern w:val="2"/>
          <w:sz w:val="28"/>
          <w:szCs w:val="28"/>
          <w:lang w:val="en-US"/>
        </w:rPr>
        <w:t>,</w:t>
      </w:r>
      <w:r>
        <w:rPr>
          <w:rFonts w:ascii="Arial" w:hAnsi="Arial" w:eastAsia="仿宋" w:cs="Arial"/>
          <w:kern w:val="2"/>
          <w:sz w:val="28"/>
          <w:szCs w:val="28"/>
          <w:lang w:val="en-US"/>
        </w:rPr>
        <w:t>172</w:t>
      </w:r>
      <w:r>
        <w:rPr>
          <w:rFonts w:ascii="仿宋" w:hAnsi="仿宋" w:eastAsia="仿宋"/>
          <w:kern w:val="2"/>
          <w:sz w:val="28"/>
          <w:szCs w:val="28"/>
          <w:lang w:val="en-US"/>
        </w:rPr>
        <w:t>.</w:t>
      </w:r>
      <w:r>
        <w:rPr>
          <w:rFonts w:ascii="Arial" w:hAnsi="Arial" w:eastAsia="仿宋" w:cs="Arial"/>
          <w:kern w:val="2"/>
          <w:sz w:val="28"/>
          <w:szCs w:val="28"/>
          <w:lang w:val="en-US"/>
        </w:rPr>
        <w:t>00</w:t>
      </w:r>
      <w:r>
        <w:rPr>
          <w:rFonts w:hint="eastAsia" w:ascii="仿宋" w:hAnsi="仿宋" w:eastAsia="仿宋"/>
          <w:kern w:val="2"/>
          <w:sz w:val="28"/>
          <w:szCs w:val="28"/>
          <w:lang w:val="en-US"/>
        </w:rPr>
        <w:t>万元，债券拟于</w:t>
      </w:r>
      <w:r>
        <w:rPr>
          <w:rFonts w:ascii="Arial" w:hAnsi="Arial" w:eastAsia="仿宋" w:cs="Arial"/>
          <w:kern w:val="2"/>
          <w:sz w:val="28"/>
          <w:szCs w:val="28"/>
          <w:lang w:val="en-US"/>
        </w:rPr>
        <w:t>2020</w:t>
      </w:r>
      <w:r>
        <w:rPr>
          <w:rFonts w:hint="eastAsia" w:ascii="仿宋" w:hAnsi="仿宋" w:eastAsia="仿宋"/>
          <w:kern w:val="2"/>
          <w:sz w:val="28"/>
          <w:szCs w:val="28"/>
          <w:lang w:val="en-US"/>
        </w:rPr>
        <w:t>年发行，期限</w:t>
      </w:r>
      <w:r>
        <w:rPr>
          <w:rFonts w:ascii="仿宋" w:hAnsi="仿宋" w:eastAsia="仿宋"/>
          <w:kern w:val="2"/>
          <w:sz w:val="28"/>
          <w:szCs w:val="28"/>
          <w:lang w:val="en-US"/>
        </w:rPr>
        <w:t>1</w:t>
      </w:r>
      <w:r>
        <w:rPr>
          <w:rFonts w:ascii="Arial" w:hAnsi="Arial" w:eastAsia="仿宋" w:cs="Arial"/>
          <w:kern w:val="2"/>
          <w:sz w:val="28"/>
          <w:szCs w:val="28"/>
          <w:lang w:val="en-US"/>
        </w:rPr>
        <w:t>5</w:t>
      </w:r>
      <w:r>
        <w:rPr>
          <w:rFonts w:hint="eastAsia" w:ascii="仿宋" w:hAnsi="仿宋" w:eastAsia="仿宋"/>
          <w:kern w:val="2"/>
          <w:sz w:val="28"/>
          <w:szCs w:val="28"/>
          <w:lang w:val="en-US"/>
        </w:rPr>
        <w:t>年，利息费用按照每年</w:t>
      </w:r>
      <w:r>
        <w:rPr>
          <w:rFonts w:ascii="Arial" w:hAnsi="Arial" w:eastAsia="仿宋" w:cs="Arial"/>
          <w:kern w:val="2"/>
          <w:sz w:val="28"/>
          <w:szCs w:val="28"/>
          <w:lang w:val="en-US"/>
        </w:rPr>
        <w:t>4</w:t>
      </w:r>
      <w:r>
        <w:rPr>
          <w:rFonts w:ascii="仿宋" w:hAnsi="仿宋" w:eastAsia="仿宋"/>
          <w:kern w:val="2"/>
          <w:sz w:val="28"/>
          <w:szCs w:val="28"/>
          <w:lang w:val="en-US"/>
        </w:rPr>
        <w:t>.</w:t>
      </w:r>
      <w:r>
        <w:rPr>
          <w:rFonts w:ascii="Arial" w:hAnsi="Arial" w:eastAsia="仿宋" w:cs="Arial"/>
          <w:kern w:val="2"/>
          <w:sz w:val="28"/>
          <w:szCs w:val="28"/>
          <w:lang w:val="en-US"/>
        </w:rPr>
        <w:t>00</w:t>
      </w:r>
      <w:r>
        <w:rPr>
          <w:rFonts w:ascii="仿宋" w:hAnsi="仿宋" w:eastAsia="仿宋"/>
          <w:kern w:val="2"/>
          <w:sz w:val="28"/>
          <w:szCs w:val="28"/>
          <w:lang w:val="en-US"/>
        </w:rPr>
        <w:t>%</w:t>
      </w:r>
      <w:r>
        <w:rPr>
          <w:rFonts w:hint="eastAsia" w:ascii="仿宋" w:hAnsi="仿宋" w:eastAsia="仿宋"/>
          <w:kern w:val="2"/>
          <w:sz w:val="28"/>
          <w:szCs w:val="28"/>
          <w:lang w:val="en-US"/>
        </w:rPr>
        <w:t>的利率计算。</w:t>
      </w:r>
    </w:p>
    <w:p>
      <w:pPr>
        <w:spacing w:beforeLines="50" w:afterLines="50" w:line="576" w:lineRule="exact"/>
        <w:jc w:val="center"/>
        <w:rPr>
          <w:rFonts w:ascii="仿宋" w:hAnsi="仿宋" w:eastAsia="仿宋"/>
          <w:szCs w:val="21"/>
        </w:rPr>
      </w:pPr>
      <w:r>
        <w:rPr>
          <w:rFonts w:hint="eastAsia" w:ascii="仿宋" w:hAnsi="仿宋" w:eastAsia="仿宋"/>
          <w:szCs w:val="21"/>
        </w:rPr>
        <w:t>表</w:t>
      </w:r>
      <w:r>
        <w:rPr>
          <w:rFonts w:ascii="Arial" w:hAnsi="Arial" w:eastAsia="仿宋" w:cs="Arial"/>
          <w:szCs w:val="21"/>
        </w:rPr>
        <w:t>4</w:t>
      </w:r>
      <w:r>
        <w:rPr>
          <w:rFonts w:ascii="仿宋" w:hAnsi="仿宋" w:eastAsia="仿宋"/>
          <w:szCs w:val="21"/>
        </w:rPr>
        <w:t>-</w:t>
      </w:r>
      <w:r>
        <w:rPr>
          <w:rFonts w:ascii="Arial" w:hAnsi="Arial" w:eastAsia="仿宋" w:cs="Arial"/>
          <w:szCs w:val="21"/>
        </w:rPr>
        <w:t>4</w:t>
      </w:r>
      <w:r>
        <w:rPr>
          <w:rFonts w:hint="eastAsia" w:ascii="仿宋" w:hAnsi="仿宋" w:eastAsia="仿宋"/>
          <w:szCs w:val="21"/>
        </w:rPr>
        <w:t>芦山县（城中村）棚户区改造项目资金测算平衡表（单位：万元）</w:t>
      </w:r>
    </w:p>
    <w:tbl>
      <w:tblPr>
        <w:tblStyle w:val="26"/>
        <w:tblW w:w="815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1050"/>
        <w:gridCol w:w="1050"/>
        <w:gridCol w:w="1050"/>
        <w:gridCol w:w="1050"/>
        <w:gridCol w:w="1050"/>
        <w:gridCol w:w="113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770" w:type="dxa"/>
            <w:tcBorders>
              <w:top w:val="single" w:color="auto" w:sz="12"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仿宋"/>
                <w:color w:val="000000"/>
                <w:sz w:val="18"/>
                <w:szCs w:val="18"/>
              </w:rPr>
            </w:pPr>
            <w:r>
              <w:rPr>
                <w:rFonts w:hint="eastAsia" w:ascii="仿宋" w:hAnsi="仿宋" w:eastAsia="仿宋" w:cs="仿宋"/>
                <w:color w:val="000000"/>
                <w:sz w:val="18"/>
                <w:szCs w:val="18"/>
              </w:rPr>
              <w:t>项目</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2020</w:t>
            </w:r>
            <w:r>
              <w:rPr>
                <w:rFonts w:hint="eastAsia" w:ascii="Arial" w:hAnsi="Arial" w:eastAsia="仿宋" w:cs="Arial"/>
                <w:color w:val="000000"/>
                <w:sz w:val="18"/>
                <w:szCs w:val="18"/>
              </w:rPr>
              <w:t>年度</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2021</w:t>
            </w:r>
            <w:r>
              <w:rPr>
                <w:rFonts w:hint="eastAsia" w:ascii="Arial" w:hAnsi="Arial" w:eastAsia="仿宋" w:cs="Arial"/>
                <w:color w:val="000000"/>
                <w:sz w:val="18"/>
                <w:szCs w:val="18"/>
              </w:rPr>
              <w:t>年度</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2022</w:t>
            </w:r>
            <w:r>
              <w:rPr>
                <w:rFonts w:hint="eastAsia" w:ascii="Arial" w:hAnsi="Arial" w:eastAsia="仿宋" w:cs="Arial"/>
                <w:color w:val="000000"/>
                <w:sz w:val="18"/>
                <w:szCs w:val="18"/>
              </w:rPr>
              <w:t>年度</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2023</w:t>
            </w:r>
            <w:r>
              <w:rPr>
                <w:rFonts w:hint="eastAsia" w:ascii="Arial" w:hAnsi="Arial" w:eastAsia="仿宋" w:cs="Arial"/>
                <w:color w:val="000000"/>
                <w:sz w:val="18"/>
                <w:szCs w:val="18"/>
              </w:rPr>
              <w:t>年度</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2024</w:t>
            </w:r>
            <w:r>
              <w:rPr>
                <w:rFonts w:hint="eastAsia" w:ascii="Arial" w:hAnsi="Arial" w:eastAsia="仿宋" w:cs="Arial"/>
                <w:color w:val="000000"/>
                <w:sz w:val="18"/>
                <w:szCs w:val="18"/>
              </w:rPr>
              <w:t>年度</w:t>
            </w:r>
          </w:p>
        </w:tc>
        <w:tc>
          <w:tcPr>
            <w:tcW w:w="1131" w:type="dxa"/>
            <w:tcBorders>
              <w:top w:val="single" w:color="auto" w:sz="12"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Arial" w:hAnsi="Arial" w:eastAsia="仿宋" w:cs="Arial"/>
                <w:color w:val="000000"/>
                <w:sz w:val="18"/>
                <w:szCs w:val="18"/>
              </w:rPr>
            </w:pPr>
            <w:r>
              <w:rPr>
                <w:rFonts w:hint="default" w:ascii="Arial" w:hAnsi="Arial" w:eastAsia="仿宋" w:cs="Arial"/>
                <w:color w:val="000000"/>
                <w:sz w:val="18"/>
                <w:szCs w:val="18"/>
              </w:rPr>
              <w:t>2025</w:t>
            </w:r>
            <w:r>
              <w:rPr>
                <w:rFonts w:hint="eastAsia" w:ascii="Arial" w:hAnsi="Arial" w:eastAsia="仿宋" w:cs="Arial"/>
                <w:color w:val="000000"/>
                <w:sz w:val="18"/>
                <w:szCs w:val="18"/>
              </w:rPr>
              <w:t>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一、资金流入</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8,327.00</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14,745.00</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3,148.16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其中：项目资本金</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1,748.00</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3,152.00</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债券资金</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6,579.00</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11,593.00</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土地出让金流入</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3,148.16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二、资金流出</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7,991.84</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15,080.16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884.30</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849.27</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849.27</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849.27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其中：建设投资</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7,728.68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14,353.28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经营成本</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157.42</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122.39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122.39</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122.39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本息支出</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263.16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其中：支付本金</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其中：支付利息</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263.16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三、现金流净额</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335.16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-335.16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2,263.86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1,598.59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1,598.59</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1,598.59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四、累计现金流净额</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335.16</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2,263.86</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3,862.45</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5,461.04</w:t>
            </w:r>
          </w:p>
        </w:tc>
        <w:tc>
          <w:tcPr>
            <w:tcW w:w="1131" w:type="dxa"/>
            <w:tcBorders>
              <w:top w:val="dotted" w:color="auto" w:sz="4" w:space="0"/>
              <w:left w:val="dotted" w:color="auto" w:sz="4" w:space="0"/>
              <w:bottom w:val="single" w:color="auto" w:sz="12"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7,059.63</w:t>
            </w:r>
          </w:p>
        </w:tc>
      </w:tr>
    </w:tbl>
    <w:p>
      <w:pPr>
        <w:pStyle w:val="5"/>
        <w:spacing w:beforeLines="50" w:after="0" w:line="576" w:lineRule="exact"/>
        <w:ind w:firstLine="480" w:firstLineChars="200"/>
      </w:pPr>
      <w:r>
        <w:rPr>
          <w:rFonts w:hint="eastAsia"/>
        </w:rPr>
        <w:t>（续）：</w:t>
      </w:r>
    </w:p>
    <w:tbl>
      <w:tblPr>
        <w:tblStyle w:val="26"/>
        <w:tblW w:w="815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1050"/>
        <w:gridCol w:w="1050"/>
        <w:gridCol w:w="1050"/>
        <w:gridCol w:w="1050"/>
        <w:gridCol w:w="1050"/>
        <w:gridCol w:w="113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770" w:type="dxa"/>
            <w:tcBorders>
              <w:top w:val="single" w:color="auto" w:sz="12"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仿宋"/>
                <w:color w:val="000000"/>
                <w:sz w:val="18"/>
                <w:szCs w:val="18"/>
              </w:rPr>
            </w:pPr>
            <w:r>
              <w:rPr>
                <w:rFonts w:hint="eastAsia" w:ascii="仿宋" w:hAnsi="仿宋" w:eastAsia="仿宋" w:cs="仿宋"/>
                <w:color w:val="000000"/>
                <w:sz w:val="18"/>
                <w:szCs w:val="18"/>
              </w:rPr>
              <w:t>项目</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2026</w:t>
            </w:r>
            <w:r>
              <w:rPr>
                <w:rFonts w:hint="eastAsia"/>
                <w:color w:val="000000"/>
                <w:sz w:val="20"/>
                <w:szCs w:val="20"/>
              </w:rPr>
              <w:t>年</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2027</w:t>
            </w:r>
            <w:r>
              <w:rPr>
                <w:rFonts w:hint="eastAsia"/>
                <w:color w:val="000000"/>
                <w:sz w:val="20"/>
                <w:szCs w:val="20"/>
              </w:rPr>
              <w:t>年</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2028</w:t>
            </w:r>
            <w:r>
              <w:rPr>
                <w:rFonts w:hint="eastAsia"/>
                <w:color w:val="000000"/>
                <w:sz w:val="20"/>
                <w:szCs w:val="20"/>
              </w:rPr>
              <w:t>年</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2029</w:t>
            </w:r>
            <w:r>
              <w:rPr>
                <w:rFonts w:hint="eastAsia"/>
                <w:color w:val="000000"/>
                <w:sz w:val="20"/>
                <w:szCs w:val="20"/>
              </w:rPr>
              <w:t>年</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2030</w:t>
            </w:r>
            <w:r>
              <w:rPr>
                <w:rFonts w:hint="eastAsia"/>
                <w:color w:val="000000"/>
                <w:sz w:val="20"/>
                <w:szCs w:val="20"/>
              </w:rPr>
              <w:t>年</w:t>
            </w:r>
          </w:p>
        </w:tc>
        <w:tc>
          <w:tcPr>
            <w:tcW w:w="1131" w:type="dxa"/>
            <w:tcBorders>
              <w:top w:val="single" w:color="auto" w:sz="12"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2031</w:t>
            </w:r>
            <w:r>
              <w:rPr>
                <w:rFonts w:hint="eastAsia"/>
                <w:color w:val="000000"/>
                <w:sz w:val="20"/>
                <w:szCs w:val="20"/>
              </w:rPr>
              <w:t>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一、资金流入</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其中：项目资本金</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债券资金</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土地出让金流入</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2,447.86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二、资金流出</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849.27</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849.27</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849.27</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849.27</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849.27</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849.27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其中：建设投资</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经营成本</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122.39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122.39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122.39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122.39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122.39</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122.39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本息支出</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其中：支付本金</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其中：支付利息</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726.88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三、现金流净额</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1,598.59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1,598.59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1,598.59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1,598.59</w:t>
            </w:r>
          </w:p>
        </w:tc>
        <w:tc>
          <w:tcPr>
            <w:tcW w:w="1050" w:type="dxa"/>
            <w:tcBorders>
              <w:top w:val="dotted" w:color="auto" w:sz="4"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1,598.59</w:t>
            </w:r>
          </w:p>
        </w:tc>
        <w:tc>
          <w:tcPr>
            <w:tcW w:w="1131" w:type="dxa"/>
            <w:tcBorders>
              <w:top w:val="dotted" w:color="auto" w:sz="4"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1,598.59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四、累计现金流净额</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8,658.22</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10,256.81</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11,855.40</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13,453.99</w:t>
            </w:r>
          </w:p>
        </w:tc>
        <w:tc>
          <w:tcPr>
            <w:tcW w:w="1050" w:type="dxa"/>
            <w:tcBorders>
              <w:top w:val="dotted" w:color="auto" w:sz="4" w:space="0"/>
              <w:left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15,052.58</w:t>
            </w:r>
          </w:p>
        </w:tc>
        <w:tc>
          <w:tcPr>
            <w:tcW w:w="1131" w:type="dxa"/>
            <w:tcBorders>
              <w:top w:val="dotted" w:color="auto" w:sz="4" w:space="0"/>
              <w:left w:val="dotted" w:color="auto" w:sz="4" w:space="0"/>
              <w:bottom w:val="single" w:color="auto" w:sz="12" w:space="0"/>
            </w:tcBorders>
            <w:vAlign w:val="center"/>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16,651.17</w:t>
            </w:r>
          </w:p>
        </w:tc>
      </w:tr>
    </w:tbl>
    <w:p>
      <w:pPr>
        <w:pStyle w:val="5"/>
        <w:spacing w:beforeLines="50" w:after="0" w:line="576" w:lineRule="exact"/>
        <w:ind w:firstLine="480" w:firstLineChars="200"/>
      </w:pPr>
      <w:r>
        <w:rPr>
          <w:rFonts w:hint="eastAsia"/>
        </w:rPr>
        <w:t>（续）：</w:t>
      </w:r>
    </w:p>
    <w:tbl>
      <w:tblPr>
        <w:tblStyle w:val="26"/>
        <w:tblW w:w="7101"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1050"/>
        <w:gridCol w:w="1050"/>
        <w:gridCol w:w="1050"/>
        <w:gridCol w:w="1050"/>
        <w:gridCol w:w="113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1770" w:type="dxa"/>
            <w:tcBorders>
              <w:top w:val="single" w:color="auto" w:sz="12"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仿宋" w:hAnsi="仿宋" w:eastAsia="仿宋" w:cs="仿宋"/>
                <w:color w:val="000000"/>
                <w:sz w:val="18"/>
                <w:szCs w:val="18"/>
              </w:rPr>
            </w:pPr>
            <w:r>
              <w:rPr>
                <w:rFonts w:hint="eastAsia" w:ascii="仿宋" w:hAnsi="仿宋" w:eastAsia="仿宋" w:cs="仿宋"/>
                <w:color w:val="000000"/>
                <w:sz w:val="18"/>
                <w:szCs w:val="18"/>
              </w:rPr>
              <w:t>项目</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2032</w:t>
            </w:r>
            <w:r>
              <w:rPr>
                <w:rFonts w:hint="eastAsia"/>
                <w:color w:val="000000"/>
                <w:sz w:val="20"/>
                <w:szCs w:val="20"/>
              </w:rPr>
              <w:t>年</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2033</w:t>
            </w:r>
            <w:r>
              <w:rPr>
                <w:rFonts w:hint="eastAsia"/>
                <w:color w:val="000000"/>
                <w:sz w:val="20"/>
                <w:szCs w:val="20"/>
              </w:rPr>
              <w:t>年</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2034</w:t>
            </w:r>
            <w:r>
              <w:rPr>
                <w:rFonts w:hint="eastAsia"/>
                <w:color w:val="000000"/>
                <w:sz w:val="20"/>
                <w:szCs w:val="20"/>
              </w:rPr>
              <w:t>年</w:t>
            </w:r>
          </w:p>
        </w:tc>
        <w:tc>
          <w:tcPr>
            <w:tcW w:w="1050" w:type="dxa"/>
            <w:tcBorders>
              <w:top w:val="single" w:color="auto" w:sz="12" w:space="0"/>
              <w:left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default"/>
                <w:color w:val="000000"/>
                <w:sz w:val="20"/>
                <w:szCs w:val="20"/>
              </w:rPr>
              <w:t>2035</w:t>
            </w:r>
            <w:r>
              <w:rPr>
                <w:rFonts w:hint="eastAsia"/>
                <w:color w:val="000000"/>
                <w:sz w:val="20"/>
                <w:szCs w:val="20"/>
              </w:rPr>
              <w:t>年</w:t>
            </w:r>
          </w:p>
        </w:tc>
        <w:tc>
          <w:tcPr>
            <w:tcW w:w="1131" w:type="dxa"/>
            <w:tcBorders>
              <w:top w:val="single" w:color="auto" w:sz="12" w:space="0"/>
              <w:left w:val="dotted" w:color="auto" w:sz="4" w:space="0"/>
              <w:bottom w:val="dotted" w:color="auto" w:sz="4" w:space="0"/>
            </w:tcBorders>
            <w:vAlign w:val="center"/>
          </w:tcPr>
          <w:p>
            <w:pPr>
              <w:keepNext w:val="0"/>
              <w:keepLines w:val="0"/>
              <w:suppressLineNumbers w:val="0"/>
              <w:spacing w:before="0" w:beforeAutospacing="0" w:after="0" w:afterAutospacing="0" w:line="576" w:lineRule="exact"/>
              <w:ind w:left="0" w:right="0"/>
              <w:jc w:val="center"/>
              <w:rPr>
                <w:rFonts w:hint="default" w:ascii="宋体" w:cs="宋体"/>
                <w:color w:val="000000"/>
                <w:sz w:val="20"/>
                <w:szCs w:val="20"/>
              </w:rPr>
            </w:pPr>
            <w:r>
              <w:rPr>
                <w:rFonts w:hint="eastAsia"/>
                <w:color w:val="000000"/>
                <w:sz w:val="20"/>
                <w:szCs w:val="20"/>
              </w:rPr>
              <w:t>合计</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一、资金流入</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2,449.99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2,449.99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2,449.99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2,449.99 </w:t>
            </w: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58,050.86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其中：项目资本金</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4,900.00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债券资金</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18,172.00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土地出让金流入</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2,449.99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2,449.99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2,449.99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2,449.99 </w:t>
            </w: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34,978.86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二、资金流出</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849.38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849.38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7,428.38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12,179.22 </w:t>
            </w: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52,906.09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其中：建设投资</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   </w:t>
            </w: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22,081.96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经营成本</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122.50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122.50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122.50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122.50 </w:t>
            </w: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1,748.93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本息支出</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726.88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726.88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7,305.88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12,056.72 </w:t>
            </w: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29,075.20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其中：支付本金</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6,579.00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11,593.00 </w:t>
            </w: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18,172.00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firstLine="180" w:firstLineChars="100"/>
              <w:rPr>
                <w:rFonts w:hint="default" w:ascii="仿宋" w:hAnsi="仿宋" w:eastAsia="仿宋" w:cs="仿宋"/>
                <w:color w:val="000000"/>
                <w:sz w:val="18"/>
                <w:szCs w:val="18"/>
              </w:rPr>
            </w:pPr>
            <w:r>
              <w:rPr>
                <w:rFonts w:hint="eastAsia" w:ascii="仿宋" w:hAnsi="仿宋" w:eastAsia="仿宋" w:cs="仿宋"/>
                <w:color w:val="000000"/>
                <w:sz w:val="18"/>
                <w:szCs w:val="18"/>
              </w:rPr>
              <w:t>其中：支付利息</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726.88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726.88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726.88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463.72 </w:t>
            </w: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10,903.20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dotted" w:color="auto" w:sz="4"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三、现金流净额</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1,600.61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1,600.61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-4,978.39 </w:t>
            </w:r>
          </w:p>
        </w:tc>
        <w:tc>
          <w:tcPr>
            <w:tcW w:w="1050" w:type="dxa"/>
            <w:tcBorders>
              <w:top w:val="dotted" w:color="auto" w:sz="4" w:space="0"/>
              <w:left w:val="dotted" w:color="auto" w:sz="4" w:space="0"/>
              <w:bottom w:val="dotted" w:color="auto" w:sz="4"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-9,729.23 </w:t>
            </w:r>
          </w:p>
        </w:tc>
        <w:tc>
          <w:tcPr>
            <w:tcW w:w="1131" w:type="dxa"/>
            <w:tcBorders>
              <w:top w:val="dotted" w:color="auto" w:sz="4" w:space="0"/>
              <w:left w:val="dotted" w:color="auto" w:sz="4" w:space="0"/>
              <w:bottom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5,144.77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70" w:type="dxa"/>
            <w:tcBorders>
              <w:top w:val="dotted" w:color="auto" w:sz="4" w:space="0"/>
              <w:bottom w:val="single" w:color="auto" w:sz="12" w:space="0"/>
              <w:right w:val="dotted" w:color="auto" w:sz="4" w:space="0"/>
            </w:tcBorders>
            <w:vAlign w:val="center"/>
          </w:tcPr>
          <w:p>
            <w:pPr>
              <w:keepNext w:val="0"/>
              <w:keepLines w:val="0"/>
              <w:suppressLineNumbers w:val="0"/>
              <w:spacing w:before="0" w:beforeAutospacing="0" w:after="0" w:afterAutospacing="0" w:line="576" w:lineRule="exact"/>
              <w:ind w:left="0" w:right="0"/>
              <w:rPr>
                <w:rFonts w:hint="default" w:ascii="仿宋" w:hAnsi="仿宋" w:eastAsia="仿宋" w:cs="仿宋"/>
                <w:color w:val="000000"/>
                <w:sz w:val="18"/>
                <w:szCs w:val="18"/>
              </w:rPr>
            </w:pPr>
            <w:r>
              <w:rPr>
                <w:rFonts w:hint="eastAsia" w:ascii="仿宋" w:hAnsi="仿宋" w:eastAsia="仿宋" w:cs="仿宋"/>
                <w:color w:val="000000"/>
                <w:sz w:val="18"/>
                <w:szCs w:val="18"/>
              </w:rPr>
              <w:t>四、累计现金流净额</w:t>
            </w:r>
          </w:p>
        </w:tc>
        <w:tc>
          <w:tcPr>
            <w:tcW w:w="1050" w:type="dxa"/>
            <w:tcBorders>
              <w:top w:val="dotted" w:color="auto" w:sz="4" w:space="0"/>
              <w:left w:val="dotted" w:color="auto" w:sz="4" w:space="0"/>
              <w:bottom w:val="single" w:color="auto" w:sz="12"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18,251.78 </w:t>
            </w:r>
          </w:p>
        </w:tc>
        <w:tc>
          <w:tcPr>
            <w:tcW w:w="1050" w:type="dxa"/>
            <w:tcBorders>
              <w:top w:val="dotted" w:color="auto" w:sz="4" w:space="0"/>
              <w:left w:val="dotted" w:color="auto" w:sz="4" w:space="0"/>
              <w:bottom w:val="single" w:color="auto" w:sz="12"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19,852.39 </w:t>
            </w:r>
          </w:p>
        </w:tc>
        <w:tc>
          <w:tcPr>
            <w:tcW w:w="1050" w:type="dxa"/>
            <w:tcBorders>
              <w:top w:val="dotted" w:color="auto" w:sz="4" w:space="0"/>
              <w:left w:val="dotted" w:color="auto" w:sz="4" w:space="0"/>
              <w:bottom w:val="single" w:color="auto" w:sz="12"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14,874.00 </w:t>
            </w:r>
          </w:p>
        </w:tc>
        <w:tc>
          <w:tcPr>
            <w:tcW w:w="1050" w:type="dxa"/>
            <w:tcBorders>
              <w:top w:val="dotted" w:color="auto" w:sz="4" w:space="0"/>
              <w:left w:val="dotted" w:color="auto" w:sz="4" w:space="0"/>
              <w:bottom w:val="single" w:color="auto" w:sz="12" w:space="0"/>
              <w:right w:val="dotted" w:color="auto" w:sz="4"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r>
              <w:rPr>
                <w:rFonts w:hint="default" w:ascii="Arial" w:hAnsi="Arial" w:eastAsia="仿宋" w:cs="Arial"/>
                <w:color w:val="000000"/>
                <w:sz w:val="16"/>
                <w:szCs w:val="16"/>
              </w:rPr>
              <w:t xml:space="preserve"> 5,144.77 </w:t>
            </w:r>
          </w:p>
        </w:tc>
        <w:tc>
          <w:tcPr>
            <w:tcW w:w="1131" w:type="dxa"/>
            <w:tcBorders>
              <w:top w:val="dotted" w:color="auto" w:sz="4" w:space="0"/>
              <w:left w:val="dotted" w:color="auto" w:sz="4" w:space="0"/>
              <w:bottom w:val="single" w:color="auto" w:sz="12" w:space="0"/>
            </w:tcBorders>
          </w:tcPr>
          <w:p>
            <w:pPr>
              <w:keepNext w:val="0"/>
              <w:keepLines w:val="0"/>
              <w:suppressLineNumbers w:val="0"/>
              <w:spacing w:before="0" w:beforeAutospacing="0" w:after="0" w:afterAutospacing="0" w:line="576" w:lineRule="exact"/>
              <w:ind w:left="0" w:right="0"/>
              <w:jc w:val="right"/>
              <w:rPr>
                <w:rFonts w:hint="default" w:ascii="Arial" w:hAnsi="Arial" w:eastAsia="仿宋" w:cs="Arial"/>
                <w:color w:val="000000"/>
                <w:sz w:val="16"/>
                <w:szCs w:val="16"/>
              </w:rPr>
            </w:pPr>
          </w:p>
        </w:tc>
      </w:tr>
    </w:tbl>
    <w:p>
      <w:pPr>
        <w:pStyle w:val="5"/>
        <w:spacing w:beforeLines="50" w:after="0" w:line="576" w:lineRule="exact"/>
        <w:ind w:firstLine="0"/>
        <w:rPr>
          <w:rFonts w:ascii="仿宋" w:hAnsi="仿宋" w:eastAsia="仿宋"/>
          <w:kern w:val="2"/>
          <w:sz w:val="28"/>
          <w:szCs w:val="28"/>
          <w:lang w:val="en-US"/>
        </w:rPr>
      </w:pPr>
    </w:p>
    <w:p>
      <w:pPr>
        <w:pStyle w:val="5"/>
        <w:spacing w:beforeLines="5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由上表所示，债券存续期芦山县（城中村）棚户区改造项目总收入</w:t>
      </w:r>
      <w:r>
        <w:rPr>
          <w:rFonts w:ascii="Arial" w:hAnsi="Arial" w:eastAsia="仿宋" w:cs="Arial"/>
          <w:kern w:val="2"/>
          <w:sz w:val="28"/>
          <w:szCs w:val="28"/>
          <w:lang w:val="en-US"/>
        </w:rPr>
        <w:t>34</w:t>
      </w:r>
      <w:r>
        <w:rPr>
          <w:rFonts w:ascii="仿宋" w:hAnsi="仿宋" w:eastAsia="仿宋"/>
          <w:kern w:val="2"/>
          <w:sz w:val="28"/>
          <w:szCs w:val="28"/>
          <w:lang w:val="en-US"/>
        </w:rPr>
        <w:t>,</w:t>
      </w:r>
      <w:r>
        <w:rPr>
          <w:rFonts w:ascii="Arial" w:hAnsi="Arial" w:eastAsia="仿宋" w:cs="Arial"/>
          <w:kern w:val="2"/>
          <w:sz w:val="28"/>
          <w:szCs w:val="28"/>
          <w:lang w:val="en-US"/>
        </w:rPr>
        <w:t>978</w:t>
      </w:r>
      <w:r>
        <w:rPr>
          <w:rFonts w:ascii="仿宋" w:hAnsi="仿宋" w:eastAsia="仿宋"/>
          <w:kern w:val="2"/>
          <w:sz w:val="28"/>
          <w:szCs w:val="28"/>
          <w:lang w:val="en-US"/>
        </w:rPr>
        <w:t>.</w:t>
      </w:r>
      <w:r>
        <w:rPr>
          <w:rFonts w:ascii="Arial" w:hAnsi="Arial" w:eastAsia="仿宋" w:cs="Arial"/>
          <w:kern w:val="2"/>
          <w:sz w:val="28"/>
          <w:szCs w:val="28"/>
          <w:lang w:val="en-US"/>
        </w:rPr>
        <w:t>86</w:t>
      </w:r>
      <w:r>
        <w:rPr>
          <w:rFonts w:hint="eastAsia" w:ascii="仿宋" w:hAnsi="仿宋" w:eastAsia="仿宋"/>
          <w:kern w:val="2"/>
          <w:sz w:val="28"/>
          <w:szCs w:val="28"/>
          <w:lang w:val="en-US"/>
        </w:rPr>
        <w:t>万元，运营成本</w:t>
      </w:r>
      <w:r>
        <w:rPr>
          <w:rFonts w:ascii="Arial" w:hAnsi="Arial" w:eastAsia="仿宋" w:cs="Arial"/>
          <w:kern w:val="2"/>
          <w:sz w:val="28"/>
          <w:szCs w:val="28"/>
          <w:lang w:val="en-US"/>
        </w:rPr>
        <w:t>1</w:t>
      </w:r>
      <w:r>
        <w:rPr>
          <w:rFonts w:ascii="仿宋" w:hAnsi="仿宋" w:eastAsia="仿宋"/>
          <w:kern w:val="2"/>
          <w:sz w:val="28"/>
          <w:szCs w:val="28"/>
          <w:lang w:val="en-US"/>
        </w:rPr>
        <w:t>,</w:t>
      </w:r>
      <w:r>
        <w:rPr>
          <w:rFonts w:ascii="Arial" w:hAnsi="Arial" w:eastAsia="仿宋" w:cs="Arial"/>
          <w:kern w:val="2"/>
          <w:sz w:val="28"/>
          <w:szCs w:val="28"/>
          <w:lang w:val="en-US"/>
        </w:rPr>
        <w:t>748</w:t>
      </w:r>
      <w:r>
        <w:rPr>
          <w:rFonts w:ascii="仿宋" w:hAnsi="仿宋" w:eastAsia="仿宋"/>
          <w:kern w:val="2"/>
          <w:sz w:val="28"/>
          <w:szCs w:val="28"/>
          <w:lang w:val="en-US"/>
        </w:rPr>
        <w:t>.</w:t>
      </w:r>
      <w:r>
        <w:rPr>
          <w:rFonts w:ascii="Arial" w:hAnsi="Arial" w:eastAsia="仿宋" w:cs="Arial"/>
          <w:kern w:val="2"/>
          <w:sz w:val="28"/>
          <w:szCs w:val="28"/>
          <w:lang w:val="en-US"/>
        </w:rPr>
        <w:t>93</w:t>
      </w:r>
      <w:r>
        <w:rPr>
          <w:rFonts w:hint="eastAsia" w:ascii="仿宋" w:hAnsi="仿宋" w:eastAsia="仿宋"/>
          <w:kern w:val="2"/>
          <w:sz w:val="28"/>
          <w:szCs w:val="28"/>
          <w:lang w:val="en-US"/>
        </w:rPr>
        <w:t>万元，收入扣除运营成本后的项目收益为</w:t>
      </w:r>
      <w:r>
        <w:rPr>
          <w:rFonts w:ascii="Arial" w:hAnsi="Arial" w:eastAsia="仿宋" w:cs="Arial"/>
          <w:kern w:val="2"/>
          <w:sz w:val="28"/>
          <w:szCs w:val="28"/>
          <w:lang w:val="en-US"/>
        </w:rPr>
        <w:t>33</w:t>
      </w:r>
      <w:r>
        <w:rPr>
          <w:rFonts w:ascii="仿宋" w:hAnsi="仿宋" w:eastAsia="仿宋"/>
          <w:kern w:val="2"/>
          <w:sz w:val="28"/>
          <w:szCs w:val="28"/>
          <w:lang w:val="en-US"/>
        </w:rPr>
        <w:t>,</w:t>
      </w:r>
      <w:r>
        <w:rPr>
          <w:rFonts w:ascii="Arial" w:hAnsi="Arial" w:eastAsia="仿宋" w:cs="Arial"/>
          <w:kern w:val="2"/>
          <w:sz w:val="28"/>
          <w:szCs w:val="28"/>
          <w:lang w:val="en-US"/>
        </w:rPr>
        <w:t>229</w:t>
      </w:r>
      <w:r>
        <w:rPr>
          <w:rFonts w:ascii="仿宋" w:hAnsi="仿宋" w:eastAsia="仿宋"/>
          <w:kern w:val="2"/>
          <w:sz w:val="28"/>
          <w:szCs w:val="28"/>
          <w:lang w:val="en-US"/>
        </w:rPr>
        <w:t>.</w:t>
      </w:r>
      <w:r>
        <w:rPr>
          <w:rFonts w:ascii="Arial" w:hAnsi="Arial" w:eastAsia="仿宋" w:cs="Arial"/>
          <w:kern w:val="2"/>
          <w:sz w:val="28"/>
          <w:szCs w:val="28"/>
          <w:lang w:val="en-US"/>
        </w:rPr>
        <w:t>93</w:t>
      </w:r>
      <w:r>
        <w:rPr>
          <w:rFonts w:hint="eastAsia" w:ascii="仿宋" w:hAnsi="仿宋" w:eastAsia="仿宋"/>
          <w:kern w:val="2"/>
          <w:sz w:val="28"/>
          <w:szCs w:val="28"/>
          <w:lang w:val="en-US"/>
        </w:rPr>
        <w:t>万元，债券存续期现金净流入为</w:t>
      </w:r>
      <w:r>
        <w:rPr>
          <w:rFonts w:ascii="Arial" w:hAnsi="Arial" w:eastAsia="仿宋" w:cs="Arial"/>
          <w:kern w:val="2"/>
          <w:sz w:val="28"/>
          <w:szCs w:val="28"/>
          <w:lang w:val="en-US"/>
        </w:rPr>
        <w:t>5,144.77</w:t>
      </w:r>
      <w:r>
        <w:rPr>
          <w:rFonts w:hint="eastAsia" w:ascii="仿宋" w:hAnsi="仿宋" w:eastAsia="仿宋"/>
          <w:kern w:val="2"/>
          <w:sz w:val="28"/>
          <w:szCs w:val="28"/>
          <w:lang w:val="en-US"/>
        </w:rPr>
        <w:t>万元，存续期本息总额为</w:t>
      </w:r>
      <w:r>
        <w:rPr>
          <w:rFonts w:ascii="Arial" w:hAnsi="Arial" w:eastAsia="仿宋" w:cs="Arial"/>
          <w:kern w:val="2"/>
          <w:sz w:val="28"/>
          <w:szCs w:val="28"/>
          <w:lang w:val="en-US"/>
        </w:rPr>
        <w:t>29,075.20</w:t>
      </w:r>
      <w:r>
        <w:rPr>
          <w:rFonts w:hint="eastAsia" w:ascii="仿宋" w:hAnsi="仿宋" w:eastAsia="仿宋"/>
          <w:kern w:val="2"/>
          <w:sz w:val="28"/>
          <w:szCs w:val="28"/>
          <w:lang w:val="en-US"/>
        </w:rPr>
        <w:t>万元</w:t>
      </w:r>
      <w:r>
        <w:rPr>
          <w:rFonts w:ascii="仿宋" w:hAnsi="仿宋" w:eastAsia="仿宋"/>
          <w:kern w:val="2"/>
          <w:sz w:val="28"/>
          <w:szCs w:val="28"/>
          <w:lang w:val="en-US"/>
        </w:rPr>
        <w:t>(</w:t>
      </w:r>
      <w:r>
        <w:rPr>
          <w:rFonts w:hint="eastAsia" w:ascii="仿宋" w:hAnsi="仿宋" w:eastAsia="仿宋"/>
          <w:kern w:val="2"/>
          <w:sz w:val="28"/>
          <w:szCs w:val="28"/>
          <w:lang w:val="en-US"/>
        </w:rPr>
        <w:t>利息费用</w:t>
      </w:r>
      <w:r>
        <w:rPr>
          <w:rFonts w:ascii="仿宋" w:hAnsi="仿宋" w:eastAsia="仿宋"/>
          <w:kern w:val="2"/>
          <w:sz w:val="28"/>
          <w:szCs w:val="28"/>
          <w:lang w:val="en-US"/>
        </w:rPr>
        <w:t>+</w:t>
      </w:r>
      <w:r>
        <w:rPr>
          <w:rFonts w:hint="eastAsia" w:ascii="仿宋" w:hAnsi="仿宋" w:eastAsia="仿宋"/>
          <w:kern w:val="2"/>
          <w:sz w:val="28"/>
          <w:szCs w:val="28"/>
          <w:lang w:val="en-US"/>
        </w:rPr>
        <w:t>偿还本金</w:t>
      </w:r>
      <w:r>
        <w:rPr>
          <w:rFonts w:ascii="仿宋" w:hAnsi="仿宋" w:eastAsia="仿宋"/>
          <w:kern w:val="2"/>
          <w:sz w:val="28"/>
          <w:szCs w:val="28"/>
          <w:lang w:val="en-US"/>
        </w:rPr>
        <w:t>)</w:t>
      </w:r>
      <w:r>
        <w:rPr>
          <w:rFonts w:hint="eastAsia" w:ascii="仿宋" w:hAnsi="仿宋" w:eastAsia="仿宋"/>
          <w:kern w:val="2"/>
          <w:sz w:val="28"/>
          <w:szCs w:val="28"/>
          <w:lang w:val="en-US"/>
        </w:rPr>
        <w:t>，因此债券存续期内本息覆盖倍数为</w:t>
      </w:r>
      <w:r>
        <w:rPr>
          <w:rFonts w:ascii="Arial" w:hAnsi="Arial" w:eastAsia="仿宋" w:cs="Arial"/>
          <w:kern w:val="2"/>
          <w:sz w:val="28"/>
          <w:szCs w:val="28"/>
          <w:lang w:val="en-US"/>
        </w:rPr>
        <w:t>1</w:t>
      </w:r>
      <w:r>
        <w:rPr>
          <w:rFonts w:ascii="仿宋" w:hAnsi="仿宋" w:eastAsia="仿宋"/>
          <w:kern w:val="2"/>
          <w:sz w:val="28"/>
          <w:szCs w:val="28"/>
          <w:lang w:val="en-US"/>
        </w:rPr>
        <w:t>.</w:t>
      </w:r>
      <w:r>
        <w:rPr>
          <w:rFonts w:ascii="Arial" w:hAnsi="Arial" w:eastAsia="仿宋" w:cs="Arial"/>
          <w:kern w:val="2"/>
          <w:sz w:val="28"/>
          <w:szCs w:val="28"/>
          <w:lang w:val="en-US"/>
        </w:rPr>
        <w:t>14</w:t>
      </w:r>
      <w:r>
        <w:rPr>
          <w:rFonts w:hint="eastAsia" w:ascii="仿宋" w:hAnsi="仿宋" w:eastAsia="仿宋"/>
          <w:kern w:val="2"/>
          <w:sz w:val="28"/>
          <w:szCs w:val="28"/>
          <w:lang w:val="en-US"/>
        </w:rPr>
        <w:t>，完全能够满足本次债券本息偿还要求。</w:t>
      </w:r>
    </w:p>
    <w:p>
      <w:pPr>
        <w:pStyle w:val="5"/>
        <w:spacing w:beforeLines="5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综上所述，本次芦山县（城中村）棚户区改造项目专项债券，在债券存续期内项目未来产生的现金流入对本次债券的本息形成了较好的覆盖性，项目本身能够达到自求平衡，能够满足本次债券本息偿还要求。</w:t>
      </w:r>
    </w:p>
    <w:bookmarkEnd w:id="28"/>
    <w:bookmarkEnd w:id="29"/>
    <w:p>
      <w:pPr>
        <w:spacing w:line="576" w:lineRule="exact"/>
        <w:ind w:firstLine="640" w:firstLineChars="200"/>
        <w:rPr>
          <w:rFonts w:eastAsia="黑体"/>
          <w:sz w:val="32"/>
          <w:szCs w:val="32"/>
        </w:rPr>
      </w:pPr>
      <w:r>
        <w:rPr>
          <w:rFonts w:eastAsia="黑体"/>
          <w:sz w:val="32"/>
          <w:szCs w:val="32"/>
        </w:rPr>
        <w:t>五、项目绩效目标</w:t>
      </w:r>
    </w:p>
    <w:p>
      <w:pPr>
        <w:spacing w:line="576" w:lineRule="exact"/>
        <w:ind w:firstLine="560" w:firstLineChars="200"/>
        <w:rPr>
          <w:rFonts w:eastAsia="仿宋_GB2312"/>
          <w:sz w:val="28"/>
          <w:szCs w:val="32"/>
        </w:rPr>
      </w:pPr>
      <w:r>
        <w:rPr>
          <w:rFonts w:hint="eastAsia" w:eastAsia="仿宋_GB2312"/>
          <w:sz w:val="28"/>
          <w:szCs w:val="32"/>
        </w:rPr>
        <w:t>（一）时效：债券发行期为15年，</w:t>
      </w:r>
      <w:r>
        <w:rPr>
          <w:rFonts w:hint="eastAsia" w:ascii="仿宋" w:hAnsi="仿宋" w:eastAsia="仿宋"/>
          <w:sz w:val="28"/>
          <w:szCs w:val="28"/>
        </w:rPr>
        <w:t>芦山县汉嘉实业有限公司</w:t>
      </w:r>
      <w:r>
        <w:rPr>
          <w:rFonts w:hint="eastAsia" w:eastAsia="仿宋_GB2312"/>
          <w:sz w:val="28"/>
          <w:szCs w:val="32"/>
        </w:rPr>
        <w:t>可根据项目实施及收益情况提前还本付息。</w:t>
      </w:r>
    </w:p>
    <w:p>
      <w:pPr>
        <w:spacing w:line="576" w:lineRule="exact"/>
        <w:ind w:firstLine="560" w:firstLineChars="200"/>
        <w:rPr>
          <w:rFonts w:eastAsia="仿宋_GB2312"/>
          <w:sz w:val="28"/>
          <w:szCs w:val="32"/>
        </w:rPr>
      </w:pPr>
      <w:r>
        <w:rPr>
          <w:rFonts w:hint="eastAsia" w:eastAsia="仿宋_GB2312"/>
          <w:sz w:val="28"/>
          <w:szCs w:val="32"/>
        </w:rPr>
        <w:t>（二）经济效益：通过</w:t>
      </w:r>
      <w:r>
        <w:rPr>
          <w:rFonts w:hint="eastAsia" w:ascii="仿宋" w:hAnsi="仿宋" w:eastAsia="仿宋"/>
          <w:sz w:val="28"/>
          <w:szCs w:val="28"/>
        </w:rPr>
        <w:t>完成土地平整后对外出让</w:t>
      </w:r>
      <w:r>
        <w:rPr>
          <w:rFonts w:hint="eastAsia" w:ascii="仿宋" w:hAnsi="仿宋" w:eastAsia="仿宋" w:cs="仿宋"/>
          <w:sz w:val="28"/>
          <w:szCs w:val="28"/>
        </w:rPr>
        <w:t>收入</w:t>
      </w:r>
      <w:r>
        <w:rPr>
          <w:rFonts w:hint="eastAsia" w:eastAsia="仿宋_GB2312"/>
          <w:sz w:val="28"/>
          <w:szCs w:val="32"/>
        </w:rPr>
        <w:t>，实现收益和融资自求平衡，增加地方财政收入，提升财政支出能力。</w:t>
      </w:r>
    </w:p>
    <w:p>
      <w:pPr>
        <w:spacing w:line="576" w:lineRule="exact"/>
        <w:ind w:firstLine="560" w:firstLineChars="200"/>
        <w:rPr>
          <w:rFonts w:eastAsia="仿宋_GB2312"/>
          <w:sz w:val="28"/>
          <w:szCs w:val="32"/>
        </w:rPr>
      </w:pPr>
      <w:r>
        <w:rPr>
          <w:rFonts w:hint="eastAsia" w:eastAsia="仿宋_GB2312"/>
          <w:sz w:val="28"/>
          <w:szCs w:val="32"/>
        </w:rPr>
        <w:t>（三）社会效益：</w:t>
      </w:r>
      <w:r>
        <w:rPr>
          <w:rFonts w:hint="eastAsia" w:eastAsia="仿宋"/>
          <w:sz w:val="28"/>
          <w:szCs w:val="28"/>
        </w:rPr>
        <w:t>实施棚户区改造，既可以带动社会投资，促进居民消费，扩大社会就业，又可以发展社区公共服务，加强社会管理，推进平安社区建设，是扩内需、惠民生、保稳定的重要结合点</w:t>
      </w:r>
      <w:r>
        <w:rPr>
          <w:rFonts w:hint="eastAsia" w:eastAsia="仿宋_GB2312"/>
          <w:sz w:val="28"/>
          <w:szCs w:val="32"/>
        </w:rPr>
        <w:t>。</w:t>
      </w:r>
    </w:p>
    <w:p>
      <w:pPr>
        <w:spacing w:line="576" w:lineRule="exact"/>
        <w:ind w:firstLine="560" w:firstLineChars="200"/>
        <w:rPr>
          <w:rFonts w:eastAsia="仿宋_GB2312"/>
          <w:sz w:val="28"/>
          <w:szCs w:val="32"/>
        </w:rPr>
      </w:pPr>
      <w:r>
        <w:rPr>
          <w:rFonts w:hint="eastAsia" w:eastAsia="仿宋_GB2312"/>
          <w:sz w:val="28"/>
          <w:szCs w:val="32"/>
        </w:rPr>
        <w:t>（四）可持续影响：保障地方经济可持续发展。</w:t>
      </w:r>
    </w:p>
    <w:p>
      <w:pPr>
        <w:pStyle w:val="2"/>
        <w:numPr>
          <w:ilvl w:val="0"/>
          <w:numId w:val="0"/>
        </w:numPr>
        <w:spacing w:beforeLines="50" w:after="156" w:line="360" w:lineRule="auto"/>
        <w:ind w:firstLine="640" w:firstLineChars="200"/>
        <w:rPr>
          <w:rFonts w:ascii="Times New Roman" w:hAnsi="Times New Roman"/>
        </w:rPr>
      </w:pPr>
      <w:bookmarkStart w:id="60" w:name="_Toc32848153"/>
      <w:bookmarkStart w:id="61" w:name="_Toc1195"/>
      <w:bookmarkStart w:id="62" w:name="_Toc498385763"/>
      <w:bookmarkStart w:id="63" w:name="_Toc498385095"/>
      <w:r>
        <w:rPr>
          <w:rFonts w:hint="eastAsia" w:ascii="Times New Roman" w:hAnsi="Times New Roman"/>
          <w:lang w:val="en-US"/>
        </w:rPr>
        <w:t>六、</w:t>
      </w:r>
      <w:r>
        <w:rPr>
          <w:rFonts w:hint="eastAsia" w:ascii="Times New Roman" w:hAnsi="Times New Roman"/>
        </w:rPr>
        <w:t>潜在影响项目收益和融资平衡结果的各种风险评估</w:t>
      </w:r>
      <w:bookmarkEnd w:id="60"/>
      <w:bookmarkEnd w:id="61"/>
    </w:p>
    <w:bookmarkEnd w:id="62"/>
    <w:bookmarkEnd w:id="63"/>
    <w:p>
      <w:pPr>
        <w:pStyle w:val="3"/>
        <w:numPr>
          <w:ilvl w:val="1"/>
          <w:numId w:val="0"/>
        </w:numPr>
        <w:spacing w:beforeLines="50" w:after="156" w:line="360" w:lineRule="auto"/>
        <w:ind w:firstLine="301" w:firstLineChars="100"/>
        <w:rPr>
          <w:rFonts w:ascii="仿宋" w:hAnsi="仿宋" w:eastAsia="仿宋"/>
          <w:sz w:val="30"/>
          <w:szCs w:val="30"/>
        </w:rPr>
      </w:pPr>
      <w:bookmarkStart w:id="64" w:name="_Toc32848154"/>
      <w:bookmarkStart w:id="65" w:name="_Toc30130"/>
      <w:bookmarkStart w:id="66" w:name="_Toc521491361"/>
      <w:r>
        <w:rPr>
          <w:rFonts w:hint="eastAsia" w:ascii="仿宋" w:hAnsi="仿宋" w:eastAsia="仿宋"/>
          <w:sz w:val="30"/>
          <w:szCs w:val="30"/>
        </w:rPr>
        <w:t>（</w:t>
      </w:r>
      <w:r>
        <w:rPr>
          <w:rFonts w:hint="eastAsia" w:ascii="仿宋" w:hAnsi="仿宋" w:eastAsia="仿宋"/>
          <w:sz w:val="30"/>
          <w:szCs w:val="30"/>
          <w:lang w:val="en-US"/>
        </w:rPr>
        <w:t>一</w:t>
      </w:r>
      <w:r>
        <w:rPr>
          <w:rFonts w:hint="eastAsia" w:ascii="仿宋" w:hAnsi="仿宋" w:eastAsia="仿宋"/>
          <w:sz w:val="30"/>
          <w:szCs w:val="30"/>
        </w:rPr>
        <w:t>）影响项目施工进度或正常运营的风险及控制措施</w:t>
      </w:r>
      <w:bookmarkEnd w:id="64"/>
      <w:bookmarkEnd w:id="65"/>
      <w:bookmarkEnd w:id="66"/>
    </w:p>
    <w:p>
      <w:pPr>
        <w:pStyle w:val="5"/>
        <w:spacing w:beforeLines="50" w:afterLines="50" w:line="360" w:lineRule="auto"/>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自然环境变化等不可抗力风险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暴雨、洪水、泥石流、地震等自然灾害以及突发性公共卫生事件等不可抗力因素，可能会对业主单位的财产、人员造成损害，影响业主单位的经营和项目的正常实施进度。</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控制措施：自然风险的发生具有随机性和不可预见性，属于不可抗力的范畴。为规避自然风险和控制损失，对项目所在地的自然环境进行充分的可行性论证，减少不良地质灾害和外界因素对项目的影响。</w:t>
      </w:r>
    </w:p>
    <w:p>
      <w:pPr>
        <w:pStyle w:val="5"/>
        <w:spacing w:beforeLines="50" w:afterLines="50" w:line="360" w:lineRule="auto"/>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来源于施工方的风险因素</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施工方因为工程地质条件、水文地质条件发生重大变化，或者对实施条件估计不足，或者受限于施工技术和项目管理能力，导致工程量增加、投资增加、工期拖长的风险。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控制措施：业主单位严格选取有相应资质、业绩良好、经验丰富的施工单位；指派资历丰富人员担任项目负责人和现场监督人员；在项目实施前和实施过程中与施工单位充分沟通，对施工进度计划进行编制、执行并及时调整，确保施工单位重视施工进度计划，保障项目的顺利进行。</w:t>
      </w:r>
    </w:p>
    <w:p>
      <w:pPr>
        <w:pStyle w:val="5"/>
        <w:spacing w:beforeLines="50" w:afterLines="50" w:line="360" w:lineRule="auto"/>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3</w:t>
      </w:r>
      <w:r>
        <w:rPr>
          <w:rFonts w:ascii="仿宋" w:hAnsi="仿宋" w:eastAsia="仿宋"/>
          <w:kern w:val="2"/>
          <w:sz w:val="28"/>
          <w:szCs w:val="28"/>
          <w:lang w:val="en-US"/>
        </w:rPr>
        <w:t>.</w:t>
      </w:r>
      <w:r>
        <w:rPr>
          <w:rFonts w:hint="eastAsia" w:ascii="仿宋" w:hAnsi="仿宋" w:eastAsia="仿宋"/>
          <w:kern w:val="2"/>
          <w:sz w:val="28"/>
          <w:szCs w:val="28"/>
          <w:lang w:val="en-US"/>
        </w:rPr>
        <w:t>资金落实情况</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棚户区改造项目资金需求量大，回款周期长。资金是否按时到位是确保棚户区改造项目顺利实施的基础。资金短缺或者营运资金不足将直接影响到项目建设、销售的预期进度。</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控制措施：在充分掌握政策环境、宏观经济形势、利率变动情况后，当地政府和业主单位坚决贯彻关于资本金的相关规定，保证资本金足额按时到位。</w:t>
      </w:r>
    </w:p>
    <w:p>
      <w:pPr>
        <w:pStyle w:val="5"/>
        <w:spacing w:beforeLines="50" w:afterLines="50" w:line="360" w:lineRule="auto"/>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4</w:t>
      </w:r>
      <w:r>
        <w:rPr>
          <w:rFonts w:ascii="仿宋" w:hAnsi="仿宋" w:eastAsia="仿宋"/>
          <w:kern w:val="2"/>
          <w:sz w:val="28"/>
          <w:szCs w:val="28"/>
          <w:lang w:val="en-US"/>
        </w:rPr>
        <w:t>.</w:t>
      </w:r>
      <w:r>
        <w:rPr>
          <w:rFonts w:hint="eastAsia" w:ascii="仿宋" w:hAnsi="仿宋" w:eastAsia="仿宋"/>
          <w:kern w:val="2"/>
          <w:sz w:val="28"/>
          <w:szCs w:val="28"/>
          <w:lang w:val="en-US"/>
        </w:rPr>
        <w:t>工程事故风险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棚户区改造建设实施过程中的工程机械操作和工作环境有一定危险性。如果安全管理某个环节发生疏忽，或人员操作不当，或物品保管不当，或自然灾害等原因，均可能发生安全事故，影响实施进度并可能造成较大的经济损失和社会影响。</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控制措施：做好现场的安全管理工作，防范各类安全事故的发生。加强对工程和人员安全防护措施，确保实施人员的人身安全以及机械设备的安全。业主单加强内部管理，实行岗前和继续培训，提高职工的安全意识，将安全管理落实到细节。</w:t>
      </w:r>
    </w:p>
    <w:p>
      <w:pPr>
        <w:pStyle w:val="3"/>
        <w:numPr>
          <w:ilvl w:val="1"/>
          <w:numId w:val="0"/>
        </w:numPr>
        <w:spacing w:beforeLines="50" w:after="156" w:line="360" w:lineRule="auto"/>
        <w:ind w:firstLine="281" w:firstLineChars="100"/>
        <w:rPr>
          <w:rFonts w:ascii="仿宋" w:hAnsi="仿宋" w:eastAsia="仿宋"/>
          <w:sz w:val="30"/>
          <w:szCs w:val="30"/>
        </w:rPr>
      </w:pPr>
      <w:bookmarkStart w:id="67" w:name="_Toc498385766"/>
      <w:bookmarkStart w:id="68" w:name="_Toc521491362"/>
      <w:bookmarkStart w:id="69" w:name="_Toc6646"/>
      <w:bookmarkStart w:id="70" w:name="_Toc32848155"/>
      <w:bookmarkStart w:id="71" w:name="_Toc498385098"/>
      <w:r>
        <w:rPr>
          <w:rFonts w:hint="eastAsia" w:ascii="Times New Roman" w:hAnsi="Times New Roman" w:eastAsia="仿宋_GB2312"/>
          <w:sz w:val="28"/>
          <w:szCs w:val="32"/>
        </w:rPr>
        <w:t>（二）</w:t>
      </w:r>
      <w:r>
        <w:rPr>
          <w:rFonts w:hint="eastAsia" w:ascii="仿宋" w:hAnsi="仿宋" w:eastAsia="仿宋"/>
          <w:sz w:val="30"/>
          <w:szCs w:val="30"/>
        </w:rPr>
        <w:t>影响项目收益的风险及控制措施</w:t>
      </w:r>
      <w:bookmarkEnd w:id="67"/>
      <w:bookmarkEnd w:id="68"/>
      <w:bookmarkEnd w:id="69"/>
      <w:bookmarkEnd w:id="70"/>
      <w:bookmarkEnd w:id="71"/>
    </w:p>
    <w:p>
      <w:pPr>
        <w:pStyle w:val="5"/>
        <w:spacing w:beforeLines="50" w:afterLines="50" w:line="360" w:lineRule="auto"/>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经营风险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经营风险是指业主单位在项目建设过程中，受到土地市场与房地产市场发展运行状况、经营决策失误、经营管理不善、管理效率低下、政策环境变化的影响，可能持续经营出现困难。</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若相关政策的变化，可能会影响项目的正常推进，从而对项目的推进和资金的管理带来风险。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控制措施：提高项目前期工作的科学性、准确性，加强政策的学习和预判，降低决策风险。在项目实施前，从合法性、合理性、可行性、安全性等方面对事前、事中、事后可能引发的问题进行全面分析和预测评估，确保将项目经营风险降到最低限度。</w:t>
      </w:r>
    </w:p>
    <w:p>
      <w:pPr>
        <w:pStyle w:val="5"/>
        <w:spacing w:beforeLines="50" w:afterLines="50" w:line="360" w:lineRule="auto"/>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市场风险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主要是指由于市场需求变化给项目带来损失的可能性。本项目虽然经过了市场分析，但若市场供需总量的实际情况与预测值发生偏离，打破原有的市场格局，房地产市场波动、供求关系的变化，都将对项目的效益产生影响。</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控制措施：关注当地的土地交易情况，定期收集和分析当地招挂拍土地的价格和成交情况。完成土地整理后尽快进行土地的招拍挂工作，加速资金回收速度。</w:t>
      </w:r>
    </w:p>
    <w:p>
      <w:pPr>
        <w:pStyle w:val="3"/>
        <w:spacing w:beforeLines="50" w:after="156" w:line="360" w:lineRule="auto"/>
        <w:rPr>
          <w:rFonts w:ascii="仿宋" w:hAnsi="仿宋" w:eastAsia="仿宋"/>
          <w:sz w:val="30"/>
          <w:szCs w:val="30"/>
        </w:rPr>
      </w:pPr>
      <w:bookmarkStart w:id="72" w:name="_Toc32848156"/>
      <w:bookmarkStart w:id="73" w:name="_Toc498385773"/>
      <w:bookmarkStart w:id="74" w:name="_Toc5332"/>
      <w:bookmarkStart w:id="75" w:name="_Toc498385105"/>
      <w:bookmarkStart w:id="76" w:name="_Toc521491363"/>
      <w:r>
        <w:rPr>
          <w:rFonts w:hint="eastAsia" w:ascii="仿宋" w:hAnsi="仿宋" w:eastAsia="仿宋"/>
          <w:sz w:val="30"/>
          <w:szCs w:val="30"/>
        </w:rPr>
        <w:t>影响融资平衡结果的风险及控制措施</w:t>
      </w:r>
      <w:bookmarkEnd w:id="72"/>
      <w:bookmarkEnd w:id="73"/>
      <w:bookmarkEnd w:id="74"/>
      <w:bookmarkEnd w:id="75"/>
      <w:bookmarkEnd w:id="76"/>
    </w:p>
    <w:p>
      <w:pPr>
        <w:pStyle w:val="5"/>
        <w:spacing w:beforeLines="50" w:afterLines="50" w:line="360" w:lineRule="auto"/>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1</w:t>
      </w:r>
      <w:r>
        <w:rPr>
          <w:rFonts w:ascii="仿宋" w:hAnsi="仿宋" w:eastAsia="仿宋"/>
          <w:kern w:val="2"/>
          <w:sz w:val="28"/>
          <w:szCs w:val="28"/>
          <w:lang w:val="en-US"/>
        </w:rPr>
        <w:t>.</w:t>
      </w:r>
      <w:r>
        <w:rPr>
          <w:rFonts w:hint="eastAsia" w:ascii="仿宋" w:hAnsi="仿宋" w:eastAsia="仿宋"/>
          <w:kern w:val="2"/>
          <w:sz w:val="28"/>
          <w:szCs w:val="28"/>
          <w:lang w:val="en-US"/>
        </w:rPr>
        <w:t>投资测算不准确风险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投资测算不可避免地会存在偏差，同时，建设期内相关政策、法律、市场等因素的变化可能对估算投资产生影响，若出现实际投资超过投资估算的情况，则可能影响本项目的如期完成。</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控制措施：根据稳健性原则，在进行投资估算时，适当考虑计入一定比例的不可预见费；测算各项资金当年的到位额亦留有一定余地。在实施过程中，定期对估算投资进行审核验证，如发现对估算投资产生重大影响的变化，及时对估算投资进行调整。</w:t>
      </w:r>
    </w:p>
    <w:p>
      <w:pPr>
        <w:pStyle w:val="5"/>
        <w:spacing w:beforeLines="50" w:afterLines="50" w:line="360" w:lineRule="auto"/>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2</w:t>
      </w:r>
      <w:r>
        <w:rPr>
          <w:rFonts w:ascii="仿宋" w:hAnsi="仿宋" w:eastAsia="仿宋"/>
          <w:kern w:val="2"/>
          <w:sz w:val="28"/>
          <w:szCs w:val="28"/>
          <w:lang w:val="en-US"/>
        </w:rPr>
        <w:t>.</w:t>
      </w:r>
      <w:r>
        <w:rPr>
          <w:rFonts w:hint="eastAsia" w:ascii="仿宋" w:hAnsi="仿宋" w:eastAsia="仿宋"/>
          <w:kern w:val="2"/>
          <w:sz w:val="28"/>
          <w:szCs w:val="28"/>
          <w:lang w:val="en-US"/>
        </w:rPr>
        <w:t>利率波动风险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受国内外宏观经济形势和国内经济政策变动的影响，资本市场利率水平可能产生不利变动，进而增加业主单位的财务成本，逐渐演变为财务负担。</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控制措施：针对利率波动对项目财务成本的影响问题，对本项目融资的期限结构、还款方式统筹规划，做好现金流监测，充分利用资金、做好还款计划和还款准备，最大程度降低利率波动带来的损失。</w:t>
      </w:r>
    </w:p>
    <w:p>
      <w:pPr>
        <w:pStyle w:val="5"/>
        <w:spacing w:beforeLines="50" w:afterLines="50" w:line="360" w:lineRule="auto"/>
        <w:ind w:firstLine="560" w:firstLineChars="200"/>
        <w:outlineLvl w:val="2"/>
        <w:rPr>
          <w:rFonts w:ascii="仿宋" w:hAnsi="仿宋" w:eastAsia="仿宋"/>
          <w:kern w:val="2"/>
          <w:sz w:val="28"/>
          <w:szCs w:val="28"/>
          <w:lang w:val="en-US"/>
        </w:rPr>
      </w:pPr>
      <w:r>
        <w:rPr>
          <w:rFonts w:ascii="Arial" w:hAnsi="Arial" w:eastAsia="仿宋" w:cs="Arial"/>
          <w:kern w:val="2"/>
          <w:sz w:val="28"/>
          <w:szCs w:val="28"/>
          <w:lang w:val="en-US"/>
        </w:rPr>
        <w:t>3</w:t>
      </w:r>
      <w:r>
        <w:rPr>
          <w:rFonts w:ascii="仿宋" w:hAnsi="仿宋" w:eastAsia="仿宋"/>
          <w:kern w:val="2"/>
          <w:sz w:val="28"/>
          <w:szCs w:val="28"/>
          <w:lang w:val="en-US"/>
        </w:rPr>
        <w:t>.</w:t>
      </w:r>
      <w:r>
        <w:rPr>
          <w:rFonts w:hint="eastAsia" w:ascii="仿宋" w:hAnsi="仿宋" w:eastAsia="仿宋"/>
          <w:kern w:val="2"/>
          <w:sz w:val="28"/>
          <w:szCs w:val="28"/>
          <w:lang w:val="en-US"/>
        </w:rPr>
        <w:t>存续债券置换不畅风险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防范化解债务风险，去杠杆等政策变动、经济环境变化可能导致专项债券无法发行或者发行额度达不到预期，进而对存续债券置换产生不利影响的风险。</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控制措施：项目本身具有高保障倍数，设计方案经专家多轮缜密论证，与城市发展规划高度契合，具有较强可行性与可操作性。</w:t>
      </w:r>
    </w:p>
    <w:p>
      <w:pPr>
        <w:pStyle w:val="2"/>
        <w:numPr>
          <w:ilvl w:val="0"/>
          <w:numId w:val="0"/>
        </w:numPr>
        <w:spacing w:beforeLines="50" w:after="156" w:line="576" w:lineRule="exact"/>
        <w:ind w:firstLine="640" w:firstLineChars="200"/>
        <w:rPr>
          <w:rFonts w:ascii="Times New Roman" w:hAnsi="Times New Roman"/>
        </w:rPr>
      </w:pPr>
      <w:bookmarkStart w:id="77" w:name="_Toc32848157"/>
      <w:bookmarkStart w:id="78" w:name="_Toc535223324"/>
      <w:bookmarkStart w:id="79" w:name="_Toc17454"/>
      <w:r>
        <w:rPr>
          <w:rFonts w:hint="eastAsia" w:ascii="Times New Roman" w:hAnsi="Times New Roman"/>
          <w:lang w:val="en-US"/>
        </w:rPr>
        <w:t>七、</w:t>
      </w:r>
      <w:r>
        <w:rPr>
          <w:rFonts w:hint="eastAsia" w:ascii="Times New Roman" w:hAnsi="Times New Roman"/>
        </w:rPr>
        <w:t>还款保障情况</w:t>
      </w:r>
      <w:bookmarkEnd w:id="77"/>
      <w:bookmarkEnd w:id="78"/>
      <w:bookmarkEnd w:id="79"/>
    </w:p>
    <w:p>
      <w:pPr>
        <w:pStyle w:val="5"/>
        <w:spacing w:before="0" w:after="0" w:line="576" w:lineRule="exact"/>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按照《国务院办公厅关于印发地方政府性债务风险应急处置预案的通知》</w:t>
      </w:r>
      <w:r>
        <w:rPr>
          <w:rFonts w:ascii="仿宋" w:hAnsi="仿宋" w:eastAsia="仿宋"/>
          <w:kern w:val="2"/>
          <w:sz w:val="28"/>
          <w:szCs w:val="28"/>
          <w:lang w:val="en-US"/>
        </w:rPr>
        <w:t>(</w:t>
      </w:r>
      <w:r>
        <w:rPr>
          <w:rFonts w:hint="eastAsia" w:ascii="仿宋" w:hAnsi="仿宋" w:eastAsia="仿宋"/>
          <w:kern w:val="2"/>
          <w:sz w:val="28"/>
          <w:szCs w:val="28"/>
          <w:lang w:val="en-US"/>
        </w:rPr>
        <w:t>国办函</w:t>
      </w:r>
      <w:r>
        <w:rPr>
          <w:rFonts w:ascii="仿宋" w:hAnsi="仿宋" w:eastAsia="仿宋"/>
          <w:kern w:val="2"/>
          <w:sz w:val="28"/>
          <w:szCs w:val="28"/>
          <w:lang w:val="en-US"/>
        </w:rPr>
        <w:t>([</w:t>
      </w:r>
      <w:r>
        <w:rPr>
          <w:rFonts w:ascii="Arial" w:hAnsi="Arial" w:eastAsia="仿宋" w:cs="Arial"/>
          <w:kern w:val="2"/>
          <w:sz w:val="28"/>
          <w:szCs w:val="28"/>
          <w:lang w:val="en-US"/>
        </w:rPr>
        <w:t>2016</w:t>
      </w:r>
      <w:r>
        <w:rPr>
          <w:rFonts w:ascii="仿宋" w:hAnsi="仿宋" w:eastAsia="仿宋"/>
          <w:kern w:val="2"/>
          <w:sz w:val="28"/>
          <w:szCs w:val="28"/>
          <w:lang w:val="en-US"/>
        </w:rPr>
        <w:t>]</w:t>
      </w:r>
      <w:r>
        <w:rPr>
          <w:rFonts w:ascii="Arial" w:hAnsi="Arial" w:eastAsia="仿宋" w:cs="Arial"/>
          <w:kern w:val="2"/>
          <w:sz w:val="28"/>
          <w:szCs w:val="28"/>
          <w:lang w:val="en-US"/>
        </w:rPr>
        <w:t>88</w:t>
      </w:r>
      <w:r>
        <w:rPr>
          <w:rFonts w:hint="eastAsia" w:ascii="仿宋" w:hAnsi="仿宋" w:eastAsia="仿宋"/>
          <w:kern w:val="2"/>
          <w:sz w:val="28"/>
          <w:szCs w:val="28"/>
          <w:lang w:val="en-US"/>
        </w:rPr>
        <w:t>号</w:t>
      </w:r>
      <w:r>
        <w:rPr>
          <w:rFonts w:ascii="仿宋" w:hAnsi="仿宋" w:eastAsia="仿宋"/>
          <w:kern w:val="2"/>
          <w:sz w:val="28"/>
          <w:szCs w:val="28"/>
          <w:lang w:val="en-US"/>
        </w:rPr>
        <w:t>)</w:t>
      </w:r>
      <w:r>
        <w:rPr>
          <w:rFonts w:hint="eastAsia" w:ascii="仿宋" w:hAnsi="仿宋" w:eastAsia="仿宋"/>
          <w:kern w:val="2"/>
          <w:sz w:val="28"/>
          <w:szCs w:val="28"/>
          <w:lang w:val="en-US"/>
        </w:rPr>
        <w:t>规定，本级政府对地方政府债券依法承担全部偿还责任。本级财政将按照《财政部关于印发</w:t>
      </w:r>
      <w:r>
        <w:rPr>
          <w:rFonts w:ascii="仿宋" w:hAnsi="仿宋" w:eastAsia="仿宋"/>
          <w:kern w:val="2"/>
          <w:sz w:val="28"/>
          <w:szCs w:val="28"/>
          <w:lang w:val="en-US"/>
        </w:rPr>
        <w:t>&lt;</w:t>
      </w:r>
      <w:r>
        <w:rPr>
          <w:rFonts w:hint="eastAsia" w:ascii="仿宋" w:hAnsi="仿宋" w:eastAsia="仿宋"/>
          <w:kern w:val="2"/>
          <w:sz w:val="28"/>
          <w:szCs w:val="28"/>
          <w:lang w:val="en-US"/>
        </w:rPr>
        <w:t>地方政府专项债务预算管理办法</w:t>
      </w:r>
      <w:r>
        <w:rPr>
          <w:rFonts w:ascii="仿宋" w:hAnsi="仿宋" w:eastAsia="仿宋"/>
          <w:kern w:val="2"/>
          <w:sz w:val="28"/>
          <w:szCs w:val="28"/>
          <w:lang w:val="en-US"/>
        </w:rPr>
        <w:t>&gt;</w:t>
      </w:r>
      <w:r>
        <w:rPr>
          <w:rFonts w:hint="eastAsia" w:ascii="仿宋" w:hAnsi="仿宋" w:eastAsia="仿宋"/>
          <w:kern w:val="2"/>
          <w:sz w:val="28"/>
          <w:szCs w:val="28"/>
          <w:lang w:val="en-US"/>
        </w:rPr>
        <w:t>的通知》</w:t>
      </w:r>
      <w:r>
        <w:rPr>
          <w:rFonts w:ascii="仿宋" w:hAnsi="仿宋" w:eastAsia="仿宋"/>
          <w:kern w:val="2"/>
          <w:sz w:val="28"/>
          <w:szCs w:val="28"/>
          <w:lang w:val="en-US"/>
        </w:rPr>
        <w:t>(</w:t>
      </w:r>
      <w:r>
        <w:rPr>
          <w:rFonts w:hint="eastAsia" w:ascii="仿宋" w:hAnsi="仿宋" w:eastAsia="仿宋"/>
          <w:kern w:val="2"/>
          <w:sz w:val="28"/>
          <w:szCs w:val="28"/>
          <w:lang w:val="en-US"/>
        </w:rPr>
        <w:t>财预</w:t>
      </w:r>
      <w:r>
        <w:rPr>
          <w:rFonts w:ascii="仿宋" w:hAnsi="仿宋" w:eastAsia="仿宋"/>
          <w:kern w:val="2"/>
          <w:sz w:val="28"/>
          <w:szCs w:val="28"/>
          <w:lang w:val="en-US"/>
        </w:rPr>
        <w:t>[</w:t>
      </w:r>
      <w:r>
        <w:rPr>
          <w:rFonts w:ascii="Arial" w:hAnsi="Arial" w:eastAsia="仿宋" w:cs="Arial"/>
          <w:kern w:val="2"/>
          <w:sz w:val="28"/>
          <w:szCs w:val="28"/>
          <w:lang w:val="en-US"/>
        </w:rPr>
        <w:t>2016</w:t>
      </w:r>
      <w:r>
        <w:rPr>
          <w:rFonts w:ascii="仿宋" w:hAnsi="仿宋" w:eastAsia="仿宋"/>
          <w:kern w:val="2"/>
          <w:sz w:val="28"/>
          <w:szCs w:val="28"/>
          <w:lang w:val="en-US"/>
        </w:rPr>
        <w:t>]</w:t>
      </w:r>
      <w:r>
        <w:rPr>
          <w:rFonts w:ascii="Arial" w:hAnsi="Arial" w:eastAsia="仿宋" w:cs="Arial"/>
          <w:kern w:val="2"/>
          <w:sz w:val="28"/>
          <w:szCs w:val="28"/>
          <w:lang w:val="en-US"/>
        </w:rPr>
        <w:t>155</w:t>
      </w:r>
      <w:r>
        <w:rPr>
          <w:rFonts w:hint="eastAsia" w:ascii="仿宋" w:hAnsi="仿宋" w:eastAsia="仿宋"/>
          <w:kern w:val="2"/>
          <w:sz w:val="28"/>
          <w:szCs w:val="28"/>
          <w:lang w:val="en-US"/>
        </w:rPr>
        <w:t>号</w:t>
      </w:r>
      <w:r>
        <w:rPr>
          <w:rFonts w:ascii="仿宋" w:hAnsi="仿宋" w:eastAsia="仿宋"/>
          <w:kern w:val="2"/>
          <w:sz w:val="28"/>
          <w:szCs w:val="28"/>
          <w:lang w:val="en-US"/>
        </w:rPr>
        <w:t>)</w:t>
      </w:r>
      <w:r>
        <w:rPr>
          <w:rFonts w:hint="eastAsia" w:ascii="仿宋" w:hAnsi="仿宋" w:eastAsia="仿宋"/>
          <w:kern w:val="2"/>
          <w:sz w:val="28"/>
          <w:szCs w:val="28"/>
          <w:lang w:val="en-US"/>
        </w:rPr>
        <w:t>规定，及时按照转贷协议约定逐级向省财政缴纳本级应当承担的还本付息资金，由省财政按照合同约定及时偿还专项债券到期本息。如偿债出现困难，将通过调减投资计划、处重可变现资产、调整预算支出结构等方式筹集资金偿还债务。未按时足额向省财政缴纳专项债券还本付息资金的，省财政采取适当方式扣回。</w:t>
      </w:r>
    </w:p>
    <w:p>
      <w:pPr>
        <w:pStyle w:val="2"/>
        <w:numPr>
          <w:ilvl w:val="0"/>
          <w:numId w:val="0"/>
        </w:numPr>
        <w:spacing w:beforeLines="50" w:after="156" w:line="576" w:lineRule="exact"/>
        <w:ind w:firstLine="640" w:firstLineChars="200"/>
        <w:rPr>
          <w:rFonts w:ascii="Times New Roman" w:hAnsi="Times New Roman"/>
          <w:lang w:val="en-US"/>
        </w:rPr>
      </w:pPr>
      <w:r>
        <w:rPr>
          <w:rFonts w:hint="eastAsia" w:ascii="Times New Roman" w:hAnsi="Times New Roman"/>
          <w:lang w:val="en-US"/>
        </w:rPr>
        <w:t>八、主管部门和项目单位职责</w:t>
      </w:r>
    </w:p>
    <w:p>
      <w:pPr>
        <w:pStyle w:val="5"/>
        <w:spacing w:before="0" w:after="0" w:line="576" w:lineRule="exact"/>
        <w:ind w:firstLine="560" w:firstLineChars="200"/>
        <w:rPr>
          <w:rFonts w:ascii="Times New Roman" w:hAnsi="Times New Roman" w:eastAsia="仿宋_GB2312"/>
          <w:sz w:val="28"/>
          <w:szCs w:val="32"/>
        </w:rPr>
      </w:pPr>
      <w:r>
        <w:rPr>
          <w:rFonts w:hint="eastAsia" w:ascii="Times New Roman" w:hAnsi="Times New Roman" w:eastAsia="仿宋_GB2312"/>
          <w:sz w:val="28"/>
          <w:szCs w:val="32"/>
        </w:rPr>
        <w:t>本项目</w:t>
      </w:r>
      <w:r>
        <w:rPr>
          <w:rFonts w:ascii="Times New Roman" w:hAnsi="Times New Roman" w:eastAsia="仿宋_GB2312"/>
          <w:sz w:val="28"/>
          <w:szCs w:val="32"/>
        </w:rPr>
        <w:t>主管部门为</w:t>
      </w:r>
      <w:r>
        <w:rPr>
          <w:rFonts w:hint="eastAsia" w:ascii="Times New Roman" w:hAnsi="Times New Roman" w:eastAsia="仿宋_GB2312"/>
          <w:sz w:val="28"/>
          <w:szCs w:val="32"/>
          <w:lang w:val="en-US"/>
        </w:rPr>
        <w:t>芦山县</w:t>
      </w:r>
      <w:r>
        <w:rPr>
          <w:rFonts w:hint="eastAsia" w:ascii="仿宋" w:hAnsi="仿宋" w:eastAsia="仿宋"/>
          <w:kern w:val="2"/>
          <w:sz w:val="28"/>
          <w:szCs w:val="28"/>
          <w:lang w:val="en-US"/>
        </w:rPr>
        <w:t>芦山县住房和城乡建设局</w:t>
      </w:r>
      <w:r>
        <w:rPr>
          <w:rFonts w:hint="eastAsia" w:ascii="仿宋" w:hAnsi="仿宋" w:eastAsia="仿宋"/>
          <w:kern w:val="2"/>
          <w:sz w:val="28"/>
          <w:szCs w:val="28"/>
          <w:lang w:val="en-US" w:eastAsia="zh-CN"/>
        </w:rPr>
        <w:t>，</w:t>
      </w:r>
      <w:r>
        <w:rPr>
          <w:rFonts w:hint="eastAsia" w:ascii="Times New Roman" w:hAnsi="Times New Roman" w:eastAsia="仿宋_GB2312"/>
          <w:sz w:val="28"/>
          <w:szCs w:val="32"/>
          <w:lang w:val="en-US" w:eastAsia="zh-CN"/>
        </w:rPr>
        <w:t>对本项目建设过程进行监督</w:t>
      </w:r>
      <w:r>
        <w:rPr>
          <w:rFonts w:hint="eastAsia" w:ascii="Times New Roman" w:hAnsi="Times New Roman" w:eastAsia="仿宋_GB2312"/>
          <w:sz w:val="28"/>
          <w:szCs w:val="32"/>
          <w:lang w:val="en-GB"/>
        </w:rPr>
        <w:t>。</w:t>
      </w:r>
      <w:r>
        <w:rPr>
          <w:rFonts w:hint="eastAsia" w:ascii="Times New Roman" w:hAnsi="Times New Roman" w:eastAsia="仿宋_GB2312"/>
          <w:sz w:val="28"/>
          <w:szCs w:val="32"/>
          <w:lang w:val="en-US"/>
        </w:rPr>
        <w:t>业主单位为芦山县汉嘉实业有限公司，</w:t>
      </w:r>
      <w:r>
        <w:rPr>
          <w:rFonts w:hint="eastAsia" w:ascii="Times New Roman" w:hAnsi="Times New Roman" w:eastAsia="仿宋_GB2312"/>
          <w:sz w:val="28"/>
          <w:szCs w:val="32"/>
        </w:rPr>
        <w:t>项目</w:t>
      </w:r>
      <w:r>
        <w:rPr>
          <w:rFonts w:hint="eastAsia" w:ascii="Times New Roman" w:hAnsi="Times New Roman" w:eastAsia="仿宋_GB2312"/>
          <w:sz w:val="28"/>
          <w:szCs w:val="32"/>
          <w:lang w:val="en-US"/>
        </w:rPr>
        <w:t>为</w:t>
      </w:r>
      <w:r>
        <w:rPr>
          <w:rFonts w:hint="eastAsia" w:ascii="仿宋" w:hAnsi="仿宋" w:eastAsia="仿宋"/>
          <w:kern w:val="2"/>
          <w:sz w:val="28"/>
          <w:szCs w:val="28"/>
          <w:lang w:val="en-US"/>
        </w:rPr>
        <w:t>芦山县（城中村）棚户区改造项目</w:t>
      </w:r>
      <w:r>
        <w:rPr>
          <w:rFonts w:hint="eastAsia" w:ascii="仿宋" w:hAnsi="仿宋" w:eastAsia="仿宋"/>
          <w:kern w:val="2"/>
          <w:sz w:val="28"/>
          <w:szCs w:val="28"/>
          <w:lang w:val="en-US" w:eastAsia="zh-CN"/>
        </w:rPr>
        <w:t>。</w:t>
      </w:r>
      <w:r>
        <w:rPr>
          <w:rFonts w:hint="eastAsia" w:ascii="仿宋" w:hAnsi="仿宋" w:eastAsia="仿宋"/>
          <w:kern w:val="2"/>
          <w:sz w:val="28"/>
          <w:szCs w:val="28"/>
          <w:lang w:val="en-US"/>
        </w:rPr>
        <w:t>芦山县汉嘉实业有限公司</w:t>
      </w:r>
      <w:r>
        <w:rPr>
          <w:rFonts w:hint="eastAsia" w:ascii="Times New Roman" w:hAnsi="Times New Roman" w:eastAsia="仿宋_GB2312"/>
          <w:sz w:val="28"/>
          <w:szCs w:val="32"/>
        </w:rPr>
        <w:t>将按照县政府重点项目建设相关工作部署，按照该项目已编制实施方案中的建设计划，协助</w:t>
      </w:r>
      <w:r>
        <w:rPr>
          <w:rFonts w:ascii="Times New Roman" w:hAnsi="Times New Roman" w:eastAsia="仿宋_GB2312"/>
          <w:sz w:val="28"/>
          <w:szCs w:val="32"/>
        </w:rPr>
        <w:t>实施机构</w:t>
      </w:r>
      <w:r>
        <w:rPr>
          <w:rFonts w:hint="eastAsia" w:ascii="Times New Roman" w:hAnsi="Times New Roman" w:eastAsia="仿宋_GB2312"/>
          <w:sz w:val="28"/>
          <w:szCs w:val="32"/>
        </w:rPr>
        <w:t>筹集财政资金和专项债券资金，按照专项债券管理要求并根据该项目实施进度，结合实际建立项目跟踪和资金审批机制，认真审核项目资金需求，配合县财政做好该项目专项债券发行各项准备工作，全力支持和推进项目实施，确保专项债券到期后，项目收入或收益全部覆盖已发行债券本息。主管部门对信息披露材料的真实性、完整性、准确性负责。主管部门将会配合做好项目专项债券发行准备工作，认真审核该项目资金需求，及时准确提供相关资料，配合做好信息披露、信用评级等工作。项目运行过程中，主管部门将主动披露项目施工期间的施工进度、专项债券资金使用情况、项目运营期间的收支情况等信息。在债券资金管理方面，行业主管部门将会履行项目建设运营管理责任，加强成本控制，确保项目形成的专项收入应收尽收,并按照规定及时足额上交。债券对应资产管理方面，主管部门将会协同财政部门将各类项目收益专项债券对应项目形成的资产纳入国有资产管理，建立相应的资产登记和统计报告制度,加强资产日常统计和动态监控。</w:t>
      </w:r>
    </w:p>
    <w:p>
      <w:pPr>
        <w:spacing w:line="576" w:lineRule="exact"/>
        <w:ind w:firstLine="640" w:firstLineChars="200"/>
        <w:rPr>
          <w:rFonts w:eastAsia="黑体"/>
          <w:sz w:val="32"/>
          <w:szCs w:val="32"/>
        </w:rPr>
      </w:pPr>
      <w:r>
        <w:rPr>
          <w:rFonts w:hint="eastAsia" w:eastAsia="黑体"/>
          <w:sz w:val="32"/>
          <w:szCs w:val="32"/>
        </w:rPr>
        <w:t>九、补充说明</w:t>
      </w:r>
    </w:p>
    <w:p>
      <w:pPr>
        <w:pStyle w:val="5"/>
        <w:spacing w:before="0" w:after="0" w:line="576" w:lineRule="exact"/>
        <w:rPr>
          <w:rFonts w:ascii="Times New Roman" w:hAnsi="Times New Roman" w:eastAsia="仿宋_GB2312"/>
          <w:sz w:val="28"/>
          <w:szCs w:val="32"/>
        </w:rPr>
      </w:pPr>
      <w:r>
        <w:rPr>
          <w:rFonts w:hint="eastAsia" w:ascii="Times New Roman" w:hAnsi="Times New Roman" w:eastAsia="仿宋_GB2312"/>
          <w:sz w:val="28"/>
          <w:szCs w:val="32"/>
          <w:lang w:val="en-US" w:eastAsia="zh-CN"/>
        </w:rPr>
        <w:t>此</w:t>
      </w:r>
      <w:bookmarkStart w:id="80" w:name="_GoBack"/>
      <w:bookmarkEnd w:id="80"/>
      <w:r>
        <w:rPr>
          <w:rFonts w:hint="eastAsia" w:ascii="Times New Roman" w:hAnsi="Times New Roman" w:eastAsia="仿宋_GB2312"/>
          <w:sz w:val="28"/>
          <w:szCs w:val="32"/>
          <w:lang w:eastAsia="zh-CN"/>
        </w:rPr>
        <w:t>项目债券总需求</w:t>
      </w:r>
      <w:r>
        <w:rPr>
          <w:rFonts w:hint="eastAsia" w:ascii="Times New Roman" w:hAnsi="Times New Roman" w:eastAsia="仿宋_GB2312"/>
          <w:sz w:val="28"/>
          <w:szCs w:val="32"/>
          <w:lang w:val="en-US" w:eastAsia="zh-CN"/>
        </w:rPr>
        <w:t>18172万元，</w:t>
      </w:r>
      <w:r>
        <w:rPr>
          <w:rFonts w:hint="eastAsia" w:ascii="Times New Roman" w:hAnsi="Times New Roman" w:eastAsia="仿宋_GB2312"/>
          <w:sz w:val="28"/>
          <w:szCs w:val="32"/>
          <w:lang w:eastAsia="zh-CN"/>
        </w:rPr>
        <w:t>根据地方政府债务限额管理要求和项目实施进展情况，</w:t>
      </w:r>
      <w:r>
        <w:rPr>
          <w:rFonts w:hint="eastAsia" w:ascii="Times New Roman" w:hAnsi="Times New Roman" w:eastAsia="仿宋_GB2312"/>
          <w:sz w:val="28"/>
          <w:szCs w:val="32"/>
          <w:lang w:val="en-US" w:eastAsia="zh-CN"/>
        </w:rPr>
        <w:t>2018年-2021年已发行17960万元，本次拟发行212万元，</w:t>
      </w:r>
      <w:r>
        <w:rPr>
          <w:rFonts w:hint="eastAsia" w:ascii="Times New Roman" w:hAnsi="Times New Roman" w:eastAsia="仿宋_GB2312"/>
          <w:sz w:val="28"/>
          <w:szCs w:val="32"/>
        </w:rPr>
        <w:t>期限15年，该项目实施内容及收益来源未发生变动，在不超过项目债券总需求情况下，债券跨年发行对项目整体融资平衡不构成实质影响。</w:t>
      </w:r>
    </w:p>
    <w:p>
      <w:pPr>
        <w:pStyle w:val="5"/>
        <w:spacing w:before="0" w:after="0" w:line="576" w:lineRule="exact"/>
        <w:ind w:firstLine="0"/>
        <w:rPr>
          <w:rFonts w:ascii="仿宋" w:hAnsi="仿宋" w:eastAsia="仿宋"/>
          <w:kern w:val="2"/>
          <w:sz w:val="28"/>
          <w:szCs w:val="28"/>
          <w:lang w:val="en-US"/>
        </w:rPr>
      </w:pPr>
    </w:p>
    <w:sectPr>
      <w:footerReference r:id="rId3" w:type="default"/>
      <w:pgSz w:w="11906" w:h="16838"/>
      <w:pgMar w:top="1440" w:right="1800" w:bottom="2378"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mc:AlternateContent>
        <mc:Choice Requires="wps">
          <w:drawing>
            <wp:anchor distT="0" distB="0" distL="114300" distR="114300" simplePos="0" relativeHeight="251659264" behindDoc="0" locked="0" layoutInCell="1" allowOverlap="1">
              <wp:simplePos x="0" y="0"/>
              <wp:positionH relativeFrom="margin">
                <wp:posOffset>2667000</wp:posOffset>
              </wp:positionH>
              <wp:positionV relativeFrom="paragraph">
                <wp:posOffset>3810</wp:posOffset>
              </wp:positionV>
              <wp:extent cx="152400"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2400" cy="200025"/>
                      </a:xfrm>
                      <a:prstGeom prst="rect">
                        <a:avLst/>
                      </a:prstGeom>
                      <a:noFill/>
                      <a:ln w="6350">
                        <a:noFill/>
                      </a:ln>
                    </wps:spPr>
                    <wps:txbx>
                      <w:txbxContent>
                        <w:p>
                          <w:pPr>
                            <w:pStyle w:val="16"/>
                          </w:pPr>
                          <w:r>
                            <w:fldChar w:fldCharType="begin"/>
                          </w:r>
                          <w:r>
                            <w:instrText xml:space="preserve"> PAGE  \* MERGEFORMAT </w:instrText>
                          </w:r>
                          <w:r>
                            <w:fldChar w:fldCharType="separate"/>
                          </w:r>
                          <w:r>
                            <w:t>34</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10pt;margin-top:0.3pt;height:15.75pt;width:12pt;mso-position-horizontal-relative:margin;z-index:251659264;mso-width-relative:page;mso-height-relative:page;" filled="f" stroked="f" coordsize="21600,21600" o:gfxdata="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J4v6/0wAAAAcBAAAPAAAAAAAAAAEAIAAAACIAAABkcnMvZG93bnJldi54bWxQSwEC&#10;FAAUAAAACACHTuJAXUEZJMABAAB6AwAADgAAAAAAAAABACAAAAAiAQAAZHJzL2Uyb0RvYy54bWxQ&#10;SwUGAAAAAAYABgBZAQAAVAUAAAAA&#10;">
              <v:fill on="f" focussize="0,0"/>
              <v:stroke on="f" weight="0.5pt"/>
              <v:imagedata o:title=""/>
              <o:lock v:ext="edit" aspectratio="f"/>
              <v:textbox inset="0mm,0mm,0mm,0mm">
                <w:txbxContent>
                  <w:p>
                    <w:pPr>
                      <w:pStyle w:val="16"/>
                    </w:pPr>
                    <w:r>
                      <w:fldChar w:fldCharType="begin"/>
                    </w:r>
                    <w:r>
                      <w:instrText xml:space="preserve"> PAGE  \* MERGEFORMAT </w:instrText>
                    </w:r>
                    <w:r>
                      <w:fldChar w:fldCharType="separate"/>
                    </w:r>
                    <w:r>
                      <w:t>34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CE27D"/>
    <w:multiLevelType w:val="multilevel"/>
    <w:tmpl w:val="229CE27D"/>
    <w:lvl w:ilvl="0" w:tentative="0">
      <w:start w:val="1"/>
      <w:numFmt w:val="chineseCounting"/>
      <w:pStyle w:val="2"/>
      <w:suff w:val="nothing"/>
      <w:lvlText w:val="%1、"/>
      <w:lvlJc w:val="left"/>
      <w:rPr>
        <w:rFonts w:hint="eastAsia" w:cs="Times New Roman"/>
      </w:rPr>
    </w:lvl>
    <w:lvl w:ilvl="1" w:tentative="0">
      <w:start w:val="1"/>
      <w:numFmt w:val="chineseCounting"/>
      <w:pStyle w:val="3"/>
      <w:suff w:val="nothing"/>
      <w:lvlText w:val="（%2）"/>
      <w:lvlJc w:val="left"/>
      <w:rPr>
        <w:rFonts w:hint="eastAsia" w:cs="Times New Roman"/>
      </w:rPr>
    </w:lvl>
    <w:lvl w:ilvl="2" w:tentative="0">
      <w:start w:val="1"/>
      <w:numFmt w:val="decimal"/>
      <w:pStyle w:val="4"/>
      <w:suff w:val="nothing"/>
      <w:lvlText w:val="%3."/>
      <w:lvlJc w:val="left"/>
      <w:pPr>
        <w:tabs>
          <w:tab w:val="left" w:pos="476"/>
        </w:tabs>
        <w:ind w:firstLine="400"/>
      </w:pPr>
      <w:rPr>
        <w:rFonts w:ascii="华文楷体" w:hAnsi="华文楷体" w:eastAsia="仿宋_GB2312" w:cs="Times New Roman"/>
      </w:rPr>
    </w:lvl>
    <w:lvl w:ilvl="3" w:tentative="0">
      <w:start w:val="1"/>
      <w:numFmt w:val="decimal"/>
      <w:pStyle w:val="6"/>
      <w:suff w:val="nothing"/>
      <w:lvlText w:val="（%4）"/>
      <w:lvlJc w:val="left"/>
      <w:pPr>
        <w:ind w:firstLine="402"/>
      </w:pPr>
      <w:rPr>
        <w:rFonts w:hint="eastAsia" w:cs="Times New Roman"/>
      </w:rPr>
    </w:lvl>
    <w:lvl w:ilvl="4" w:tentative="0">
      <w:start w:val="1"/>
      <w:numFmt w:val="decimalEnclosedCircleChinese"/>
      <w:pStyle w:val="7"/>
      <w:suff w:val="nothing"/>
      <w:lvlText w:val="%5"/>
      <w:lvlJc w:val="left"/>
      <w:pPr>
        <w:ind w:firstLine="402"/>
      </w:pPr>
      <w:rPr>
        <w:rFonts w:hint="eastAsia" w:cs="Times New Roman"/>
      </w:rPr>
    </w:lvl>
    <w:lvl w:ilvl="5" w:tentative="0">
      <w:start w:val="1"/>
      <w:numFmt w:val="decimal"/>
      <w:pStyle w:val="8"/>
      <w:suff w:val="nothing"/>
      <w:lvlText w:val="%6）"/>
      <w:lvlJc w:val="left"/>
      <w:pPr>
        <w:ind w:firstLine="402"/>
      </w:pPr>
      <w:rPr>
        <w:rFonts w:hint="eastAsia" w:cs="Times New Roman"/>
      </w:rPr>
    </w:lvl>
    <w:lvl w:ilvl="6" w:tentative="0">
      <w:start w:val="1"/>
      <w:numFmt w:val="lowerLetter"/>
      <w:pStyle w:val="9"/>
      <w:suff w:val="nothing"/>
      <w:lvlText w:val="%7．"/>
      <w:lvlJc w:val="left"/>
      <w:pPr>
        <w:ind w:firstLine="402"/>
      </w:pPr>
      <w:rPr>
        <w:rFonts w:hint="eastAsia" w:cs="Times New Roman"/>
      </w:rPr>
    </w:lvl>
    <w:lvl w:ilvl="7" w:tentative="0">
      <w:start w:val="1"/>
      <w:numFmt w:val="lowerLetter"/>
      <w:pStyle w:val="10"/>
      <w:suff w:val="nothing"/>
      <w:lvlText w:val="%8）"/>
      <w:lvlJc w:val="left"/>
      <w:pPr>
        <w:ind w:firstLine="402"/>
      </w:pPr>
      <w:rPr>
        <w:rFonts w:hint="eastAsia" w:cs="Times New Roman"/>
      </w:rPr>
    </w:lvl>
    <w:lvl w:ilvl="8" w:tentative="0">
      <w:start w:val="1"/>
      <w:numFmt w:val="lowerRoman"/>
      <w:pStyle w:val="11"/>
      <w:suff w:val="nothing"/>
      <w:lvlText w:val="%9 "/>
      <w:lvlJc w:val="left"/>
      <w:pPr>
        <w:ind w:firstLine="402"/>
      </w:pPr>
      <w:rPr>
        <w:rFonts w:hint="eastAsia" w:cs="Times New Roman"/>
      </w:rPr>
    </w:lvl>
  </w:abstractNum>
  <w:abstractNum w:abstractNumId="1">
    <w:nsid w:val="7DFB597C"/>
    <w:multiLevelType w:val="multilevel"/>
    <w:tmpl w:val="7DFB597C"/>
    <w:lvl w:ilvl="0" w:tentative="0">
      <w:start w:val="1"/>
      <w:numFmt w:val="decimalEnclosedCircle"/>
      <w:lvlText w:val="%1"/>
      <w:lvlJc w:val="left"/>
      <w:pPr>
        <w:ind w:left="1200" w:hanging="36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CDD"/>
    <w:rsid w:val="00001B3B"/>
    <w:rsid w:val="000068D4"/>
    <w:rsid w:val="00010AAB"/>
    <w:rsid w:val="0001483E"/>
    <w:rsid w:val="00021FBA"/>
    <w:rsid w:val="00027EEA"/>
    <w:rsid w:val="000449A1"/>
    <w:rsid w:val="0004525F"/>
    <w:rsid w:val="00045813"/>
    <w:rsid w:val="000460E6"/>
    <w:rsid w:val="00052781"/>
    <w:rsid w:val="000561FE"/>
    <w:rsid w:val="000614DC"/>
    <w:rsid w:val="00063CEE"/>
    <w:rsid w:val="000737A4"/>
    <w:rsid w:val="00074CC2"/>
    <w:rsid w:val="00082972"/>
    <w:rsid w:val="00087B3C"/>
    <w:rsid w:val="00091B5E"/>
    <w:rsid w:val="00094D7D"/>
    <w:rsid w:val="000A5A0A"/>
    <w:rsid w:val="000B037A"/>
    <w:rsid w:val="000B06AA"/>
    <w:rsid w:val="000B1B7B"/>
    <w:rsid w:val="000B5247"/>
    <w:rsid w:val="000C040F"/>
    <w:rsid w:val="000C26C3"/>
    <w:rsid w:val="000C2BBE"/>
    <w:rsid w:val="000C3F85"/>
    <w:rsid w:val="000C6C0D"/>
    <w:rsid w:val="000C7197"/>
    <w:rsid w:val="000D38CA"/>
    <w:rsid w:val="000D3F2E"/>
    <w:rsid w:val="000D52D0"/>
    <w:rsid w:val="000E02CC"/>
    <w:rsid w:val="000E10FD"/>
    <w:rsid w:val="000E36CB"/>
    <w:rsid w:val="000E58EA"/>
    <w:rsid w:val="000E74A8"/>
    <w:rsid w:val="000F25B8"/>
    <w:rsid w:val="000F55C9"/>
    <w:rsid w:val="00101A7D"/>
    <w:rsid w:val="00103D06"/>
    <w:rsid w:val="00110050"/>
    <w:rsid w:val="00111D58"/>
    <w:rsid w:val="00123A61"/>
    <w:rsid w:val="00125051"/>
    <w:rsid w:val="0012648D"/>
    <w:rsid w:val="00131B1C"/>
    <w:rsid w:val="001321B6"/>
    <w:rsid w:val="00140CAF"/>
    <w:rsid w:val="00142953"/>
    <w:rsid w:val="001453AF"/>
    <w:rsid w:val="00155A7F"/>
    <w:rsid w:val="00157A1C"/>
    <w:rsid w:val="00157BAF"/>
    <w:rsid w:val="00157D60"/>
    <w:rsid w:val="00162F24"/>
    <w:rsid w:val="00164B46"/>
    <w:rsid w:val="00167D9B"/>
    <w:rsid w:val="00173548"/>
    <w:rsid w:val="001762B8"/>
    <w:rsid w:val="00186176"/>
    <w:rsid w:val="00196262"/>
    <w:rsid w:val="001A7F92"/>
    <w:rsid w:val="001B35BF"/>
    <w:rsid w:val="001B555F"/>
    <w:rsid w:val="001B5A9B"/>
    <w:rsid w:val="001B69FE"/>
    <w:rsid w:val="001C3C76"/>
    <w:rsid w:val="001C4226"/>
    <w:rsid w:val="001C49E3"/>
    <w:rsid w:val="001C6432"/>
    <w:rsid w:val="001D3B8F"/>
    <w:rsid w:val="001D6229"/>
    <w:rsid w:val="001D6446"/>
    <w:rsid w:val="001E129D"/>
    <w:rsid w:val="001E423A"/>
    <w:rsid w:val="001E5E93"/>
    <w:rsid w:val="001F088C"/>
    <w:rsid w:val="001F0A1F"/>
    <w:rsid w:val="001F71B1"/>
    <w:rsid w:val="001F793D"/>
    <w:rsid w:val="0020092A"/>
    <w:rsid w:val="002024C6"/>
    <w:rsid w:val="00203300"/>
    <w:rsid w:val="00213DFD"/>
    <w:rsid w:val="00223462"/>
    <w:rsid w:val="00223551"/>
    <w:rsid w:val="002238D2"/>
    <w:rsid w:val="00225DDD"/>
    <w:rsid w:val="0023025D"/>
    <w:rsid w:val="00232CB9"/>
    <w:rsid w:val="0023309B"/>
    <w:rsid w:val="00242AB4"/>
    <w:rsid w:val="002475B4"/>
    <w:rsid w:val="00255805"/>
    <w:rsid w:val="002566D6"/>
    <w:rsid w:val="00260989"/>
    <w:rsid w:val="002625D2"/>
    <w:rsid w:val="00273355"/>
    <w:rsid w:val="0027335F"/>
    <w:rsid w:val="002735EE"/>
    <w:rsid w:val="0027387B"/>
    <w:rsid w:val="00274E91"/>
    <w:rsid w:val="00275AB2"/>
    <w:rsid w:val="00275CD9"/>
    <w:rsid w:val="00277767"/>
    <w:rsid w:val="00277D48"/>
    <w:rsid w:val="0028016A"/>
    <w:rsid w:val="00284254"/>
    <w:rsid w:val="00295166"/>
    <w:rsid w:val="00295518"/>
    <w:rsid w:val="00296683"/>
    <w:rsid w:val="00296C57"/>
    <w:rsid w:val="002A2CB2"/>
    <w:rsid w:val="002A57C3"/>
    <w:rsid w:val="002A62DD"/>
    <w:rsid w:val="002A7CE4"/>
    <w:rsid w:val="002B192E"/>
    <w:rsid w:val="002B77B2"/>
    <w:rsid w:val="002C07B4"/>
    <w:rsid w:val="002C0D4B"/>
    <w:rsid w:val="002C1B7E"/>
    <w:rsid w:val="002C4B29"/>
    <w:rsid w:val="002C66B7"/>
    <w:rsid w:val="002C7E10"/>
    <w:rsid w:val="002D6985"/>
    <w:rsid w:val="002D6EF7"/>
    <w:rsid w:val="002E11B4"/>
    <w:rsid w:val="002E1567"/>
    <w:rsid w:val="002E17C2"/>
    <w:rsid w:val="002E32D1"/>
    <w:rsid w:val="002E4ECA"/>
    <w:rsid w:val="002E58F3"/>
    <w:rsid w:val="002F05D7"/>
    <w:rsid w:val="00303018"/>
    <w:rsid w:val="00304AFF"/>
    <w:rsid w:val="00306F1E"/>
    <w:rsid w:val="00310FB9"/>
    <w:rsid w:val="0031127C"/>
    <w:rsid w:val="00312EF9"/>
    <w:rsid w:val="003167AE"/>
    <w:rsid w:val="00323C3C"/>
    <w:rsid w:val="00324CF6"/>
    <w:rsid w:val="003319FA"/>
    <w:rsid w:val="0033212D"/>
    <w:rsid w:val="00334375"/>
    <w:rsid w:val="00343559"/>
    <w:rsid w:val="00357410"/>
    <w:rsid w:val="003601AF"/>
    <w:rsid w:val="00362589"/>
    <w:rsid w:val="00364813"/>
    <w:rsid w:val="00371075"/>
    <w:rsid w:val="00372867"/>
    <w:rsid w:val="003733D5"/>
    <w:rsid w:val="003747DF"/>
    <w:rsid w:val="003771A6"/>
    <w:rsid w:val="003817C2"/>
    <w:rsid w:val="00383BC1"/>
    <w:rsid w:val="003846C6"/>
    <w:rsid w:val="0038630A"/>
    <w:rsid w:val="00391A9C"/>
    <w:rsid w:val="00394A27"/>
    <w:rsid w:val="00396901"/>
    <w:rsid w:val="003971CC"/>
    <w:rsid w:val="003A2D97"/>
    <w:rsid w:val="003A50CC"/>
    <w:rsid w:val="003B4254"/>
    <w:rsid w:val="003C06D2"/>
    <w:rsid w:val="003C3958"/>
    <w:rsid w:val="003C5D67"/>
    <w:rsid w:val="003D0884"/>
    <w:rsid w:val="003D0DB7"/>
    <w:rsid w:val="003D5896"/>
    <w:rsid w:val="003D7006"/>
    <w:rsid w:val="003E1678"/>
    <w:rsid w:val="003E4082"/>
    <w:rsid w:val="003E52A6"/>
    <w:rsid w:val="003F00D1"/>
    <w:rsid w:val="003F3215"/>
    <w:rsid w:val="003F7AD0"/>
    <w:rsid w:val="00406921"/>
    <w:rsid w:val="00406F81"/>
    <w:rsid w:val="00410EE4"/>
    <w:rsid w:val="00416887"/>
    <w:rsid w:val="00417302"/>
    <w:rsid w:val="00421E88"/>
    <w:rsid w:val="00425677"/>
    <w:rsid w:val="00427951"/>
    <w:rsid w:val="00430FDC"/>
    <w:rsid w:val="00433B3B"/>
    <w:rsid w:val="00436342"/>
    <w:rsid w:val="00440190"/>
    <w:rsid w:val="004504B4"/>
    <w:rsid w:val="00466110"/>
    <w:rsid w:val="00466757"/>
    <w:rsid w:val="00466A81"/>
    <w:rsid w:val="00481F2D"/>
    <w:rsid w:val="0048375C"/>
    <w:rsid w:val="004854E7"/>
    <w:rsid w:val="00490495"/>
    <w:rsid w:val="004949F4"/>
    <w:rsid w:val="004A4D24"/>
    <w:rsid w:val="004B187F"/>
    <w:rsid w:val="004B1A8D"/>
    <w:rsid w:val="004B2716"/>
    <w:rsid w:val="004B3F47"/>
    <w:rsid w:val="004B5FE6"/>
    <w:rsid w:val="004C41E3"/>
    <w:rsid w:val="004C7174"/>
    <w:rsid w:val="004D069E"/>
    <w:rsid w:val="004D2A83"/>
    <w:rsid w:val="004D55DF"/>
    <w:rsid w:val="004D5855"/>
    <w:rsid w:val="004D58A6"/>
    <w:rsid w:val="004D61AE"/>
    <w:rsid w:val="004F26B2"/>
    <w:rsid w:val="004F50C7"/>
    <w:rsid w:val="00500A52"/>
    <w:rsid w:val="005018E6"/>
    <w:rsid w:val="00502108"/>
    <w:rsid w:val="00505F0F"/>
    <w:rsid w:val="00507667"/>
    <w:rsid w:val="00507BEC"/>
    <w:rsid w:val="005126AD"/>
    <w:rsid w:val="00520336"/>
    <w:rsid w:val="0052777D"/>
    <w:rsid w:val="00534424"/>
    <w:rsid w:val="00534DD5"/>
    <w:rsid w:val="005359D1"/>
    <w:rsid w:val="0054023B"/>
    <w:rsid w:val="00542B8C"/>
    <w:rsid w:val="00545D3A"/>
    <w:rsid w:val="0055104E"/>
    <w:rsid w:val="005534D9"/>
    <w:rsid w:val="0056189B"/>
    <w:rsid w:val="00561DA5"/>
    <w:rsid w:val="00562099"/>
    <w:rsid w:val="0056471F"/>
    <w:rsid w:val="005674CD"/>
    <w:rsid w:val="005730F0"/>
    <w:rsid w:val="005932EA"/>
    <w:rsid w:val="005979B3"/>
    <w:rsid w:val="005A7099"/>
    <w:rsid w:val="005A729B"/>
    <w:rsid w:val="005B1F05"/>
    <w:rsid w:val="005B3500"/>
    <w:rsid w:val="005D14EF"/>
    <w:rsid w:val="005D15DE"/>
    <w:rsid w:val="005D4DD8"/>
    <w:rsid w:val="005D5470"/>
    <w:rsid w:val="005E1239"/>
    <w:rsid w:val="005E331D"/>
    <w:rsid w:val="005E3ADF"/>
    <w:rsid w:val="005E48B3"/>
    <w:rsid w:val="005E56FF"/>
    <w:rsid w:val="005F0D90"/>
    <w:rsid w:val="005F24AE"/>
    <w:rsid w:val="005F5945"/>
    <w:rsid w:val="005F5C8A"/>
    <w:rsid w:val="005F684E"/>
    <w:rsid w:val="006066AE"/>
    <w:rsid w:val="00610492"/>
    <w:rsid w:val="00611997"/>
    <w:rsid w:val="00612B52"/>
    <w:rsid w:val="006137EC"/>
    <w:rsid w:val="00613929"/>
    <w:rsid w:val="0061668A"/>
    <w:rsid w:val="006178CE"/>
    <w:rsid w:val="00620BE8"/>
    <w:rsid w:val="00620FD4"/>
    <w:rsid w:val="00621C14"/>
    <w:rsid w:val="006300A6"/>
    <w:rsid w:val="006371C0"/>
    <w:rsid w:val="006436DB"/>
    <w:rsid w:val="006441D1"/>
    <w:rsid w:val="00645448"/>
    <w:rsid w:val="00651784"/>
    <w:rsid w:val="00654D02"/>
    <w:rsid w:val="00660D15"/>
    <w:rsid w:val="0066403F"/>
    <w:rsid w:val="00671439"/>
    <w:rsid w:val="00675668"/>
    <w:rsid w:val="00680A5F"/>
    <w:rsid w:val="0068365E"/>
    <w:rsid w:val="00686F8E"/>
    <w:rsid w:val="00691AEF"/>
    <w:rsid w:val="006932B1"/>
    <w:rsid w:val="006932CB"/>
    <w:rsid w:val="006A446F"/>
    <w:rsid w:val="006B143B"/>
    <w:rsid w:val="006B3735"/>
    <w:rsid w:val="006B38BD"/>
    <w:rsid w:val="006B7289"/>
    <w:rsid w:val="006C109E"/>
    <w:rsid w:val="006C286E"/>
    <w:rsid w:val="006C521D"/>
    <w:rsid w:val="006D38AA"/>
    <w:rsid w:val="006D4416"/>
    <w:rsid w:val="006D4667"/>
    <w:rsid w:val="006E33E4"/>
    <w:rsid w:val="006E34CB"/>
    <w:rsid w:val="006F0D46"/>
    <w:rsid w:val="006F4256"/>
    <w:rsid w:val="00702B91"/>
    <w:rsid w:val="00702CDD"/>
    <w:rsid w:val="0071797F"/>
    <w:rsid w:val="00721C9F"/>
    <w:rsid w:val="00723450"/>
    <w:rsid w:val="007235B4"/>
    <w:rsid w:val="00725C15"/>
    <w:rsid w:val="00730602"/>
    <w:rsid w:val="00733F44"/>
    <w:rsid w:val="00734BF1"/>
    <w:rsid w:val="007367DF"/>
    <w:rsid w:val="007437ED"/>
    <w:rsid w:val="00750123"/>
    <w:rsid w:val="00750AC2"/>
    <w:rsid w:val="00757999"/>
    <w:rsid w:val="007619C3"/>
    <w:rsid w:val="00761E12"/>
    <w:rsid w:val="00764192"/>
    <w:rsid w:val="00766A3F"/>
    <w:rsid w:val="0076730D"/>
    <w:rsid w:val="0077331C"/>
    <w:rsid w:val="00775768"/>
    <w:rsid w:val="00776039"/>
    <w:rsid w:val="00777118"/>
    <w:rsid w:val="0078224D"/>
    <w:rsid w:val="00783DD6"/>
    <w:rsid w:val="007873D3"/>
    <w:rsid w:val="00790FF2"/>
    <w:rsid w:val="007912A1"/>
    <w:rsid w:val="007959F1"/>
    <w:rsid w:val="00796139"/>
    <w:rsid w:val="00797AC0"/>
    <w:rsid w:val="007A525C"/>
    <w:rsid w:val="007B0708"/>
    <w:rsid w:val="007B2782"/>
    <w:rsid w:val="007C12C7"/>
    <w:rsid w:val="007C39B8"/>
    <w:rsid w:val="007D3DCB"/>
    <w:rsid w:val="007D4B40"/>
    <w:rsid w:val="007D5952"/>
    <w:rsid w:val="007E4CC5"/>
    <w:rsid w:val="007E4D1B"/>
    <w:rsid w:val="007E58BF"/>
    <w:rsid w:val="007F3169"/>
    <w:rsid w:val="007F4C17"/>
    <w:rsid w:val="007F7F50"/>
    <w:rsid w:val="0080026D"/>
    <w:rsid w:val="008045CF"/>
    <w:rsid w:val="00805D06"/>
    <w:rsid w:val="00805F39"/>
    <w:rsid w:val="00812468"/>
    <w:rsid w:val="00812D2D"/>
    <w:rsid w:val="00815A0C"/>
    <w:rsid w:val="0081796D"/>
    <w:rsid w:val="008248AC"/>
    <w:rsid w:val="00825A53"/>
    <w:rsid w:val="008260B8"/>
    <w:rsid w:val="00826F09"/>
    <w:rsid w:val="00840DD5"/>
    <w:rsid w:val="00842CD2"/>
    <w:rsid w:val="0085086A"/>
    <w:rsid w:val="00850D4C"/>
    <w:rsid w:val="008548E0"/>
    <w:rsid w:val="00855724"/>
    <w:rsid w:val="008608A1"/>
    <w:rsid w:val="0086272D"/>
    <w:rsid w:val="008636A3"/>
    <w:rsid w:val="008711A5"/>
    <w:rsid w:val="00886BF1"/>
    <w:rsid w:val="008873DC"/>
    <w:rsid w:val="008901E4"/>
    <w:rsid w:val="008928E1"/>
    <w:rsid w:val="00895FF3"/>
    <w:rsid w:val="008964D2"/>
    <w:rsid w:val="008A0429"/>
    <w:rsid w:val="008A0B94"/>
    <w:rsid w:val="008A2911"/>
    <w:rsid w:val="008A5A7B"/>
    <w:rsid w:val="008A68E3"/>
    <w:rsid w:val="008B512B"/>
    <w:rsid w:val="008B623C"/>
    <w:rsid w:val="008B6E69"/>
    <w:rsid w:val="008C2F44"/>
    <w:rsid w:val="008D34AE"/>
    <w:rsid w:val="008D4198"/>
    <w:rsid w:val="008D420A"/>
    <w:rsid w:val="008D66A1"/>
    <w:rsid w:val="008E636F"/>
    <w:rsid w:val="008E6B9C"/>
    <w:rsid w:val="008F0381"/>
    <w:rsid w:val="008F129E"/>
    <w:rsid w:val="008F661F"/>
    <w:rsid w:val="00902094"/>
    <w:rsid w:val="00911349"/>
    <w:rsid w:val="00913468"/>
    <w:rsid w:val="00914185"/>
    <w:rsid w:val="00914E68"/>
    <w:rsid w:val="00914FBA"/>
    <w:rsid w:val="009221F4"/>
    <w:rsid w:val="00922FFC"/>
    <w:rsid w:val="00932DBC"/>
    <w:rsid w:val="009407ED"/>
    <w:rsid w:val="00940D75"/>
    <w:rsid w:val="00945112"/>
    <w:rsid w:val="00953D86"/>
    <w:rsid w:val="00954FCF"/>
    <w:rsid w:val="00956374"/>
    <w:rsid w:val="009565AC"/>
    <w:rsid w:val="009569BA"/>
    <w:rsid w:val="0096471F"/>
    <w:rsid w:val="0096579E"/>
    <w:rsid w:val="00970F0B"/>
    <w:rsid w:val="00971712"/>
    <w:rsid w:val="00973D98"/>
    <w:rsid w:val="009765B4"/>
    <w:rsid w:val="00997105"/>
    <w:rsid w:val="009A0119"/>
    <w:rsid w:val="009A6A3A"/>
    <w:rsid w:val="009B0E82"/>
    <w:rsid w:val="009B3631"/>
    <w:rsid w:val="009B40C1"/>
    <w:rsid w:val="009B4824"/>
    <w:rsid w:val="009B4D03"/>
    <w:rsid w:val="009C3E08"/>
    <w:rsid w:val="009C5BE6"/>
    <w:rsid w:val="009C7D5F"/>
    <w:rsid w:val="009D1DB7"/>
    <w:rsid w:val="009E2AA9"/>
    <w:rsid w:val="009E6BA5"/>
    <w:rsid w:val="00A007F0"/>
    <w:rsid w:val="00A03C09"/>
    <w:rsid w:val="00A07226"/>
    <w:rsid w:val="00A12363"/>
    <w:rsid w:val="00A13C74"/>
    <w:rsid w:val="00A1492F"/>
    <w:rsid w:val="00A1734D"/>
    <w:rsid w:val="00A208C3"/>
    <w:rsid w:val="00A245C5"/>
    <w:rsid w:val="00A27671"/>
    <w:rsid w:val="00A33335"/>
    <w:rsid w:val="00A408AC"/>
    <w:rsid w:val="00A417F3"/>
    <w:rsid w:val="00A46B26"/>
    <w:rsid w:val="00A47391"/>
    <w:rsid w:val="00A479DA"/>
    <w:rsid w:val="00A53583"/>
    <w:rsid w:val="00A56FD7"/>
    <w:rsid w:val="00A571E1"/>
    <w:rsid w:val="00A62A85"/>
    <w:rsid w:val="00A66DA1"/>
    <w:rsid w:val="00A73F9E"/>
    <w:rsid w:val="00A80A9B"/>
    <w:rsid w:val="00A80B90"/>
    <w:rsid w:val="00A81291"/>
    <w:rsid w:val="00A82585"/>
    <w:rsid w:val="00A83AD2"/>
    <w:rsid w:val="00A8476F"/>
    <w:rsid w:val="00A91BE8"/>
    <w:rsid w:val="00A94440"/>
    <w:rsid w:val="00A948A7"/>
    <w:rsid w:val="00A9602B"/>
    <w:rsid w:val="00AA12E9"/>
    <w:rsid w:val="00AB09A8"/>
    <w:rsid w:val="00AB2535"/>
    <w:rsid w:val="00AC067D"/>
    <w:rsid w:val="00AC0A4D"/>
    <w:rsid w:val="00AC6756"/>
    <w:rsid w:val="00AC7245"/>
    <w:rsid w:val="00AD54D6"/>
    <w:rsid w:val="00AE4FF6"/>
    <w:rsid w:val="00AE635A"/>
    <w:rsid w:val="00AF06CF"/>
    <w:rsid w:val="00AF15D1"/>
    <w:rsid w:val="00AF44CF"/>
    <w:rsid w:val="00B06CD7"/>
    <w:rsid w:val="00B106F8"/>
    <w:rsid w:val="00B12627"/>
    <w:rsid w:val="00B14E19"/>
    <w:rsid w:val="00B1712A"/>
    <w:rsid w:val="00B2059B"/>
    <w:rsid w:val="00B24CDE"/>
    <w:rsid w:val="00B26AC1"/>
    <w:rsid w:val="00B275BD"/>
    <w:rsid w:val="00B27B7F"/>
    <w:rsid w:val="00B36B18"/>
    <w:rsid w:val="00B41AA9"/>
    <w:rsid w:val="00B42768"/>
    <w:rsid w:val="00B4520C"/>
    <w:rsid w:val="00B4683E"/>
    <w:rsid w:val="00B51254"/>
    <w:rsid w:val="00B52BE6"/>
    <w:rsid w:val="00B5502C"/>
    <w:rsid w:val="00B66729"/>
    <w:rsid w:val="00B7570C"/>
    <w:rsid w:val="00B75DA2"/>
    <w:rsid w:val="00B76E06"/>
    <w:rsid w:val="00B803CC"/>
    <w:rsid w:val="00B848B2"/>
    <w:rsid w:val="00B94F48"/>
    <w:rsid w:val="00B96DC6"/>
    <w:rsid w:val="00BA4770"/>
    <w:rsid w:val="00BA554E"/>
    <w:rsid w:val="00BA5B85"/>
    <w:rsid w:val="00BB68F6"/>
    <w:rsid w:val="00BC4AA0"/>
    <w:rsid w:val="00BC6231"/>
    <w:rsid w:val="00BD3CC8"/>
    <w:rsid w:val="00BD4CC8"/>
    <w:rsid w:val="00BD65A6"/>
    <w:rsid w:val="00BD7216"/>
    <w:rsid w:val="00BE4F3E"/>
    <w:rsid w:val="00BE52D0"/>
    <w:rsid w:val="00BF24D5"/>
    <w:rsid w:val="00C011CB"/>
    <w:rsid w:val="00C07358"/>
    <w:rsid w:val="00C078EF"/>
    <w:rsid w:val="00C130B5"/>
    <w:rsid w:val="00C16513"/>
    <w:rsid w:val="00C168EF"/>
    <w:rsid w:val="00C16F51"/>
    <w:rsid w:val="00C22B83"/>
    <w:rsid w:val="00C23BDF"/>
    <w:rsid w:val="00C37382"/>
    <w:rsid w:val="00C44C4C"/>
    <w:rsid w:val="00C46E20"/>
    <w:rsid w:val="00C47800"/>
    <w:rsid w:val="00C47F95"/>
    <w:rsid w:val="00C53F6F"/>
    <w:rsid w:val="00C53FBA"/>
    <w:rsid w:val="00C55439"/>
    <w:rsid w:val="00C5682A"/>
    <w:rsid w:val="00C57E3B"/>
    <w:rsid w:val="00C63862"/>
    <w:rsid w:val="00C66F1D"/>
    <w:rsid w:val="00C7316B"/>
    <w:rsid w:val="00C779EA"/>
    <w:rsid w:val="00C81B78"/>
    <w:rsid w:val="00C82F8B"/>
    <w:rsid w:val="00C83154"/>
    <w:rsid w:val="00C85247"/>
    <w:rsid w:val="00C8562F"/>
    <w:rsid w:val="00C90BB1"/>
    <w:rsid w:val="00C97011"/>
    <w:rsid w:val="00CA49BA"/>
    <w:rsid w:val="00CB284B"/>
    <w:rsid w:val="00CB2D9E"/>
    <w:rsid w:val="00CB58CE"/>
    <w:rsid w:val="00CB5B69"/>
    <w:rsid w:val="00CB65CF"/>
    <w:rsid w:val="00CB6E63"/>
    <w:rsid w:val="00CB7AAB"/>
    <w:rsid w:val="00CC2FF1"/>
    <w:rsid w:val="00CC5B1A"/>
    <w:rsid w:val="00CC66BB"/>
    <w:rsid w:val="00CD374A"/>
    <w:rsid w:val="00CD57D7"/>
    <w:rsid w:val="00CD7940"/>
    <w:rsid w:val="00CE0E71"/>
    <w:rsid w:val="00CE0FF3"/>
    <w:rsid w:val="00CE53EB"/>
    <w:rsid w:val="00CE5F8B"/>
    <w:rsid w:val="00CF1EBF"/>
    <w:rsid w:val="00CF3920"/>
    <w:rsid w:val="00CF4FBA"/>
    <w:rsid w:val="00CF5052"/>
    <w:rsid w:val="00CF5F3C"/>
    <w:rsid w:val="00CF64B5"/>
    <w:rsid w:val="00D10BD1"/>
    <w:rsid w:val="00D145FF"/>
    <w:rsid w:val="00D15DBA"/>
    <w:rsid w:val="00D179C7"/>
    <w:rsid w:val="00D2591A"/>
    <w:rsid w:val="00D2611A"/>
    <w:rsid w:val="00D26AF3"/>
    <w:rsid w:val="00D31D63"/>
    <w:rsid w:val="00D31E90"/>
    <w:rsid w:val="00D329B7"/>
    <w:rsid w:val="00D350B3"/>
    <w:rsid w:val="00D358F4"/>
    <w:rsid w:val="00D40DA9"/>
    <w:rsid w:val="00D41460"/>
    <w:rsid w:val="00D50CE4"/>
    <w:rsid w:val="00D575D1"/>
    <w:rsid w:val="00D73EB9"/>
    <w:rsid w:val="00D77B7F"/>
    <w:rsid w:val="00D813DD"/>
    <w:rsid w:val="00D902FD"/>
    <w:rsid w:val="00D9261B"/>
    <w:rsid w:val="00D92DB9"/>
    <w:rsid w:val="00DA0D4E"/>
    <w:rsid w:val="00DA0F44"/>
    <w:rsid w:val="00DA1BF8"/>
    <w:rsid w:val="00DA54D6"/>
    <w:rsid w:val="00DB1234"/>
    <w:rsid w:val="00DB15A4"/>
    <w:rsid w:val="00DB3FE8"/>
    <w:rsid w:val="00DB6862"/>
    <w:rsid w:val="00DC3019"/>
    <w:rsid w:val="00DC657D"/>
    <w:rsid w:val="00DD211F"/>
    <w:rsid w:val="00DD6E31"/>
    <w:rsid w:val="00DD782A"/>
    <w:rsid w:val="00DE4C33"/>
    <w:rsid w:val="00DE6913"/>
    <w:rsid w:val="00DF0499"/>
    <w:rsid w:val="00DF1186"/>
    <w:rsid w:val="00DF48BF"/>
    <w:rsid w:val="00E00C91"/>
    <w:rsid w:val="00E0101C"/>
    <w:rsid w:val="00E052FE"/>
    <w:rsid w:val="00E0675B"/>
    <w:rsid w:val="00E10DA9"/>
    <w:rsid w:val="00E1171C"/>
    <w:rsid w:val="00E133AC"/>
    <w:rsid w:val="00E252B0"/>
    <w:rsid w:val="00E277C5"/>
    <w:rsid w:val="00E32FE7"/>
    <w:rsid w:val="00E33529"/>
    <w:rsid w:val="00E34EE1"/>
    <w:rsid w:val="00E3571D"/>
    <w:rsid w:val="00E363F4"/>
    <w:rsid w:val="00E41E9C"/>
    <w:rsid w:val="00E44B53"/>
    <w:rsid w:val="00E45F86"/>
    <w:rsid w:val="00E47277"/>
    <w:rsid w:val="00E5423A"/>
    <w:rsid w:val="00E5645B"/>
    <w:rsid w:val="00E603E9"/>
    <w:rsid w:val="00E701DC"/>
    <w:rsid w:val="00E73983"/>
    <w:rsid w:val="00E74B6E"/>
    <w:rsid w:val="00E77EF2"/>
    <w:rsid w:val="00E80EC7"/>
    <w:rsid w:val="00E81BB3"/>
    <w:rsid w:val="00E85C62"/>
    <w:rsid w:val="00E92509"/>
    <w:rsid w:val="00E960E9"/>
    <w:rsid w:val="00E97B2A"/>
    <w:rsid w:val="00E97E38"/>
    <w:rsid w:val="00EA00BD"/>
    <w:rsid w:val="00EA0888"/>
    <w:rsid w:val="00EA19BF"/>
    <w:rsid w:val="00EA1CFB"/>
    <w:rsid w:val="00EA2010"/>
    <w:rsid w:val="00EB26B3"/>
    <w:rsid w:val="00EB2AC7"/>
    <w:rsid w:val="00EB659E"/>
    <w:rsid w:val="00EB732E"/>
    <w:rsid w:val="00EC1F98"/>
    <w:rsid w:val="00EC26C2"/>
    <w:rsid w:val="00EC583A"/>
    <w:rsid w:val="00EC6B27"/>
    <w:rsid w:val="00EC7ABF"/>
    <w:rsid w:val="00ED1151"/>
    <w:rsid w:val="00ED29A0"/>
    <w:rsid w:val="00ED6758"/>
    <w:rsid w:val="00EE0607"/>
    <w:rsid w:val="00EE281B"/>
    <w:rsid w:val="00EE4434"/>
    <w:rsid w:val="00EE4F0E"/>
    <w:rsid w:val="00EF0DB6"/>
    <w:rsid w:val="00EF1E1D"/>
    <w:rsid w:val="00EF37D2"/>
    <w:rsid w:val="00F00A74"/>
    <w:rsid w:val="00F05755"/>
    <w:rsid w:val="00F123CD"/>
    <w:rsid w:val="00F1266D"/>
    <w:rsid w:val="00F23F26"/>
    <w:rsid w:val="00F26305"/>
    <w:rsid w:val="00F32647"/>
    <w:rsid w:val="00F337A1"/>
    <w:rsid w:val="00F3551C"/>
    <w:rsid w:val="00F36DC3"/>
    <w:rsid w:val="00F402CE"/>
    <w:rsid w:val="00F42C16"/>
    <w:rsid w:val="00F51888"/>
    <w:rsid w:val="00F57119"/>
    <w:rsid w:val="00F662CB"/>
    <w:rsid w:val="00F66764"/>
    <w:rsid w:val="00F679B9"/>
    <w:rsid w:val="00F67DF1"/>
    <w:rsid w:val="00F70735"/>
    <w:rsid w:val="00F745D5"/>
    <w:rsid w:val="00F77120"/>
    <w:rsid w:val="00F7731A"/>
    <w:rsid w:val="00F86844"/>
    <w:rsid w:val="00F90EEC"/>
    <w:rsid w:val="00F9157B"/>
    <w:rsid w:val="00F9390A"/>
    <w:rsid w:val="00F95948"/>
    <w:rsid w:val="00FA02C9"/>
    <w:rsid w:val="00FA0A1C"/>
    <w:rsid w:val="00FA0A57"/>
    <w:rsid w:val="00FA1224"/>
    <w:rsid w:val="00FA3365"/>
    <w:rsid w:val="00FA3D1B"/>
    <w:rsid w:val="00FA755D"/>
    <w:rsid w:val="00FA7A7D"/>
    <w:rsid w:val="00FB155C"/>
    <w:rsid w:val="00FB7EEB"/>
    <w:rsid w:val="00FC5097"/>
    <w:rsid w:val="00FC52C8"/>
    <w:rsid w:val="00FC5F74"/>
    <w:rsid w:val="00FD2BDB"/>
    <w:rsid w:val="00FD3A25"/>
    <w:rsid w:val="00FD6A23"/>
    <w:rsid w:val="00FE3F6B"/>
    <w:rsid w:val="00FE552C"/>
    <w:rsid w:val="00FF4AFA"/>
    <w:rsid w:val="00FF6025"/>
    <w:rsid w:val="00FF63ED"/>
    <w:rsid w:val="03541F96"/>
    <w:rsid w:val="03D10BA3"/>
    <w:rsid w:val="05174EBF"/>
    <w:rsid w:val="0ABF14E1"/>
    <w:rsid w:val="0BFC5B7D"/>
    <w:rsid w:val="0D9214FB"/>
    <w:rsid w:val="0E5511D2"/>
    <w:rsid w:val="0FBD1089"/>
    <w:rsid w:val="105820E6"/>
    <w:rsid w:val="11C905D3"/>
    <w:rsid w:val="12664BC6"/>
    <w:rsid w:val="137776F8"/>
    <w:rsid w:val="172738AA"/>
    <w:rsid w:val="18060AC5"/>
    <w:rsid w:val="19407B90"/>
    <w:rsid w:val="1B0A0943"/>
    <w:rsid w:val="1B5556F2"/>
    <w:rsid w:val="1BAF7838"/>
    <w:rsid w:val="1EAF5957"/>
    <w:rsid w:val="1F8B105B"/>
    <w:rsid w:val="21C75CC6"/>
    <w:rsid w:val="21DA04F2"/>
    <w:rsid w:val="24234D38"/>
    <w:rsid w:val="291B19F9"/>
    <w:rsid w:val="2A810DEE"/>
    <w:rsid w:val="2A9749AC"/>
    <w:rsid w:val="2AF746B2"/>
    <w:rsid w:val="2C061C93"/>
    <w:rsid w:val="2C257C6E"/>
    <w:rsid w:val="2D482338"/>
    <w:rsid w:val="2D897084"/>
    <w:rsid w:val="3007162C"/>
    <w:rsid w:val="31B92677"/>
    <w:rsid w:val="31D600CD"/>
    <w:rsid w:val="32715509"/>
    <w:rsid w:val="32DE6086"/>
    <w:rsid w:val="33972A38"/>
    <w:rsid w:val="342F5499"/>
    <w:rsid w:val="34B97D66"/>
    <w:rsid w:val="351364EC"/>
    <w:rsid w:val="399E0B28"/>
    <w:rsid w:val="3AF332D1"/>
    <w:rsid w:val="3B640C68"/>
    <w:rsid w:val="43372AA8"/>
    <w:rsid w:val="435B657D"/>
    <w:rsid w:val="45356267"/>
    <w:rsid w:val="46C7589A"/>
    <w:rsid w:val="46FF479E"/>
    <w:rsid w:val="471E616D"/>
    <w:rsid w:val="4B4C532B"/>
    <w:rsid w:val="4B84460E"/>
    <w:rsid w:val="4E1B31D8"/>
    <w:rsid w:val="4F4D4AC6"/>
    <w:rsid w:val="51255B7C"/>
    <w:rsid w:val="515A0F40"/>
    <w:rsid w:val="52F22770"/>
    <w:rsid w:val="557C5B4D"/>
    <w:rsid w:val="59006DD8"/>
    <w:rsid w:val="5A9B055B"/>
    <w:rsid w:val="5BEE10A6"/>
    <w:rsid w:val="5C165E55"/>
    <w:rsid w:val="5CCD48F2"/>
    <w:rsid w:val="5CEB019A"/>
    <w:rsid w:val="5D587477"/>
    <w:rsid w:val="5DDF56A5"/>
    <w:rsid w:val="5E0D2AEF"/>
    <w:rsid w:val="60727729"/>
    <w:rsid w:val="60AC2A44"/>
    <w:rsid w:val="612C30C4"/>
    <w:rsid w:val="626E0796"/>
    <w:rsid w:val="636866CF"/>
    <w:rsid w:val="66DD1333"/>
    <w:rsid w:val="673B26CE"/>
    <w:rsid w:val="68567CE7"/>
    <w:rsid w:val="6C5C28E3"/>
    <w:rsid w:val="6CCE66A6"/>
    <w:rsid w:val="6DD92FF7"/>
    <w:rsid w:val="6F153920"/>
    <w:rsid w:val="6F7D6851"/>
    <w:rsid w:val="71C72781"/>
    <w:rsid w:val="749B0551"/>
    <w:rsid w:val="7544575A"/>
    <w:rsid w:val="765E0502"/>
    <w:rsid w:val="7A5E06D5"/>
    <w:rsid w:val="7AFA7861"/>
    <w:rsid w:val="7C90249A"/>
    <w:rsid w:val="7E5D5AA7"/>
    <w:rsid w:val="7F661B3C"/>
    <w:rsid w:val="7FAC264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Calibri"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99" w:name="Date"/>
    <w:lsdException w:qFormat="1" w:unhideWhenUsed="0"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5"/>
    <w:link w:val="32"/>
    <w:qFormat/>
    <w:uiPriority w:val="99"/>
    <w:pPr>
      <w:numPr>
        <w:ilvl w:val="0"/>
      </w:numPr>
      <w:tabs>
        <w:tab w:val="left" w:pos="476"/>
      </w:tabs>
      <w:outlineLvl w:val="0"/>
    </w:pPr>
    <w:rPr>
      <w:rFonts w:eastAsia="黑体"/>
      <w:b w:val="0"/>
    </w:rPr>
  </w:style>
  <w:style w:type="paragraph" w:styleId="3">
    <w:name w:val="heading 2"/>
    <w:basedOn w:val="4"/>
    <w:next w:val="5"/>
    <w:link w:val="33"/>
    <w:qFormat/>
    <w:uiPriority w:val="99"/>
    <w:pPr>
      <w:numPr>
        <w:ilvl w:val="1"/>
      </w:numPr>
      <w:tabs>
        <w:tab w:val="left" w:pos="476"/>
      </w:tabs>
      <w:spacing w:before="100" w:after="50" w:line="600" w:lineRule="exact"/>
      <w:ind w:firstLine="0"/>
      <w:outlineLvl w:val="1"/>
    </w:pPr>
    <w:rPr>
      <w:rFonts w:eastAsia="楷体"/>
    </w:rPr>
  </w:style>
  <w:style w:type="paragraph" w:styleId="4">
    <w:name w:val="heading 3"/>
    <w:basedOn w:val="5"/>
    <w:next w:val="5"/>
    <w:link w:val="34"/>
    <w:qFormat/>
    <w:uiPriority w:val="99"/>
    <w:pPr>
      <w:keepNext/>
      <w:keepLines/>
      <w:numPr>
        <w:ilvl w:val="2"/>
        <w:numId w:val="1"/>
      </w:numPr>
      <w:spacing w:beforeLines="100" w:afterLines="50" w:line="360" w:lineRule="auto"/>
      <w:jc w:val="left"/>
      <w:outlineLvl w:val="2"/>
    </w:pPr>
    <w:rPr>
      <w:rFonts w:eastAsia="仿宋_GB2312"/>
      <w:b/>
      <w:sz w:val="32"/>
    </w:rPr>
  </w:style>
  <w:style w:type="paragraph" w:styleId="6">
    <w:name w:val="heading 4"/>
    <w:basedOn w:val="5"/>
    <w:next w:val="5"/>
    <w:link w:val="35"/>
    <w:qFormat/>
    <w:uiPriority w:val="99"/>
    <w:pPr>
      <w:numPr>
        <w:ilvl w:val="3"/>
        <w:numId w:val="1"/>
      </w:numPr>
      <w:outlineLvl w:val="3"/>
    </w:pPr>
  </w:style>
  <w:style w:type="paragraph" w:styleId="7">
    <w:name w:val="heading 5"/>
    <w:basedOn w:val="1"/>
    <w:next w:val="1"/>
    <w:link w:val="36"/>
    <w:qFormat/>
    <w:uiPriority w:val="99"/>
    <w:pPr>
      <w:widowControl/>
      <w:numPr>
        <w:ilvl w:val="4"/>
        <w:numId w:val="1"/>
      </w:numPr>
      <w:adjustRightInd w:val="0"/>
      <w:snapToGrid w:val="0"/>
      <w:spacing w:line="260" w:lineRule="atLeast"/>
      <w:jc w:val="left"/>
      <w:outlineLvl w:val="4"/>
    </w:pPr>
    <w:rPr>
      <w:rFonts w:ascii="华文楷体" w:hAnsi="华文楷体" w:eastAsia="LF_Kai"/>
      <w:kern w:val="0"/>
      <w:sz w:val="24"/>
      <w:szCs w:val="20"/>
      <w:lang w:val="en-GB" w:eastAsia="zh-HK"/>
    </w:rPr>
  </w:style>
  <w:style w:type="paragraph" w:styleId="8">
    <w:name w:val="heading 6"/>
    <w:basedOn w:val="1"/>
    <w:next w:val="1"/>
    <w:link w:val="37"/>
    <w:qFormat/>
    <w:uiPriority w:val="99"/>
    <w:pPr>
      <w:widowControl/>
      <w:numPr>
        <w:ilvl w:val="5"/>
        <w:numId w:val="1"/>
      </w:numPr>
      <w:adjustRightInd w:val="0"/>
      <w:snapToGrid w:val="0"/>
      <w:spacing w:line="260" w:lineRule="atLeast"/>
      <w:jc w:val="left"/>
      <w:outlineLvl w:val="5"/>
    </w:pPr>
    <w:rPr>
      <w:rFonts w:ascii="华文楷体" w:hAnsi="华文楷体" w:eastAsia="LF_Kai"/>
      <w:kern w:val="0"/>
      <w:sz w:val="24"/>
      <w:szCs w:val="20"/>
      <w:lang w:val="en-GB" w:eastAsia="zh-HK"/>
    </w:rPr>
  </w:style>
  <w:style w:type="paragraph" w:styleId="9">
    <w:name w:val="heading 7"/>
    <w:basedOn w:val="1"/>
    <w:next w:val="1"/>
    <w:link w:val="38"/>
    <w:qFormat/>
    <w:uiPriority w:val="99"/>
    <w:pPr>
      <w:widowControl/>
      <w:numPr>
        <w:ilvl w:val="6"/>
        <w:numId w:val="1"/>
      </w:numPr>
      <w:adjustRightInd w:val="0"/>
      <w:snapToGrid w:val="0"/>
      <w:spacing w:line="260" w:lineRule="atLeast"/>
      <w:jc w:val="left"/>
      <w:outlineLvl w:val="6"/>
    </w:pPr>
    <w:rPr>
      <w:rFonts w:ascii="华文楷体" w:hAnsi="华文楷体" w:eastAsia="LF_Kai"/>
      <w:kern w:val="0"/>
      <w:sz w:val="24"/>
      <w:szCs w:val="20"/>
      <w:lang w:val="en-GB" w:eastAsia="zh-HK"/>
    </w:rPr>
  </w:style>
  <w:style w:type="paragraph" w:styleId="10">
    <w:name w:val="heading 8"/>
    <w:basedOn w:val="1"/>
    <w:next w:val="1"/>
    <w:link w:val="39"/>
    <w:qFormat/>
    <w:uiPriority w:val="99"/>
    <w:pPr>
      <w:widowControl/>
      <w:numPr>
        <w:ilvl w:val="7"/>
        <w:numId w:val="1"/>
      </w:numPr>
      <w:adjustRightInd w:val="0"/>
      <w:snapToGrid w:val="0"/>
      <w:spacing w:line="260" w:lineRule="atLeast"/>
      <w:jc w:val="left"/>
      <w:outlineLvl w:val="7"/>
    </w:pPr>
    <w:rPr>
      <w:rFonts w:ascii="华文楷体" w:hAnsi="华文楷体" w:eastAsia="LF_Kai"/>
      <w:kern w:val="0"/>
      <w:sz w:val="24"/>
      <w:szCs w:val="20"/>
      <w:lang w:val="en-GB" w:eastAsia="zh-HK"/>
    </w:rPr>
  </w:style>
  <w:style w:type="paragraph" w:styleId="11">
    <w:name w:val="heading 9"/>
    <w:basedOn w:val="1"/>
    <w:next w:val="1"/>
    <w:link w:val="40"/>
    <w:qFormat/>
    <w:uiPriority w:val="99"/>
    <w:pPr>
      <w:widowControl/>
      <w:numPr>
        <w:ilvl w:val="8"/>
        <w:numId w:val="1"/>
      </w:numPr>
      <w:adjustRightInd w:val="0"/>
      <w:snapToGrid w:val="0"/>
      <w:spacing w:line="260" w:lineRule="atLeast"/>
      <w:jc w:val="left"/>
      <w:outlineLvl w:val="8"/>
    </w:pPr>
    <w:rPr>
      <w:rFonts w:ascii="华文楷体" w:hAnsi="华文楷体" w:eastAsia="LF_Kai"/>
      <w:kern w:val="0"/>
      <w:sz w:val="24"/>
      <w:szCs w:val="20"/>
      <w:lang w:val="en-GB" w:eastAsia="zh-HK"/>
    </w:r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5">
    <w:name w:val="Body Text"/>
    <w:basedOn w:val="1"/>
    <w:link w:val="41"/>
    <w:qFormat/>
    <w:uiPriority w:val="99"/>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12">
    <w:name w:val="annotation text"/>
    <w:basedOn w:val="1"/>
    <w:link w:val="42"/>
    <w:semiHidden/>
    <w:qFormat/>
    <w:uiPriority w:val="99"/>
    <w:pPr>
      <w:jc w:val="left"/>
    </w:pPr>
  </w:style>
  <w:style w:type="paragraph" w:styleId="13">
    <w:name w:val="toc 3"/>
    <w:basedOn w:val="1"/>
    <w:next w:val="1"/>
    <w:qFormat/>
    <w:uiPriority w:val="99"/>
    <w:pPr>
      <w:tabs>
        <w:tab w:val="right" w:leader="dot" w:pos="8296"/>
      </w:tabs>
      <w:adjustRightInd w:val="0"/>
      <w:snapToGrid w:val="0"/>
      <w:ind w:left="360"/>
      <w:jc w:val="left"/>
    </w:pPr>
    <w:rPr>
      <w:rFonts w:ascii="Calibri" w:hAnsi="Calibri" w:eastAsia="仿宋_GB2312" w:cs="Calibri"/>
      <w:i/>
      <w:iCs/>
      <w:sz w:val="20"/>
      <w:szCs w:val="20"/>
    </w:rPr>
  </w:style>
  <w:style w:type="paragraph" w:styleId="14">
    <w:name w:val="Date"/>
    <w:basedOn w:val="1"/>
    <w:next w:val="1"/>
    <w:link w:val="43"/>
    <w:semiHidden/>
    <w:qFormat/>
    <w:uiPriority w:val="99"/>
    <w:pPr>
      <w:ind w:left="100" w:leftChars="2500"/>
    </w:pPr>
  </w:style>
  <w:style w:type="paragraph" w:styleId="15">
    <w:name w:val="Balloon Text"/>
    <w:basedOn w:val="1"/>
    <w:link w:val="44"/>
    <w:semiHidden/>
    <w:qFormat/>
    <w:uiPriority w:val="99"/>
    <w:rPr>
      <w:sz w:val="18"/>
      <w:szCs w:val="18"/>
    </w:rPr>
  </w:style>
  <w:style w:type="paragraph" w:styleId="16">
    <w:name w:val="footer"/>
    <w:basedOn w:val="1"/>
    <w:link w:val="45"/>
    <w:qFormat/>
    <w:uiPriority w:val="99"/>
    <w:pPr>
      <w:tabs>
        <w:tab w:val="center" w:pos="4153"/>
        <w:tab w:val="right" w:pos="8306"/>
      </w:tabs>
      <w:snapToGrid w:val="0"/>
      <w:jc w:val="left"/>
    </w:pPr>
    <w:rPr>
      <w:sz w:val="18"/>
      <w:szCs w:val="18"/>
    </w:rPr>
  </w:style>
  <w:style w:type="paragraph" w:styleId="17">
    <w:name w:val="header"/>
    <w:basedOn w:val="1"/>
    <w:link w:val="46"/>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99"/>
    <w:pPr>
      <w:tabs>
        <w:tab w:val="left" w:pos="540"/>
        <w:tab w:val="right" w:leader="dot" w:pos="8296"/>
      </w:tabs>
      <w:adjustRightInd w:val="0"/>
      <w:snapToGrid w:val="0"/>
      <w:spacing w:before="120" w:after="120"/>
      <w:jc w:val="left"/>
    </w:pPr>
    <w:rPr>
      <w:rFonts w:ascii="Calibri" w:hAnsi="Calibri" w:eastAsia="仿宋_GB2312" w:cs="Calibri"/>
      <w:b/>
      <w:bCs/>
      <w:caps/>
      <w:sz w:val="28"/>
      <w:szCs w:val="28"/>
    </w:rPr>
  </w:style>
  <w:style w:type="paragraph" w:styleId="19">
    <w:name w:val="Subtitle"/>
    <w:basedOn w:val="1"/>
    <w:next w:val="1"/>
    <w:link w:val="47"/>
    <w:qFormat/>
    <w:uiPriority w:val="99"/>
    <w:pPr>
      <w:adjustRightInd w:val="0"/>
      <w:snapToGrid w:val="0"/>
      <w:spacing w:before="240" w:after="60" w:line="312" w:lineRule="auto"/>
      <w:jc w:val="center"/>
    </w:pPr>
    <w:rPr>
      <w:rFonts w:ascii="Cambria" w:hAnsi="Cambria" w:eastAsia="黑体"/>
      <w:b/>
      <w:bCs/>
      <w:kern w:val="28"/>
      <w:sz w:val="24"/>
      <w:szCs w:val="32"/>
    </w:rPr>
  </w:style>
  <w:style w:type="paragraph" w:styleId="20">
    <w:name w:val="toc 2"/>
    <w:basedOn w:val="1"/>
    <w:next w:val="1"/>
    <w:qFormat/>
    <w:uiPriority w:val="99"/>
    <w:pPr>
      <w:tabs>
        <w:tab w:val="left" w:pos="1080"/>
        <w:tab w:val="right" w:leader="dot" w:pos="8296"/>
      </w:tabs>
      <w:adjustRightInd w:val="0"/>
      <w:snapToGrid w:val="0"/>
      <w:ind w:left="180"/>
      <w:jc w:val="left"/>
    </w:pPr>
    <w:rPr>
      <w:rFonts w:ascii="Calibri" w:hAnsi="Calibri" w:eastAsia="仿宋_GB2312" w:cs="Arial"/>
      <w:b/>
      <w:smallCaps/>
      <w:sz w:val="20"/>
      <w:szCs w:val="20"/>
    </w:rPr>
  </w:style>
  <w:style w:type="paragraph" w:styleId="21">
    <w:name w:val="Body Text 2"/>
    <w:basedOn w:val="1"/>
    <w:link w:val="48"/>
    <w:qFormat/>
    <w:uiPriority w:val="99"/>
    <w:pPr>
      <w:spacing w:after="120" w:line="480" w:lineRule="auto"/>
    </w:p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next w:val="1"/>
    <w:link w:val="49"/>
    <w:qFormat/>
    <w:uiPriority w:val="99"/>
    <w:pPr>
      <w:spacing w:before="240" w:after="60"/>
      <w:jc w:val="center"/>
      <w:outlineLvl w:val="0"/>
    </w:pPr>
    <w:rPr>
      <w:rFonts w:ascii="Cambria" w:hAnsi="Cambria"/>
      <w:b/>
      <w:bCs/>
      <w:sz w:val="32"/>
      <w:szCs w:val="32"/>
    </w:rPr>
  </w:style>
  <w:style w:type="paragraph" w:styleId="24">
    <w:name w:val="annotation subject"/>
    <w:basedOn w:val="12"/>
    <w:next w:val="12"/>
    <w:link w:val="56"/>
    <w:semiHidden/>
    <w:qFormat/>
    <w:uiPriority w:val="99"/>
    <w:rPr>
      <w:b/>
      <w:bCs/>
    </w:rPr>
  </w:style>
  <w:style w:type="paragraph" w:styleId="25">
    <w:name w:val="Body Text First Indent"/>
    <w:basedOn w:val="5"/>
    <w:link w:val="50"/>
    <w:semiHidden/>
    <w:qFormat/>
    <w:uiPriority w:val="99"/>
    <w:pPr>
      <w:widowControl w:val="0"/>
      <w:adjustRightInd/>
      <w:snapToGrid/>
      <w:spacing w:before="0" w:after="120" w:line="240" w:lineRule="auto"/>
      <w:ind w:firstLine="420" w:firstLineChars="100"/>
    </w:pPr>
    <w:rPr>
      <w:rFonts w:ascii="Times New Roman" w:hAnsi="Times New Roman" w:eastAsia="宋体"/>
      <w:kern w:val="2"/>
      <w:sz w:val="21"/>
      <w:szCs w:val="24"/>
      <w:lang w:val="en-US"/>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99"/>
    <w:rPr>
      <w:rFonts w:cs="Times New Roman"/>
      <w:b/>
      <w:bCs/>
    </w:rPr>
  </w:style>
  <w:style w:type="character" w:styleId="30">
    <w:name w:val="Hyperlink"/>
    <w:basedOn w:val="28"/>
    <w:qFormat/>
    <w:uiPriority w:val="99"/>
    <w:rPr>
      <w:rFonts w:cs="Times New Roman"/>
      <w:color w:val="0000FF"/>
      <w:u w:val="single"/>
    </w:rPr>
  </w:style>
  <w:style w:type="character" w:styleId="31">
    <w:name w:val="annotation reference"/>
    <w:basedOn w:val="28"/>
    <w:semiHidden/>
    <w:qFormat/>
    <w:uiPriority w:val="99"/>
    <w:rPr>
      <w:rFonts w:cs="Times New Roman"/>
      <w:sz w:val="21"/>
      <w:szCs w:val="21"/>
    </w:rPr>
  </w:style>
  <w:style w:type="character" w:customStyle="1" w:styleId="32">
    <w:name w:val="标题 1 Char"/>
    <w:basedOn w:val="28"/>
    <w:link w:val="2"/>
    <w:qFormat/>
    <w:locked/>
    <w:uiPriority w:val="99"/>
    <w:rPr>
      <w:rFonts w:ascii="华文楷体" w:hAnsi="华文楷体" w:eastAsia="黑体" w:cs="Times New Roman"/>
      <w:sz w:val="32"/>
      <w:lang w:val="en-GB"/>
    </w:rPr>
  </w:style>
  <w:style w:type="character" w:customStyle="1" w:styleId="33">
    <w:name w:val="标题 2 Char"/>
    <w:basedOn w:val="28"/>
    <w:link w:val="3"/>
    <w:qFormat/>
    <w:locked/>
    <w:uiPriority w:val="99"/>
    <w:rPr>
      <w:rFonts w:ascii="华文楷体" w:hAnsi="华文楷体" w:eastAsia="楷体" w:cs="Times New Roman"/>
      <w:b/>
      <w:sz w:val="32"/>
      <w:lang w:val="en-GB"/>
    </w:rPr>
  </w:style>
  <w:style w:type="character" w:customStyle="1" w:styleId="34">
    <w:name w:val="标题 3 Char"/>
    <w:basedOn w:val="28"/>
    <w:link w:val="4"/>
    <w:qFormat/>
    <w:locked/>
    <w:uiPriority w:val="99"/>
    <w:rPr>
      <w:rFonts w:ascii="华文楷体" w:hAnsi="华文楷体" w:eastAsia="仿宋_GB2312" w:cs="Times New Roman"/>
      <w:b/>
      <w:sz w:val="32"/>
      <w:lang w:val="en-GB"/>
    </w:rPr>
  </w:style>
  <w:style w:type="character" w:customStyle="1" w:styleId="35">
    <w:name w:val="标题 4 Char"/>
    <w:basedOn w:val="28"/>
    <w:link w:val="6"/>
    <w:qFormat/>
    <w:locked/>
    <w:uiPriority w:val="99"/>
    <w:rPr>
      <w:rFonts w:ascii="华文楷体" w:hAnsi="华文楷体" w:eastAsia="LF_Kai" w:cs="Times New Roman"/>
      <w:sz w:val="24"/>
      <w:lang w:val="en-GB"/>
    </w:rPr>
  </w:style>
  <w:style w:type="character" w:customStyle="1" w:styleId="36">
    <w:name w:val="标题 5 Char"/>
    <w:basedOn w:val="28"/>
    <w:link w:val="7"/>
    <w:qFormat/>
    <w:locked/>
    <w:uiPriority w:val="99"/>
    <w:rPr>
      <w:rFonts w:ascii="华文楷体" w:hAnsi="华文楷体" w:eastAsia="LF_Kai" w:cs="Times New Roman"/>
      <w:sz w:val="24"/>
      <w:lang w:val="en-GB" w:eastAsia="zh-HK"/>
    </w:rPr>
  </w:style>
  <w:style w:type="character" w:customStyle="1" w:styleId="37">
    <w:name w:val="标题 6 Char"/>
    <w:basedOn w:val="28"/>
    <w:link w:val="8"/>
    <w:qFormat/>
    <w:locked/>
    <w:uiPriority w:val="99"/>
    <w:rPr>
      <w:rFonts w:ascii="华文楷体" w:hAnsi="华文楷体" w:eastAsia="LF_Kai" w:cs="Times New Roman"/>
      <w:sz w:val="24"/>
      <w:lang w:val="en-GB" w:eastAsia="zh-HK"/>
    </w:rPr>
  </w:style>
  <w:style w:type="character" w:customStyle="1" w:styleId="38">
    <w:name w:val="标题 7 Char"/>
    <w:basedOn w:val="28"/>
    <w:link w:val="9"/>
    <w:qFormat/>
    <w:locked/>
    <w:uiPriority w:val="99"/>
    <w:rPr>
      <w:rFonts w:ascii="华文楷体" w:hAnsi="华文楷体" w:eastAsia="LF_Kai" w:cs="Times New Roman"/>
      <w:sz w:val="24"/>
      <w:lang w:val="en-GB" w:eastAsia="zh-HK"/>
    </w:rPr>
  </w:style>
  <w:style w:type="character" w:customStyle="1" w:styleId="39">
    <w:name w:val="标题 8 Char"/>
    <w:basedOn w:val="28"/>
    <w:link w:val="10"/>
    <w:qFormat/>
    <w:locked/>
    <w:uiPriority w:val="99"/>
    <w:rPr>
      <w:rFonts w:ascii="华文楷体" w:hAnsi="华文楷体" w:eastAsia="LF_Kai" w:cs="Times New Roman"/>
      <w:sz w:val="24"/>
      <w:lang w:val="en-GB" w:eastAsia="zh-HK"/>
    </w:rPr>
  </w:style>
  <w:style w:type="character" w:customStyle="1" w:styleId="40">
    <w:name w:val="标题 9 Char"/>
    <w:basedOn w:val="28"/>
    <w:link w:val="11"/>
    <w:qFormat/>
    <w:locked/>
    <w:uiPriority w:val="99"/>
    <w:rPr>
      <w:rFonts w:ascii="华文楷体" w:hAnsi="华文楷体" w:eastAsia="LF_Kai" w:cs="Times New Roman"/>
      <w:sz w:val="24"/>
      <w:lang w:val="en-GB" w:eastAsia="zh-HK"/>
    </w:rPr>
  </w:style>
  <w:style w:type="character" w:customStyle="1" w:styleId="41">
    <w:name w:val="正文文本 Char"/>
    <w:basedOn w:val="28"/>
    <w:link w:val="5"/>
    <w:qFormat/>
    <w:locked/>
    <w:uiPriority w:val="99"/>
    <w:rPr>
      <w:rFonts w:ascii="华文楷体" w:hAnsi="华文楷体" w:eastAsia="LF_Kai" w:cs="Times New Roman"/>
      <w:kern w:val="0"/>
      <w:sz w:val="20"/>
      <w:szCs w:val="20"/>
      <w:lang w:val="en-GB"/>
    </w:rPr>
  </w:style>
  <w:style w:type="character" w:customStyle="1" w:styleId="42">
    <w:name w:val="批注文字 Char"/>
    <w:basedOn w:val="28"/>
    <w:link w:val="12"/>
    <w:semiHidden/>
    <w:qFormat/>
    <w:locked/>
    <w:uiPriority w:val="99"/>
    <w:rPr>
      <w:rFonts w:cs="Times New Roman"/>
      <w:kern w:val="2"/>
      <w:sz w:val="24"/>
      <w:szCs w:val="24"/>
    </w:rPr>
  </w:style>
  <w:style w:type="character" w:customStyle="1" w:styleId="43">
    <w:name w:val="日期 Char"/>
    <w:basedOn w:val="28"/>
    <w:link w:val="14"/>
    <w:semiHidden/>
    <w:qFormat/>
    <w:locked/>
    <w:uiPriority w:val="99"/>
    <w:rPr>
      <w:rFonts w:ascii="Times New Roman" w:hAnsi="Times New Roman" w:eastAsia="宋体" w:cs="Times New Roman"/>
      <w:kern w:val="2"/>
      <w:sz w:val="24"/>
      <w:szCs w:val="24"/>
    </w:rPr>
  </w:style>
  <w:style w:type="character" w:customStyle="1" w:styleId="44">
    <w:name w:val="批注框文本 Char"/>
    <w:basedOn w:val="28"/>
    <w:link w:val="15"/>
    <w:semiHidden/>
    <w:qFormat/>
    <w:locked/>
    <w:uiPriority w:val="99"/>
    <w:rPr>
      <w:rFonts w:ascii="Times New Roman" w:hAnsi="Times New Roman" w:eastAsia="宋体" w:cs="Times New Roman"/>
      <w:kern w:val="2"/>
      <w:sz w:val="18"/>
      <w:szCs w:val="18"/>
    </w:rPr>
  </w:style>
  <w:style w:type="character" w:customStyle="1" w:styleId="45">
    <w:name w:val="页脚 Char"/>
    <w:basedOn w:val="28"/>
    <w:link w:val="16"/>
    <w:qFormat/>
    <w:locked/>
    <w:uiPriority w:val="99"/>
    <w:rPr>
      <w:rFonts w:cs="Times New Roman"/>
      <w:sz w:val="18"/>
      <w:szCs w:val="18"/>
    </w:rPr>
  </w:style>
  <w:style w:type="character" w:customStyle="1" w:styleId="46">
    <w:name w:val="页眉 Char"/>
    <w:basedOn w:val="28"/>
    <w:link w:val="17"/>
    <w:qFormat/>
    <w:locked/>
    <w:uiPriority w:val="99"/>
    <w:rPr>
      <w:rFonts w:cs="Times New Roman"/>
      <w:sz w:val="18"/>
      <w:szCs w:val="18"/>
    </w:rPr>
  </w:style>
  <w:style w:type="character" w:customStyle="1" w:styleId="47">
    <w:name w:val="副标题 Char"/>
    <w:basedOn w:val="28"/>
    <w:link w:val="19"/>
    <w:qFormat/>
    <w:locked/>
    <w:uiPriority w:val="99"/>
    <w:rPr>
      <w:rFonts w:ascii="Cambria" w:hAnsi="Cambria" w:eastAsia="黑体" w:cs="Times New Roman"/>
      <w:b/>
      <w:bCs/>
      <w:kern w:val="28"/>
      <w:sz w:val="32"/>
      <w:szCs w:val="32"/>
    </w:rPr>
  </w:style>
  <w:style w:type="character" w:customStyle="1" w:styleId="48">
    <w:name w:val="正文文本 2 Char"/>
    <w:basedOn w:val="28"/>
    <w:link w:val="21"/>
    <w:qFormat/>
    <w:locked/>
    <w:uiPriority w:val="99"/>
    <w:rPr>
      <w:rFonts w:cs="Times New Roman"/>
      <w:kern w:val="2"/>
      <w:sz w:val="24"/>
      <w:szCs w:val="24"/>
    </w:rPr>
  </w:style>
  <w:style w:type="character" w:customStyle="1" w:styleId="49">
    <w:name w:val="标题 Char"/>
    <w:basedOn w:val="28"/>
    <w:link w:val="23"/>
    <w:qFormat/>
    <w:locked/>
    <w:uiPriority w:val="99"/>
    <w:rPr>
      <w:rFonts w:ascii="Cambria" w:hAnsi="Cambria" w:eastAsia="宋体" w:cs="Times New Roman"/>
      <w:b/>
      <w:bCs/>
      <w:sz w:val="32"/>
      <w:szCs w:val="32"/>
    </w:rPr>
  </w:style>
  <w:style w:type="character" w:customStyle="1" w:styleId="50">
    <w:name w:val="正文首行缩进 Char"/>
    <w:basedOn w:val="41"/>
    <w:link w:val="25"/>
    <w:semiHidden/>
    <w:qFormat/>
    <w:locked/>
    <w:uiPriority w:val="99"/>
    <w:rPr>
      <w:rFonts w:ascii="Times New Roman" w:hAnsi="Times New Roman" w:eastAsia="宋体"/>
      <w:sz w:val="24"/>
      <w:szCs w:val="24"/>
    </w:rPr>
  </w:style>
  <w:style w:type="paragraph" w:styleId="51">
    <w:name w:val="List Paragraph"/>
    <w:basedOn w:val="1"/>
    <w:qFormat/>
    <w:uiPriority w:val="99"/>
    <w:pPr>
      <w:ind w:firstLine="420" w:firstLineChars="200"/>
    </w:pPr>
  </w:style>
  <w:style w:type="paragraph" w:customStyle="1" w:styleId="52">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3">
    <w:name w:val="WPSOffice手动目录 1"/>
    <w:qFormat/>
    <w:uiPriority w:val="99"/>
    <w:rPr>
      <w:rFonts w:ascii="Times New Roman" w:hAnsi="Times New Roman" w:eastAsia="宋体" w:cs="Times New Roman"/>
      <w:lang w:val="en-US" w:eastAsia="zh-CN" w:bidi="ar-SA"/>
    </w:rPr>
  </w:style>
  <w:style w:type="paragraph" w:customStyle="1" w:styleId="54">
    <w:name w:val="WPSOffice手动目录 2"/>
    <w:qFormat/>
    <w:uiPriority w:val="99"/>
    <w:pPr>
      <w:ind w:left="200" w:leftChars="200"/>
    </w:pPr>
    <w:rPr>
      <w:rFonts w:ascii="Times New Roman" w:hAnsi="Times New Roman" w:eastAsia="宋体" w:cs="Times New Roman"/>
      <w:lang w:val="en-US" w:eastAsia="zh-CN" w:bidi="ar-SA"/>
    </w:rPr>
  </w:style>
  <w:style w:type="paragraph" w:customStyle="1" w:styleId="55">
    <w:name w:val="TOC 标题1"/>
    <w:basedOn w:val="2"/>
    <w:next w:val="1"/>
    <w:qFormat/>
    <w:uiPriority w:val="99"/>
    <w:pPr>
      <w:numPr>
        <w:numId w:val="0"/>
      </w:numPr>
      <w:tabs>
        <w:tab w:val="clear" w:pos="476"/>
      </w:tabs>
      <w:adjustRightInd/>
      <w:snapToGrid/>
      <w:spacing w:beforeLines="0" w:afterLines="0" w:line="259" w:lineRule="auto"/>
      <w:outlineLvl w:val="9"/>
    </w:pPr>
    <w:rPr>
      <w:rFonts w:ascii="Cambria" w:hAnsi="Cambria" w:eastAsia="宋体"/>
      <w:color w:val="365F91"/>
      <w:szCs w:val="32"/>
      <w:lang w:val="en-US"/>
    </w:rPr>
  </w:style>
  <w:style w:type="character" w:customStyle="1" w:styleId="56">
    <w:name w:val="批注主题 Char"/>
    <w:basedOn w:val="42"/>
    <w:link w:val="24"/>
    <w:semiHidden/>
    <w:qFormat/>
    <w:locked/>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34</Pages>
  <Words>2832</Words>
  <Characters>16148</Characters>
  <Lines>134</Lines>
  <Paragraphs>37</Paragraphs>
  <TotalTime>9</TotalTime>
  <ScaleCrop>false</ScaleCrop>
  <LinksUpToDate>false</LinksUpToDate>
  <CharactersWithSpaces>18943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2021-05-25T09:05:00Z</dcterms:created>
  <dc:creator>Cole Ning</dc:creator>
  <cp:lastModifiedBy>lenovo</cp:lastModifiedBy>
  <cp:lastPrinted>2020-05-16T06:29:00Z</cp:lastPrinted>
  <dcterms:modified xsi:type="dcterms:W3CDTF">2022-02-10T09:05:44Z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61EADB0D2F0B43C18F42A51B12A926C9</vt:lpwstr>
  </property>
</Properties>
</file>