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方正小标宋简体" w:cs="Times New Roman"/>
          <w:sz w:val="28"/>
          <w:szCs w:val="28"/>
        </w:rPr>
      </w:pPr>
      <w:bookmarkStart w:id="0" w:name="_Hlk535245579"/>
      <w:bookmarkStart w:id="1" w:name="_Toc520712142"/>
      <w:bookmarkStart w:id="2" w:name="_Toc4153_WPSOffice_Level2"/>
      <w:bookmarkStart w:id="3" w:name="_Toc12530_WPSOffice_Level2"/>
      <w:bookmarkStart w:id="4" w:name="_Toc13312_WPSOffice_Level2"/>
      <w:bookmarkStart w:id="5" w:name="_Toc3868"/>
      <w:bookmarkStart w:id="6" w:name="_Toc29023_WPSOffice_Level2"/>
      <w:bookmarkStart w:id="7" w:name="_Toc16827_WPSOffice_Level2"/>
      <w:bookmarkStart w:id="8" w:name="_Toc23527"/>
      <w:r>
        <w:rPr>
          <w:rFonts w:ascii="Times New Roman" w:hAnsi="Times New Roman" w:eastAsia="方正小标宋简体" w:cs="Times New Roman"/>
          <w:sz w:val="28"/>
          <w:szCs w:val="28"/>
        </w:rPr>
        <w:t>附件1</w:t>
      </w:r>
    </w:p>
    <w:bookmarkEnd w:id="0"/>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汶川县七盘沟中小微绿色科技园及其配套基础设施建设项目</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imes New Roman" w:hAnsi="Times New Roman" w:eastAsia="方正小标宋简体" w:cs="Times New Roman"/>
          <w:sz w:val="44"/>
          <w:szCs w:val="44"/>
        </w:rPr>
      </w:pPr>
      <w:r>
        <w:rPr>
          <w:rFonts w:hint="eastAsia" w:ascii="Times New Roman" w:hAnsi="Times New Roman" w:eastAsia="方正小标宋简体" w:cs="Times New Roman"/>
          <w:sz w:val="44"/>
          <w:szCs w:val="44"/>
        </w:rPr>
        <w:t>项目</w:t>
      </w:r>
      <w:r>
        <w:rPr>
          <w:rFonts w:ascii="Times New Roman" w:hAnsi="Times New Roman" w:eastAsia="方正小标宋简体" w:cs="Times New Roman"/>
          <w:sz w:val="44"/>
          <w:szCs w:val="44"/>
        </w:rPr>
        <w:t>情况</w:t>
      </w:r>
    </w:p>
    <w:p>
      <w:pPr>
        <w:adjustRightInd w:val="0"/>
        <w:snapToGrid w:val="0"/>
        <w:spacing w:beforeLines="50" w:line="360" w:lineRule="auto"/>
        <w:ind w:firstLine="640" w:firstLineChars="200"/>
        <w:outlineLvl w:val="0"/>
        <w:rPr>
          <w:rFonts w:ascii="Times New Roman" w:hAnsi="Times New Roman" w:eastAsia="黑体" w:cs="Times New Roman"/>
          <w:sz w:val="32"/>
          <w:szCs w:val="32"/>
        </w:rPr>
      </w:pPr>
      <w:r>
        <w:rPr>
          <w:rFonts w:ascii="Times New Roman" w:hAnsi="Times New Roman" w:eastAsia="黑体" w:cs="Times New Roman"/>
          <w:sz w:val="32"/>
          <w:szCs w:val="32"/>
        </w:rPr>
        <w:t>一、项目基本情况</w:t>
      </w:r>
    </w:p>
    <w:bookmarkEnd w:id="1"/>
    <w:bookmarkEnd w:id="2"/>
    <w:bookmarkEnd w:id="3"/>
    <w:bookmarkEnd w:id="4"/>
    <w:bookmarkEnd w:id="5"/>
    <w:bookmarkEnd w:id="6"/>
    <w:bookmarkEnd w:id="7"/>
    <w:bookmarkEnd w:id="8"/>
    <w:p>
      <w:pPr>
        <w:pStyle w:val="4"/>
        <w:keepNext w:val="0"/>
        <w:keepLines w:val="0"/>
        <w:framePr w:wrap="auto" w:vAnchor="margin" w:hAnchor="text" w:yAlign="inline"/>
        <w:suppressAutoHyphens/>
        <w:adjustRightInd w:val="0"/>
        <w:snapToGrid w:val="0"/>
        <w:spacing w:before="0" w:after="0" w:line="300" w:lineRule="auto"/>
        <w:ind w:firstLine="562"/>
        <w:jc w:val="both"/>
        <w:rPr>
          <w:rFonts w:ascii="Times New Roman" w:hAnsi="Times New Roman" w:eastAsia="仿宋_GB2312" w:cs="Times New Roman"/>
          <w:bCs w:val="0"/>
          <w:sz w:val="28"/>
          <w:szCs w:val="28"/>
        </w:rPr>
      </w:pPr>
      <w:bookmarkStart w:id="9" w:name="_Toc13816"/>
      <w:bookmarkStart w:id="10" w:name="_Toc5718_WPSOffice_Level3"/>
      <w:bookmarkStart w:id="11" w:name="_Toc4153_WPSOffice_Level3"/>
      <w:bookmarkStart w:id="12" w:name="_Toc13312_WPSOffice_Level3"/>
      <w:bookmarkStart w:id="13" w:name="_Toc5919"/>
      <w:r>
        <w:rPr>
          <w:rFonts w:ascii="Times New Roman" w:hAnsi="Times New Roman" w:eastAsia="仿宋_GB2312" w:cs="Times New Roman"/>
          <w:bCs w:val="0"/>
          <w:sz w:val="28"/>
          <w:szCs w:val="28"/>
        </w:rPr>
        <w:t>（一）市县及行业专项规划概况</w:t>
      </w:r>
    </w:p>
    <w:bookmarkEnd w:id="9"/>
    <w:bookmarkEnd w:id="10"/>
    <w:bookmarkEnd w:id="11"/>
    <w:bookmarkEnd w:id="12"/>
    <w:bookmarkEnd w:id="13"/>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bookmarkStart w:id="14" w:name="_Toc10032"/>
      <w:bookmarkStart w:id="15" w:name="_Toc27950"/>
      <w:bookmarkStart w:id="16" w:name="_Toc5884"/>
      <w:bookmarkStart w:id="17" w:name="_Toc1421"/>
      <w:r>
        <w:rPr>
          <w:rFonts w:hint="eastAsia" w:ascii="Times New Roman" w:hAnsi="Times New Roman" w:eastAsia="仿宋_GB2312" w:cs="Times New Roman"/>
          <w:sz w:val="28"/>
          <w:szCs w:val="28"/>
        </w:rPr>
        <w:t>1、地区发展规划</w:t>
      </w:r>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阿坝藏族羌族自治州国民经济和社会发展第十三个五年规划纲要》中提出，秉持区域经济发展理念，协调各方利益，促进片区共识形成，在项目建设、产业发展、品牌塑造、市场营销等领域实现抱团发展。整合各方资源，强化规划先行，科学项目布点，有效调动片区积极性，促进行政区经济向区域经济发展。建立完善区域协同和联动机制，统筹区域发展规划，明确区域功能定位和生产力布局。支持建立成本共担和利益共享机制，加快推进跨区域基础设施互联互通，加强公共服务体系联网共享。促进产业协作配套，鼓励企业跨区域重组联合，支持产业合作园区建设。</w:t>
      </w:r>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有效对接国家产业政策和资金投向，立足产业发展基础需求，创新项目策划包装，拓宽项目争取渠道，加快景区道路、森林（草原）防火通道、新村致富路等项目申报力度，切实解决产业园区、示范基地等产业项目路、水、电投入不足问题。严格行业准入，淘汰落后产能及设备，从企业、行业和园区等不同层面加强企业节能降耗和循环化改造，推行清洁生产和绿色发展。综合运用电价、留存电量调剂分配、财政金融倾斜等手段，引导现有载能行业转型升级，促进工业硅、电解铝、铁合金等行业延伸产业链，促进电石、水泥、盐化工、电解锰等行业水、渣、气资源综合利用，实现企业间和企业内资源循环利用。结合资源禀赋，引导发展壮大新能源、新材料、生物医药、节能环保和循环经济产业，支持新能源汽车及零部件产业，拓宽信息技术运用，促进“飞地”产业融合，扶持一批战略性新兴产业，构建结构合理的战略性新兴产业发展格局。</w:t>
      </w:r>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汶川县生态经济发展规划》中提出，按照生态经济发展要求，通过强化空间布局引导，进一步明确了国土空间开发格局、区域发展总体布局以及生态农业、生态文化旅游业、绿色生态工业发展布局和生态保护空间格局。</w:t>
      </w:r>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国土空间格局按照主体功能区建设要求，将全县国土空间划分为生态保护、生态农业、绿色城镇三类空间，三类空间国土面积占比分别为98.06%、1.59%和0.35%。区域发展布局要形成以县城为中心、国道213线和漩三公路为纽带、北部、南部和西部三大特色发展片区为主体的“一心两带三区”发展格局。生态农业立足汶川农业农村发展情势，统筹考虑区域自然地理、气候、水土等条件，突出“南林北果+特色畜牧”发展特色，重点打造南部山地农林产业带、北部岷江河谷和山地特色水果和效益农业产业带。生态文化旅游业要按照全域康养旅游要求，加快构建威州、水磨为集散中心，藏羌文化走廊和熊猫家园生态走廊为支撑，北部、南部、西部片区特色化发展的“两中心、两走廊、三片区”的发展格局。绿色生态工业形成以漩口新型工业集中区、板子沟新材料工业集中区为核心，以国道213沿线的工业片区和工业点为支撑，以“成阿、德阿”工业园区为依托的“两片一线+飞地”的产业空间格局。生态安全格局重点按照全县自然生态情况和保护要求实施分区治理。</w:t>
      </w:r>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2、行业专项规划</w:t>
      </w:r>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（1）上级行业规划</w:t>
      </w:r>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四川构建“一干多支、五区协同”区域发展新格局。为着力解决四川区域协调发展不足等问题，四川省提出构建“一干多支、五区协同”的区域发展新格局。做强“主干”，支持成都加快建设全面体现新发展理念的国家中心城市。发展“多支”，打造各具特色的区域经济板块，推动环成都经济圈、川南经济区、川东北经济区、攀西经济区竞相发展，形成四川区域发展多个支点支撑的局面。大力促进“五区协同”发展，推动成都平原经济区、川南经济区、川东北经济区、攀西经济区、川西北生态示范区协同发展；推动成都与环成都经济圈协同发展；推动甘孜藏族自治州、阿坝藏族羌族自治州、凉山彝族自治州与内地协同发展；推动区域内各市(州)之间协同发展。阿坝州州委州政府出台《阿坝州进一步促进工业经济发展的十五条意见》，为推动工业发展奠定了基础。</w:t>
      </w:r>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党的十九大报告中提出，着力加快建设实体经济、科技创新、现代金融、人力资源协同发展的产业体系。《国务院关于进一步支持小型微型企业健康发展的意见》（国发〔2012〕14 号）中指出：小型微型企业在增加就业、促进经济增长、科技创新与社会和谐稳定等方面具有不可替代的作用，对国民经济和社会发展具有重要的战略意义。</w:t>
      </w:r>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（2）汶川县行业专项规划</w:t>
      </w:r>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本项目建设地点七盘沟村地处岷江河谷区域，境内有映汶高速和国道213线，交通优势较为突出，信息灵通。下辖七盘沟组、磨刀溪组、竹子岭组、小岭岗组、窝竹头组5个村民小组，全村427户，1234人。辖区地势相对开阔、山路平缓，有丰富的水力资源、旅游资源、矿产资源。</w:t>
      </w:r>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汶川县加快推进“百亿绿色工业园区”建设，完善漩口、桃关工业园区道路、环保等基础配套，加快七盘沟工业集中区建设。全力抓好“电力高速公路”建设，争取“专线供电、直供电”试点，打通南北220千伏输电通道。培育和发展“汶川三宝”等农特产品深加工、民族工艺等绿色产业，推动汶川甜樱桃标准化生产基地建设。</w:t>
      </w:r>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2019年8月20日，汶川县发生特大泥石流自然灾害，县域内已建成的板子沟工业集中片区受灾严重。根据汶川县七盘沟工业集中区作战指挥部工作安排部署，拟将板子沟工业集中区用地调至七盘沟区域。项目建设全面贯彻党的十九大精神，围绕建设阿坝州“绿色经济先行示范带”战略目标，坚持“生态立园、绿色崛起”，以加快转变经济发展方式为主线，以改革开放和自主创新为动力，以产业绿色、生态、循环、融合为抓手，主动融入成都经济圈，走出一条符合主体功能区规划、扩量提质、转型增效与环境友好的新型工业化发展之路；积极对接中央和四川省重大战略，积极发展支柱产业，创新发展优势产业，大力培育战略性新兴产业，不断推进产业绿色化、产业融合化与产业品牌化发展进程，将园区建成为川西北中小微企业创业示范园。</w:t>
      </w:r>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2020年1月四川省风景旅游设计院有限公司对《汶川县七盘沟绿色工业集中区总体规划及控制性详细规划》进行编制，立足于上层次背景的要求和支持，依托良好的地理环境和交通区位优势，规划将园区建成经济增长迅速、管理体制全新、运行机制高效的新型工业园区，成为汶川县经济发展的有效载体。最终打造“企业集中布局、产业集群发展、资源集约利用、功能集合构建”的绿色工业园区。</w:t>
      </w:r>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综上所述，本项目符合四川和汶川县发展战略和相关产业政策要求，也符合科学发展战略的实施，建设条件具备，技术成熟，经济合理，风险发生的可能性小，具有较好的经济效益和显著的社会效益、生态效益，项目建设是可行的，也是必要的。</w:t>
      </w:r>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3、汶川县国民经济和社会发展状况</w:t>
      </w:r>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汶川县位于岷江上游，青藏高原东南部、四川省西北部，因汶水（现岷江）得名，幅员面积4084平方公里，辖威州镇、灞州镇、绵虒镇、映秀镇、漩口镇、水磨镇、三江镇、耿达镇、卧龙镇9个镇，75个行政村、9个社区，总人口10万余人，其中羌族占39.5%、藏族占20.4%、汉族占38.7%，回族占1.1%，其他民族占0.3%，是藏羌回汉等各民族交汇融合的地带。</w:t>
      </w:r>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汶川是高原山区和资源富区，有“川西锁钥”之称，都汶高速、汶马高速、国道213、317、350线纵贯全境，是四川经济西进和畅游九寨、黄龙、四姑娘山及大草原风光的快速通道，现已逐步发展为川甘青物流集散中心。全县地势由西北向东南倾斜，北部为高山地区，日照充足，干旱少雨；南部为中低山地区，气候湿润，雨量丰沛，独特的山地气候特征，适宜在南部发展现代林业，在北部发展“汶川三宝”（甜樱桃、脆李子、香杏子）等生态果业。全县水能装机容量近150万千瓦，矿产资源50余种，金刚砂储量、品质属全国之最；旅游资源得天独厚，拥有卧龙国家级自然保护区、四川草坡自然保护区，国家5A级汶川特别旅游区、国家4A级大禹文化旅游区，素有“大禹故里•熊猫家园•康养汶川”之美誉，先后荣获全国休闲农业与乡村旅游示范县、国家卫生县城，全省首批天府旅游名县殊荣。</w:t>
      </w:r>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2019年，实现地区生产总值72.64亿元、增长6.2%；地方一般公共预算收入3.76亿元、增长10%；全部工业增加值34.34亿元，规上工业增加值同比增长3%；旅游总收入28.7亿元，增长14.9%；游客接待627.78万人次，增长11.5%；社会消费品零售总额10.82亿元；全社会固定资产投资21.49亿元，增长9%；城镇居民和农村居民人均可支配收入分别达到34513元和15049元，分别增长8.2%和12%。</w:t>
      </w:r>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2020年全县实现地区生产总值747499万元，按可比价格计算比上年增长3.6%。其中，第一产业增加值117887万元，增长4.7%，对经济增长的贡献率为15.0%，拉动经济增长0.5个百分点；第二产业增加值312639万元，增长4.0%，对经济增长的贡献率为57.6%，拉动经济增长2.1个百分点；第三产业增加值316973万元，增长2.6%，对经济增长的贡献率为27.4%，拉动经济增长1.0个百分点。预计全县万元地区生产总值能耗比上年下降6.45%。</w:t>
      </w:r>
    </w:p>
    <w:bookmarkEnd w:id="14"/>
    <w:bookmarkEnd w:id="15"/>
    <w:bookmarkEnd w:id="16"/>
    <w:bookmarkEnd w:id="17"/>
    <w:p>
      <w:pPr>
        <w:pStyle w:val="4"/>
        <w:keepNext w:val="0"/>
        <w:keepLines w:val="0"/>
        <w:framePr w:wrap="auto" w:vAnchor="margin" w:hAnchor="text" w:yAlign="inline"/>
        <w:suppressAutoHyphens/>
        <w:adjustRightInd w:val="0"/>
        <w:snapToGrid w:val="0"/>
        <w:spacing w:before="0" w:after="0" w:line="300" w:lineRule="auto"/>
        <w:ind w:firstLine="562"/>
        <w:jc w:val="both"/>
        <w:rPr>
          <w:rFonts w:ascii="Times New Roman" w:hAnsi="Times New Roman" w:eastAsia="仿宋_GB2312" w:cs="Times New Roman"/>
          <w:bCs w:val="0"/>
          <w:sz w:val="28"/>
          <w:szCs w:val="28"/>
        </w:rPr>
      </w:pPr>
      <w:r>
        <w:rPr>
          <w:rFonts w:ascii="Times New Roman" w:hAnsi="Times New Roman" w:eastAsia="仿宋_GB2312" w:cs="Times New Roman"/>
          <w:bCs w:val="0"/>
          <w:sz w:val="28"/>
          <w:szCs w:val="28"/>
        </w:rPr>
        <w:t>（二）项目概况</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bookmarkStart w:id="18" w:name="_Toc28596_WPSOffice_Level3"/>
      <w:bookmarkStart w:id="19" w:name="_Toc13573_WPSOffice_Level3"/>
      <w:bookmarkStart w:id="20" w:name="_Toc18964"/>
      <w:bookmarkStart w:id="21" w:name="_Toc8234_WPSOffice_Level3"/>
      <w:bookmarkStart w:id="22" w:name="_Toc1603"/>
      <w:r>
        <w:rPr>
          <w:rFonts w:ascii="Times New Roman" w:hAnsi="Times New Roman" w:eastAsia="仿宋_GB2312" w:cs="Times New Roman"/>
          <w:sz w:val="28"/>
          <w:szCs w:val="28"/>
        </w:rPr>
        <w:t>1.参与主体</w:t>
      </w:r>
      <w:bookmarkEnd w:id="18"/>
      <w:bookmarkEnd w:id="19"/>
      <w:bookmarkEnd w:id="20"/>
      <w:bookmarkEnd w:id="21"/>
      <w:bookmarkEnd w:id="22"/>
    </w:p>
    <w:p>
      <w:pPr>
        <w:pStyle w:val="2"/>
        <w:adjustRightInd w:val="0"/>
        <w:snapToGrid w:val="0"/>
        <w:spacing w:after="0" w:line="300" w:lineRule="auto"/>
        <w:ind w:firstLine="560" w:firstLineChars="200"/>
        <w:rPr>
          <w:rFonts w:ascii="Times New Roman" w:hAnsi="Times New Roman" w:eastAsia="仿宋_GB2312" w:cs="Times New Roman"/>
          <w:sz w:val="28"/>
          <w:szCs w:val="28"/>
        </w:rPr>
      </w:pPr>
      <w:bookmarkStart w:id="23" w:name="_Toc17053"/>
      <w:bookmarkStart w:id="24" w:name="_Toc19710"/>
      <w:bookmarkStart w:id="25" w:name="_Toc9412_WPSOffice_Level3"/>
      <w:bookmarkStart w:id="26" w:name="_Toc31783_WPSOffice_Level3"/>
      <w:bookmarkStart w:id="27" w:name="_Toc22413"/>
      <w:bookmarkStart w:id="28" w:name="_Toc15704_WPSOffice_Level3"/>
      <w:r>
        <w:rPr>
          <w:rFonts w:hint="eastAsia" w:ascii="Times New Roman" w:hAnsi="Times New Roman" w:eastAsia="仿宋_GB2312" w:cs="Times New Roman"/>
          <w:sz w:val="28"/>
          <w:szCs w:val="28"/>
        </w:rPr>
        <w:t>实施机构：汶川县经济商务和信息化局</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项目业主：汶川县禹城城镇开发建设投资有限责任公司</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2.项目概况</w:t>
      </w:r>
      <w:bookmarkEnd w:id="23"/>
    </w:p>
    <w:bookmarkEnd w:id="24"/>
    <w:bookmarkEnd w:id="25"/>
    <w:bookmarkEnd w:id="26"/>
    <w:bookmarkEnd w:id="27"/>
    <w:bookmarkEnd w:id="28"/>
    <w:p>
      <w:pPr>
        <w:pStyle w:val="2"/>
        <w:adjustRightInd w:val="0"/>
        <w:snapToGrid w:val="0"/>
        <w:spacing w:after="0" w:line="300" w:lineRule="auto"/>
        <w:ind w:firstLine="560" w:firstLineChars="200"/>
        <w:rPr>
          <w:rFonts w:hint="eastAsia" w:ascii="Times New Roman" w:hAnsi="Times New Roman" w:eastAsia="仿宋_GB2312" w:cs="Times New Roman"/>
          <w:sz w:val="28"/>
          <w:szCs w:val="28"/>
          <w:lang w:val="en-US" w:eastAsia="zh-CN"/>
        </w:rPr>
      </w:pPr>
      <w:r>
        <w:rPr>
          <w:rFonts w:ascii="Times New Roman" w:hAnsi="Times New Roman" w:eastAsia="仿宋_GB2312" w:cs="Times New Roman"/>
          <w:sz w:val="28"/>
          <w:szCs w:val="28"/>
        </w:rPr>
        <w:t>1）项目名称：</w:t>
      </w:r>
      <w:r>
        <w:rPr>
          <w:rFonts w:hint="eastAsia" w:ascii="Times New Roman" w:hAnsi="Times New Roman" w:eastAsia="仿宋_GB2312" w:cs="Times New Roman"/>
          <w:sz w:val="28"/>
          <w:szCs w:val="28"/>
        </w:rPr>
        <w:t>汶川县七盘沟中小微绿色科技园及其配套基础设施建设项目</w:t>
      </w:r>
      <w:r>
        <w:rPr>
          <w:rFonts w:hint="eastAsia" w:ascii="Times New Roman" w:hAnsi="Times New Roman" w:eastAsia="仿宋_GB2312" w:cs="Times New Roman"/>
          <w:sz w:val="28"/>
          <w:szCs w:val="28"/>
          <w:lang w:eastAsia="zh-CN"/>
        </w:rPr>
        <w:t>。</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2）项目所属领域：</w:t>
      </w:r>
      <w:r>
        <w:rPr>
          <w:rFonts w:hint="eastAsia" w:ascii="Times New Roman" w:hAnsi="Times New Roman" w:eastAsia="仿宋_GB2312" w:cs="Times New Roman"/>
          <w:sz w:val="28"/>
          <w:szCs w:val="28"/>
        </w:rPr>
        <w:t>园区配套基础设施</w:t>
      </w:r>
      <w:r>
        <w:rPr>
          <w:rFonts w:ascii="Times New Roman" w:hAnsi="Times New Roman" w:eastAsia="仿宋_GB2312" w:cs="Times New Roman"/>
          <w:sz w:val="28"/>
          <w:szCs w:val="28"/>
        </w:rPr>
        <w:t>。</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3</w:t>
      </w:r>
      <w:r>
        <w:rPr>
          <w:rFonts w:ascii="Times New Roman" w:hAnsi="Times New Roman" w:eastAsia="仿宋_GB2312" w:cs="Times New Roman"/>
          <w:sz w:val="28"/>
          <w:szCs w:val="28"/>
        </w:rPr>
        <w:t>）产出说明：包括项目位置、项目建设内容等。</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项目区位：阿坝藏族羌族自治州汶川县威州镇七盘沟村</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项目建设规模：本项目总建筑面积为157380.00平方米，其中：工业厂房建筑面积为150000平方米，配套用房建筑面积为4000平方米，地上物管用房500平方米，公厕180平方米，垃圾用房700平方米，供电设施2000平方米；新建道路约3公里， 堤代路200米；总绿地面积110120.00平方米。</w:t>
      </w:r>
    </w:p>
    <w:p>
      <w:pPr>
        <w:pStyle w:val="2"/>
        <w:adjustRightInd w:val="0"/>
        <w:snapToGrid w:val="0"/>
        <w:spacing w:after="0" w:line="300" w:lineRule="auto"/>
        <w:ind w:left="0" w:leftChars="0" w:firstLine="0" w:firstLineChars="0"/>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具体建设规模如下：</w:t>
      </w:r>
      <w:r>
        <w:drawing>
          <wp:inline distT="0" distB="0" distL="114300" distR="114300">
            <wp:extent cx="4443095" cy="3994785"/>
            <wp:effectExtent l="0" t="0" r="1460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443095" cy="3994785"/>
                    </a:xfrm>
                    <a:prstGeom prst="rect">
                      <a:avLst/>
                    </a:prstGeom>
                    <a:noFill/>
                    <a:ln>
                      <a:noFill/>
                    </a:ln>
                  </pic:spPr>
                </pic:pic>
              </a:graphicData>
            </a:graphic>
          </wp:inline>
        </w:drawing>
      </w:r>
    </w:p>
    <w:p>
      <w:pPr>
        <w:adjustRightInd w:val="0"/>
        <w:snapToGrid w:val="0"/>
        <w:spacing w:beforeLines="50" w:line="360" w:lineRule="auto"/>
        <w:ind w:firstLine="640" w:firstLineChars="200"/>
        <w:outlineLvl w:val="0"/>
        <w:rPr>
          <w:rFonts w:ascii="Times New Roman" w:hAnsi="Times New Roman" w:eastAsia="黑体" w:cs="Times New Roman"/>
          <w:sz w:val="32"/>
          <w:szCs w:val="32"/>
        </w:rPr>
      </w:pPr>
      <w:r>
        <w:rPr>
          <w:rFonts w:ascii="Times New Roman" w:hAnsi="Times New Roman" w:eastAsia="黑体" w:cs="Times New Roman"/>
          <w:sz w:val="32"/>
          <w:szCs w:val="32"/>
        </w:rPr>
        <w:t>二、经济社会效益分析</w:t>
      </w:r>
    </w:p>
    <w:p>
      <w:pPr>
        <w:pStyle w:val="4"/>
        <w:keepNext w:val="0"/>
        <w:keepLines w:val="0"/>
        <w:framePr w:wrap="auto" w:vAnchor="margin" w:hAnchor="text" w:yAlign="inline"/>
        <w:suppressAutoHyphens/>
        <w:spacing w:beforeLines="50" w:afterLines="50" w:line="520" w:lineRule="exact"/>
        <w:ind w:firstLine="562"/>
        <w:jc w:val="both"/>
        <w:rPr>
          <w:rFonts w:ascii="Times New Roman" w:hAnsi="Times New Roman" w:eastAsia="仿宋_GB2312" w:cs="Times New Roman"/>
          <w:bCs w:val="0"/>
          <w:sz w:val="28"/>
          <w:szCs w:val="28"/>
        </w:rPr>
      </w:pPr>
      <w:bookmarkStart w:id="29" w:name="_Toc5070"/>
      <w:bookmarkStart w:id="30" w:name="_Toc12770"/>
      <w:r>
        <w:rPr>
          <w:rFonts w:ascii="Times New Roman" w:hAnsi="Times New Roman" w:eastAsia="仿宋_GB2312" w:cs="Times New Roman"/>
          <w:bCs w:val="0"/>
          <w:sz w:val="28"/>
          <w:szCs w:val="28"/>
        </w:rPr>
        <w:t>（一）经济效益分析</w:t>
      </w:r>
      <w:bookmarkEnd w:id="29"/>
      <w:bookmarkEnd w:id="30"/>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随着汶川县七盘沟中小微绿色科技园及其配套基础设施建设项目的建成运营，发挥其中小微绿色科技园的作用，将带动周边地区的城市化建设，促进七盘沟新区的快速发展，带动相关产业特别是第三产业的发展，其间接产生的税收也相当可观。工业项目是一个劳动密集型产业，能够提供大量直接和间接的就业机会。通过该项目的建设，既可以解决当地部分人口的就业问题，还能为本地农民中的部分剩余劳动力提供就业机会。</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本项目实施后，对所在地居民收入的影响主要反映在两个方面，一是项目在建设过程中需要雇佣当地大量的劳动力，将有助于提高当地劳动力收入，其收入规模通过劳动力成本体现出来。二是项目运营后，将大大改善汶川县工业市场，对当地的工业经济起到极大的促进作用，带来更大的收入效应。因此，项目对当地经济发展的间接带动作用远大于本身产生的直接经济效益。</w:t>
      </w:r>
    </w:p>
    <w:p>
      <w:pPr>
        <w:pStyle w:val="4"/>
        <w:keepNext w:val="0"/>
        <w:keepLines w:val="0"/>
        <w:framePr w:wrap="auto" w:vAnchor="margin" w:hAnchor="text" w:yAlign="inline"/>
        <w:suppressAutoHyphens/>
        <w:spacing w:beforeLines="50" w:afterLines="50" w:line="520" w:lineRule="exact"/>
        <w:ind w:firstLine="562"/>
        <w:jc w:val="both"/>
        <w:rPr>
          <w:rFonts w:ascii="Times New Roman" w:hAnsi="Times New Roman" w:eastAsia="仿宋_GB2312" w:cs="Times New Roman"/>
          <w:bCs w:val="0"/>
          <w:sz w:val="28"/>
          <w:szCs w:val="28"/>
        </w:rPr>
      </w:pPr>
      <w:bookmarkStart w:id="31" w:name="_Toc19648"/>
      <w:bookmarkStart w:id="32" w:name="_Toc21897"/>
      <w:r>
        <w:rPr>
          <w:rFonts w:ascii="Times New Roman" w:hAnsi="Times New Roman" w:eastAsia="仿宋_GB2312" w:cs="Times New Roman"/>
          <w:bCs w:val="0"/>
          <w:sz w:val="28"/>
          <w:szCs w:val="28"/>
        </w:rPr>
        <w:t>（二）社会效益分析</w:t>
      </w:r>
      <w:bookmarkEnd w:id="31"/>
      <w:bookmarkEnd w:id="32"/>
    </w:p>
    <w:p>
      <w:pPr>
        <w:pStyle w:val="2"/>
        <w:adjustRightInd w:val="0"/>
        <w:snapToGrid w:val="0"/>
        <w:spacing w:line="300" w:lineRule="auto"/>
        <w:ind w:firstLine="560" w:firstLineChars="200"/>
        <w:rPr>
          <w:rFonts w:hint="eastAsia" w:ascii="Times New Roman" w:hAnsi="Times New Roman" w:eastAsia="仿宋_GB2312" w:cs="Times New Roman"/>
          <w:sz w:val="28"/>
          <w:szCs w:val="28"/>
          <w:lang w:eastAsia="zh-TW"/>
        </w:rPr>
      </w:pPr>
      <w:bookmarkStart w:id="33" w:name="_Toc21118"/>
      <w:r>
        <w:rPr>
          <w:rFonts w:hint="eastAsia" w:ascii="Times New Roman" w:hAnsi="Times New Roman" w:eastAsia="仿宋_GB2312" w:cs="Times New Roman"/>
          <w:sz w:val="28"/>
          <w:szCs w:val="28"/>
          <w:lang w:eastAsia="zh-TW"/>
        </w:rPr>
        <w:t>本项目的社会效益评价主要包括科技园区对汶川县经济发展的促进作用，包括降低生产成本、带动相关产业发展、就业、税收以及提升城镇形象等方面。</w:t>
      </w:r>
    </w:p>
    <w:p>
      <w:pPr>
        <w:pStyle w:val="2"/>
        <w:adjustRightInd w:val="0"/>
        <w:snapToGrid w:val="0"/>
        <w:spacing w:line="300" w:lineRule="auto"/>
        <w:ind w:firstLine="560" w:firstLineChars="200"/>
        <w:rPr>
          <w:rFonts w:hint="eastAsia" w:ascii="Times New Roman" w:hAnsi="Times New Roman" w:eastAsia="仿宋_GB2312" w:cs="Times New Roman"/>
          <w:sz w:val="28"/>
          <w:szCs w:val="28"/>
          <w:lang w:eastAsia="zh-TW"/>
        </w:rPr>
      </w:pPr>
      <w:r>
        <w:rPr>
          <w:rFonts w:hint="eastAsia" w:ascii="Times New Roman" w:hAnsi="Times New Roman" w:eastAsia="仿宋_GB2312" w:cs="Times New Roman"/>
          <w:sz w:val="28"/>
          <w:szCs w:val="28"/>
          <w:lang w:eastAsia="zh-TW"/>
        </w:rPr>
        <w:t>工业项目是一个劳动密集型产业，能够提供大量直接和间接的就业机会。近年来，随着市场经济的发展，工业项目在经济运行的作用越来越重要。</w:t>
      </w:r>
    </w:p>
    <w:p>
      <w:pPr>
        <w:pStyle w:val="2"/>
        <w:adjustRightInd w:val="0"/>
        <w:snapToGrid w:val="0"/>
        <w:spacing w:line="300" w:lineRule="auto"/>
        <w:ind w:firstLine="560" w:firstLineChars="200"/>
        <w:rPr>
          <w:rFonts w:hint="eastAsia" w:ascii="Times New Roman" w:hAnsi="Times New Roman" w:eastAsia="仿宋_GB2312" w:cs="Times New Roman"/>
          <w:sz w:val="28"/>
          <w:szCs w:val="28"/>
          <w:lang w:eastAsia="zh-TW"/>
        </w:rPr>
      </w:pPr>
      <w:r>
        <w:rPr>
          <w:rFonts w:hint="eastAsia" w:ascii="Times New Roman" w:hAnsi="Times New Roman" w:eastAsia="仿宋_GB2312" w:cs="Times New Roman"/>
          <w:sz w:val="28"/>
          <w:szCs w:val="28"/>
          <w:lang w:eastAsia="zh-TW"/>
        </w:rPr>
        <w:t>（1）增加经济收入、创造就业机会</w:t>
      </w:r>
    </w:p>
    <w:p>
      <w:pPr>
        <w:pStyle w:val="2"/>
        <w:adjustRightInd w:val="0"/>
        <w:snapToGrid w:val="0"/>
        <w:spacing w:line="300" w:lineRule="auto"/>
        <w:ind w:firstLine="560" w:firstLineChars="200"/>
        <w:rPr>
          <w:rFonts w:hint="eastAsia" w:ascii="Times New Roman" w:hAnsi="Times New Roman" w:eastAsia="仿宋_GB2312" w:cs="Times New Roman"/>
          <w:sz w:val="28"/>
          <w:szCs w:val="28"/>
          <w:lang w:eastAsia="zh-TW"/>
        </w:rPr>
      </w:pPr>
      <w:r>
        <w:rPr>
          <w:rFonts w:hint="eastAsia" w:ascii="Times New Roman" w:hAnsi="Times New Roman" w:eastAsia="仿宋_GB2312" w:cs="Times New Roman"/>
          <w:sz w:val="28"/>
          <w:szCs w:val="28"/>
          <w:lang w:eastAsia="zh-TW"/>
        </w:rPr>
        <w:t>通过该项目的建设，既可以解决当地部分人口的就业问题，还能为本地农民中的部分剩余劳动力提供就业机会。</w:t>
      </w:r>
    </w:p>
    <w:p>
      <w:pPr>
        <w:pStyle w:val="2"/>
        <w:adjustRightInd w:val="0"/>
        <w:snapToGrid w:val="0"/>
        <w:spacing w:line="300" w:lineRule="auto"/>
        <w:ind w:firstLine="560" w:firstLineChars="200"/>
        <w:rPr>
          <w:rFonts w:hint="eastAsia" w:ascii="Times New Roman" w:hAnsi="Times New Roman" w:eastAsia="仿宋_GB2312" w:cs="Times New Roman"/>
          <w:sz w:val="28"/>
          <w:szCs w:val="28"/>
          <w:lang w:eastAsia="zh-TW"/>
        </w:rPr>
      </w:pPr>
      <w:r>
        <w:rPr>
          <w:rFonts w:hint="eastAsia" w:ascii="Times New Roman" w:hAnsi="Times New Roman" w:eastAsia="仿宋_GB2312" w:cs="Times New Roman"/>
          <w:sz w:val="28"/>
          <w:szCs w:val="28"/>
          <w:lang w:eastAsia="zh-TW"/>
        </w:rPr>
        <w:t>本项目实施后，对所在地居民收入的影响主要反映在两个方面，一是项目在建设过程中需要雇佣当地大量的劳动力，将有助于提高当地劳动力收入，其收入规模通过劳动力成本体现出来。二是项目运营后，将大大改善汶川县工业市场，对当地的工业经济起到极大的促进作用，带来更大的收入效应。因此，项目对当地经济发展的间接带动作用远大于本身产生的直接经济效益，因此，项目对所在地居民收入的影响是非常积极的。</w:t>
      </w:r>
    </w:p>
    <w:p>
      <w:pPr>
        <w:pStyle w:val="2"/>
        <w:adjustRightInd w:val="0"/>
        <w:snapToGrid w:val="0"/>
        <w:spacing w:line="300" w:lineRule="auto"/>
        <w:ind w:firstLine="560" w:firstLineChars="200"/>
        <w:rPr>
          <w:rFonts w:hint="eastAsia" w:ascii="Times New Roman" w:hAnsi="Times New Roman" w:eastAsia="仿宋_GB2312" w:cs="Times New Roman"/>
          <w:sz w:val="28"/>
          <w:szCs w:val="28"/>
          <w:lang w:eastAsia="zh-CN"/>
        </w:rPr>
      </w:pPr>
      <w:r>
        <w:rPr>
          <w:rFonts w:hint="eastAsia" w:ascii="Times New Roman" w:hAnsi="Times New Roman" w:eastAsia="仿宋_GB2312" w:cs="Times New Roman"/>
          <w:sz w:val="28"/>
          <w:szCs w:val="28"/>
          <w:lang w:eastAsia="zh-TW"/>
        </w:rPr>
        <w:t>（2）提高区域知名度，增强区域影响力，成为区域的地标与名片</w:t>
      </w:r>
      <w:r>
        <w:rPr>
          <w:rFonts w:hint="eastAsia" w:ascii="Times New Roman" w:hAnsi="Times New Roman" w:eastAsia="仿宋_GB2312" w:cs="Times New Roman"/>
          <w:sz w:val="28"/>
          <w:szCs w:val="28"/>
          <w:lang w:eastAsia="zh-CN"/>
        </w:rPr>
        <w:t>。</w:t>
      </w:r>
    </w:p>
    <w:p>
      <w:pPr>
        <w:pStyle w:val="2"/>
        <w:adjustRightInd w:val="0"/>
        <w:snapToGrid w:val="0"/>
        <w:spacing w:after="0" w:line="300" w:lineRule="auto"/>
        <w:ind w:firstLine="560" w:firstLineChars="200"/>
        <w:rPr>
          <w:rFonts w:ascii="Times New Roman" w:hAnsi="Times New Roman" w:eastAsia="PMingLiU" w:cs="Times New Roman"/>
          <w:sz w:val="28"/>
          <w:szCs w:val="28"/>
          <w:lang w:eastAsia="zh-TW"/>
        </w:rPr>
      </w:pPr>
      <w:r>
        <w:rPr>
          <w:rFonts w:hint="eastAsia" w:ascii="Times New Roman" w:hAnsi="Times New Roman" w:eastAsia="仿宋_GB2312" w:cs="Times New Roman"/>
          <w:sz w:val="28"/>
          <w:szCs w:val="28"/>
          <w:lang w:eastAsia="zh-TW"/>
        </w:rPr>
        <w:t>本项目的完善促进地方经济的增长，对城镇转变经济增长方式起到良好的示范作用。通过入驻企业的增多，各种优良资源要素之间的规模效应、集聚效应、辐射效应和联动效应将趋向最大化。本项目的完善在汶川县过渡和转型中起到非常重要的作用，其拉动效应、乘数效应也将会得到彰显。</w:t>
      </w:r>
    </w:p>
    <w:bookmarkEnd w:id="33"/>
    <w:p>
      <w:pPr>
        <w:adjustRightInd w:val="0"/>
        <w:snapToGrid w:val="0"/>
        <w:spacing w:beforeLines="50" w:line="360" w:lineRule="auto"/>
        <w:ind w:firstLine="640" w:firstLineChars="200"/>
        <w:outlineLvl w:val="0"/>
        <w:rPr>
          <w:rFonts w:ascii="Times New Roman" w:hAnsi="Times New Roman" w:eastAsia="黑体" w:cs="Times New Roman"/>
          <w:sz w:val="32"/>
          <w:szCs w:val="32"/>
        </w:rPr>
      </w:pPr>
      <w:r>
        <w:rPr>
          <w:rFonts w:ascii="Times New Roman" w:hAnsi="Times New Roman" w:eastAsia="黑体" w:cs="Times New Roman"/>
          <w:sz w:val="32"/>
          <w:szCs w:val="32"/>
        </w:rPr>
        <w:t>三、项目投资估算及资金筹措方案</w:t>
      </w:r>
    </w:p>
    <w:p>
      <w:pPr>
        <w:pStyle w:val="4"/>
        <w:keepNext w:val="0"/>
        <w:keepLines w:val="0"/>
        <w:framePr w:wrap="auto" w:vAnchor="margin" w:hAnchor="text" w:yAlign="inline"/>
        <w:suppressAutoHyphens/>
        <w:adjustRightInd w:val="0"/>
        <w:snapToGrid w:val="0"/>
        <w:spacing w:before="0" w:after="0" w:line="300" w:lineRule="auto"/>
        <w:ind w:firstLine="562"/>
        <w:jc w:val="both"/>
        <w:rPr>
          <w:rFonts w:ascii="Times New Roman" w:hAnsi="Times New Roman" w:eastAsia="仿宋_GB2312" w:cs="Times New Roman"/>
          <w:bCs w:val="0"/>
          <w:sz w:val="28"/>
          <w:szCs w:val="28"/>
        </w:rPr>
      </w:pPr>
      <w:r>
        <w:rPr>
          <w:rFonts w:ascii="Times New Roman" w:hAnsi="Times New Roman" w:eastAsia="仿宋_GB2312" w:cs="Times New Roman"/>
          <w:bCs w:val="0"/>
          <w:sz w:val="28"/>
          <w:szCs w:val="28"/>
        </w:rPr>
        <w:t>（一）投资估算</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bookmarkStart w:id="34" w:name="_Toc11440"/>
      <w:bookmarkStart w:id="35" w:name="_Toc109"/>
      <w:bookmarkStart w:id="36" w:name="_Toc29498_WPSOffice_Level2"/>
      <w:bookmarkStart w:id="37" w:name="_Toc26823_WPSOffice_Level2"/>
      <w:bookmarkStart w:id="38" w:name="_Toc28596_WPSOffice_Level2"/>
      <w:bookmarkStart w:id="39" w:name="_Toc8234_WPSOffice_Level2"/>
      <w:r>
        <w:rPr>
          <w:rFonts w:hint="eastAsia" w:ascii="Times New Roman" w:hAnsi="Times New Roman" w:eastAsia="仿宋_GB2312" w:cs="Times New Roman"/>
          <w:sz w:val="28"/>
          <w:szCs w:val="28"/>
        </w:rPr>
        <w:t>项目总投资30000万元。其中：工程费用22750.73万元，占总投资的75.84%；工程建设其他费用5002.10万元，占总投资的16.67%；基本预备费1232.18万元，占总投资的4.11%；建设期利息和债券发行费1015万元，占总投资的3.38%。</w:t>
      </w:r>
    </w:p>
    <w:p>
      <w:pPr>
        <w:pStyle w:val="4"/>
        <w:keepNext w:val="0"/>
        <w:keepLines w:val="0"/>
        <w:framePr w:wrap="auto" w:vAnchor="margin" w:hAnchor="text" w:yAlign="inline"/>
        <w:suppressAutoHyphens/>
        <w:adjustRightInd w:val="0"/>
        <w:snapToGrid w:val="0"/>
        <w:spacing w:before="0" w:after="0" w:line="300" w:lineRule="auto"/>
        <w:ind w:firstLine="562"/>
        <w:jc w:val="both"/>
        <w:rPr>
          <w:rFonts w:ascii="Times New Roman" w:hAnsi="Times New Roman" w:eastAsia="仿宋_GB2312" w:cs="Times New Roman"/>
          <w:bCs w:val="0"/>
          <w:sz w:val="28"/>
          <w:szCs w:val="28"/>
        </w:rPr>
      </w:pPr>
      <w:r>
        <w:rPr>
          <w:rFonts w:ascii="Times New Roman" w:hAnsi="Times New Roman" w:eastAsia="仿宋_GB2312" w:cs="Times New Roman"/>
          <w:bCs w:val="0"/>
          <w:sz w:val="28"/>
          <w:szCs w:val="28"/>
        </w:rPr>
        <w:t>（二）资金筹措方案</w:t>
      </w:r>
      <w:bookmarkEnd w:id="34"/>
      <w:bookmarkEnd w:id="35"/>
      <w:bookmarkEnd w:id="36"/>
      <w:bookmarkEnd w:id="37"/>
      <w:bookmarkEnd w:id="38"/>
      <w:bookmarkEnd w:id="39"/>
    </w:p>
    <w:p>
      <w:pPr>
        <w:pStyle w:val="2"/>
        <w:adjustRightInd w:val="0"/>
        <w:snapToGrid w:val="0"/>
        <w:spacing w:after="0" w:line="300" w:lineRule="auto"/>
        <w:ind w:firstLine="562" w:firstLineChars="200"/>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1.资金来源</w:t>
      </w:r>
    </w:p>
    <w:p>
      <w:pPr>
        <w:pStyle w:val="2"/>
        <w:adjustRightInd w:val="0"/>
        <w:snapToGrid w:val="0"/>
        <w:spacing w:after="0" w:line="300" w:lineRule="auto"/>
        <w:ind w:firstLine="562" w:firstLineChars="200"/>
        <w:rPr>
          <w:rFonts w:ascii="Times New Roman" w:hAnsi="Times New Roman" w:eastAsia="仿宋_GB2312" w:cs="Times New Roman"/>
          <w:sz w:val="28"/>
          <w:szCs w:val="28"/>
        </w:rPr>
      </w:pPr>
      <w:r>
        <w:rPr>
          <w:rFonts w:ascii="Times New Roman" w:hAnsi="Times New Roman" w:eastAsia="仿宋_GB2312" w:cs="Times New Roman"/>
          <w:b/>
          <w:bCs/>
          <w:sz w:val="28"/>
          <w:szCs w:val="28"/>
        </w:rPr>
        <w:t>资本金来源</w:t>
      </w:r>
      <w:r>
        <w:rPr>
          <w:rFonts w:ascii="Times New Roman" w:hAnsi="Times New Roman" w:eastAsia="仿宋_GB2312" w:cs="Times New Roman"/>
          <w:sz w:val="28"/>
          <w:szCs w:val="28"/>
        </w:rPr>
        <w:t>：</w:t>
      </w:r>
      <w:r>
        <w:rPr>
          <w:rFonts w:hint="eastAsia" w:ascii="Times New Roman" w:hAnsi="Times New Roman" w:eastAsia="仿宋_GB2312" w:cs="Times New Roman"/>
          <w:sz w:val="28"/>
          <w:szCs w:val="28"/>
        </w:rPr>
        <w:t>项目总投资为24200万元，项目其资金来源为融资资金及财政配套资金。</w:t>
      </w:r>
    </w:p>
    <w:p>
      <w:pPr>
        <w:pStyle w:val="2"/>
        <w:adjustRightInd w:val="0"/>
        <w:snapToGrid w:val="0"/>
        <w:spacing w:after="0" w:line="300" w:lineRule="auto"/>
        <w:ind w:firstLine="562" w:firstLineChars="200"/>
        <w:rPr>
          <w:rFonts w:ascii="Times New Roman" w:hAnsi="Times New Roman" w:eastAsia="仿宋_GB2312" w:cs="Times New Roman"/>
          <w:sz w:val="28"/>
          <w:szCs w:val="28"/>
        </w:rPr>
      </w:pPr>
      <w:r>
        <w:rPr>
          <w:rFonts w:ascii="Times New Roman" w:hAnsi="Times New Roman" w:eastAsia="仿宋_GB2312" w:cs="Times New Roman"/>
          <w:b/>
          <w:bCs/>
          <w:sz w:val="28"/>
          <w:szCs w:val="28"/>
        </w:rPr>
        <w:t>融资来源：</w:t>
      </w:r>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资本金来源：项目资本金15000万元。约占总投资的50%，由业主自筹，根据项目建设进度分批到位。</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融资来源：项目资本金之外需要投入的其他资金（15000万元）拟通过发行地方政府项目专项债券筹集。项目拟在2021年发行10000万元，2022年发行5000万元，期限为20年。</w:t>
      </w:r>
    </w:p>
    <w:p>
      <w:pPr>
        <w:pStyle w:val="2"/>
        <w:adjustRightInd w:val="0"/>
        <w:snapToGrid w:val="0"/>
        <w:spacing w:after="0" w:line="300" w:lineRule="auto"/>
        <w:ind w:firstLine="562" w:firstLineChars="200"/>
        <w:rPr>
          <w:rFonts w:ascii="Times New Roman" w:hAnsi="Times New Roman" w:eastAsia="仿宋_GB2312" w:cs="Times New Roman"/>
          <w:b/>
          <w:bCs/>
          <w:sz w:val="28"/>
          <w:szCs w:val="28"/>
        </w:rPr>
      </w:pPr>
      <w:r>
        <w:rPr>
          <w:rFonts w:ascii="Times New Roman" w:hAnsi="Times New Roman" w:eastAsia="仿宋_GB2312" w:cs="Times New Roman"/>
          <w:b/>
          <w:bCs/>
          <w:sz w:val="28"/>
          <w:szCs w:val="28"/>
        </w:rPr>
        <w:t>2.资金使用计划</w:t>
      </w:r>
    </w:p>
    <w:p>
      <w:pPr>
        <w:pStyle w:val="2"/>
        <w:adjustRightInd w:val="0"/>
        <w:snapToGrid w:val="0"/>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项目所筹资金将根据项目实施计划和实时建设进度来进行合理分配，且将全部投资于本项目，具体数额应当根据进度支出。在保证项目工程投资资金充足的情况下，充分利用且不浪费当年度专项债券融资额度。按照建设进度，总投资计划根据项目建设计划投入，具体的资金使用计划见下表：</w:t>
      </w:r>
    </w:p>
    <w:p>
      <w:pPr>
        <w:pStyle w:val="2"/>
        <w:adjustRightInd w:val="0"/>
        <w:snapToGrid w:val="0"/>
        <w:spacing w:line="300" w:lineRule="auto"/>
        <w:jc w:val="center"/>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资金使用计划   单位：万元</w:t>
      </w:r>
    </w:p>
    <w:tbl>
      <w:tblPr>
        <w:tblStyle w:val="14"/>
        <w:tblW w:w="4998" w:type="pct"/>
        <w:jc w:val="center"/>
        <w:tblLayout w:type="autofit"/>
        <w:tblCellMar>
          <w:top w:w="0" w:type="dxa"/>
          <w:left w:w="0" w:type="dxa"/>
          <w:bottom w:w="0" w:type="dxa"/>
          <w:right w:w="0" w:type="dxa"/>
        </w:tblCellMar>
      </w:tblPr>
      <w:tblGrid>
        <w:gridCol w:w="872"/>
        <w:gridCol w:w="2166"/>
        <w:gridCol w:w="1791"/>
        <w:gridCol w:w="1403"/>
        <w:gridCol w:w="1223"/>
        <w:gridCol w:w="872"/>
      </w:tblGrid>
      <w:tr>
        <w:tblPrEx>
          <w:tblCellMar>
            <w:top w:w="0" w:type="dxa"/>
            <w:left w:w="0" w:type="dxa"/>
            <w:bottom w:w="0" w:type="dxa"/>
            <w:right w:w="0" w:type="dxa"/>
          </w:tblCellMar>
        </w:tblPrEx>
        <w:trPr>
          <w:trHeight w:val="327" w:hRule="atLeast"/>
          <w:jc w:val="center"/>
        </w:trPr>
        <w:tc>
          <w:tcPr>
            <w:tcW w:w="523"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序号 </w:t>
            </w:r>
          </w:p>
        </w:tc>
        <w:tc>
          <w:tcPr>
            <w:tcW w:w="1300"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eastAsia="宋体"/>
                <w:color w:val="000000"/>
                <w:sz w:val="22"/>
                <w:szCs w:val="22"/>
              </w:rPr>
            </w:pPr>
            <w:r>
              <w:rPr>
                <w:rStyle w:val="23"/>
                <w:rFonts w:hint="default"/>
                <w:lang w:bidi="ar"/>
              </w:rPr>
              <w:t xml:space="preserve"> 项目 </w:t>
            </w:r>
          </w:p>
        </w:tc>
        <w:tc>
          <w:tcPr>
            <w:tcW w:w="1075"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bottom"/>
          </w:tcPr>
          <w:p>
            <w:pPr>
              <w:widowControl/>
              <w:spacing w:line="0" w:lineRule="atLeast"/>
              <w:ind w:firstLine="0" w:firstLineChars="0"/>
              <w:jc w:val="center"/>
              <w:textAlignment w:val="bottom"/>
              <w:rPr>
                <w:rFonts w:hint="eastAsia" w:ascii="宋体" w:hAnsi="宋体" w:eastAsia="宋体" w:cs="宋体"/>
                <w:color w:val="000000"/>
                <w:sz w:val="24"/>
              </w:rPr>
            </w:pPr>
            <w:r>
              <w:rPr>
                <w:rFonts w:hint="eastAsia" w:ascii="宋体" w:hAnsi="宋体" w:eastAsia="宋体" w:cs="宋体"/>
                <w:color w:val="000000"/>
                <w:kern w:val="0"/>
                <w:sz w:val="24"/>
                <w:lang w:bidi="ar"/>
              </w:rPr>
              <w:t>金额</w:t>
            </w:r>
          </w:p>
        </w:tc>
        <w:tc>
          <w:tcPr>
            <w:tcW w:w="842"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bottom"/>
          </w:tcPr>
          <w:p>
            <w:pPr>
              <w:widowControl/>
              <w:spacing w:line="0" w:lineRule="atLeast"/>
              <w:ind w:firstLine="0" w:firstLineChars="0"/>
              <w:jc w:val="center"/>
              <w:textAlignment w:val="bottom"/>
              <w:rPr>
                <w:rFonts w:hint="eastAsia" w:ascii="宋体" w:hAnsi="宋体" w:eastAsia="宋体" w:cs="宋体"/>
                <w:color w:val="000000"/>
                <w:sz w:val="24"/>
              </w:rPr>
            </w:pPr>
            <w:r>
              <w:rPr>
                <w:rFonts w:hint="eastAsia" w:ascii="宋体" w:hAnsi="宋体" w:eastAsia="宋体" w:cs="宋体"/>
                <w:color w:val="000000"/>
                <w:kern w:val="0"/>
                <w:sz w:val="24"/>
                <w:lang w:bidi="ar"/>
              </w:rPr>
              <w:t>2021</w:t>
            </w:r>
          </w:p>
        </w:tc>
        <w:tc>
          <w:tcPr>
            <w:tcW w:w="734"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bottom"/>
          </w:tcPr>
          <w:p>
            <w:pPr>
              <w:widowControl/>
              <w:spacing w:line="0" w:lineRule="atLeast"/>
              <w:ind w:firstLine="0" w:firstLineChars="0"/>
              <w:jc w:val="center"/>
              <w:textAlignment w:val="bottom"/>
              <w:rPr>
                <w:rFonts w:hint="eastAsia" w:ascii="宋体" w:hAnsi="宋体" w:eastAsia="宋体" w:cs="宋体"/>
                <w:color w:val="000000"/>
                <w:sz w:val="24"/>
              </w:rPr>
            </w:pPr>
            <w:r>
              <w:rPr>
                <w:rFonts w:hint="eastAsia" w:ascii="宋体" w:hAnsi="宋体" w:eastAsia="宋体" w:cs="宋体"/>
                <w:color w:val="000000"/>
                <w:kern w:val="0"/>
                <w:sz w:val="24"/>
                <w:lang w:bidi="ar"/>
              </w:rPr>
              <w:t>2022</w:t>
            </w:r>
          </w:p>
        </w:tc>
        <w:tc>
          <w:tcPr>
            <w:tcW w:w="523"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bottom"/>
          </w:tcPr>
          <w:p>
            <w:pPr>
              <w:widowControl/>
              <w:spacing w:line="0" w:lineRule="atLeast"/>
              <w:ind w:firstLine="0" w:firstLineChars="0"/>
              <w:jc w:val="center"/>
              <w:textAlignment w:val="bottom"/>
              <w:rPr>
                <w:rFonts w:hint="eastAsia" w:ascii="宋体" w:hAnsi="宋体" w:eastAsia="宋体" w:cs="宋体"/>
                <w:color w:val="000000"/>
                <w:sz w:val="24"/>
              </w:rPr>
            </w:pPr>
            <w:r>
              <w:rPr>
                <w:rFonts w:hint="eastAsia" w:ascii="宋体" w:hAnsi="宋体" w:eastAsia="宋体" w:cs="宋体"/>
                <w:color w:val="000000"/>
                <w:kern w:val="0"/>
                <w:sz w:val="24"/>
                <w:lang w:bidi="ar"/>
              </w:rPr>
              <w:t>占比</w:t>
            </w:r>
          </w:p>
        </w:tc>
      </w:tr>
      <w:tr>
        <w:tblPrEx>
          <w:tblCellMar>
            <w:top w:w="0" w:type="dxa"/>
            <w:left w:w="0" w:type="dxa"/>
            <w:bottom w:w="0" w:type="dxa"/>
            <w:right w:w="0" w:type="dxa"/>
          </w:tblCellMar>
        </w:tblPrEx>
        <w:trPr>
          <w:trHeight w:val="390" w:hRule="atLeast"/>
          <w:jc w:val="center"/>
        </w:trPr>
        <w:tc>
          <w:tcPr>
            <w:tcW w:w="523"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eastAsia="宋体"/>
                <w:b/>
                <w:color w:val="000000"/>
                <w:sz w:val="22"/>
                <w:szCs w:val="22"/>
              </w:rPr>
            </w:pPr>
            <w:r>
              <w:rPr>
                <w:rFonts w:hint="eastAsia" w:ascii="宋体" w:hAnsi="宋体" w:eastAsia="宋体" w:cs="宋体"/>
                <w:b/>
                <w:color w:val="000000"/>
                <w:kern w:val="0"/>
                <w:sz w:val="22"/>
                <w:szCs w:val="22"/>
                <w:lang w:bidi="ar"/>
              </w:rPr>
              <w:t>一</w:t>
            </w:r>
          </w:p>
        </w:tc>
        <w:tc>
          <w:tcPr>
            <w:tcW w:w="1300"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eastAsia="宋体"/>
                <w:b/>
                <w:color w:val="000000"/>
                <w:sz w:val="22"/>
                <w:szCs w:val="22"/>
              </w:rPr>
            </w:pPr>
            <w:r>
              <w:rPr>
                <w:rFonts w:hint="eastAsia" w:ascii="宋体" w:hAnsi="宋体" w:eastAsia="宋体" w:cs="宋体"/>
                <w:b/>
                <w:color w:val="000000"/>
                <w:kern w:val="0"/>
                <w:sz w:val="22"/>
                <w:szCs w:val="22"/>
                <w:lang w:bidi="ar"/>
              </w:rPr>
              <w:t xml:space="preserve"> 总投资 </w:t>
            </w:r>
          </w:p>
        </w:tc>
        <w:tc>
          <w:tcPr>
            <w:tcW w:w="10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30,000.00 </w:t>
            </w:r>
          </w:p>
        </w:tc>
        <w:tc>
          <w:tcPr>
            <w:tcW w:w="842"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15,000.00 </w:t>
            </w:r>
          </w:p>
        </w:tc>
        <w:tc>
          <w:tcPr>
            <w:tcW w:w="734"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15,000.00 </w:t>
            </w:r>
          </w:p>
        </w:tc>
        <w:tc>
          <w:tcPr>
            <w:tcW w:w="523"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eastAsia="宋体"/>
                <w:color w:val="000000"/>
                <w:sz w:val="22"/>
                <w:szCs w:val="22"/>
              </w:rPr>
            </w:pPr>
            <w:r>
              <w:rPr>
                <w:rFonts w:eastAsia="宋体"/>
                <w:color w:val="000000"/>
                <w:kern w:val="0"/>
                <w:sz w:val="22"/>
                <w:szCs w:val="22"/>
                <w:lang w:bidi="ar"/>
              </w:rPr>
              <w:t>100.00%</w:t>
            </w:r>
          </w:p>
        </w:tc>
      </w:tr>
      <w:tr>
        <w:tblPrEx>
          <w:tblCellMar>
            <w:top w:w="0" w:type="dxa"/>
            <w:left w:w="0" w:type="dxa"/>
            <w:bottom w:w="0" w:type="dxa"/>
            <w:right w:w="0" w:type="dxa"/>
          </w:tblCellMar>
        </w:tblPrEx>
        <w:trPr>
          <w:trHeight w:val="390" w:hRule="atLeast"/>
          <w:jc w:val="center"/>
        </w:trPr>
        <w:tc>
          <w:tcPr>
            <w:tcW w:w="523"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eastAsia="宋体"/>
                <w:b/>
                <w:color w:val="000000"/>
                <w:sz w:val="22"/>
                <w:szCs w:val="22"/>
              </w:rPr>
            </w:pPr>
            <w:r>
              <w:rPr>
                <w:rFonts w:eastAsia="宋体"/>
                <w:b/>
                <w:color w:val="000000"/>
                <w:kern w:val="0"/>
                <w:sz w:val="22"/>
                <w:szCs w:val="22"/>
                <w:lang w:bidi="ar"/>
              </w:rPr>
              <w:t>1</w:t>
            </w:r>
          </w:p>
        </w:tc>
        <w:tc>
          <w:tcPr>
            <w:tcW w:w="1300"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eastAsia="宋体"/>
                <w:b/>
                <w:color w:val="000000"/>
                <w:sz w:val="22"/>
                <w:szCs w:val="22"/>
              </w:rPr>
            </w:pPr>
            <w:r>
              <w:rPr>
                <w:rStyle w:val="24"/>
                <w:rFonts w:hint="default"/>
                <w:lang w:bidi="ar"/>
              </w:rPr>
              <w:t xml:space="preserve"> 建设投资 </w:t>
            </w:r>
          </w:p>
        </w:tc>
        <w:tc>
          <w:tcPr>
            <w:tcW w:w="10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28,985.00 </w:t>
            </w:r>
          </w:p>
        </w:tc>
        <w:tc>
          <w:tcPr>
            <w:tcW w:w="842"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14,590.00 </w:t>
            </w:r>
          </w:p>
        </w:tc>
        <w:tc>
          <w:tcPr>
            <w:tcW w:w="734"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14,395.00 </w:t>
            </w:r>
          </w:p>
        </w:tc>
        <w:tc>
          <w:tcPr>
            <w:tcW w:w="523"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eastAsia="宋体"/>
                <w:color w:val="000000"/>
                <w:sz w:val="22"/>
                <w:szCs w:val="22"/>
              </w:rPr>
            </w:pPr>
            <w:r>
              <w:rPr>
                <w:rFonts w:eastAsia="宋体"/>
                <w:color w:val="000000"/>
                <w:kern w:val="0"/>
                <w:sz w:val="22"/>
                <w:szCs w:val="22"/>
                <w:lang w:bidi="ar"/>
              </w:rPr>
              <w:t>96.62%</w:t>
            </w:r>
          </w:p>
        </w:tc>
      </w:tr>
      <w:tr>
        <w:tblPrEx>
          <w:tblCellMar>
            <w:top w:w="0" w:type="dxa"/>
            <w:left w:w="0" w:type="dxa"/>
            <w:bottom w:w="0" w:type="dxa"/>
            <w:right w:w="0" w:type="dxa"/>
          </w:tblCellMar>
        </w:tblPrEx>
        <w:trPr>
          <w:trHeight w:val="390" w:hRule="atLeast"/>
          <w:jc w:val="center"/>
        </w:trPr>
        <w:tc>
          <w:tcPr>
            <w:tcW w:w="523"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1.1</w:t>
            </w:r>
          </w:p>
        </w:tc>
        <w:tc>
          <w:tcPr>
            <w:tcW w:w="1300"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工程费用</w:t>
            </w:r>
          </w:p>
        </w:tc>
        <w:tc>
          <w:tcPr>
            <w:tcW w:w="10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22,750.73 </w:t>
            </w:r>
          </w:p>
        </w:tc>
        <w:tc>
          <w:tcPr>
            <w:tcW w:w="842"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11,451.89 </w:t>
            </w:r>
          </w:p>
        </w:tc>
        <w:tc>
          <w:tcPr>
            <w:tcW w:w="734"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11,298.83 </w:t>
            </w:r>
          </w:p>
        </w:tc>
        <w:tc>
          <w:tcPr>
            <w:tcW w:w="523"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eastAsia="宋体"/>
                <w:color w:val="000000"/>
                <w:sz w:val="22"/>
                <w:szCs w:val="22"/>
              </w:rPr>
            </w:pPr>
            <w:r>
              <w:rPr>
                <w:rFonts w:eastAsia="宋体"/>
                <w:color w:val="000000"/>
                <w:kern w:val="0"/>
                <w:sz w:val="22"/>
                <w:szCs w:val="22"/>
                <w:lang w:bidi="ar"/>
              </w:rPr>
              <w:t>78.49%</w:t>
            </w:r>
          </w:p>
        </w:tc>
      </w:tr>
      <w:tr>
        <w:tblPrEx>
          <w:tblCellMar>
            <w:top w:w="0" w:type="dxa"/>
            <w:left w:w="0" w:type="dxa"/>
            <w:bottom w:w="0" w:type="dxa"/>
            <w:right w:w="0" w:type="dxa"/>
          </w:tblCellMar>
        </w:tblPrEx>
        <w:trPr>
          <w:trHeight w:val="390" w:hRule="atLeast"/>
          <w:jc w:val="center"/>
        </w:trPr>
        <w:tc>
          <w:tcPr>
            <w:tcW w:w="523"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1.2</w:t>
            </w:r>
          </w:p>
        </w:tc>
        <w:tc>
          <w:tcPr>
            <w:tcW w:w="1300"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工程建设其他费用</w:t>
            </w:r>
          </w:p>
        </w:tc>
        <w:tc>
          <w:tcPr>
            <w:tcW w:w="10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5,002.10 </w:t>
            </w:r>
          </w:p>
        </w:tc>
        <w:tc>
          <w:tcPr>
            <w:tcW w:w="842"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2,517.87 </w:t>
            </w:r>
          </w:p>
        </w:tc>
        <w:tc>
          <w:tcPr>
            <w:tcW w:w="734"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2,484.22 </w:t>
            </w:r>
          </w:p>
        </w:tc>
        <w:tc>
          <w:tcPr>
            <w:tcW w:w="523"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eastAsia="宋体"/>
                <w:color w:val="000000"/>
                <w:sz w:val="22"/>
                <w:szCs w:val="22"/>
              </w:rPr>
            </w:pPr>
            <w:r>
              <w:rPr>
                <w:rFonts w:eastAsia="宋体"/>
                <w:color w:val="000000"/>
                <w:kern w:val="0"/>
                <w:sz w:val="22"/>
                <w:szCs w:val="22"/>
                <w:lang w:bidi="ar"/>
              </w:rPr>
              <w:t>17.26%</w:t>
            </w:r>
          </w:p>
        </w:tc>
      </w:tr>
      <w:tr>
        <w:tblPrEx>
          <w:tblCellMar>
            <w:top w:w="0" w:type="dxa"/>
            <w:left w:w="0" w:type="dxa"/>
            <w:bottom w:w="0" w:type="dxa"/>
            <w:right w:w="0" w:type="dxa"/>
          </w:tblCellMar>
        </w:tblPrEx>
        <w:trPr>
          <w:trHeight w:val="390" w:hRule="atLeast"/>
          <w:jc w:val="center"/>
        </w:trPr>
        <w:tc>
          <w:tcPr>
            <w:tcW w:w="523" w:type="pct"/>
            <w:tcBorders>
              <w:top w:val="single" w:color="000000" w:sz="4" w:space="0"/>
              <w:left w:val="single" w:color="000000" w:sz="4" w:space="0"/>
              <w:bottom w:val="single" w:color="000000" w:sz="4" w:space="0"/>
              <w:right w:val="single" w:color="000000" w:sz="4" w:space="0"/>
            </w:tcBorders>
            <w:shd w:val="clear" w:color="auto" w:fill="FFFFFF"/>
            <w:noWrap w:val="0"/>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1.3</w:t>
            </w:r>
          </w:p>
        </w:tc>
        <w:tc>
          <w:tcPr>
            <w:tcW w:w="1300"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预备费</w:t>
            </w:r>
          </w:p>
        </w:tc>
        <w:tc>
          <w:tcPr>
            <w:tcW w:w="10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1,232.18 </w:t>
            </w:r>
          </w:p>
        </w:tc>
        <w:tc>
          <w:tcPr>
            <w:tcW w:w="842"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620.24 </w:t>
            </w:r>
          </w:p>
        </w:tc>
        <w:tc>
          <w:tcPr>
            <w:tcW w:w="734"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611.95 </w:t>
            </w:r>
          </w:p>
        </w:tc>
        <w:tc>
          <w:tcPr>
            <w:tcW w:w="523"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eastAsia="宋体"/>
                <w:color w:val="000000"/>
                <w:sz w:val="22"/>
                <w:szCs w:val="22"/>
              </w:rPr>
            </w:pPr>
            <w:r>
              <w:rPr>
                <w:rFonts w:eastAsia="宋体"/>
                <w:color w:val="000000"/>
                <w:kern w:val="0"/>
                <w:sz w:val="22"/>
                <w:szCs w:val="22"/>
                <w:lang w:bidi="ar"/>
              </w:rPr>
              <w:t>4.25%</w:t>
            </w:r>
          </w:p>
        </w:tc>
      </w:tr>
      <w:tr>
        <w:tblPrEx>
          <w:tblCellMar>
            <w:top w:w="0" w:type="dxa"/>
            <w:left w:w="0" w:type="dxa"/>
            <w:bottom w:w="0" w:type="dxa"/>
            <w:right w:w="0" w:type="dxa"/>
          </w:tblCellMar>
        </w:tblPrEx>
        <w:trPr>
          <w:trHeight w:val="390" w:hRule="atLeast"/>
          <w:jc w:val="center"/>
        </w:trPr>
        <w:tc>
          <w:tcPr>
            <w:tcW w:w="523"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eastAsia="宋体"/>
                <w:color w:val="000000"/>
                <w:sz w:val="22"/>
                <w:szCs w:val="22"/>
              </w:rPr>
            </w:pPr>
            <w:r>
              <w:rPr>
                <w:rFonts w:eastAsia="宋体"/>
                <w:color w:val="000000"/>
                <w:kern w:val="0"/>
                <w:sz w:val="22"/>
                <w:szCs w:val="22"/>
                <w:lang w:bidi="ar"/>
              </w:rPr>
              <w:t>2</w:t>
            </w:r>
          </w:p>
        </w:tc>
        <w:tc>
          <w:tcPr>
            <w:tcW w:w="1300"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建设期利息</w:t>
            </w:r>
          </w:p>
        </w:tc>
        <w:tc>
          <w:tcPr>
            <w:tcW w:w="10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1,000.00 </w:t>
            </w:r>
          </w:p>
        </w:tc>
        <w:tc>
          <w:tcPr>
            <w:tcW w:w="842"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400.00 </w:t>
            </w:r>
          </w:p>
        </w:tc>
        <w:tc>
          <w:tcPr>
            <w:tcW w:w="734"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600.00 </w:t>
            </w:r>
          </w:p>
        </w:tc>
        <w:tc>
          <w:tcPr>
            <w:tcW w:w="523"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eastAsia="宋体"/>
                <w:color w:val="000000"/>
                <w:sz w:val="22"/>
                <w:szCs w:val="22"/>
              </w:rPr>
            </w:pPr>
            <w:r>
              <w:rPr>
                <w:rFonts w:eastAsia="宋体"/>
                <w:color w:val="000000"/>
                <w:kern w:val="0"/>
                <w:sz w:val="22"/>
                <w:szCs w:val="22"/>
                <w:lang w:bidi="ar"/>
              </w:rPr>
              <w:t>3.33%</w:t>
            </w:r>
          </w:p>
        </w:tc>
      </w:tr>
      <w:tr>
        <w:tblPrEx>
          <w:tblCellMar>
            <w:top w:w="0" w:type="dxa"/>
            <w:left w:w="0" w:type="dxa"/>
            <w:bottom w:w="0" w:type="dxa"/>
            <w:right w:w="0" w:type="dxa"/>
          </w:tblCellMar>
        </w:tblPrEx>
        <w:trPr>
          <w:trHeight w:val="390" w:hRule="atLeast"/>
          <w:jc w:val="center"/>
        </w:trPr>
        <w:tc>
          <w:tcPr>
            <w:tcW w:w="523"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eastAsia="宋体"/>
                <w:color w:val="000000"/>
                <w:sz w:val="22"/>
                <w:szCs w:val="22"/>
              </w:rPr>
            </w:pPr>
            <w:r>
              <w:rPr>
                <w:rFonts w:eastAsia="宋体"/>
                <w:color w:val="000000"/>
                <w:kern w:val="0"/>
                <w:sz w:val="22"/>
                <w:szCs w:val="22"/>
                <w:lang w:bidi="ar"/>
              </w:rPr>
              <w:t>3</w:t>
            </w:r>
          </w:p>
        </w:tc>
        <w:tc>
          <w:tcPr>
            <w:tcW w:w="1300"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发行费用</w:t>
            </w:r>
          </w:p>
        </w:tc>
        <w:tc>
          <w:tcPr>
            <w:tcW w:w="10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15.00 </w:t>
            </w:r>
          </w:p>
        </w:tc>
        <w:tc>
          <w:tcPr>
            <w:tcW w:w="842"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10.00 </w:t>
            </w:r>
          </w:p>
        </w:tc>
        <w:tc>
          <w:tcPr>
            <w:tcW w:w="734"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5.00 </w:t>
            </w:r>
          </w:p>
        </w:tc>
        <w:tc>
          <w:tcPr>
            <w:tcW w:w="523"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eastAsia="宋体"/>
                <w:color w:val="000000"/>
                <w:sz w:val="22"/>
                <w:szCs w:val="22"/>
              </w:rPr>
            </w:pPr>
            <w:r>
              <w:rPr>
                <w:rFonts w:eastAsia="宋体"/>
                <w:color w:val="000000"/>
                <w:kern w:val="0"/>
                <w:sz w:val="22"/>
                <w:szCs w:val="22"/>
                <w:lang w:bidi="ar"/>
              </w:rPr>
              <w:t>0.05%</w:t>
            </w:r>
          </w:p>
        </w:tc>
      </w:tr>
      <w:tr>
        <w:tblPrEx>
          <w:tblCellMar>
            <w:top w:w="0" w:type="dxa"/>
            <w:left w:w="0" w:type="dxa"/>
            <w:bottom w:w="0" w:type="dxa"/>
            <w:right w:w="0" w:type="dxa"/>
          </w:tblCellMar>
        </w:tblPrEx>
        <w:trPr>
          <w:trHeight w:val="288" w:hRule="atLeast"/>
          <w:jc w:val="center"/>
        </w:trPr>
        <w:tc>
          <w:tcPr>
            <w:tcW w:w="523"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二</w:t>
            </w:r>
          </w:p>
        </w:tc>
        <w:tc>
          <w:tcPr>
            <w:tcW w:w="1300"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eastAsia="宋体"/>
                <w:b/>
                <w:color w:val="000000"/>
                <w:sz w:val="22"/>
                <w:szCs w:val="22"/>
              </w:rPr>
            </w:pPr>
            <w:r>
              <w:rPr>
                <w:rFonts w:hint="eastAsia" w:ascii="宋体" w:hAnsi="宋体" w:eastAsia="宋体" w:cs="宋体"/>
                <w:b/>
                <w:color w:val="000000"/>
                <w:kern w:val="0"/>
                <w:sz w:val="22"/>
                <w:szCs w:val="22"/>
                <w:lang w:bidi="ar"/>
              </w:rPr>
              <w:t xml:space="preserve"> 筹资 </w:t>
            </w:r>
          </w:p>
        </w:tc>
        <w:tc>
          <w:tcPr>
            <w:tcW w:w="10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30,000.00 </w:t>
            </w:r>
          </w:p>
        </w:tc>
        <w:tc>
          <w:tcPr>
            <w:tcW w:w="842"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15,000.00 </w:t>
            </w:r>
          </w:p>
        </w:tc>
        <w:tc>
          <w:tcPr>
            <w:tcW w:w="734"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15,000.00 </w:t>
            </w:r>
          </w:p>
        </w:tc>
        <w:tc>
          <w:tcPr>
            <w:tcW w:w="523"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eastAsia="宋体"/>
                <w:color w:val="000000"/>
                <w:sz w:val="22"/>
                <w:szCs w:val="22"/>
              </w:rPr>
            </w:pPr>
            <w:r>
              <w:rPr>
                <w:rFonts w:eastAsia="宋体"/>
                <w:color w:val="000000"/>
                <w:kern w:val="0"/>
                <w:sz w:val="22"/>
                <w:szCs w:val="22"/>
                <w:lang w:bidi="ar"/>
              </w:rPr>
              <w:t>100.00%</w:t>
            </w:r>
          </w:p>
        </w:tc>
      </w:tr>
      <w:tr>
        <w:tblPrEx>
          <w:tblCellMar>
            <w:top w:w="0" w:type="dxa"/>
            <w:left w:w="0" w:type="dxa"/>
            <w:bottom w:w="0" w:type="dxa"/>
            <w:right w:w="0" w:type="dxa"/>
          </w:tblCellMar>
        </w:tblPrEx>
        <w:trPr>
          <w:trHeight w:val="288" w:hRule="atLeast"/>
          <w:jc w:val="center"/>
        </w:trPr>
        <w:tc>
          <w:tcPr>
            <w:tcW w:w="523"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eastAsia="宋体"/>
                <w:b/>
                <w:color w:val="000000"/>
                <w:sz w:val="22"/>
                <w:szCs w:val="22"/>
              </w:rPr>
            </w:pPr>
            <w:r>
              <w:rPr>
                <w:rFonts w:eastAsia="宋体"/>
                <w:b/>
                <w:color w:val="000000"/>
                <w:kern w:val="0"/>
                <w:sz w:val="22"/>
                <w:szCs w:val="22"/>
                <w:lang w:bidi="ar"/>
              </w:rPr>
              <w:t>1</w:t>
            </w:r>
          </w:p>
        </w:tc>
        <w:tc>
          <w:tcPr>
            <w:tcW w:w="1300"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 xml:space="preserve"> 项目资本金 </w:t>
            </w:r>
          </w:p>
        </w:tc>
        <w:tc>
          <w:tcPr>
            <w:tcW w:w="10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15,000.00 </w:t>
            </w:r>
          </w:p>
        </w:tc>
        <w:tc>
          <w:tcPr>
            <w:tcW w:w="842"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5,000.00 </w:t>
            </w:r>
          </w:p>
        </w:tc>
        <w:tc>
          <w:tcPr>
            <w:tcW w:w="734"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10,000.00 </w:t>
            </w:r>
          </w:p>
        </w:tc>
        <w:tc>
          <w:tcPr>
            <w:tcW w:w="523"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eastAsia="宋体"/>
                <w:color w:val="000000"/>
                <w:sz w:val="22"/>
                <w:szCs w:val="22"/>
              </w:rPr>
            </w:pPr>
            <w:r>
              <w:rPr>
                <w:rFonts w:eastAsia="宋体"/>
                <w:color w:val="000000"/>
                <w:kern w:val="0"/>
                <w:sz w:val="22"/>
                <w:szCs w:val="22"/>
                <w:lang w:bidi="ar"/>
              </w:rPr>
              <w:t>50.00%</w:t>
            </w:r>
          </w:p>
        </w:tc>
      </w:tr>
      <w:tr>
        <w:tblPrEx>
          <w:tblCellMar>
            <w:top w:w="0" w:type="dxa"/>
            <w:left w:w="0" w:type="dxa"/>
            <w:bottom w:w="0" w:type="dxa"/>
            <w:right w:w="0" w:type="dxa"/>
          </w:tblCellMar>
        </w:tblPrEx>
        <w:trPr>
          <w:trHeight w:val="288" w:hRule="atLeast"/>
          <w:jc w:val="center"/>
        </w:trPr>
        <w:tc>
          <w:tcPr>
            <w:tcW w:w="523"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eastAsia="宋体"/>
                <w:b/>
                <w:color w:val="000000"/>
                <w:sz w:val="22"/>
                <w:szCs w:val="22"/>
              </w:rPr>
            </w:pPr>
            <w:r>
              <w:rPr>
                <w:rFonts w:eastAsia="宋体"/>
                <w:b/>
                <w:color w:val="000000"/>
                <w:kern w:val="0"/>
                <w:sz w:val="22"/>
                <w:szCs w:val="22"/>
                <w:lang w:bidi="ar"/>
              </w:rPr>
              <w:t>2</w:t>
            </w:r>
          </w:p>
        </w:tc>
        <w:tc>
          <w:tcPr>
            <w:tcW w:w="1300"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 xml:space="preserve"> 专项债 </w:t>
            </w:r>
          </w:p>
        </w:tc>
        <w:tc>
          <w:tcPr>
            <w:tcW w:w="1075"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15,000.00 </w:t>
            </w:r>
          </w:p>
        </w:tc>
        <w:tc>
          <w:tcPr>
            <w:tcW w:w="842"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10,000.00 </w:t>
            </w:r>
          </w:p>
        </w:tc>
        <w:tc>
          <w:tcPr>
            <w:tcW w:w="734" w:type="pc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widowControl/>
              <w:spacing w:line="0" w:lineRule="atLeast"/>
              <w:ind w:firstLine="0" w:firstLineChars="0"/>
              <w:jc w:val="center"/>
              <w:textAlignment w:val="center"/>
              <w:rPr>
                <w:rFonts w:hint="eastAsia" w:ascii="宋体" w:hAnsi="宋体" w:eastAsia="宋体" w:cs="宋体"/>
                <w:color w:val="000000"/>
                <w:sz w:val="22"/>
                <w:szCs w:val="22"/>
              </w:rPr>
            </w:pPr>
            <w:r>
              <w:rPr>
                <w:rFonts w:hint="eastAsia" w:ascii="宋体" w:hAnsi="宋体" w:eastAsia="宋体" w:cs="宋体"/>
                <w:color w:val="000000"/>
                <w:kern w:val="0"/>
                <w:sz w:val="22"/>
                <w:szCs w:val="22"/>
                <w:lang w:bidi="ar"/>
              </w:rPr>
              <w:t xml:space="preserve"> 5,000.00 </w:t>
            </w:r>
          </w:p>
        </w:tc>
        <w:tc>
          <w:tcPr>
            <w:tcW w:w="523" w:type="pct"/>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pPr>
              <w:widowControl/>
              <w:spacing w:line="0" w:lineRule="atLeast"/>
              <w:ind w:firstLine="0" w:firstLineChars="0"/>
              <w:jc w:val="center"/>
              <w:textAlignment w:val="center"/>
              <w:rPr>
                <w:rFonts w:eastAsia="宋体"/>
                <w:color w:val="000000"/>
                <w:sz w:val="22"/>
                <w:szCs w:val="22"/>
              </w:rPr>
            </w:pPr>
            <w:r>
              <w:rPr>
                <w:rFonts w:eastAsia="宋体"/>
                <w:color w:val="000000"/>
                <w:kern w:val="0"/>
                <w:sz w:val="22"/>
                <w:szCs w:val="22"/>
                <w:lang w:bidi="ar"/>
              </w:rPr>
              <w:t>50.00%</w:t>
            </w:r>
          </w:p>
        </w:tc>
      </w:tr>
    </w:tbl>
    <w:p>
      <w:pPr>
        <w:pStyle w:val="2"/>
        <w:adjustRightInd w:val="0"/>
        <w:snapToGrid w:val="0"/>
        <w:spacing w:line="300" w:lineRule="auto"/>
        <w:jc w:val="center"/>
        <w:rPr>
          <w:rFonts w:ascii="Times New Roman" w:hAnsi="Times New Roman" w:eastAsia="仿宋_GB2312" w:cs="Times New Roman"/>
          <w:sz w:val="28"/>
          <w:szCs w:val="28"/>
        </w:rPr>
      </w:pPr>
    </w:p>
    <w:p>
      <w:pPr>
        <w:adjustRightInd w:val="0"/>
        <w:snapToGrid w:val="0"/>
        <w:spacing w:beforeLines="50" w:line="360" w:lineRule="auto"/>
        <w:ind w:firstLine="640" w:firstLineChars="200"/>
        <w:outlineLvl w:val="0"/>
        <w:rPr>
          <w:rFonts w:ascii="Times New Roman" w:hAnsi="Times New Roman" w:eastAsia="黑体" w:cs="Times New Roman"/>
          <w:sz w:val="32"/>
          <w:szCs w:val="32"/>
        </w:rPr>
      </w:pPr>
      <w:r>
        <w:rPr>
          <w:rFonts w:ascii="Times New Roman" w:hAnsi="Times New Roman" w:eastAsia="黑体" w:cs="Times New Roman"/>
          <w:sz w:val="32"/>
          <w:szCs w:val="32"/>
        </w:rPr>
        <w:t>四、项目预期收益、成本及融资平衡情况</w:t>
      </w:r>
    </w:p>
    <w:p>
      <w:pPr>
        <w:pStyle w:val="4"/>
        <w:keepNext w:val="0"/>
        <w:keepLines w:val="0"/>
        <w:framePr w:wrap="auto" w:vAnchor="margin" w:hAnchor="text" w:yAlign="inline"/>
        <w:suppressAutoHyphens/>
        <w:adjustRightInd w:val="0"/>
        <w:snapToGrid w:val="0"/>
        <w:spacing w:before="0" w:after="0" w:line="300" w:lineRule="auto"/>
        <w:ind w:firstLine="562"/>
        <w:jc w:val="both"/>
        <w:rPr>
          <w:rFonts w:ascii="Times New Roman" w:hAnsi="Times New Roman" w:eastAsia="仿宋_GB2312" w:cs="Times New Roman"/>
          <w:bCs w:val="0"/>
          <w:sz w:val="28"/>
          <w:szCs w:val="28"/>
        </w:rPr>
      </w:pPr>
      <w:r>
        <w:rPr>
          <w:rFonts w:ascii="Times New Roman" w:hAnsi="Times New Roman" w:eastAsia="仿宋_GB2312" w:cs="Times New Roman"/>
          <w:bCs w:val="0"/>
          <w:sz w:val="28"/>
          <w:szCs w:val="28"/>
        </w:rPr>
        <w:t>（一）预期收益</w:t>
      </w:r>
    </w:p>
    <w:p>
      <w:pPr>
        <w:pStyle w:val="3"/>
        <w:adjustRightInd w:val="0"/>
        <w:snapToGrid w:val="0"/>
        <w:spacing w:before="0" w:after="0" w:line="300" w:lineRule="auto"/>
        <w:ind w:firstLine="562" w:firstLineChars="200"/>
        <w:rPr>
          <w:rFonts w:ascii="Times New Roman" w:hAnsi="Times New Roman" w:cs="Times New Roman"/>
          <w:sz w:val="28"/>
          <w:szCs w:val="28"/>
        </w:rPr>
      </w:pPr>
      <w:r>
        <w:rPr>
          <w:rFonts w:ascii="Times New Roman" w:hAnsi="Times New Roman" w:eastAsia="仿宋_GB2312" w:cs="Times New Roman"/>
          <w:sz w:val="28"/>
          <w:szCs w:val="28"/>
        </w:rPr>
        <w:t>1.项目收入</w:t>
      </w:r>
    </w:p>
    <w:p>
      <w:pPr>
        <w:pStyle w:val="2"/>
        <w:adjustRightInd w:val="0"/>
        <w:snapToGrid w:val="0"/>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本项目建成和投入使用后，营业收入主要包括工业厂房出租及停车场等相关运营收入。</w:t>
      </w:r>
    </w:p>
    <w:p>
      <w:pPr>
        <w:pStyle w:val="2"/>
        <w:adjustRightInd w:val="0"/>
        <w:snapToGrid w:val="0"/>
        <w:spacing w:after="0" w:line="300" w:lineRule="auto"/>
        <w:ind w:firstLine="560" w:firstLineChars="200"/>
        <w:rPr>
          <w:rFonts w:ascii="Times New Roman" w:hAnsi="Times New Roman" w:cs="Times New Roman"/>
          <w:sz w:val="28"/>
          <w:szCs w:val="28"/>
        </w:rPr>
      </w:pPr>
      <w:r>
        <w:rPr>
          <w:rFonts w:ascii="Times New Roman" w:hAnsi="Times New Roman" w:eastAsia="仿宋_GB2312" w:cs="Times New Roman"/>
          <w:sz w:val="28"/>
          <w:szCs w:val="28"/>
        </w:rPr>
        <w:t>经测算，在债券存续期内，本项目经营收入合计</w:t>
      </w:r>
      <w:r>
        <w:rPr>
          <w:rFonts w:hint="eastAsia" w:ascii="Times New Roman" w:hAnsi="Times New Roman" w:eastAsia="仿宋_GB2312" w:cs="Times New Roman"/>
          <w:sz w:val="28"/>
          <w:szCs w:val="28"/>
          <w:lang w:val="en-US" w:eastAsia="zh-CN"/>
        </w:rPr>
        <w:t>60433.54</w:t>
      </w:r>
      <w:r>
        <w:rPr>
          <w:rFonts w:ascii="Times New Roman" w:hAnsi="Times New Roman" w:eastAsia="仿宋_GB2312" w:cs="Times New Roman"/>
          <w:sz w:val="28"/>
          <w:szCs w:val="28"/>
        </w:rPr>
        <w:t>万元。</w:t>
      </w:r>
    </w:p>
    <w:p>
      <w:pPr>
        <w:pStyle w:val="2"/>
        <w:adjustRightInd w:val="0"/>
        <w:snapToGrid w:val="0"/>
        <w:spacing w:after="0" w:line="300" w:lineRule="auto"/>
        <w:ind w:firstLine="562" w:firstLineChars="200"/>
        <w:rPr>
          <w:rFonts w:ascii="Times New Roman" w:hAnsi="Times New Roman" w:eastAsia="仿宋_GB2312" w:cs="Times New Roman"/>
          <w:sz w:val="28"/>
          <w:szCs w:val="28"/>
        </w:rPr>
      </w:pPr>
      <w:r>
        <w:rPr>
          <w:rFonts w:ascii="Times New Roman" w:hAnsi="Times New Roman" w:eastAsia="仿宋_GB2312" w:cs="Times New Roman"/>
          <w:b/>
          <w:bCs/>
          <w:sz w:val="28"/>
          <w:szCs w:val="28"/>
        </w:rPr>
        <w:t>2.项目成本</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该项目总成本费用包括员工工资及福利费、管理费用、折旧费用、财务费用等。</w:t>
      </w:r>
    </w:p>
    <w:p>
      <w:pPr>
        <w:pStyle w:val="4"/>
        <w:keepNext w:val="0"/>
        <w:keepLines w:val="0"/>
        <w:framePr w:wrap="auto" w:vAnchor="margin" w:hAnchor="text" w:yAlign="inline"/>
        <w:suppressAutoHyphens/>
        <w:adjustRightInd w:val="0"/>
        <w:snapToGrid w:val="0"/>
        <w:spacing w:before="0" w:after="0" w:line="300" w:lineRule="auto"/>
        <w:ind w:firstLine="562"/>
        <w:jc w:val="both"/>
        <w:rPr>
          <w:rFonts w:ascii="Times New Roman" w:hAnsi="Times New Roman" w:eastAsia="仿宋_GB2312" w:cs="Times New Roman"/>
          <w:bCs w:val="0"/>
          <w:sz w:val="28"/>
          <w:szCs w:val="28"/>
        </w:rPr>
      </w:pPr>
      <w:r>
        <w:rPr>
          <w:rFonts w:ascii="Times New Roman" w:hAnsi="Times New Roman" w:eastAsia="仿宋_GB2312" w:cs="Times New Roman"/>
          <w:bCs w:val="0"/>
          <w:sz w:val="28"/>
          <w:szCs w:val="28"/>
        </w:rPr>
        <w:t>（二）资金测算平衡情况</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若项目在满足上述资金筹集计划、项目实施计划、资金使用计划及预期收益的的假设前提下，本项目债券期限内：可用于还本付息的资金总额33260.22万元，债券本息合计27000万元，偿债覆盖率为1.23。</w:t>
      </w:r>
    </w:p>
    <w:p>
      <w:pPr>
        <w:pStyle w:val="2"/>
        <w:adjustRightInd w:val="0"/>
        <w:snapToGrid w:val="0"/>
        <w:spacing w:after="0" w:line="300" w:lineRule="auto"/>
        <w:ind w:firstLine="560" w:firstLineChars="200"/>
        <w:rPr>
          <w:rFonts w:ascii="Times New Roman" w:hAnsi="Times New Roman" w:eastAsia="仿宋_GB2312" w:cs="Times New Roman"/>
          <w:sz w:val="28"/>
          <w:szCs w:val="28"/>
        </w:rPr>
        <w:sectPr>
          <w:headerReference r:id="rId3" w:type="default"/>
          <w:footerReference r:id="rId4" w:type="default"/>
          <w:pgSz w:w="11906" w:h="16838"/>
          <w:pgMar w:top="1440" w:right="1800" w:bottom="1440" w:left="1800" w:header="851" w:footer="992" w:gutter="0"/>
          <w:cols w:space="425" w:num="1"/>
          <w:docGrid w:type="lines" w:linePitch="312" w:charSpace="0"/>
        </w:sectPr>
      </w:pPr>
      <w:r>
        <w:rPr>
          <w:rFonts w:hint="eastAsia" w:ascii="Times New Roman" w:hAnsi="Times New Roman" w:eastAsia="仿宋_GB2312" w:cs="Times New Roman"/>
          <w:sz w:val="28"/>
          <w:szCs w:val="28"/>
        </w:rPr>
        <w:t>项目</w:t>
      </w:r>
      <w:r>
        <w:rPr>
          <w:rFonts w:ascii="Times New Roman" w:hAnsi="Times New Roman" w:eastAsia="仿宋_GB2312" w:cs="Times New Roman"/>
          <w:sz w:val="28"/>
          <w:szCs w:val="28"/>
        </w:rPr>
        <w:t>资金平衡表见下表：</w:t>
      </w:r>
    </w:p>
    <w:p>
      <w:pPr>
        <w:pStyle w:val="2"/>
        <w:spacing w:before="0" w:after="0" w:line="580" w:lineRule="exact"/>
        <w:ind w:firstLine="0" w:firstLineChars="0"/>
        <w:jc w:val="center"/>
        <w:rPr>
          <w:rFonts w:hint="eastAsia" w:ascii="仿宋_GB2312" w:hAnsi="Calibri" w:eastAsia="仿宋_GB2312"/>
          <w:kern w:val="2"/>
          <w:sz w:val="28"/>
          <w:szCs w:val="32"/>
          <w:lang w:val="en-US"/>
        </w:rPr>
      </w:pPr>
      <w:r>
        <w:rPr>
          <w:rFonts w:hint="eastAsia" w:ascii="仿宋_GB2312" w:hAnsi="Calibri" w:eastAsia="仿宋_GB2312"/>
          <w:kern w:val="2"/>
          <w:sz w:val="28"/>
          <w:szCs w:val="32"/>
          <w:lang w:val="en-US"/>
        </w:rPr>
        <w:t>资金</w:t>
      </w:r>
      <w:r>
        <w:rPr>
          <w:rFonts w:ascii="仿宋_GB2312" w:hAnsi="Calibri" w:eastAsia="仿宋_GB2312"/>
          <w:kern w:val="2"/>
          <w:sz w:val="28"/>
          <w:szCs w:val="32"/>
          <w:lang w:val="en-US"/>
        </w:rPr>
        <w:t>平衡表</w:t>
      </w:r>
      <w:r>
        <w:rPr>
          <w:rFonts w:hint="eastAsia" w:ascii="仿宋_GB2312" w:hAnsi="Calibri" w:eastAsia="仿宋_GB2312"/>
          <w:kern w:val="2"/>
          <w:sz w:val="28"/>
          <w:szCs w:val="32"/>
          <w:lang w:val="en-US"/>
        </w:rPr>
        <w:t>（单位：万元）</w:t>
      </w:r>
    </w:p>
    <w:p>
      <w:pPr>
        <w:pStyle w:val="2"/>
        <w:adjustRightInd w:val="0"/>
        <w:snapToGrid w:val="0"/>
        <w:spacing w:after="0" w:line="300" w:lineRule="auto"/>
        <w:ind w:leftChars="-270" w:hanging="567" w:hangingChars="270"/>
        <w:rPr>
          <w:rFonts w:ascii="Times New Roman" w:hAnsi="Times New Roman" w:eastAsia="仿宋_GB2312" w:cs="Times New Roman"/>
          <w:sz w:val="28"/>
          <w:szCs w:val="28"/>
        </w:rPr>
        <w:sectPr>
          <w:pgSz w:w="16838" w:h="11906" w:orient="landscape"/>
          <w:pgMar w:top="1800" w:right="1440" w:bottom="1800" w:left="1440" w:header="851" w:footer="992" w:gutter="0"/>
          <w:cols w:space="425" w:num="1"/>
          <w:docGrid w:type="lines" w:linePitch="312" w:charSpace="0"/>
        </w:sectPr>
      </w:pPr>
      <w:r>
        <w:drawing>
          <wp:inline distT="0" distB="0" distL="114300" distR="114300">
            <wp:extent cx="9720580" cy="3348355"/>
            <wp:effectExtent l="0" t="0" r="1397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9720580" cy="3348355"/>
                    </a:xfrm>
                    <a:prstGeom prst="rect">
                      <a:avLst/>
                    </a:prstGeom>
                    <a:noFill/>
                    <a:ln>
                      <a:noFill/>
                    </a:ln>
                  </pic:spPr>
                </pic:pic>
              </a:graphicData>
            </a:graphic>
          </wp:inline>
        </w:drawing>
      </w:r>
    </w:p>
    <w:p>
      <w:pPr>
        <w:adjustRightInd w:val="0"/>
        <w:snapToGrid w:val="0"/>
        <w:spacing w:beforeLines="50" w:line="360" w:lineRule="auto"/>
        <w:ind w:firstLine="640" w:firstLineChars="200"/>
        <w:outlineLvl w:val="0"/>
        <w:rPr>
          <w:rFonts w:ascii="Times New Roman" w:hAnsi="Times New Roman" w:eastAsia="黑体" w:cs="Times New Roman"/>
          <w:sz w:val="32"/>
          <w:szCs w:val="32"/>
        </w:rPr>
      </w:pPr>
      <w:r>
        <w:rPr>
          <w:rFonts w:ascii="Times New Roman" w:hAnsi="Times New Roman" w:eastAsia="黑体" w:cs="Times New Roman"/>
          <w:sz w:val="32"/>
          <w:szCs w:val="32"/>
        </w:rPr>
        <w:t>五、项目绩效目标</w:t>
      </w:r>
    </w:p>
    <w:p>
      <w:pPr>
        <w:pStyle w:val="2"/>
        <w:adjustRightInd w:val="0"/>
        <w:snapToGrid w:val="0"/>
        <w:spacing w:line="300" w:lineRule="auto"/>
        <w:ind w:firstLine="560" w:firstLineChars="200"/>
        <w:rPr>
          <w:rFonts w:ascii="Times New Roman" w:hAnsi="Times New Roman" w:eastAsia="仿宋_GB2312" w:cs="Times New Roman"/>
          <w:sz w:val="28"/>
          <w:szCs w:val="28"/>
        </w:rPr>
      </w:pPr>
      <w:bookmarkStart w:id="40" w:name="_Toc22004_WPSOffice_Level2"/>
      <w:r>
        <w:rPr>
          <w:rFonts w:hint="eastAsia" w:ascii="Times New Roman" w:hAnsi="Times New Roman" w:eastAsia="仿宋_GB2312" w:cs="Times New Roman"/>
          <w:sz w:val="28"/>
          <w:szCs w:val="28"/>
        </w:rPr>
        <w:t>时效目标:债券发行期为20年。债券20年内还本付息，</w:t>
      </w:r>
      <w:r>
        <w:rPr>
          <w:rFonts w:hint="eastAsia" w:ascii="Times New Roman" w:hAnsi="Times New Roman" w:eastAsia="仿宋_GB2312" w:cs="Times New Roman"/>
          <w:sz w:val="28"/>
          <w:szCs w:val="28"/>
          <w:lang w:eastAsia="zh-CN"/>
        </w:rPr>
        <w:t>汶川</w:t>
      </w:r>
      <w:r>
        <w:rPr>
          <w:rFonts w:hint="eastAsia" w:ascii="Times New Roman" w:hAnsi="Times New Roman" w:eastAsia="仿宋_GB2312" w:cs="Times New Roman"/>
          <w:sz w:val="28"/>
          <w:szCs w:val="28"/>
        </w:rPr>
        <w:t>县人民政府可根据项目实施及收益情况提前还本付息。</w:t>
      </w:r>
    </w:p>
    <w:p>
      <w:pPr>
        <w:pStyle w:val="2"/>
        <w:adjustRightInd w:val="0"/>
        <w:snapToGrid w:val="0"/>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经济效益目标:通过获取项目收入，实现收益和融资自求平衡，增加地方财政收入，提升财政支出能力。</w:t>
      </w:r>
    </w:p>
    <w:p>
      <w:pPr>
        <w:pStyle w:val="2"/>
        <w:adjustRightInd w:val="0"/>
        <w:snapToGrid w:val="0"/>
        <w:spacing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社会效益目标:为</w:t>
      </w:r>
      <w:r>
        <w:rPr>
          <w:rFonts w:hint="eastAsia" w:ascii="Times New Roman" w:hAnsi="Times New Roman" w:eastAsia="仿宋_GB2312" w:cs="Times New Roman"/>
          <w:sz w:val="28"/>
          <w:szCs w:val="28"/>
          <w:lang w:eastAsia="zh-CN"/>
        </w:rPr>
        <w:t>汶川</w:t>
      </w:r>
      <w:r>
        <w:rPr>
          <w:rFonts w:hint="eastAsia" w:ascii="Times New Roman" w:hAnsi="Times New Roman" w:eastAsia="仿宋_GB2312" w:cs="Times New Roman"/>
          <w:sz w:val="28"/>
          <w:szCs w:val="28"/>
        </w:rPr>
        <w:t>县经济的可持续发展提供新的产业成长支持。将创造</w:t>
      </w:r>
      <w:r>
        <w:rPr>
          <w:rFonts w:hint="eastAsia" w:ascii="Times New Roman" w:hAnsi="Times New Roman" w:eastAsia="仿宋_GB2312" w:cs="Times New Roman"/>
          <w:sz w:val="28"/>
          <w:szCs w:val="28"/>
          <w:lang w:eastAsia="zh-CN"/>
        </w:rPr>
        <w:t>汶川</w:t>
      </w:r>
      <w:r>
        <w:rPr>
          <w:rFonts w:hint="eastAsia" w:ascii="Times New Roman" w:hAnsi="Times New Roman" w:eastAsia="仿宋_GB2312" w:cs="Times New Roman"/>
          <w:sz w:val="28"/>
          <w:szCs w:val="28"/>
        </w:rPr>
        <w:t>县区域内产业布局与发展环境，为通过招商引资提高经济发展水平创造了条件。</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可持续影响目标:完善园区道路网络，缓解中心区压力，提高道路承载量，形成完整的园区道路交通网络，有效促进全市“畅通工程”的实施，进一步增强园区综合配套功能，提升园区形象，增强园区竞争力，为园区用地布局和产业节后调整奠定坚实的基础，为</w:t>
      </w:r>
      <w:r>
        <w:rPr>
          <w:rFonts w:hint="eastAsia" w:ascii="Times New Roman" w:hAnsi="Times New Roman" w:eastAsia="仿宋_GB2312" w:cs="Times New Roman"/>
          <w:sz w:val="28"/>
          <w:szCs w:val="28"/>
          <w:lang w:eastAsia="zh-CN"/>
        </w:rPr>
        <w:t>汶川</w:t>
      </w:r>
      <w:r>
        <w:rPr>
          <w:rFonts w:hint="eastAsia" w:ascii="Times New Roman" w:hAnsi="Times New Roman" w:eastAsia="仿宋_GB2312" w:cs="Times New Roman"/>
          <w:sz w:val="28"/>
          <w:szCs w:val="28"/>
        </w:rPr>
        <w:t>县 “十四五”规划的实施奠定基础条件。</w:t>
      </w:r>
    </w:p>
    <w:bookmarkEnd w:id="40"/>
    <w:p>
      <w:pPr>
        <w:adjustRightInd w:val="0"/>
        <w:snapToGrid w:val="0"/>
        <w:spacing w:beforeLines="50" w:line="360" w:lineRule="auto"/>
        <w:ind w:firstLine="640" w:firstLineChars="200"/>
        <w:outlineLvl w:val="0"/>
        <w:rPr>
          <w:rFonts w:ascii="Times New Roman" w:hAnsi="Times New Roman" w:eastAsia="黑体" w:cs="Times New Roman"/>
          <w:sz w:val="32"/>
          <w:szCs w:val="32"/>
        </w:rPr>
      </w:pPr>
      <w:r>
        <w:rPr>
          <w:rFonts w:ascii="Times New Roman" w:hAnsi="Times New Roman" w:eastAsia="黑体" w:cs="Times New Roman"/>
          <w:sz w:val="32"/>
          <w:szCs w:val="32"/>
        </w:rPr>
        <w:t>六、潜在影响项目的风险评估</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（1）影响项目施工进度或正常运营的风险：主要是指自然环境和施工条件风险、施工方的风险、设计风险、供应商的风险、工程事故风险和资金落实风险等。</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风险控制措施：本项目在建设期按照国家规定强制购买工程一切险，本项目保险费已按规定计入项目总投资其它建设费用类。选择专业的施工方和供应商，明确设计质量标准，严格把控施工安全和质量。加强对项目的资金管理，落实建设资金，保证工程按期完工。</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（2）影响项目收益的风险：主要包括经营风险、市场风险、财务风险等。</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风险控制措施：要求项目单位合理安排债券发行金额和债券期限，做好债券的期限配比、还款计划和资金准备。密切关注市场和项目收益情况，保证还本付息资金。</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（3）影响融资平衡结果的风险：包括投资测算不准确风险和利率波动风险等。</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ascii="Times New Roman" w:hAnsi="Times New Roman" w:eastAsia="仿宋_GB2312" w:cs="Times New Roman"/>
          <w:sz w:val="28"/>
          <w:szCs w:val="28"/>
        </w:rPr>
        <w:t>风险控制措施：对测算中的基本假设进行合理性评估，应当符合当地经济社会发展的现实情况；对投资测算的部分由专业的会计师事务所进行复核，尽可能的减小人为误差到可控范围。</w:t>
      </w:r>
    </w:p>
    <w:p>
      <w:pPr>
        <w:adjustRightInd w:val="0"/>
        <w:snapToGrid w:val="0"/>
        <w:spacing w:beforeLines="50" w:line="360" w:lineRule="auto"/>
        <w:ind w:firstLine="640" w:firstLineChars="200"/>
        <w:outlineLvl w:val="0"/>
        <w:rPr>
          <w:rFonts w:ascii="Times New Roman" w:hAnsi="Times New Roman" w:eastAsia="黑体" w:cs="Times New Roman"/>
          <w:sz w:val="32"/>
          <w:szCs w:val="32"/>
        </w:rPr>
      </w:pPr>
      <w:r>
        <w:rPr>
          <w:rFonts w:ascii="Times New Roman" w:hAnsi="Times New Roman" w:eastAsia="黑体" w:cs="Times New Roman"/>
          <w:sz w:val="32"/>
          <w:szCs w:val="32"/>
        </w:rPr>
        <w:t>七、还款保障情况</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pPr>
        <w:adjustRightInd w:val="0"/>
        <w:snapToGrid w:val="0"/>
        <w:spacing w:beforeLines="50" w:line="360" w:lineRule="auto"/>
        <w:ind w:firstLine="640" w:firstLineChars="200"/>
        <w:outlineLvl w:val="0"/>
        <w:rPr>
          <w:rFonts w:ascii="Times New Roman" w:hAnsi="Times New Roman" w:eastAsia="黑体" w:cs="Times New Roman"/>
          <w:sz w:val="32"/>
          <w:szCs w:val="32"/>
        </w:rPr>
      </w:pPr>
      <w:r>
        <w:rPr>
          <w:rFonts w:ascii="Times New Roman" w:hAnsi="Times New Roman" w:eastAsia="黑体" w:cs="Times New Roman"/>
          <w:sz w:val="32"/>
          <w:szCs w:val="32"/>
        </w:rPr>
        <w:t>八、主管部门和项目单位职责</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1.主管部门职责</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项目</w:t>
      </w:r>
      <w:r>
        <w:rPr>
          <w:rFonts w:ascii="Times New Roman" w:hAnsi="Times New Roman" w:eastAsia="仿宋_GB2312" w:cs="Times New Roman"/>
          <w:sz w:val="28"/>
          <w:szCs w:val="28"/>
        </w:rPr>
        <w:t>主管部门</w:t>
      </w:r>
      <w:r>
        <w:rPr>
          <w:rFonts w:hint="eastAsia" w:ascii="Times New Roman" w:hAnsi="Times New Roman" w:eastAsia="仿宋_GB2312" w:cs="Times New Roman"/>
          <w:sz w:val="28"/>
          <w:szCs w:val="28"/>
        </w:rPr>
        <w:t>为汶川县经济商务和信息化局。</w:t>
      </w:r>
      <w:r>
        <w:rPr>
          <w:rFonts w:ascii="Times New Roman" w:hAnsi="Times New Roman" w:eastAsia="仿宋_GB2312" w:cs="Times New Roman"/>
          <w:sz w:val="28"/>
          <w:szCs w:val="28"/>
        </w:rPr>
        <w:t>主管部门将会配合做好本地区项目收益专项债券发行准备工作，及时准确提供相关资料，配合做好信息披露、信用评级、资产评估等工作。项目运行过程中，主管部门将主动披露项目施工期间的施工进度、项目收益资金使用情况、项目运营期间的收支情况等信息。在资金管理方面，行业主管部门将会履行项目建设运营管理责任，加强成本控制，确保项目形成的专项收入应收尽收，并按照规定及时足额上交。项目运营期间，严格执行政府性基金收入和专项收入分账管理，所有项目专项收入必须全部进入偿债资金账户，偿债资金账户专门用于项目专项收入的接收、存储和划转，以及项目运营支出费用的接收、存储及划转，不得用作其他用途。项目运营单位应提前将全部项目收益从偿债资金账户向财政有关专户划转，由财政部门专门用于债本金和利息偿付，债券对应资产管理方面，主管部门将会协同财政部门将各类项目收益专项债券对应项目形成的资产纳入国有资产管理，建立相应的资产登记和统计报告制度，加强资产日常统计和动态监控。</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2.项目单位职责</w:t>
      </w:r>
    </w:p>
    <w:p>
      <w:pPr>
        <w:pStyle w:val="2"/>
        <w:adjustRightInd w:val="0"/>
        <w:snapToGrid w:val="0"/>
        <w:spacing w:after="0" w:line="300" w:lineRule="auto"/>
        <w:ind w:firstLine="560" w:firstLineChars="200"/>
        <w:rPr>
          <w:rFonts w:ascii="Times New Roman" w:hAnsi="Times New Roman" w:eastAsia="仿宋_GB2312" w:cs="Times New Roman"/>
          <w:sz w:val="28"/>
          <w:szCs w:val="28"/>
        </w:rPr>
      </w:pPr>
      <w:r>
        <w:rPr>
          <w:rFonts w:hint="eastAsia" w:ascii="Times New Roman" w:hAnsi="Times New Roman" w:eastAsia="仿宋_GB2312" w:cs="Times New Roman"/>
          <w:sz w:val="28"/>
          <w:szCs w:val="28"/>
        </w:rPr>
        <w:t>项目单位为汶川县禹城城镇开发建设投资有限责任公司。项目单位将会配合做好债券发行准备工作，规范使用债券资金，及时形成支出，提高资金使用效益。定期评估项目成本、预期收益和对应资产价值等，发现风险或异常情况及时向主管部门报告。编制专项债券收支、偿还计划并纳入单位年度预算管理，将债券项目收入及时足额缴入国库。</w:t>
      </w:r>
    </w:p>
    <w:p>
      <w:pPr>
        <w:adjustRightInd w:val="0"/>
        <w:snapToGrid w:val="0"/>
        <w:spacing w:beforeLines="50" w:line="360" w:lineRule="auto"/>
        <w:ind w:firstLine="640" w:firstLineChars="200"/>
        <w:outlineLvl w:val="0"/>
        <w:rPr>
          <w:rFonts w:ascii="Times New Roman" w:hAnsi="Times New Roman" w:eastAsia="黑体" w:cs="Times New Roman"/>
          <w:sz w:val="32"/>
          <w:szCs w:val="32"/>
        </w:rPr>
      </w:pPr>
      <w:r>
        <w:rPr>
          <w:rFonts w:ascii="Times New Roman" w:hAnsi="Times New Roman" w:eastAsia="黑体" w:cs="Times New Roman"/>
          <w:sz w:val="32"/>
          <w:szCs w:val="32"/>
        </w:rPr>
        <w:t>九、补充说明</w:t>
      </w:r>
    </w:p>
    <w:p>
      <w:pPr>
        <w:pStyle w:val="2"/>
        <w:adjustRightInd w:val="0"/>
        <w:snapToGrid w:val="0"/>
        <w:spacing w:after="0" w:line="300" w:lineRule="auto"/>
        <w:ind w:firstLine="560" w:firstLineChars="200"/>
        <w:rPr>
          <w:rFonts w:hint="eastAsia" w:ascii="Times New Roman" w:hAnsi="Times New Roman" w:eastAsia="仿宋_GB2312" w:cs="Times New Roman"/>
          <w:sz w:val="28"/>
          <w:szCs w:val="28"/>
        </w:rPr>
      </w:pPr>
      <w:r>
        <w:rPr>
          <w:rFonts w:hint="eastAsia" w:ascii="Times New Roman" w:hAnsi="Times New Roman" w:eastAsia="仿宋_GB2312" w:cs="Times New Roman"/>
          <w:sz w:val="28"/>
          <w:szCs w:val="28"/>
        </w:rPr>
        <w:t>根据原发行计划及额度安排, 此项目计划于2021年发行</w:t>
      </w:r>
      <w:r>
        <w:rPr>
          <w:rFonts w:hint="eastAsia" w:ascii="Times New Roman" w:hAnsi="Times New Roman" w:eastAsia="仿宋_GB2312" w:cs="Times New Roman"/>
          <w:sz w:val="28"/>
          <w:szCs w:val="28"/>
          <w:lang w:val="en-US" w:eastAsia="zh-CN"/>
        </w:rPr>
        <w:t>10</w:t>
      </w:r>
      <w:r>
        <w:rPr>
          <w:rFonts w:hint="eastAsia" w:ascii="Times New Roman" w:hAnsi="Times New Roman" w:eastAsia="仿宋_GB2312" w:cs="Times New Roman"/>
          <w:sz w:val="28"/>
          <w:szCs w:val="28"/>
        </w:rPr>
        <w:t>000万元，因地方政府债务限额管理要求和项目实施进展情况等原因未发行。调整后本次拟发行</w:t>
      </w:r>
      <w:r>
        <w:rPr>
          <w:rFonts w:hint="eastAsia" w:ascii="Times New Roman" w:hAnsi="Times New Roman" w:eastAsia="仿宋_GB2312" w:cs="Times New Roman"/>
          <w:sz w:val="28"/>
          <w:szCs w:val="28"/>
          <w:lang w:val="en-US" w:eastAsia="zh-CN"/>
        </w:rPr>
        <w:t>20</w:t>
      </w:r>
      <w:r>
        <w:rPr>
          <w:rFonts w:ascii="Times New Roman" w:hAnsi="Times New Roman" w:eastAsia="仿宋_GB2312" w:cs="Times New Roman"/>
          <w:sz w:val="28"/>
          <w:szCs w:val="28"/>
        </w:rPr>
        <w:t>00</w:t>
      </w:r>
      <w:r>
        <w:rPr>
          <w:rFonts w:hint="eastAsia" w:ascii="Times New Roman" w:hAnsi="Times New Roman" w:eastAsia="仿宋_GB2312" w:cs="Times New Roman"/>
          <w:sz w:val="28"/>
          <w:szCs w:val="28"/>
        </w:rPr>
        <w:t>万元，期限20年，该项目实施内容及收益来源未发生变动，在不超过项目债券总需求情况下，债券跨年发行对项目整体融资平衡不构成实质影响。</w:t>
      </w:r>
      <w:bookmarkStart w:id="41" w:name="_GoBack"/>
      <w:bookmarkEnd w:id="41"/>
    </w:p>
    <w:p>
      <w:pPr>
        <w:adjustRightInd w:val="0"/>
        <w:snapToGrid w:val="0"/>
        <w:spacing w:line="300" w:lineRule="auto"/>
        <w:ind w:firstLine="560" w:firstLineChars="200"/>
        <w:rPr>
          <w:rFonts w:ascii="Times New Roman" w:hAnsi="Times New Roman" w:cs="Times New Roman"/>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40000" w:csb1="00000000"/>
  </w:font>
  <w:font w:name="华文仿宋">
    <w:altName w:val="仿宋"/>
    <w:panose1 w:val="00000000000000000000"/>
    <w:charset w:val="86"/>
    <w:family w:val="auto"/>
    <w:pitch w:val="default"/>
    <w:sig w:usb0="00000000" w:usb1="00000000" w:usb2="00000010" w:usb3="00000000" w:csb0="0004009F" w:csb1="00000000"/>
  </w:font>
  <w:font w:name="Arial">
    <w:panose1 w:val="020B0604020202020204"/>
    <w:charset w:val="00"/>
    <w:family w:val="swiss"/>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PMingLiU">
    <w:panose1 w:val="02020500000000000000"/>
    <w:charset w:val="88"/>
    <w:family w:val="roman"/>
    <w:pitch w:val="default"/>
    <w:sig w:usb0="A00002FF" w:usb1="28CFFCFA" w:usb2="00000016" w:usb3="00000000" w:csb0="00100001"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华文楷体">
    <w:altName w:val="微软雅黑"/>
    <w:panose1 w:val="02010600040101010101"/>
    <w:charset w:val="86"/>
    <w:family w:val="auto"/>
    <w:pitch w:val="default"/>
    <w:sig w:usb0="00000000" w:usb1="00000000" w:usb2="00000010" w:usb3="00000000" w:csb0="0004009F" w:csb1="00000000"/>
  </w:font>
  <w:font w:name="LF_Kai">
    <w:altName w:val="宋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t>11</w:t>
                </w:r>
                <w:r>
                  <w:rPr>
                    <w:rFonts w:hint="eastAsia"/>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tabs>
        <w:tab w:val="center" w:pos="4422"/>
        <w:tab w:val="right" w:pos="8844"/>
        <w:tab w:val="clear" w:pos="4153"/>
        <w:tab w:val="clear" w:pos="830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66D55C2"/>
    <w:rsid w:val="00071DFE"/>
    <w:rsid w:val="0023268E"/>
    <w:rsid w:val="00685EF2"/>
    <w:rsid w:val="0079540B"/>
    <w:rsid w:val="009E0E1D"/>
    <w:rsid w:val="00A4089E"/>
    <w:rsid w:val="00AF5DDF"/>
    <w:rsid w:val="00B254D4"/>
    <w:rsid w:val="00E562ED"/>
    <w:rsid w:val="00F779D2"/>
    <w:rsid w:val="01EC721F"/>
    <w:rsid w:val="03E52161"/>
    <w:rsid w:val="03F13E58"/>
    <w:rsid w:val="0457586F"/>
    <w:rsid w:val="05234DF6"/>
    <w:rsid w:val="052E3A06"/>
    <w:rsid w:val="058015CA"/>
    <w:rsid w:val="067E01D3"/>
    <w:rsid w:val="06A11B42"/>
    <w:rsid w:val="071D487D"/>
    <w:rsid w:val="080A0F24"/>
    <w:rsid w:val="08432405"/>
    <w:rsid w:val="08C37453"/>
    <w:rsid w:val="0A956898"/>
    <w:rsid w:val="0B244D26"/>
    <w:rsid w:val="0C5012C2"/>
    <w:rsid w:val="0CC20E23"/>
    <w:rsid w:val="0CC53D3F"/>
    <w:rsid w:val="0D196DB3"/>
    <w:rsid w:val="0D223161"/>
    <w:rsid w:val="0D48670F"/>
    <w:rsid w:val="0D9902C8"/>
    <w:rsid w:val="0DBF179C"/>
    <w:rsid w:val="0E626D10"/>
    <w:rsid w:val="0E7D2AF1"/>
    <w:rsid w:val="0EDA4621"/>
    <w:rsid w:val="0FC57160"/>
    <w:rsid w:val="10753E29"/>
    <w:rsid w:val="10DD075D"/>
    <w:rsid w:val="11812FF7"/>
    <w:rsid w:val="11A049BB"/>
    <w:rsid w:val="11E2739A"/>
    <w:rsid w:val="124D62D8"/>
    <w:rsid w:val="13C30D43"/>
    <w:rsid w:val="140C1D9B"/>
    <w:rsid w:val="154D1966"/>
    <w:rsid w:val="15984936"/>
    <w:rsid w:val="159C7F43"/>
    <w:rsid w:val="174D5C7B"/>
    <w:rsid w:val="17A14012"/>
    <w:rsid w:val="18436015"/>
    <w:rsid w:val="187A5031"/>
    <w:rsid w:val="1885534A"/>
    <w:rsid w:val="18E44B3C"/>
    <w:rsid w:val="19947A5D"/>
    <w:rsid w:val="19D837FF"/>
    <w:rsid w:val="1B29244C"/>
    <w:rsid w:val="1B5F4F21"/>
    <w:rsid w:val="1BFB0E58"/>
    <w:rsid w:val="1C164591"/>
    <w:rsid w:val="1C273170"/>
    <w:rsid w:val="1C7874BF"/>
    <w:rsid w:val="1CBC210F"/>
    <w:rsid w:val="1E027BFF"/>
    <w:rsid w:val="1E56289F"/>
    <w:rsid w:val="1F365A69"/>
    <w:rsid w:val="1FCA0111"/>
    <w:rsid w:val="20450E18"/>
    <w:rsid w:val="20725B8C"/>
    <w:rsid w:val="208805A2"/>
    <w:rsid w:val="22621343"/>
    <w:rsid w:val="229B53A5"/>
    <w:rsid w:val="22DC5794"/>
    <w:rsid w:val="2405084D"/>
    <w:rsid w:val="246244AB"/>
    <w:rsid w:val="248D652C"/>
    <w:rsid w:val="24A70C0E"/>
    <w:rsid w:val="24A72B31"/>
    <w:rsid w:val="26192FE3"/>
    <w:rsid w:val="261B178A"/>
    <w:rsid w:val="26513AE3"/>
    <w:rsid w:val="268C33E5"/>
    <w:rsid w:val="2698101F"/>
    <w:rsid w:val="271F7290"/>
    <w:rsid w:val="274C161F"/>
    <w:rsid w:val="276C199A"/>
    <w:rsid w:val="27746FB6"/>
    <w:rsid w:val="27AB5698"/>
    <w:rsid w:val="2817373F"/>
    <w:rsid w:val="28D239CA"/>
    <w:rsid w:val="29991CB0"/>
    <w:rsid w:val="29F01804"/>
    <w:rsid w:val="2A655134"/>
    <w:rsid w:val="2A6B348B"/>
    <w:rsid w:val="2A972345"/>
    <w:rsid w:val="2B3D1318"/>
    <w:rsid w:val="2B677896"/>
    <w:rsid w:val="2D025D43"/>
    <w:rsid w:val="2D140AA0"/>
    <w:rsid w:val="2D2E6308"/>
    <w:rsid w:val="2DAF3622"/>
    <w:rsid w:val="2E0E042C"/>
    <w:rsid w:val="2FB6113C"/>
    <w:rsid w:val="2FDC3F67"/>
    <w:rsid w:val="302152C0"/>
    <w:rsid w:val="3049123D"/>
    <w:rsid w:val="3056318A"/>
    <w:rsid w:val="307D321C"/>
    <w:rsid w:val="31077655"/>
    <w:rsid w:val="311F3FF1"/>
    <w:rsid w:val="313815F4"/>
    <w:rsid w:val="31457FDB"/>
    <w:rsid w:val="31D6796B"/>
    <w:rsid w:val="31D7275F"/>
    <w:rsid w:val="31EC1EF2"/>
    <w:rsid w:val="32D21740"/>
    <w:rsid w:val="32F5050E"/>
    <w:rsid w:val="336C0AED"/>
    <w:rsid w:val="33807F47"/>
    <w:rsid w:val="33A21DE3"/>
    <w:rsid w:val="33D0302C"/>
    <w:rsid w:val="3405267E"/>
    <w:rsid w:val="340A4B89"/>
    <w:rsid w:val="3482693C"/>
    <w:rsid w:val="34D87B30"/>
    <w:rsid w:val="34F013C8"/>
    <w:rsid w:val="350A21E6"/>
    <w:rsid w:val="35102402"/>
    <w:rsid w:val="35B41784"/>
    <w:rsid w:val="361359D7"/>
    <w:rsid w:val="370A0660"/>
    <w:rsid w:val="37610B3E"/>
    <w:rsid w:val="37FA2185"/>
    <w:rsid w:val="393E2219"/>
    <w:rsid w:val="39E703BF"/>
    <w:rsid w:val="3A4E6E66"/>
    <w:rsid w:val="3A972812"/>
    <w:rsid w:val="3BB538CA"/>
    <w:rsid w:val="3C711B70"/>
    <w:rsid w:val="3CD04EE1"/>
    <w:rsid w:val="3D500575"/>
    <w:rsid w:val="3EA1405D"/>
    <w:rsid w:val="3ED930DD"/>
    <w:rsid w:val="3F1624BC"/>
    <w:rsid w:val="3F692585"/>
    <w:rsid w:val="3FAB76D9"/>
    <w:rsid w:val="40504449"/>
    <w:rsid w:val="43705A56"/>
    <w:rsid w:val="439D2A11"/>
    <w:rsid w:val="43B22FAD"/>
    <w:rsid w:val="43FF3E14"/>
    <w:rsid w:val="44D53509"/>
    <w:rsid w:val="451F6F62"/>
    <w:rsid w:val="45822B64"/>
    <w:rsid w:val="45D26B5B"/>
    <w:rsid w:val="464B0E69"/>
    <w:rsid w:val="466D55C2"/>
    <w:rsid w:val="467E1A4F"/>
    <w:rsid w:val="46D21AB1"/>
    <w:rsid w:val="474D64BE"/>
    <w:rsid w:val="475F6227"/>
    <w:rsid w:val="494B2EE4"/>
    <w:rsid w:val="49613C0B"/>
    <w:rsid w:val="497905E6"/>
    <w:rsid w:val="49A8570C"/>
    <w:rsid w:val="4A874459"/>
    <w:rsid w:val="4B2B3D61"/>
    <w:rsid w:val="4BE05658"/>
    <w:rsid w:val="4BFA1007"/>
    <w:rsid w:val="4CAF417F"/>
    <w:rsid w:val="4CCE195A"/>
    <w:rsid w:val="4CF3628F"/>
    <w:rsid w:val="4D29119F"/>
    <w:rsid w:val="4D4E1628"/>
    <w:rsid w:val="4D9F6824"/>
    <w:rsid w:val="4DA71F15"/>
    <w:rsid w:val="4DAD55CD"/>
    <w:rsid w:val="4E3F7B76"/>
    <w:rsid w:val="4E4E7D3F"/>
    <w:rsid w:val="4E6C1326"/>
    <w:rsid w:val="4E8961F1"/>
    <w:rsid w:val="4EDF1ACA"/>
    <w:rsid w:val="4FB84B3F"/>
    <w:rsid w:val="503D5203"/>
    <w:rsid w:val="50566E9B"/>
    <w:rsid w:val="50F22857"/>
    <w:rsid w:val="51721FB8"/>
    <w:rsid w:val="5184164B"/>
    <w:rsid w:val="527176C4"/>
    <w:rsid w:val="54814B1C"/>
    <w:rsid w:val="563F544A"/>
    <w:rsid w:val="56506D1E"/>
    <w:rsid w:val="56567854"/>
    <w:rsid w:val="56E356CC"/>
    <w:rsid w:val="58E20FC6"/>
    <w:rsid w:val="59096CAD"/>
    <w:rsid w:val="59507242"/>
    <w:rsid w:val="5A2B59EE"/>
    <w:rsid w:val="5A7768CD"/>
    <w:rsid w:val="5B6E1D80"/>
    <w:rsid w:val="5B94743B"/>
    <w:rsid w:val="5BEA6E90"/>
    <w:rsid w:val="5CC9379B"/>
    <w:rsid w:val="5D351122"/>
    <w:rsid w:val="5E4C5756"/>
    <w:rsid w:val="5F255439"/>
    <w:rsid w:val="5FF164A8"/>
    <w:rsid w:val="60840FD3"/>
    <w:rsid w:val="608F5B69"/>
    <w:rsid w:val="60EA45C4"/>
    <w:rsid w:val="61723987"/>
    <w:rsid w:val="626C5432"/>
    <w:rsid w:val="62B23C09"/>
    <w:rsid w:val="62CB0D12"/>
    <w:rsid w:val="62E94667"/>
    <w:rsid w:val="635355A5"/>
    <w:rsid w:val="65467890"/>
    <w:rsid w:val="65896E6E"/>
    <w:rsid w:val="65A82A7A"/>
    <w:rsid w:val="673F1EF1"/>
    <w:rsid w:val="67A37591"/>
    <w:rsid w:val="67D203C3"/>
    <w:rsid w:val="682A30A4"/>
    <w:rsid w:val="684D1A22"/>
    <w:rsid w:val="68F96767"/>
    <w:rsid w:val="68FA5A6E"/>
    <w:rsid w:val="6981585E"/>
    <w:rsid w:val="69E375FE"/>
    <w:rsid w:val="6A54059C"/>
    <w:rsid w:val="6A804142"/>
    <w:rsid w:val="6ACF76AC"/>
    <w:rsid w:val="6AFB3210"/>
    <w:rsid w:val="6B2965B5"/>
    <w:rsid w:val="6BA052A8"/>
    <w:rsid w:val="6BAA19E2"/>
    <w:rsid w:val="6C175BFE"/>
    <w:rsid w:val="6C7B62A6"/>
    <w:rsid w:val="6C9155D7"/>
    <w:rsid w:val="6CAB2468"/>
    <w:rsid w:val="6D3565E9"/>
    <w:rsid w:val="6D364565"/>
    <w:rsid w:val="6DA27B76"/>
    <w:rsid w:val="6E4F0201"/>
    <w:rsid w:val="6EAB25D8"/>
    <w:rsid w:val="6F2233B6"/>
    <w:rsid w:val="6F806EF5"/>
    <w:rsid w:val="6FE13BFA"/>
    <w:rsid w:val="701A6CD3"/>
    <w:rsid w:val="707D7901"/>
    <w:rsid w:val="709C1828"/>
    <w:rsid w:val="70CE366C"/>
    <w:rsid w:val="71B279B4"/>
    <w:rsid w:val="71D72EE9"/>
    <w:rsid w:val="71E01077"/>
    <w:rsid w:val="72527C25"/>
    <w:rsid w:val="730D3731"/>
    <w:rsid w:val="733E2455"/>
    <w:rsid w:val="737B2106"/>
    <w:rsid w:val="73B27BA5"/>
    <w:rsid w:val="74A43A46"/>
    <w:rsid w:val="74B35AA0"/>
    <w:rsid w:val="75801C78"/>
    <w:rsid w:val="75F42941"/>
    <w:rsid w:val="76014EBB"/>
    <w:rsid w:val="760755B2"/>
    <w:rsid w:val="76551009"/>
    <w:rsid w:val="765A5FC4"/>
    <w:rsid w:val="77C24D76"/>
    <w:rsid w:val="77D1621B"/>
    <w:rsid w:val="78006F33"/>
    <w:rsid w:val="78CA5F02"/>
    <w:rsid w:val="78D3529D"/>
    <w:rsid w:val="78FA5658"/>
    <w:rsid w:val="79035B8F"/>
    <w:rsid w:val="794F1AAF"/>
    <w:rsid w:val="7A4D7647"/>
    <w:rsid w:val="7AE541D2"/>
    <w:rsid w:val="7B5364A9"/>
    <w:rsid w:val="7BDD446D"/>
    <w:rsid w:val="7D187227"/>
    <w:rsid w:val="7D227241"/>
    <w:rsid w:val="7D686324"/>
    <w:rsid w:val="7D74447A"/>
    <w:rsid w:val="7DC72A58"/>
    <w:rsid w:val="7DE47817"/>
    <w:rsid w:val="7E592FFD"/>
    <w:rsid w:val="7F445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仿宋_GB2312" w:hAnsi="Calibri" w:eastAsia="仿宋_GB2312"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3"/>
    <w:basedOn w:val="5"/>
    <w:next w:val="1"/>
    <w:semiHidden/>
    <w:unhideWhenUsed/>
    <w:qFormat/>
    <w:uiPriority w:val="0"/>
    <w:pPr>
      <w:keepLines/>
      <w:framePr w:wrap="around" w:vAnchor="margin" w:hAnchor="text" w:y="1"/>
      <w:tabs>
        <w:tab w:val="left" w:pos="567"/>
      </w:tabs>
      <w:spacing w:before="240" w:after="240" w:line="360" w:lineRule="auto"/>
      <w:ind w:firstLine="880"/>
    </w:pPr>
    <w:rPr>
      <w:rFonts w:ascii="仿宋_GB2312" w:hAnsi="仿宋_GB2312" w:eastAsia="宋体" w:cs="仿宋_GB2312"/>
      <w:b/>
      <w:bCs/>
      <w:sz w:val="30"/>
      <w:szCs w:val="24"/>
      <w:u w:color="000000"/>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oc 1"/>
    <w:basedOn w:val="1"/>
    <w:next w:val="1"/>
    <w:qFormat/>
    <w:uiPriority w:val="39"/>
    <w:pPr>
      <w:spacing w:before="120" w:after="120"/>
      <w:jc w:val="left"/>
    </w:pPr>
    <w:rPr>
      <w:rFonts w:ascii="Calibri" w:hAnsi="Calibri" w:cs="Calibri"/>
      <w:b/>
      <w:bCs/>
      <w:caps/>
      <w:sz w:val="20"/>
      <w:szCs w:val="20"/>
    </w:rPr>
  </w:style>
  <w:style w:type="paragraph" w:customStyle="1" w:styleId="5">
    <w:name w:val="标题3"/>
    <w:basedOn w:val="1"/>
    <w:next w:val="1"/>
    <w:qFormat/>
    <w:uiPriority w:val="0"/>
    <w:pPr>
      <w:keepNext/>
      <w:ind w:firstLine="560" w:firstLineChars="200"/>
      <w:jc w:val="left"/>
      <w:outlineLvl w:val="2"/>
    </w:pPr>
    <w:rPr>
      <w:color w:val="000000"/>
      <w:szCs w:val="28"/>
    </w:rPr>
  </w:style>
  <w:style w:type="paragraph" w:styleId="6">
    <w:name w:val="Document Map"/>
    <w:basedOn w:val="1"/>
    <w:link w:val="21"/>
    <w:uiPriority w:val="0"/>
    <w:rPr>
      <w:rFonts w:ascii="宋体" w:eastAsia="宋体"/>
      <w:sz w:val="18"/>
      <w:szCs w:val="18"/>
    </w:rPr>
  </w:style>
  <w:style w:type="paragraph" w:styleId="7">
    <w:name w:val="Body Text Indent"/>
    <w:basedOn w:val="1"/>
    <w:qFormat/>
    <w:uiPriority w:val="0"/>
    <w:pPr>
      <w:spacing w:line="500" w:lineRule="atLeast"/>
      <w:ind w:firstLine="540" w:firstLineChars="225"/>
    </w:pPr>
    <w:rPr>
      <w:rFonts w:ascii="华文仿宋" w:hAnsi="华文仿宋" w:eastAsia="华文仿宋" w:cs="Times New Roman"/>
      <w:sz w:val="24"/>
    </w:rPr>
  </w:style>
  <w:style w:type="paragraph" w:styleId="8">
    <w:name w:val="Plain Text"/>
    <w:basedOn w:val="1"/>
    <w:next w:val="1"/>
    <w:qFormat/>
    <w:uiPriority w:val="0"/>
    <w:pPr>
      <w:spacing w:line="360" w:lineRule="auto"/>
    </w:pPr>
    <w:rPr>
      <w:rFonts w:ascii="宋体" w:hAnsi="宋体"/>
    </w:rPr>
  </w:style>
  <w:style w:type="paragraph" w:styleId="9">
    <w:name w:val="Balloon Text"/>
    <w:basedOn w:val="1"/>
    <w:link w:val="22"/>
    <w:uiPriority w:val="0"/>
    <w:rPr>
      <w:sz w:val="18"/>
      <w:szCs w:val="18"/>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qFormat/>
    <w:uiPriority w:val="0"/>
    <w:pPr>
      <w:spacing w:beforeAutospacing="1" w:afterAutospacing="1"/>
      <w:jc w:val="left"/>
    </w:pPr>
    <w:rPr>
      <w:rFonts w:cs="Times New Roman"/>
      <w:kern w:val="0"/>
      <w:sz w:val="24"/>
    </w:rPr>
  </w:style>
  <w:style w:type="paragraph" w:styleId="13">
    <w:name w:val="Body Text First Indent 2"/>
    <w:basedOn w:val="7"/>
    <w:qFormat/>
    <w:uiPriority w:val="0"/>
    <w:pPr>
      <w:widowControl/>
      <w:spacing w:after="120" w:line="240" w:lineRule="auto"/>
      <w:ind w:left="420" w:leftChars="200" w:firstLine="420" w:firstLineChars="200"/>
      <w:jc w:val="left"/>
    </w:pPr>
    <w:rPr>
      <w:rFonts w:ascii="Calibri" w:hAnsi="Calibri" w:eastAsia="宋体"/>
      <w:kern w:val="0"/>
    </w:rPr>
  </w:style>
  <w:style w:type="paragraph" w:customStyle="1" w:styleId="16">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17">
    <w:name w:val="正文1"/>
    <w:qFormat/>
    <w:uiPriority w:val="0"/>
    <w:pPr>
      <w:spacing w:after="200" w:line="276" w:lineRule="auto"/>
    </w:pPr>
    <w:rPr>
      <w:rFonts w:ascii="Cambria" w:hAnsi="Cambria" w:eastAsia="宋体" w:cs="Times New Roman"/>
      <w:sz w:val="22"/>
      <w:lang w:val="en-US" w:eastAsia="en-US" w:bidi="ar-SA"/>
    </w:rPr>
  </w:style>
  <w:style w:type="paragraph" w:customStyle="1" w:styleId="18">
    <w:name w:val="l_text"/>
    <w:basedOn w:val="1"/>
    <w:qFormat/>
    <w:uiPriority w:val="0"/>
    <w:pPr>
      <w:overflowPunct w:val="0"/>
      <w:autoSpaceDE w:val="0"/>
      <w:autoSpaceDN w:val="0"/>
      <w:adjustRightInd w:val="0"/>
      <w:spacing w:line="360" w:lineRule="auto"/>
      <w:ind w:firstLine="561"/>
      <w:textAlignment w:val="baseline"/>
    </w:pPr>
    <w:rPr>
      <w:kern w:val="28"/>
      <w:sz w:val="28"/>
    </w:rPr>
  </w:style>
  <w:style w:type="paragraph" w:customStyle="1" w:styleId="19">
    <w:name w:val="正文（绿盟科技）"/>
    <w:qFormat/>
    <w:uiPriority w:val="0"/>
    <w:pPr>
      <w:spacing w:line="300" w:lineRule="auto"/>
    </w:pPr>
    <w:rPr>
      <w:rFonts w:ascii="Arial" w:hAnsi="Arial" w:eastAsia="宋体" w:cs="Times New Roman"/>
      <w:sz w:val="21"/>
      <w:szCs w:val="21"/>
      <w:lang w:val="en-US" w:eastAsia="zh-CN" w:bidi="ar-SA"/>
    </w:rPr>
  </w:style>
  <w:style w:type="paragraph" w:customStyle="1" w:styleId="20">
    <w:name w:val="正文 首行缩进:  2 字符"/>
    <w:basedOn w:val="1"/>
    <w:qFormat/>
    <w:uiPriority w:val="0"/>
    <w:rPr>
      <w:rFonts w:cs="宋体"/>
      <w:szCs w:val="20"/>
    </w:rPr>
  </w:style>
  <w:style w:type="character" w:customStyle="1" w:styleId="21">
    <w:name w:val="文档结构图 Char"/>
    <w:basedOn w:val="15"/>
    <w:link w:val="6"/>
    <w:uiPriority w:val="0"/>
    <w:rPr>
      <w:rFonts w:ascii="宋体" w:eastAsia="宋体" w:hAnsiTheme="minorHAnsi" w:cstheme="minorBidi"/>
      <w:kern w:val="2"/>
      <w:sz w:val="18"/>
      <w:szCs w:val="18"/>
    </w:rPr>
  </w:style>
  <w:style w:type="character" w:customStyle="1" w:styleId="22">
    <w:name w:val="批注框文本 Char"/>
    <w:basedOn w:val="15"/>
    <w:link w:val="9"/>
    <w:uiPriority w:val="0"/>
    <w:rPr>
      <w:rFonts w:asciiTheme="minorHAnsi" w:hAnsiTheme="minorHAnsi" w:eastAsiaTheme="minorEastAsia" w:cstheme="minorBidi"/>
      <w:kern w:val="2"/>
      <w:sz w:val="18"/>
      <w:szCs w:val="18"/>
    </w:rPr>
  </w:style>
  <w:style w:type="character" w:customStyle="1" w:styleId="23">
    <w:name w:val="font21"/>
    <w:qFormat/>
    <w:uiPriority w:val="0"/>
    <w:rPr>
      <w:rFonts w:hint="eastAsia" w:ascii="宋体" w:hAnsi="宋体" w:eastAsia="宋体" w:cs="宋体"/>
      <w:color w:val="000000"/>
      <w:sz w:val="22"/>
      <w:szCs w:val="22"/>
      <w:u w:val="none"/>
    </w:rPr>
  </w:style>
  <w:style w:type="character" w:customStyle="1" w:styleId="24">
    <w:name w:val="font91"/>
    <w:qFormat/>
    <w:uiPriority w:val="0"/>
    <w:rPr>
      <w:rFonts w:hint="eastAsia" w:ascii="宋体" w:hAnsi="宋体" w:eastAsia="宋体" w:cs="宋体"/>
      <w:b/>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emf"/><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11</Pages>
  <Words>957</Words>
  <Characters>5455</Characters>
  <Lines>45</Lines>
  <Paragraphs>12</Paragraphs>
  <TotalTime>5</TotalTime>
  <ScaleCrop>false</ScaleCrop>
  <LinksUpToDate>false</LinksUpToDate>
  <CharactersWithSpaces>6400</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2019-04-20T04:57:00Z</dcterms:created>
  <dc:creator>h﹄凡尘一沙</dc:creator>
  <cp:lastModifiedBy>王少兵</cp:lastModifiedBy>
  <dcterms:modified xsi:type="dcterms:W3CDTF">2022-01-13T13:30:09Z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4DDCE814F9A3471882FA9C8C47454102</vt:lpwstr>
  </property>
</Properties>
</file>