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before="0" w:after="0" w:line="312" w:lineRule="auto"/>
        <w:rPr>
          <w:rFonts w:ascii="仿宋" w:hAnsi="仿宋" w:eastAsia="仿宋"/>
          <w:sz w:val="24"/>
          <w:szCs w:val="24"/>
        </w:rPr>
      </w:pPr>
      <w:bookmarkStart w:id="0" w:name="_Toc452024925"/>
      <w:bookmarkStart w:id="1" w:name="_Toc452026635"/>
      <w:bookmarkStart w:id="2" w:name="_Toc477271229"/>
      <w:bookmarkStart w:id="3" w:name="_Toc446191734"/>
      <w:bookmarkStart w:id="4" w:name="_Toc446666041"/>
      <w:bookmarkStart w:id="5" w:name="_Toc452024919"/>
      <w:bookmarkStart w:id="6" w:name="_Toc452026629"/>
      <w:bookmarkStart w:id="7" w:name="_Toc477271221"/>
      <w:r>
        <w:rPr>
          <w:rFonts w:hint="eastAsia" w:ascii="仿宋" w:hAnsi="仿宋" w:eastAsia="仿宋"/>
          <w:sz w:val="24"/>
          <w:szCs w:val="24"/>
          <w:lang w:eastAsia="zh-CN"/>
        </w:rPr>
        <w:t>辽宁省</w:t>
      </w:r>
      <w:r>
        <w:rPr>
          <w:rFonts w:hint="eastAsia" w:ascii="仿宋" w:hAnsi="仿宋" w:eastAsia="仿宋"/>
          <w:sz w:val="24"/>
          <w:szCs w:val="24"/>
        </w:rPr>
        <w:t>政府债券债权托管应急申请书</w:t>
      </w:r>
      <w:bookmarkEnd w:id="0"/>
      <w:bookmarkEnd w:id="1"/>
      <w:bookmarkEnd w:id="2"/>
    </w:p>
    <w:p>
      <w:pPr>
        <w:adjustRightInd w:val="0"/>
        <w:spacing w:beforeLines="20" w:line="312" w:lineRule="auto"/>
        <w:ind w:firstLine="241" w:firstLineChars="100"/>
        <w:jc w:val="center"/>
        <w:rPr>
          <w:rFonts w:ascii="仿宋" w:hAnsi="仿宋" w:eastAsia="仿宋"/>
          <w:b/>
          <w:sz w:val="24"/>
          <w:szCs w:val="24"/>
          <w:u w:val="single"/>
        </w:rPr>
      </w:pPr>
      <w:r>
        <w:rPr>
          <w:rFonts w:hint="eastAsia" w:ascii="仿宋" w:hAnsi="仿宋" w:eastAsia="仿宋"/>
          <w:b/>
          <w:sz w:val="24"/>
          <w:szCs w:val="24"/>
        </w:rPr>
        <w:t>(业务凭单号:A02)</w:t>
      </w:r>
    </w:p>
    <w:p>
      <w:pPr>
        <w:adjustRightInd w:val="0"/>
        <w:spacing w:beforeLines="20" w:line="264" w:lineRule="auto"/>
        <w:ind w:firstLine="240" w:firstLineChars="100"/>
        <w:rPr>
          <w:rFonts w:ascii="仿宋" w:hAnsi="仿宋" w:eastAsia="仿宋"/>
          <w:sz w:val="24"/>
          <w:szCs w:val="24"/>
        </w:rPr>
      </w:pPr>
      <w:r>
        <w:rPr>
          <w:rFonts w:hint="eastAsia" w:ascii="仿宋" w:hAnsi="仿宋" w:eastAsia="仿宋"/>
          <w:sz w:val="24"/>
          <w:szCs w:val="24"/>
          <w:u w:val="single"/>
          <w:lang w:eastAsia="zh-CN"/>
        </w:rPr>
        <w:t>辽宁省财政厅</w:t>
      </w:r>
      <w:r>
        <w:rPr>
          <w:rFonts w:hint="eastAsia" w:ascii="仿宋" w:hAnsi="仿宋" w:eastAsia="仿宋"/>
          <w:sz w:val="24"/>
          <w:szCs w:val="24"/>
        </w:rPr>
        <w:t>（发行人）：</w:t>
      </w:r>
    </w:p>
    <w:p>
      <w:pPr>
        <w:adjustRightInd w:val="0"/>
        <w:spacing w:beforeLines="20" w:line="264" w:lineRule="auto"/>
        <w:ind w:firstLine="470" w:firstLineChars="196"/>
        <w:rPr>
          <w:rFonts w:ascii="仿宋" w:hAnsi="仿宋" w:eastAsia="仿宋"/>
          <w:bCs/>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期）</w:t>
      </w:r>
      <w:r>
        <w:rPr>
          <w:rFonts w:hint="eastAsia" w:ascii="仿宋" w:hAnsi="仿宋" w:eastAsia="仿宋"/>
          <w:sz w:val="24"/>
          <w:szCs w:val="24"/>
          <w:lang w:eastAsia="zh-CN"/>
        </w:rPr>
        <w:t>辽宁省</w:t>
      </w:r>
      <w:r>
        <w:rPr>
          <w:rFonts w:hint="eastAsia" w:ascii="仿宋" w:hAnsi="仿宋" w:eastAsia="仿宋"/>
          <w:sz w:val="24"/>
          <w:szCs w:val="24"/>
        </w:rPr>
        <w:t>政府债券</w:t>
      </w:r>
      <w:r>
        <w:rPr>
          <w:rFonts w:hint="eastAsia" w:ascii="仿宋" w:hAnsi="仿宋" w:eastAsia="仿宋"/>
          <w:bCs/>
          <w:sz w:val="24"/>
          <w:szCs w:val="24"/>
        </w:rPr>
        <w:t>债权托管应急申请书。我单位承诺：本债权托管应急申请书由我单位授权经办人填写，内容真实、准确、完整，具有与系统报送同等效力，我单位自愿承担应急债权托管所产生风险。</w:t>
      </w:r>
      <w:r>
        <w:rPr>
          <w:rFonts w:ascii="仿宋" w:hAnsi="仿宋" w:eastAsia="仿宋"/>
          <w:bCs/>
          <w:sz w:val="24"/>
          <w:szCs w:val="24"/>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托管账号</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申请日期</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日【要素1】</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债券代码</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【要素2】</w:t>
      </w:r>
    </w:p>
    <w:tbl>
      <w:tblPr>
        <w:tblStyle w:val="10"/>
        <w:tblW w:w="7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托管机构</w:t>
            </w:r>
          </w:p>
        </w:tc>
        <w:tc>
          <w:tcPr>
            <w:tcW w:w="3960"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债权托管面额（亿元）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中央国债登记公司</w:t>
            </w:r>
            <w:r>
              <w:rPr>
                <w:rFonts w:hint="eastAsia" w:ascii="仿宋" w:hAnsi="仿宋" w:eastAsia="仿宋"/>
                <w:b/>
                <w:bCs/>
                <w:sz w:val="24"/>
                <w:szCs w:val="24"/>
              </w:rPr>
              <w:t>【要素</w:t>
            </w:r>
            <w:r>
              <w:rPr>
                <w:rFonts w:ascii="仿宋" w:hAnsi="仿宋" w:eastAsia="仿宋"/>
                <w:b/>
                <w:bCs/>
                <w:sz w:val="24"/>
                <w:szCs w:val="24"/>
              </w:rPr>
              <w:t>3】</w:t>
            </w:r>
          </w:p>
        </w:tc>
        <w:tc>
          <w:tcPr>
            <w:tcW w:w="3960" w:type="dxa"/>
            <w:vAlign w:val="top"/>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证券登记公司（上海）</w:t>
            </w:r>
          </w:p>
        </w:tc>
        <w:tc>
          <w:tcPr>
            <w:tcW w:w="3960" w:type="dxa"/>
            <w:vAlign w:val="top"/>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证券登记公司（深圳）</w:t>
            </w:r>
          </w:p>
        </w:tc>
        <w:tc>
          <w:tcPr>
            <w:tcW w:w="3960" w:type="dxa"/>
            <w:vAlign w:val="top"/>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vAlign w:val="top"/>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合计</w:t>
            </w:r>
            <w:r>
              <w:rPr>
                <w:rFonts w:hint="eastAsia" w:ascii="仿宋" w:hAnsi="仿宋" w:eastAsia="仿宋"/>
                <w:b/>
                <w:bCs/>
                <w:sz w:val="24"/>
                <w:szCs w:val="24"/>
              </w:rPr>
              <w:t>【要素</w:t>
            </w:r>
            <w:r>
              <w:rPr>
                <w:rFonts w:ascii="仿宋" w:hAnsi="仿宋" w:eastAsia="仿宋"/>
                <w:b/>
                <w:bCs/>
                <w:sz w:val="24"/>
                <w:szCs w:val="24"/>
              </w:rPr>
              <w:t>4</w:t>
            </w:r>
            <w:r>
              <w:rPr>
                <w:rFonts w:hint="eastAsia" w:ascii="仿宋" w:hAnsi="仿宋" w:eastAsia="仿宋"/>
                <w:b/>
                <w:bCs/>
                <w:sz w:val="24"/>
                <w:szCs w:val="24"/>
              </w:rPr>
              <w:t>】</w:t>
            </w:r>
          </w:p>
        </w:tc>
        <w:tc>
          <w:tcPr>
            <w:tcW w:w="3960" w:type="dxa"/>
            <w:vAlign w:val="top"/>
          </w:tcPr>
          <w:p>
            <w:pPr>
              <w:adjustRightInd w:val="0"/>
              <w:spacing w:beforeLines="20" w:line="264" w:lineRule="auto"/>
              <w:ind w:firstLine="241" w:firstLineChars="100"/>
              <w:rPr>
                <w:rFonts w:ascii="仿宋" w:hAnsi="仿宋" w:eastAsia="仿宋"/>
                <w:b/>
                <w:bCs/>
                <w:sz w:val="24"/>
                <w:szCs w:val="24"/>
              </w:rPr>
            </w:pPr>
          </w:p>
        </w:tc>
      </w:tr>
    </w:tbl>
    <w:p>
      <w:pPr>
        <w:pStyle w:val="7"/>
        <w:spacing w:beforeLines="20" w:beforeAutospacing="0" w:after="0" w:afterAutospacing="0" w:line="264" w:lineRule="auto"/>
        <w:jc w:val="both"/>
        <w:rPr>
          <w:rFonts w:ascii="仿宋" w:hAnsi="仿宋" w:eastAsia="仿宋"/>
        </w:rPr>
      </w:pPr>
    </w:p>
    <w:p>
      <w:pPr>
        <w:pStyle w:val="7"/>
        <w:spacing w:beforeLines="20" w:beforeAutospacing="0" w:after="0" w:afterAutospacing="0" w:line="264" w:lineRule="auto"/>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（16位数字）</w:t>
      </w:r>
    </w:p>
    <w:p>
      <w:pPr>
        <w:pStyle w:val="7"/>
        <w:spacing w:before="0" w:beforeAutospacing="0" w:after="0" w:afterAutospacing="0" w:line="264" w:lineRule="auto"/>
        <w:jc w:val="both"/>
        <w:rPr>
          <w:rFonts w:ascii="仿宋" w:hAnsi="仿宋" w:eastAsia="仿宋"/>
        </w:rPr>
      </w:pPr>
    </w:p>
    <w:p>
      <w:pPr>
        <w:pStyle w:val="7"/>
        <w:spacing w:before="0" w:beforeAutospacing="0" w:after="0" w:afterAutospacing="0" w:line="264" w:lineRule="auto"/>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　</w:t>
      </w:r>
    </w:p>
    <w:p>
      <w:pPr>
        <w:pStyle w:val="7"/>
        <w:spacing w:before="0" w:beforeAutospacing="0" w:after="0" w:afterAutospacing="0" w:line="264" w:lineRule="auto"/>
        <w:jc w:val="both"/>
        <w:rPr>
          <w:rFonts w:ascii="仿宋" w:hAnsi="仿宋" w:eastAsia="仿宋"/>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7"/>
        <w:spacing w:before="0" w:beforeAutospacing="0" w:after="0" w:afterAutospacing="0" w:line="264" w:lineRule="auto"/>
        <w:ind w:right="600"/>
        <w:jc w:val="right"/>
        <w:rPr>
          <w:rFonts w:ascii="仿宋" w:hAnsi="仿宋" w:eastAsia="仿宋"/>
        </w:rPr>
      </w:pPr>
      <w:r>
        <w:rPr>
          <w:rFonts w:hint="eastAsia" w:ascii="仿宋" w:hAnsi="仿宋" w:eastAsia="仿宋"/>
        </w:rPr>
        <w:t>（投标方或被授权机构印章）</w:t>
      </w:r>
    </w:p>
    <w:p>
      <w:pPr>
        <w:adjustRightInd w:val="0"/>
        <w:spacing w:beforeLines="20" w:line="264" w:lineRule="auto"/>
        <w:ind w:firstLine="4560" w:firstLineChars="190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注意事项：</w:t>
      </w:r>
    </w:p>
    <w:p>
      <w:pPr>
        <w:adjustRightInd w:val="0"/>
        <w:spacing w:beforeLines="20" w:line="264" w:lineRule="auto"/>
        <w:ind w:firstLine="480" w:firstLineChars="200"/>
        <w:rPr>
          <w:rFonts w:ascii="仿宋" w:hAnsi="仿宋" w:eastAsia="仿宋"/>
          <w:bCs/>
          <w:sz w:val="24"/>
          <w:szCs w:val="24"/>
        </w:rPr>
      </w:pPr>
      <w:r>
        <w:rPr>
          <w:rFonts w:hint="eastAsia" w:ascii="仿宋" w:hAnsi="仿宋" w:eastAsia="仿宋"/>
          <w:bCs/>
          <w:sz w:val="24"/>
          <w:szCs w:val="24"/>
        </w:rPr>
        <w:t>1、债权托管应急申请书填写须清晰，不得涂改。</w:t>
      </w:r>
    </w:p>
    <w:p>
      <w:pPr>
        <w:pStyle w:val="7"/>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2、投标方将债权托管应急申请书传真到招标室并及时拨打招标室专用电话向发行人员报告。</w:t>
      </w:r>
    </w:p>
    <w:p>
      <w:pPr>
        <w:pStyle w:val="7"/>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pPr>
        <w:spacing w:line="264" w:lineRule="auto"/>
        <w:ind w:firstLine="480" w:firstLineChars="200"/>
        <w:rPr>
          <w:rFonts w:hint="eastAsia" w:ascii="仿宋" w:hAnsi="仿宋" w:eastAsia="仿宋"/>
          <w:b/>
          <w:bCs/>
          <w:sz w:val="24"/>
          <w:szCs w:val="24"/>
        </w:rPr>
      </w:pPr>
      <w:r>
        <w:rPr>
          <w:rFonts w:hint="eastAsia" w:ascii="仿宋" w:hAnsi="仿宋" w:eastAsia="仿宋"/>
          <w:sz w:val="24"/>
          <w:szCs w:val="24"/>
        </w:rPr>
        <w:t>4、上海招标室电话：</w:t>
      </w:r>
      <w:r>
        <w:rPr>
          <w:rFonts w:ascii="仿宋" w:hAnsi="仿宋" w:eastAsia="仿宋"/>
          <w:sz w:val="24"/>
          <w:szCs w:val="24"/>
        </w:rPr>
        <w:t>021-</w:t>
      </w:r>
      <w:r>
        <w:rPr>
          <w:rFonts w:hint="eastAsia" w:ascii="仿宋" w:hAnsi="仿宋" w:eastAsia="仿宋"/>
          <w:sz w:val="24"/>
          <w:szCs w:val="24"/>
        </w:rPr>
        <w:t>50496351</w:t>
      </w:r>
      <w:r>
        <w:rPr>
          <w:rFonts w:ascii="仿宋" w:hAnsi="仿宋" w:eastAsia="仿宋"/>
          <w:sz w:val="24"/>
          <w:szCs w:val="24"/>
        </w:rPr>
        <w:t xml:space="preserve"> 021-</w:t>
      </w:r>
      <w:r>
        <w:rPr>
          <w:rFonts w:hint="eastAsia" w:ascii="仿宋" w:hAnsi="仿宋" w:eastAsia="仿宋"/>
          <w:sz w:val="24"/>
          <w:szCs w:val="24"/>
        </w:rPr>
        <w:t>50496359，传真：</w:t>
      </w:r>
      <w:r>
        <w:rPr>
          <w:rFonts w:ascii="仿宋" w:hAnsi="仿宋" w:eastAsia="仿宋"/>
          <w:sz w:val="24"/>
          <w:szCs w:val="24"/>
        </w:rPr>
        <w:t>021-</w:t>
      </w:r>
      <w:r>
        <w:rPr>
          <w:rFonts w:hint="eastAsia" w:ascii="仿宋" w:hAnsi="仿宋" w:eastAsia="仿宋"/>
          <w:sz w:val="24"/>
          <w:szCs w:val="24"/>
        </w:rPr>
        <w:t>50496599</w:t>
      </w:r>
      <w:r>
        <w:rPr>
          <w:rFonts w:ascii="仿宋" w:hAnsi="仿宋" w:eastAsia="仿宋"/>
          <w:sz w:val="24"/>
          <w:szCs w:val="24"/>
        </w:rPr>
        <w:t xml:space="preserve">  021-</w:t>
      </w:r>
      <w:r>
        <w:rPr>
          <w:rFonts w:hint="eastAsia" w:ascii="仿宋" w:hAnsi="仿宋" w:eastAsia="仿宋"/>
          <w:sz w:val="24"/>
          <w:szCs w:val="24"/>
        </w:rPr>
        <w:t>50496377。</w:t>
      </w:r>
      <w:bookmarkEnd w:id="3"/>
      <w:bookmarkEnd w:id="4"/>
      <w:bookmarkEnd w:id="5"/>
      <w:bookmarkEnd w:id="6"/>
      <w:bookmarkEnd w:id="7"/>
      <w:bookmarkStart w:id="8" w:name="_GoBack"/>
      <w:bookmarkEnd w:id="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A3915"/>
    <w:rsid w:val="000E7B63"/>
    <w:rsid w:val="00207EBA"/>
    <w:rsid w:val="003520C0"/>
    <w:rsid w:val="003914B1"/>
    <w:rsid w:val="003E775D"/>
    <w:rsid w:val="004A3915"/>
    <w:rsid w:val="004F1E7D"/>
    <w:rsid w:val="00505741"/>
    <w:rsid w:val="005D04D2"/>
    <w:rsid w:val="00727AFB"/>
    <w:rsid w:val="0087163B"/>
    <w:rsid w:val="008C335D"/>
    <w:rsid w:val="009D2753"/>
    <w:rsid w:val="00A46216"/>
    <w:rsid w:val="00A62205"/>
    <w:rsid w:val="00CA11F5"/>
    <w:rsid w:val="00D27161"/>
    <w:rsid w:val="00EE1091"/>
    <w:rsid w:val="00F977A6"/>
    <w:rsid w:val="1FBA3F42"/>
    <w:rsid w:val="7DF53F5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4"/>
    <w:qFormat/>
    <w:uiPriority w:val="99"/>
    <w:pPr>
      <w:spacing w:before="280" w:after="290" w:line="240" w:lineRule="auto"/>
      <w:jc w:val="center"/>
      <w:outlineLvl w:val="1"/>
    </w:pPr>
    <w:rPr>
      <w:rFonts w:ascii="黑体" w:hAnsi="黑体" w:eastAsia="黑体" w:cs="Times New Roman"/>
      <w:kern w:val="2"/>
      <w:sz w:val="32"/>
      <w:szCs w:val="32"/>
    </w:rPr>
  </w:style>
  <w:style w:type="paragraph" w:styleId="4">
    <w:name w:val="heading 3"/>
    <w:basedOn w:val="1"/>
    <w:next w:val="1"/>
    <w:link w:val="16"/>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Hyperlink"/>
    <w:basedOn w:val="8"/>
    <w:unhideWhenUsed/>
    <w:uiPriority w:val="99"/>
    <w:rPr>
      <w:color w:val="0000FF"/>
      <w:u w:val="single"/>
    </w:rPr>
  </w:style>
  <w:style w:type="paragraph" w:customStyle="1" w:styleId="11">
    <w:name w:val="List Paragraph"/>
    <w:basedOn w:val="1"/>
    <w:qFormat/>
    <w:uiPriority w:val="34"/>
    <w:pPr>
      <w:ind w:firstLine="420" w:firstLineChars="200"/>
    </w:pPr>
  </w:style>
  <w:style w:type="character" w:customStyle="1" w:styleId="12">
    <w:name w:val="页眉 Char"/>
    <w:basedOn w:val="8"/>
    <w:link w:val="6"/>
    <w:semiHidden/>
    <w:uiPriority w:val="99"/>
    <w:rPr>
      <w:sz w:val="18"/>
      <w:szCs w:val="18"/>
    </w:rPr>
  </w:style>
  <w:style w:type="character" w:customStyle="1" w:styleId="13">
    <w:name w:val="页脚 Char"/>
    <w:basedOn w:val="8"/>
    <w:link w:val="5"/>
    <w:semiHidden/>
    <w:uiPriority w:val="99"/>
    <w:rPr>
      <w:sz w:val="18"/>
      <w:szCs w:val="18"/>
    </w:rPr>
  </w:style>
  <w:style w:type="character" w:customStyle="1" w:styleId="14">
    <w:name w:val="标题 2 Char"/>
    <w:basedOn w:val="8"/>
    <w:link w:val="3"/>
    <w:uiPriority w:val="99"/>
    <w:rPr>
      <w:rFonts w:ascii="黑体" w:hAnsi="黑体" w:eastAsia="黑体" w:cs="Times New Roman"/>
      <w:b/>
      <w:bCs/>
      <w:sz w:val="32"/>
      <w:szCs w:val="32"/>
    </w:rPr>
  </w:style>
  <w:style w:type="character" w:customStyle="1" w:styleId="15">
    <w:name w:val="标题 1 Char"/>
    <w:basedOn w:val="8"/>
    <w:link w:val="2"/>
    <w:uiPriority w:val="9"/>
    <w:rPr>
      <w:b/>
      <w:bCs/>
      <w:kern w:val="44"/>
      <w:sz w:val="44"/>
      <w:szCs w:val="44"/>
    </w:rPr>
  </w:style>
  <w:style w:type="character" w:customStyle="1" w:styleId="16">
    <w:name w:val="标题 3 Char"/>
    <w:basedOn w:val="8"/>
    <w:link w:val="4"/>
    <w:uiPriority w:val="9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621</Words>
  <Characters>3546</Characters>
  <Lines>29</Lines>
  <Paragraphs>8</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2018-01-08T07:25:00Z</dcterms:created>
  <dc:creator>sse</dc:creator>
  <cp:lastModifiedBy>省债务办-赵杨</cp:lastModifiedBy>
  <dcterms:modified xsi:type="dcterms:W3CDTF">2018-04-23T03:46:56Z</dcterms:modified>
  <dc:title>辽宁省政府债券债权托管应急申请书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